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jc w:val="center"/>
      </w:pPr>
      <w:r>
        <w:br/>
        <w:br/>
        <w:br/>
      </w:r>
    </w:p>
    <w:p>
      <w:pPr>
        <w:jc w:val="center"/>
      </w:pPr>
      <w:r>
        <w:rPr>
          <w:b/>
          <w:color w:val="E31C3D"/>
          <w:sz w:val="56"/>
        </w:rPr>
        <w:t>CLOUD READINESS ASSESSMENT</w:t>
      </w:r>
    </w:p>
    <w:p>
      <w:pPr>
        <w:jc w:val="center"/>
      </w:pPr>
      <w:r>
        <w:rPr>
          <w:b/>
          <w:color w:val="1A1F36"/>
          <w:sz w:val="44"/>
        </w:rPr>
        <w:t>Part 2 Entry Point</w:t>
      </w:r>
    </w:p>
    <w:p>
      <w:pPr>
        <w:spacing w:after="0" w:before="0"/>
      </w:pPr>
    </w:p>
    <w:p>
      <w:pPr>
        <w:spacing w:after="0" w:before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Customer: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[CUSTOMER LEGAL ENTITY NAME]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Prepared By: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[LEAD ARCHITECT NAME], Rackspace Technology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Engagement Reference: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[ENGAGEMENT ID / SOW REFERENCE]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Date: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[DD Month YYYY]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Document Version: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/>
                <w:i w:val="0"/>
                <w:sz w:val="22"/>
              </w:rPr>
              <w:t>Classification: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i w:val="0"/>
                <w:sz w:val="22"/>
              </w:rPr>
              <w:t>Client Confidential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Footer on all pages: [Customer Name] — Cloud Readiness Assessment Part 2 Entry Point — Rackspace 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E31C3D"/>
        </w:rPr>
        <w:t>How to Use This Template</w:t>
      </w:r>
    </w:p>
    <w:p>
      <w:pPr>
        <w:spacing w:after="80"/>
      </w:pPr>
      <w:r>
        <w:rPr>
          <w:b w:val="0"/>
          <w:i w:val="0"/>
          <w:sz w:val="21"/>
        </w:rPr>
        <w:t>This document is the authoring blueprint for the Part 2 Entry Point. Work through each section in order. Every section includes: Purpose, Required Content, Format, and a populated DMG Media UK example.</w:t>
      </w:r>
    </w:p>
    <w:p>
      <w:pPr>
        <w:pStyle w:val="ListBullet"/>
        <w:spacing w:after="40"/>
        <w:ind w:left="360"/>
      </w:pPr>
      <w:r>
        <w:rPr>
          <w:sz w:val="21"/>
        </w:rPr>
        <w:t>Replace all [PLACEHOLDER] text with engagement-specific content</w:t>
      </w:r>
    </w:p>
    <w:p>
      <w:pPr>
        <w:pStyle w:val="ListBullet"/>
        <w:spacing w:after="40"/>
        <w:ind w:left="360"/>
      </w:pPr>
      <w:r>
        <w:rPr>
          <w:sz w:val="21"/>
        </w:rPr>
        <w:t>Tables with 'TEMPLATE ROW' labels: duplicate the row for each item in your engagement</w:t>
      </w:r>
    </w:p>
    <w:p>
      <w:pPr>
        <w:pStyle w:val="ListBullet"/>
        <w:spacing w:after="40"/>
        <w:ind w:left="360"/>
      </w:pPr>
      <w:r>
        <w:rPr>
          <w:sz w:val="21"/>
        </w:rPr>
        <w:t>Sections marked with [MANDATORY] must not be omitted — write 'TBD — [reason]' if data is incomplete</w:t>
      </w:r>
    </w:p>
    <w:p>
      <w:pPr>
        <w:pStyle w:val="ListBullet"/>
        <w:spacing w:after="40"/>
        <w:ind w:left="360"/>
      </w:pPr>
      <w:r>
        <w:rPr>
          <w:sz w:val="21"/>
        </w:rPr>
        <w:t>Sections marked [OPTIONAL] are strongly recommended for enterprise customers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1 — EXECUTIVE SUMMARY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1. Executive Summary</w:t>
      </w:r>
    </w:p>
    <w:p>
      <w:pPr>
        <w:spacing w:after="80"/>
      </w:pPr>
      <w:r>
        <w:rPr>
          <w:b w:val="0"/>
          <w:i/>
          <w:sz w:val="21"/>
        </w:rPr>
        <w:t>Purpose: Give the CTO/CFO a one-page standalone summary they can extract for their board. If they read nothing else, they read this.</w:t>
      </w:r>
    </w:p>
    <w:p>
      <w:pPr>
        <w:spacing w:after="80"/>
      </w:pPr>
      <w:r>
        <w:rPr>
          <w:b/>
          <w:i w:val="0"/>
          <w:sz w:val="21"/>
        </w:rPr>
        <w:t>Required content (in order):</w:t>
      </w:r>
    </w:p>
    <w:p>
      <w:pPr>
        <w:pStyle w:val="ListBullet"/>
        <w:spacing w:after="40"/>
        <w:ind w:left="360"/>
      </w:pPr>
      <w:r>
        <w:rPr>
          <w:sz w:val="21"/>
        </w:rPr>
        <w:t>One-sentence engagement statement — what was assessed, by whom, over what period</w:t>
      </w:r>
    </w:p>
    <w:p>
      <w:pPr>
        <w:pStyle w:val="ListBullet"/>
        <w:spacing w:after="40"/>
        <w:ind w:left="360"/>
      </w:pPr>
      <w:r>
        <w:rPr>
          <w:sz w:val="21"/>
        </w:rPr>
        <w:t>Estate summary — total VMs/servers, application count, DC locations assessed</w:t>
      </w:r>
    </w:p>
    <w:p>
      <w:pPr>
        <w:pStyle w:val="ListBullet"/>
        <w:spacing w:after="40"/>
        <w:ind w:left="360"/>
      </w:pPr>
      <w:r>
        <w:rPr>
          <w:sz w:val="21"/>
        </w:rPr>
        <w:t>Recommended hyperscaler — primary + rationale in two sentences</w:t>
      </w:r>
    </w:p>
    <w:p>
      <w:pPr>
        <w:pStyle w:val="ListBullet"/>
        <w:spacing w:after="40"/>
        <w:ind w:left="360"/>
      </w:pPr>
      <w:r>
        <w:rPr>
          <w:sz w:val="21"/>
        </w:rPr>
        <w:t>Three-year TCO summary — on-prem baseline vs. recommended cloud (net saving / net increase + %)</w:t>
      </w:r>
    </w:p>
    <w:p>
      <w:pPr>
        <w:pStyle w:val="ListBullet"/>
        <w:spacing w:after="40"/>
        <w:ind w:left="360"/>
      </w:pPr>
      <w:r>
        <w:rPr>
          <w:sz w:val="21"/>
        </w:rPr>
        <w:t>Partner funding identified — AMM / MAP / PSO credits available (£/$ headline figure)</w:t>
      </w:r>
    </w:p>
    <w:p>
      <w:pPr>
        <w:pStyle w:val="ListBullet"/>
        <w:spacing w:after="40"/>
        <w:ind w:left="360"/>
      </w:pPr>
      <w:r>
        <w:rPr>
          <w:sz w:val="21"/>
        </w:rPr>
        <w:t>Recommended next step — one sentence describing what Part 2 is and the proposed start date</w:t>
      </w:r>
    </w:p>
    <w:p>
      <w:pPr>
        <w:spacing w:after="80"/>
      </w:pPr>
      <w:r>
        <w:rPr>
          <w:b w:val="0"/>
          <w:i/>
          <w:color w:val="444444"/>
          <w:sz w:val="21"/>
        </w:rPr>
        <w:t>Format: Boxed 'At a Glance' summary table + 2–3 paragraph narrative. Maximum 1 page.</w:t>
      </w:r>
    </w:p>
    <w:p>
      <w:pPr>
        <w:spacing w:after="0" w:before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At a Glance</w:t>
            </w:r>
          </w:p>
        </w:tc>
        <w:tc>
          <w:tcPr>
            <w:tcW w:type="dxa" w:w="57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Organisation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[CUSTOMER NAME]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Assessment Period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[Start Date] – [End Date]  ([N] weeks)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Estate Assessed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VMs · [N] applications · [N] data centres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Recommended Hyperscaler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[PRIMARY CLOUD] — [REGION]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3-Year TCO: On-Premises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3-Year TCO: Recommended Cloud (Optimised + Partner Funding)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  ([Y]% saving)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Partner Funding Identified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[AMM / MAP / PSO] — estimated £/$ [X]–[Y]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Recommended Next Step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[Part 2 description] — proposed start [Quarter Year]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b/>
          <w:i w:val="0"/>
          <w:sz w:val="21"/>
        </w:rPr>
        <w:t>Narrative (2–3 paragraphs):</w:t>
      </w:r>
    </w:p>
    <w:p>
      <w:pPr>
        <w:spacing w:after="80"/>
      </w:pPr>
      <w:r>
        <w:rPr>
          <w:b w:val="0"/>
          <w:i w:val="0"/>
          <w:sz w:val="21"/>
        </w:rPr>
        <w:t>Rackspace Technology completed a Cloud Readiness Assessment of [CUSTOMER NAME]'s on-premises estate across [N] data centres from [Start Month] to [End Month] [Year]. The assessment covered [N] virtual machines, [N] Oracle RAC clusters, and approximately [N] in-scope applications.</w:t>
      </w:r>
    </w:p>
    <w:p>
      <w:pPr>
        <w:spacing w:after="0" w:before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DMG Media UK example: Rackspace Technology completed a Cloud Readiness Assessment of DMG Media UK's on-premises estate across two London data centres from February to May 2026. The assessment covered 4,212 virtual machines, 18 Oracle RAC clusters, and approximately 280 in-scope applications. Primary recommendation: Microsoft Azure (UK South primary, UK West DR). Three-year TCO: On-premises status quo £18.4M. Azure (3-year RI, AHB applied) £11.2M. Net saving: £7.2M (39%) before AMM funding. Partner funding: Microsoft AMM eligibility identified — estimated £800K–£1.2M.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2 — SCOPE OF PART 1 ASSESSMENT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2. Scope of Part 1 Assessment</w:t>
      </w:r>
    </w:p>
    <w:p>
      <w:pPr>
        <w:pStyle w:val="Heading3"/>
      </w:pPr>
      <w:r>
        <w:rPr>
          <w:color w:val="E31C3D"/>
        </w:rPr>
        <w:t>2.1 Estate Summary Table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Category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Count</w:t>
            </w:r>
          </w:p>
        </w:tc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Virtual Machines (in scope)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 — add rows as needed]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Physical Servers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RAC clusters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SQL Server instances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Applications profiled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Data centres / locations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[Location names]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Assessment period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[Start] – [End]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weeks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DMG Media UK example: 4,212 VMs · 18 Oracle RAC · 340+ SQL Server · 280 applications · 2 DCs (London Docklands + Sovereign House) · 16 weeks.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2.2 What Was Out of Scope</w:t>
      </w:r>
    </w:p>
    <w:p>
      <w:pPr>
        <w:spacing w:after="80"/>
      </w:pPr>
      <w:r>
        <w:rPr>
          <w:b w:val="0"/>
          <w:i w:val="0"/>
          <w:sz w:val="21"/>
        </w:rPr>
        <w:t>List any assets explicitly excluded. This prevents scope creep in Part 2 or disputes about what was and was not assessed.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0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Asset / Area</w:t>
            </w:r>
          </w:p>
        </w:tc>
        <w:tc>
          <w:tcPr>
            <w:tcW w:type="dxa" w:w="475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Reason Out of Scope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47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DMG Media UK example: Network infrastructure redesign (flagged as Part 2 workstream) · SaaS applications (separate SaaS rationalisation workstream) · DR/BC detailed design (preliminary flags only in Part 1).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2.3 Scope Variance Note  [MANDATORY if applicable]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>
              <w:rPr>
                <w:b/>
                <w:color w:val="856404"/>
                <w:sz w:val="20"/>
              </w:rPr>
              <w:t>MANDATORY — If scope grew during the engagement, document it here to protect Part 2 commercial baseline.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b w:val="0"/>
          <w:i w:val="0"/>
          <w:sz w:val="21"/>
        </w:rPr>
        <w:t>"The original SOW estimated [N] in-scope VMs. Final assessed estate was [N] VMs — a [X]% variance. This variance was managed through [agreed mechanism: change control / extended timeline / additional resource]. The Part 2 SOW should be scoped against the final assessed figure of [N] VMs."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DMG Media UK example: Original SOW: 2,700 VMs. Final estate: 4,212 VMs. 57% variance. Managed through phased scope expansion with customer approval. Part 2 SOW must be scoped at 4,212 VMs.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3 — HYPERSCALER RECOMMENDATION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3. Hyperscaler Recommendation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>
              <w:rPr>
                <w:b/>
                <w:color w:val="856404"/>
                <w:sz w:val="20"/>
              </w:rPr>
              <w:t>Evidence before recommendation — always show the data first. Section 3.1 (scoring table) must come before Section 3.2 (recommendation rationale).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3.1 Hyperscaler Scoring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32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Evaluation Criterion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Weighting</w:t>
            </w:r>
          </w:p>
        </w:tc>
        <w:tc>
          <w:tcPr>
            <w:tcW w:type="dxa" w:w="1296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Azure</w:t>
            </w:r>
          </w:p>
        </w:tc>
        <w:tc>
          <w:tcPr>
            <w:tcW w:type="dxa" w:w="1296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AWS</w:t>
            </w:r>
          </w:p>
        </w:tc>
        <w:tc>
          <w:tcPr>
            <w:tcW w:type="dxa" w:w="1296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GCP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TCO (3-year, primary workloads)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[Score/10]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[Score/10]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[Score/10]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Licensing advantage (AHB / BYOL)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Regulatory compliance posture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Partner commercial (AMM / MAP / PSO)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Technical fit (workload types)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Strategic alignment (enterprise agreements)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[X]%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WEIGHTED TOTAL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100%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[Score]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[Score]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[Score]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RECOMMENDATION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[PRIMARY]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Secondary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Tertiary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3.2 Recommendation Rationale</w:t>
      </w:r>
    </w:p>
    <w:p>
      <w:pPr>
        <w:spacing w:after="80"/>
      </w:pPr>
      <w:r>
        <w:rPr>
          <w:b w:val="0"/>
          <w:i w:val="0"/>
          <w:sz w:val="21"/>
        </w:rPr>
        <w:t>Write 3–5 bullet points, each citing a specific data point from the assessment. Use the structure below:</w:t>
      </w:r>
    </w:p>
    <w:p>
      <w:pPr>
        <w:pStyle w:val="ListBullet"/>
        <w:spacing w:after="40"/>
        <w:ind w:left="360"/>
      </w:pPr>
      <w:r>
        <w:rPr>
          <w:sz w:val="21"/>
        </w:rPr>
        <w:t>Cost: "[Primary cloud] TCO over 3 years is [£/$X] vs. on-prem [£/$Y] — a [Z]% saving, driven by [AHB / RI pricing / licensing overlay]."</w:t>
      </w:r>
    </w:p>
    <w:p>
      <w:pPr>
        <w:pStyle w:val="ListBullet"/>
        <w:spacing w:after="40"/>
        <w:ind w:left="360"/>
      </w:pPr>
      <w:r>
        <w:rPr>
          <w:sz w:val="21"/>
        </w:rPr>
        <w:t>Licensing: "[N] SQL Server licences eligible for AHB — saving [£/$X] vs. PAYG. [N] Oracle workloads [recommended migration path]."</w:t>
      </w:r>
    </w:p>
    <w:p>
      <w:pPr>
        <w:pStyle w:val="ListBullet"/>
        <w:spacing w:after="40"/>
        <w:ind w:left="360"/>
      </w:pPr>
      <w:r>
        <w:rPr>
          <w:sz w:val="21"/>
        </w:rPr>
        <w:t>Compliance: "[Primary cloud] holds [specific certifications relevant to sector] required for [specific regulatory obligation]."</w:t>
      </w:r>
    </w:p>
    <w:p>
      <w:pPr>
        <w:pStyle w:val="ListBullet"/>
        <w:spacing w:after="40"/>
        <w:ind w:left="360"/>
      </w:pPr>
      <w:r>
        <w:rPr>
          <w:sz w:val="21"/>
        </w:rPr>
        <w:t>Partner funding: "[AMM / MAP / PSO] funding eligibility identified — estimated [£/$X] available."</w:t>
      </w:r>
    </w:p>
    <w:p>
      <w:pPr>
        <w:pStyle w:val="ListBullet"/>
        <w:spacing w:after="40"/>
        <w:ind w:left="360"/>
      </w:pPr>
      <w:r>
        <w:rPr>
          <w:sz w:val="21"/>
        </w:rPr>
        <w:t>Strategic: "[Primary cloud] aligns to existing [enterprise agreement / support contract / roadmap commitment]."</w:t>
      </w:r>
    </w:p>
    <w:p>
      <w:pPr>
        <w:spacing w:after="0" w:before="0"/>
      </w:pPr>
    </w:p>
    <w:p>
      <w:pPr>
        <w:pStyle w:val="Heading3"/>
      </w:pPr>
      <w:r>
        <w:rPr>
          <w:color w:val="E31C3D"/>
        </w:rPr>
        <w:t>3.3 Multi-Cloud Exceptions</w:t>
      </w:r>
    </w:p>
    <w:p>
      <w:pPr>
        <w:spacing w:after="80"/>
      </w:pPr>
      <w:r>
        <w:rPr>
          <w:b w:val="0"/>
          <w:i w:val="0"/>
          <w:sz w:val="21"/>
        </w:rPr>
        <w:t>Document any workloads that cannot move to the primary cloud: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Application / Workload</w:t>
            </w:r>
          </w:p>
        </w:tc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Reason for Exception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Recommended Cloud</w:t>
            </w:r>
          </w:p>
        </w:tc>
        <w:tc>
          <w:tcPr>
            <w:tcW w:type="dxa" w:w="244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244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4 — TCO SUMMARY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4. TCO Summary</w:t>
      </w:r>
    </w:p>
    <w:p>
      <w:pPr>
        <w:spacing w:after="80"/>
      </w:pPr>
      <w:r>
        <w:rPr>
          <w:b w:val="0"/>
          <w:i/>
          <w:color w:val="444444"/>
          <w:sz w:val="21"/>
        </w:rPr>
        <w:t>Every figure must trace back to a tab in the TCO Excel model (business-case-tco-roi.xlsx).</w:t>
      </w:r>
    </w:p>
    <w:p>
      <w:pPr>
        <w:pStyle w:val="Heading3"/>
      </w:pPr>
      <w:r>
        <w:rPr>
          <w:color w:val="E31C3D"/>
        </w:rPr>
        <w:t>4.1 Three-Year Cost Comparison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Scenario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Year 1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Year 2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Year 3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3-Year Total</w:t>
            </w:r>
          </w:p>
        </w:tc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vs. On-Prem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On-premises (status quo)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Baseline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[Primary cloud] — Like-for-Like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[+/-X%]</w:t>
            </w:r>
          </w:p>
        </w:tc>
      </w:tr>
      <w:tr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[Primary cloud] — Optimised (RI / AHB / CUD)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[+/-X%]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[Primary cloud] — Optimised + Partner Credits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[+/-X%]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Note on Year 1: Year 1 includes dual-running costs (on-prem + cloud overlap during migration). See Section 4.2.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4.2 Year 1 Dual-Running Forecast</w:t>
      </w:r>
    </w:p>
    <w:p>
      <w:pPr>
        <w:spacing w:after="80"/>
      </w:pPr>
      <w:r>
        <w:rPr>
          <w:b w:val="0"/>
          <w:i w:val="0"/>
          <w:sz w:val="21"/>
        </w:rPr>
        <w:t>Year 1 is typically the most expensive year because workloads run in both environments during migration. Document this explicitly to avoid budget shock.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47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Cost Component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Amount</w:t>
            </w:r>
          </w:p>
        </w:tc>
        <w:tc>
          <w:tcPr>
            <w:tcW w:type="dxa" w:w="50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On-premises costs (full year — decommission not yet complete)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Cloud costs (partial year — wave 1 + 2 migrated)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Migration tooling and licences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Professional services (Part 2)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YEAR 1 TOTAL (dual-running)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Year 1 Net (offset by AMM/MAP/PSO credits)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4.3 Licensing Overlay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316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Licence Type</w:t>
            </w:r>
          </w:p>
        </w:tc>
        <w:tc>
          <w:tcPr>
            <w:tcW w:type="dxa" w:w="115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Volume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Current Annual Cost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Cloud Path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Optimised Annual Cost</w:t>
            </w:r>
          </w:p>
        </w:tc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Saving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Windows Server (AHB eligible)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AHB + 3yr RI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SQL Server (AHB eligible)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AHB + 3yr RI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(BYOL)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BYOL on [VM/RDS/Exadata]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[Other — TEMPLATE ROW]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16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LICENSING TOTAL SAVING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5 — PARTNER FUNDING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5. Partner Funding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>
              <w:rPr>
                <w:b/>
                <w:color w:val="856404"/>
                <w:sz w:val="20"/>
              </w:rPr>
              <w:t>MANDATORY: Programme deal registration must be completed BEFORE Part 2 SOW signature. Registration after Part 2 start risks funding eligibility. Confirm with Alliance Manager before completing this section.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5.1 Partner Funding Summary Table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88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Programme</w:t>
            </w:r>
          </w:p>
        </w:tc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Provider</w:t>
            </w:r>
          </w:p>
        </w:tc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Eligibility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Estimated Value</w:t>
            </w:r>
          </w:p>
        </w:tc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CRA Deliverables Required</w:t>
            </w:r>
          </w:p>
        </w:tc>
        <w:tc>
          <w:tcPr>
            <w:tcW w:type="dxa" w:w="158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Azure Migration and Modernisation (AMM)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Microsoft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[Yes/No/TBC]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MRA, inventory, business case, wave plan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[Not yet registered / Registered / Approved]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AWS Migration Acceleration Programme (MAP)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AWS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[Yes/No/TBC]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MRA, inventory, business case, wave plan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[Not yet registered / Registered / Approved]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Google Cloud RAMP / PSO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Google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[Yes/No/TBC]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GCAF assessment, discovery export, opportunity registration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[Not yet registered / Registered / Approved]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5.2 AMM Pre-Qualification Checklist  [if Azure primary]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7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Requirement</w:t>
            </w:r>
          </w:p>
        </w:tc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Status</w:t>
            </w:r>
          </w:p>
        </w:tc>
        <w:tc>
          <w:tcPr>
            <w:tcW w:type="dxa" w:w="518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Evidence</w:t>
            </w:r>
          </w:p>
        </w:tc>
      </w:tr>
      <w:tr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Migration Readiness Assessment (MRA) complete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CRA Phase 2 output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Validated infrastructure inventory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Templates/01-discovery/</w:t>
            </w:r>
          </w:p>
        </w:tc>
      </w:tr>
      <w:tr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Business case with 3-year TCO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Templates/03-evaluation/business-case-tco-roi.xlsx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Migration wave plan (high level)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Templates/04-planning/migration-wave-planner.xlsx</w:t>
            </w:r>
          </w:p>
        </w:tc>
      </w:tr>
      <w:tr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Azure as primary or co-primary cloud</w:t>
            </w:r>
          </w:p>
        </w:tc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Hyperscaler recommendation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Rackspace registered in MSPP as Delivery Partner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 ] / [x]</w:t>
            </w:r>
          </w:p>
        </w:tc>
        <w:tc>
          <w:tcPr>
            <w:tcW w:type="dxa" w:w="51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Rackspace Alliance Manager to confirm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6 — MIGRATION APPROACH (HIGH LEVEL)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6. Migration Approach — High Level</w:t>
      </w:r>
    </w:p>
    <w:p>
      <w:pPr>
        <w:pStyle w:val="Heading3"/>
      </w:pPr>
      <w:r>
        <w:rPr>
          <w:color w:val="E31C3D"/>
        </w:rPr>
        <w:t>6.1 Recommended Migration Approach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Workloads</w:t>
            </w:r>
          </w:p>
        </w:tc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Approach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Target Completion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 0 — Proof of Concept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VMs — [lowest risk workloads]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Rehost — IaaS lift-and-shift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Wave 1 — Core Infrastructure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 VMs — [dev/test, non-critical]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Rehost — IaaS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 2 — Business Applications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VMs — [business apps, mid-tier]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Rehost / Replatform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Wave 3 — Tier-1 / Production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 VMs — [prod, customer-facing]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Rehost with optimisation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 4 — Oracle / Complex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nodes — [Oracle RAC, legacy]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Replatform / Rearchitect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Wave 5 — Decommission On-Prem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All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DC exit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[Month Year]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Wave plan above is indicative. Part 2 will produce a detailed wave plan with application-level sequencing, dependency management, and cutover windows.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6.2 7Rs Estate View — High Level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Migration Pattern</w:t>
            </w:r>
          </w:p>
        </w:tc>
        <w:tc>
          <w:tcPr>
            <w:tcW w:type="dxa" w:w="288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Est. VM / App Count</w:t>
            </w:r>
          </w:p>
        </w:tc>
        <w:tc>
          <w:tcPr>
            <w:tcW w:type="dxa" w:w="61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Rehost (lift-and-shift)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 ([X]%)</w:t>
            </w:r>
          </w:p>
        </w:tc>
        <w:tc>
          <w:tcPr>
            <w:tcW w:type="dxa" w:w="61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Majority of estate — low complexity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Replatform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  ([X]%)</w:t>
            </w:r>
          </w:p>
        </w:tc>
        <w:tc>
          <w:tcPr>
            <w:tcW w:type="dxa" w:w="61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PaaS-eligible (SQL to managed service, etc.)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Rearchitect / Refactor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  ([X]%)</w:t>
            </w:r>
          </w:p>
        </w:tc>
        <w:tc>
          <w:tcPr>
            <w:tcW w:type="dxa" w:w="61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Greenfield rebuild or containerisation candidates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Repurchase (SaaS)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61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Replace with SaaS equivalent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Retire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61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Confirmed decommission — do not migrate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Retain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61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Cannot migrate — regulatory / latency / dependency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Relocate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61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Move to different DC without cloud migration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7 — RISK REGISTER (SUMMARY)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7. Risk Register — Summary</w:t>
      </w:r>
    </w:p>
    <w:p>
      <w:pPr>
        <w:spacing w:after="80"/>
      </w:pPr>
      <w:r>
        <w:rPr>
          <w:b w:val="0"/>
          <w:i w:val="0"/>
          <w:sz w:val="21"/>
        </w:rPr>
        <w:t>Document the top risks identified in Part 1 so Part 2 has a risk baseline. Do not defer to Part 2 — risks identified now reduce surprises later.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Risk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Category</w:t>
            </w:r>
          </w:p>
        </w:tc>
        <w:tc>
          <w:tcPr>
            <w:tcW w:type="dxa" w:w="158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Likelihood</w:t>
            </w:r>
          </w:p>
        </w:tc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Impact</w:t>
            </w:r>
          </w:p>
        </w:tc>
        <w:tc>
          <w:tcPr>
            <w:tcW w:type="dxa" w:w="302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licensing cost overrun — BYOL complexity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Licensing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[H/M/L]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[H/M/L]</w:t>
            </w:r>
          </w:p>
        </w:tc>
        <w:tc>
          <w:tcPr>
            <w:tcW w:type="dxa" w:w="302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[Action]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Network redesign delays wave 1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Technical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Scope variance from additional discovery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Commercial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02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CAB approval lead time for firewall changes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Operational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02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DMG Media UK top risks: (1) Oracle RAC decommission — 18 clusters — BYOL path modelled, Oracle account team engaged. (2) Scope variance risk — estate grew 57% in Part 1 — scope gate added at Part 2 SOW. (3) Redis OSS licence change — 140+ instances — Redis Enterprise Ltd commercial negotiation parallel-tracked. (4) EoL OS (Windows 2012, RHEL 6) — 340+ servers — ESU cost modelled, upgrade wave prioritised. (5) CAB approval lead time 5–10 business days per firewall change — CAB pre-engagement initiated in week 1 of Part 2.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8 — ORACLE MODERNISATION  [OPTIONAL — include if Oracle in estate]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8. Oracle Modernisation</w:t>
      </w:r>
    </w:p>
    <w:p>
      <w:pPr>
        <w:spacing w:after="80"/>
      </w:pPr>
      <w:r>
        <w:rPr>
          <w:b w:val="0"/>
          <w:i/>
          <w:sz w:val="21"/>
        </w:rPr>
        <w:t>Oracle is frequently the highest-risk and highest-cost element of any migration. A named section prevents it from being buried in the wave plan.</w:t>
      </w:r>
    </w:p>
    <w:p>
      <w:pPr>
        <w:pStyle w:val="Heading3"/>
      </w:pPr>
      <w:r>
        <w:rPr>
          <w:color w:val="E31C3D"/>
        </w:rPr>
        <w:t>8.1 Oracle Estate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Workload</w:t>
            </w:r>
          </w:p>
        </w:tc>
        <w:tc>
          <w:tcPr>
            <w:tcW w:type="dxa" w:w="1296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Version</w:t>
            </w:r>
          </w:p>
        </w:tc>
        <w:tc>
          <w:tcPr>
            <w:tcW w:type="dxa" w:w="187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Licence Model</w:t>
            </w:r>
          </w:p>
        </w:tc>
        <w:tc>
          <w:tcPr>
            <w:tcW w:type="dxa" w:w="158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VM / Node Count</w:t>
            </w:r>
          </w:p>
        </w:tc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Recommended Path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Est. Annual Saving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RAC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[version]</w:t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BYOL (Processor)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 nodes]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DB on dedicated VM hosts (BYOL) — evaluate OCI in 24 months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Oracle SE / EE standalone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[version]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BYOL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Rehost BYOL on [Azure / AWS / GCP]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Forms / E-Business Suite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[version]</w:t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BYOL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[N]</w:t>
            </w:r>
          </w:p>
        </w:tc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Rehost IaaS — no PaaS alternative at scale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N/A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8.2 Oracle Licensing Flags</w:t>
      </w:r>
    </w:p>
    <w:p>
      <w:pPr>
        <w:pStyle w:val="ListBullet"/>
        <w:spacing w:after="40"/>
        <w:ind w:left="360"/>
      </w:pPr>
      <w:r>
        <w:rPr>
          <w:sz w:val="21"/>
        </w:rPr>
        <w:t>[ ] Is Oracle licensing currently processor-based or NUP? (affects cloud core count)</w:t>
      </w:r>
    </w:p>
    <w:p>
      <w:pPr>
        <w:pStyle w:val="ListBullet"/>
        <w:spacing w:after="40"/>
        <w:ind w:left="360"/>
      </w:pPr>
      <w:r>
        <w:rPr>
          <w:sz w:val="21"/>
        </w:rPr>
        <w:t>[ ] Does the customer have an Oracle Unlimited Licence Agreement (ULA)?</w:t>
      </w:r>
    </w:p>
    <w:p>
      <w:pPr>
        <w:pStyle w:val="ListBullet"/>
        <w:spacing w:after="40"/>
        <w:ind w:left="360"/>
      </w:pPr>
      <w:r>
        <w:rPr>
          <w:sz w:val="21"/>
        </w:rPr>
        <w:t>[ ] Are any workloads eligible for Oracle database service inclusion in OCI? (changes hyperscaler recommendation)</w:t>
      </w:r>
    </w:p>
    <w:p>
      <w:pPr>
        <w:pStyle w:val="ListBullet"/>
        <w:spacing w:after="40"/>
        <w:ind w:left="360"/>
      </w:pPr>
      <w:r>
        <w:rPr>
          <w:sz w:val="21"/>
        </w:rPr>
        <w:t>[ ] Has the customer engaged Oracle account management on cloud migration intent?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r>
              <w:rPr>
                <w:b/>
                <w:color w:val="856404"/>
                <w:sz w:val="20"/>
              </w:rPr>
              <w:t>Rackspace Oracle practice note: Engage the Rackspace Oracle DBA practice before committing Oracle licensing recommendations to the Part 2 SOW. Oracle licensing in the cloud has non-obvious traps (VMware soft-partitioning, cloud vCPU multipliers) that require specialist review.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9 — PART 2 ENGAGEMENT MODEL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9. Part 2 Engagement Model</w:t>
      </w:r>
    </w:p>
    <w:p>
      <w:pPr>
        <w:pStyle w:val="Heading3"/>
      </w:pPr>
      <w:r>
        <w:rPr>
          <w:color w:val="E31C3D"/>
        </w:rPr>
        <w:t>9.1 What Part 2 Delivers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0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Deliverable</w:t>
            </w:r>
          </w:p>
        </w:tc>
        <w:tc>
          <w:tcPr>
            <w:tcW w:type="dxa" w:w="57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Description</w:t>
            </w:r>
          </w:p>
        </w:tc>
        <w:tc>
          <w:tcPr>
            <w:tcW w:type="dxa" w:w="187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Format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Detailed migration wave plan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Application-level sequencing with dependencies, cutover windows, rollback plans</w:t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Excel + PPTX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Architecture blueprints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Landing zone design, network topology, IAM model for [primary cloud]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Visio / draw.io + DOCX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Migration runbooks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Wave-level runbooks for Rehost migrations; application-specific for complex workloads</w:t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DOCX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Oracle migration plan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Detailed Oracle estate migration path with licensing confirmation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DOCX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Governance framework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Operating model for cloud-first operations post-migration</w:t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DOCX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Programme governance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Programme board, weekly reporting, RAID log, change control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Ongoing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[Additional — TEMPLATE ROW]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9.2 Indicative Timeline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21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Duration</w:t>
            </w:r>
          </w:p>
        </w:tc>
        <w:tc>
          <w:tcPr>
            <w:tcW w:type="dxa" w:w="792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Activities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Foundation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Weeks 1–4</w:t>
            </w:r>
          </w:p>
        </w:tc>
        <w:tc>
          <w:tcPr>
            <w:tcW w:type="dxa" w:w="79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Landing zone build, tooling deployment, Wave 0 PoC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Wave 1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Weeks 5–12</w:t>
            </w:r>
          </w:p>
        </w:tc>
        <w:tc>
          <w:tcPr>
            <w:tcW w:type="dxa" w:w="79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Dev/test + non-critical workloads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 2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Weeks 13–20</w:t>
            </w:r>
          </w:p>
        </w:tc>
        <w:tc>
          <w:tcPr>
            <w:tcW w:type="dxa" w:w="79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Business applications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Wave 3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Weeks 21–32</w:t>
            </w:r>
          </w:p>
        </w:tc>
        <w:tc>
          <w:tcPr>
            <w:tcW w:type="dxa" w:w="79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Tier-1 / production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Wave 4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Weeks 33–44</w:t>
            </w:r>
          </w:p>
        </w:tc>
        <w:tc>
          <w:tcPr>
            <w:tcW w:type="dxa" w:w="792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Oracle / complex workloads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DC Exit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Weeks 45–52</w:t>
            </w:r>
          </w:p>
        </w:tc>
        <w:tc>
          <w:tcPr>
            <w:tcW w:type="dxa" w:w="792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Decommission on-prem, final validation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4FD"/>
          </w:tcPr>
          <w:p>
            <w:r>
              <w:rPr>
                <w:i/>
                <w:color w:val="1A1F36"/>
                <w:sz w:val="20"/>
              </w:rPr>
              <w:t>Timeline is indicative and based on [N] VMs and [N] waves. Actual timeline confirmed at Part 2 kick-off after detailed wave planning.</w:t>
            </w:r>
          </w:p>
        </w:tc>
      </w:tr>
    </w:tbl>
    <w:p>
      <w:pPr>
        <w:spacing w:after="0" w:before="0"/>
      </w:pPr>
    </w:p>
    <w:p>
      <w:pPr>
        <w:pStyle w:val="Heading3"/>
      </w:pPr>
      <w:r>
        <w:rPr>
          <w:color w:val="E31C3D"/>
        </w:rPr>
        <w:t>9.3 Investment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0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Component</w:t>
            </w:r>
          </w:p>
        </w:tc>
        <w:tc>
          <w:tcPr>
            <w:tcW w:type="dxa" w:w="288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Indicative Range</w:t>
            </w:r>
          </w:p>
        </w:tc>
        <w:tc>
          <w:tcPr>
            <w:tcW w:type="dxa" w:w="475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Basis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Professional services (Rackspace Part 2 delivery)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47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Per SOW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Cloud consumption (Year 1 — post-migration)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475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Per TCO model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Migration tooling (licences)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47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AMM / MAP / PSO funding offset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(£/$ [X]–[Y])</w:t>
            </w:r>
          </w:p>
        </w:tc>
        <w:tc>
          <w:tcPr>
            <w:tcW w:type="dxa" w:w="475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Subject to programme approval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NET YEAR 1 INVESTMENT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£/$ [X]–[Y]</w:t>
            </w:r>
          </w:p>
        </w:tc>
        <w:tc>
          <w:tcPr>
            <w:tcW w:type="dxa" w:w="475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After partner funding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SECTION 10 — NEXT STEPS  [MANDATORY]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E31C3D"/>
        </w:rPr>
        <w:t>10. Next Steps</w:t>
      </w:r>
    </w:p>
    <w:p>
      <w:pPr>
        <w:spacing w:after="80"/>
      </w:pPr>
      <w:r>
        <w:rPr>
          <w:b w:val="0"/>
          <w:i w:val="0"/>
          <w:sz w:val="21"/>
        </w:rPr>
        <w:t>The customer must leave this document knowing exactly what happens next and who does what.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76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547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Action</w:t>
            </w:r>
          </w:p>
        </w:tc>
        <w:tc>
          <w:tcPr>
            <w:tcW w:type="dxa" w:w="403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Owner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57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Customer sign-off on Part 2 Entry Point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[Customer sponsor name]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Rackspace issues Part 2 SOW for review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Rackspace Delivery Manager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</w:tr>
      <w:tr>
        <w:tc>
          <w:tcPr>
            <w:tcW w:type="dxa" w:w="57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AMM / MAP / PSO deal registration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Rackspace Alliance Manager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Before SOW signature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Part 2 kick-off meeting (SAs + customer architects)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[Lead Architect]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</w:tr>
      <w:tr>
        <w:tc>
          <w:tcPr>
            <w:tcW w:type="dxa" w:w="57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Landing zone decision confirmed (greenfield vs. existing)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[Customer CTO / Lead Architect]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547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Oracle account management engagement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[Customer Oracle owner]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</w:tr>
      <w:tr>
        <w:tc>
          <w:tcPr>
            <w:tcW w:type="dxa" w:w="576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[TEMPLATE ROW]</w:t>
            </w:r>
          </w:p>
        </w:tc>
        <w:tc>
          <w:tcPr>
            <w:tcW w:type="dxa" w:w="547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31C3D"/>
          </w:tcPr>
          <w:p>
            <w:r>
              <w:rPr>
                <w:b/>
                <w:color w:val="FFFFFF"/>
                <w:sz w:val="26"/>
              </w:rPr>
              <w:t>DOCUMENT CONTROL</w:t>
            </w:r>
          </w:p>
        </w:tc>
      </w:tr>
    </w:tbl>
    <w:p>
      <w:pPr>
        <w:spacing w:after="0" w:before="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Version</w:t>
            </w:r>
          </w:p>
        </w:tc>
        <w:tc>
          <w:tcPr>
            <w:tcW w:type="dxa" w:w="2592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Date</w:t>
            </w:r>
          </w:p>
        </w:tc>
        <w:tc>
          <w:tcPr>
            <w:tcW w:type="dxa" w:w="288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Author</w:t>
            </w:r>
          </w:p>
        </w:tc>
        <w:tc>
          <w:tcPr>
            <w:tcW w:type="dxa" w:w="5760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0.1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[Lead Architect]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Initial draft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0.2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[Lead Architect]</w:t>
            </w:r>
          </w:p>
        </w:tc>
        <w:tc>
          <w:tcPr>
            <w:tcW w:type="dxa" w:w="5760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Customer review feedback incorporated</w:t>
            </w:r>
          </w:p>
        </w:tc>
      </w:tr>
      <w:tr>
        <w:tc>
          <w:tcPr>
            <w:tcW w:type="dxa" w:w="144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1.0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[DD Month YYYY]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[Delivery Director]</w:t>
            </w:r>
          </w:p>
        </w:tc>
        <w:tc>
          <w:tcPr>
            <w:tcW w:type="dxa" w:w="5760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Approved for customer presentation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color w:val="E31C3D"/>
        </w:rPr>
        <w:t>Appendix A — Glossary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28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Term</w:t>
            </w:r>
          </w:p>
        </w:tc>
        <w:tc>
          <w:tcPr>
            <w:tcW w:type="dxa" w:w="10944"/>
            <w:shd w:val="clear" w:color="auto" w:fill="E31C3D"/>
          </w:tcPr>
          <w:p>
            <w:r/>
            <w:r>
              <w:rPr>
                <w:b/>
                <w:i w:val="0"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AMM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Azure Migration and Modernisation — Microsoft funded migration programme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AHB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Azure Hybrid Benefit — licence portability for Windows Server and SQL Server on Azure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CRA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Cloud Readiness Assessment — Rackspace four-phase assessment framework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CUD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Committed Use Discount — GCP equivalent of Reserved Instances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L4L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Like-for-Like — cloud sizing based on current on-prem specs without rightsizing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MAP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Migration Acceleration Programme — AWS funded migration programme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MRA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Migration Readiness Assessment — structured questionnaire required for AMM and MAP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Part 2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CRA Phase 2 — migration execution; follows this Entry Point document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PSO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Professional Services Organisation — Google Cloud delivery partner programme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RAMP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Rapid Assessment &amp; Migration Program — Google structured migration programme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RI</w:t>
            </w:r>
          </w:p>
        </w:tc>
        <w:tc>
          <w:tcPr>
            <w:tcW w:type="dxa" w:w="10944"/>
            <w:shd w:val="clear" w:color="auto" w:fill="F2F2F2"/>
          </w:tcPr>
          <w:p>
            <w:r/>
            <w:r>
              <w:rPr>
                <w:b w:val="0"/>
                <w:i w:val="0"/>
                <w:sz w:val="19"/>
              </w:rPr>
              <w:t>Reserved Instance — pre-committed compute pricing on AWS and Azure (1yr or 3yr)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7Rs</w:t>
            </w:r>
          </w:p>
        </w:tc>
        <w:tc>
          <w:tcPr>
            <w:tcW w:type="dxa" w:w="10944"/>
            <w:shd w:val="clear" w:color="auto" w:fill="FFFFFF"/>
          </w:tcPr>
          <w:p>
            <w:r/>
            <w:r>
              <w:rPr>
                <w:b w:val="0"/>
                <w:i w:val="0"/>
                <w:sz w:val="19"/>
              </w:rPr>
              <w:t>Seven migration patterns: Rehost, Replatform, Rearchitect, Repurchase, Retire, Retain, Relocate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b w:val="0"/>
          <w:i/>
          <w:color w:val="444444"/>
          <w:sz w:val="21"/>
        </w:rPr>
        <w:t>Content Specification: Rackspace Cloud Solutions Architecture — CRA Framework v2.0</w:t>
      </w:r>
    </w:p>
    <w:p>
      <w:pPr>
        <w:spacing w:after="80"/>
      </w:pPr>
      <w:r>
        <w:rPr>
          <w:b w:val="0"/>
          <w:i/>
          <w:color w:val="444444"/>
          <w:sz w:val="21"/>
        </w:rPr>
        <w:t>© 2026 Rackspace Technology. All rights reserved.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E31C3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E31C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E31C3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