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7D9B0" w14:textId="209A6C86" w:rsidR="00E74FD1" w:rsidRDefault="00E74FD1" w:rsidP="00E40261">
      <w:pPr>
        <w:pStyle w:val="AddressandName"/>
        <w:jc w:val="both"/>
      </w:pPr>
    </w:p>
    <w:sdt>
      <w:sdtPr>
        <w:id w:val="-520932309"/>
        <w:docPartObj>
          <w:docPartGallery w:val="Cover Pages"/>
          <w:docPartUnique/>
        </w:docPartObj>
      </w:sdtPr>
      <w:sdtContent>
        <w:p w14:paraId="70ED096B" w14:textId="7986F3F3" w:rsidR="00506EAE" w:rsidRDefault="00506EAE" w:rsidP="00E40261">
          <w:pPr>
            <w:pStyle w:val="AddressandName"/>
            <w:jc w:val="both"/>
          </w:pPr>
        </w:p>
        <w:p w14:paraId="10C9C608" w14:textId="13991D5E" w:rsidR="00B43EFE" w:rsidRDefault="00B43EFE" w:rsidP="00E40261">
          <w:pPr>
            <w:jc w:val="both"/>
          </w:pPr>
        </w:p>
        <w:p w14:paraId="74085385" w14:textId="0141D0D8" w:rsidR="00B43EFE" w:rsidRDefault="00B43EFE" w:rsidP="00E40261">
          <w:pPr>
            <w:jc w:val="both"/>
          </w:pPr>
        </w:p>
        <w:p w14:paraId="54F59EF2" w14:textId="5FF54D2C" w:rsidR="00B43EFE" w:rsidRDefault="00B43EFE" w:rsidP="00E40261">
          <w:pPr>
            <w:jc w:val="both"/>
          </w:pPr>
        </w:p>
        <w:p w14:paraId="609E838C" w14:textId="77777777" w:rsidR="00B43EFE" w:rsidRDefault="00B43EFE" w:rsidP="00E40261">
          <w:pPr>
            <w:jc w:val="both"/>
          </w:pPr>
        </w:p>
        <w:p w14:paraId="35CDDDB8" w14:textId="77777777" w:rsidR="00B43EFE" w:rsidRDefault="00B43EFE" w:rsidP="00E40261">
          <w:pPr>
            <w:jc w:val="both"/>
          </w:pPr>
        </w:p>
        <w:p w14:paraId="06ED3192" w14:textId="77777777" w:rsidR="00B52580" w:rsidRDefault="00506EAE" w:rsidP="00B52580">
          <w:pPr>
            <w:pStyle w:val="Title"/>
            <w:spacing w:after="720" w:line="264" w:lineRule="auto"/>
          </w:pPr>
          <w:r>
            <w:t>DMG Media</w:t>
          </w:r>
        </w:p>
        <w:p w14:paraId="24AA731F" w14:textId="2FEBDF95" w:rsidR="00506EAE" w:rsidRPr="00B52580" w:rsidRDefault="00506EAE" w:rsidP="00B52580">
          <w:pPr>
            <w:pStyle w:val="Title"/>
            <w:spacing w:after="720" w:line="264" w:lineRule="auto"/>
            <w:rPr>
              <w:rFonts w:ascii="Arial" w:hAnsi="Arial" w:cs="Times New Roman (Headings CS)"/>
              <w:color w:val="D9D9D9" w:themeColor="background1" w:themeShade="D9"/>
              <w:kern w:val="15"/>
              <w:lang w:val="en-US" w:eastAsia="en-GB"/>
            </w:rPr>
          </w:pPr>
          <w:r w:rsidRPr="00B52580">
            <w:rPr>
              <w:rFonts w:ascii="Arial" w:hAnsi="Arial" w:cs="Times New Roman (Headings CS)"/>
              <w:color w:val="D9D9D9" w:themeColor="background1" w:themeShade="D9"/>
              <w:kern w:val="15"/>
              <w:lang w:val="en-US" w:eastAsia="en-GB"/>
            </w:rPr>
            <w:t>Cloud Readiness Assessment</w:t>
          </w:r>
        </w:p>
        <w:p w14:paraId="61C785FF" w14:textId="0D5C6CE2" w:rsidR="00B43EFE" w:rsidRDefault="00506EAE" w:rsidP="00E40261">
          <w:pPr>
            <w:pStyle w:val="Subtitle"/>
            <w:jc w:val="both"/>
          </w:pPr>
          <w:r w:rsidRPr="00474CEB">
            <w:rPr>
              <w:rFonts w:ascii="Arial" w:eastAsia="Times New Roman" w:hAnsi="Arial" w:cs="Times New Roman"/>
              <w:b/>
              <w:bCs/>
              <w:color w:val="auto"/>
              <w:sz w:val="40"/>
              <w:szCs w:val="40"/>
              <w:lang w:val="en-US" w:eastAsia="en-GB"/>
            </w:rPr>
            <w:t>P</w:t>
          </w:r>
          <w:r w:rsidR="00AF7F5B">
            <w:rPr>
              <w:rFonts w:ascii="Arial" w:eastAsia="Times New Roman" w:hAnsi="Arial" w:cs="Times New Roman"/>
              <w:b/>
              <w:bCs/>
              <w:color w:val="auto"/>
              <w:sz w:val="40"/>
              <w:szCs w:val="40"/>
              <w:lang w:val="en-US" w:eastAsia="en-GB"/>
            </w:rPr>
            <w:t>art</w:t>
          </w:r>
          <w:r w:rsidRPr="00474CEB">
            <w:rPr>
              <w:rFonts w:ascii="Arial" w:eastAsia="Times New Roman" w:hAnsi="Arial" w:cs="Times New Roman"/>
              <w:b/>
              <w:color w:val="auto"/>
              <w:sz w:val="40"/>
              <w:szCs w:val="40"/>
              <w:lang w:val="en-US" w:eastAsia="en-GB"/>
            </w:rPr>
            <w:t xml:space="preserve"> 1</w:t>
          </w:r>
          <w:r>
            <w:t xml:space="preserve">: </w:t>
          </w:r>
          <w:r w:rsidRPr="00AF7F5B">
            <w:rPr>
              <w:rFonts w:ascii="Arial" w:eastAsia="Times New Roman" w:hAnsi="Arial" w:cs="Times New Roman"/>
              <w:color w:val="auto"/>
              <w:sz w:val="40"/>
              <w:szCs w:val="40"/>
              <w:lang w:val="en-US" w:eastAsia="en-GB"/>
            </w:rPr>
            <w:t>Strategy, Discovery and TCO Analysis</w:t>
          </w:r>
        </w:p>
        <w:p w14:paraId="78AE045C" w14:textId="77777777" w:rsidR="00B43EFE" w:rsidRDefault="00B43EFE" w:rsidP="00E40261">
          <w:pPr>
            <w:jc w:val="both"/>
          </w:pPr>
        </w:p>
        <w:p w14:paraId="6117597B" w14:textId="77777777" w:rsidR="00357A3E" w:rsidRDefault="00357A3E" w:rsidP="00E40261">
          <w:pPr>
            <w:jc w:val="both"/>
          </w:pPr>
        </w:p>
        <w:p w14:paraId="7D204258" w14:textId="77777777" w:rsidR="00357A3E" w:rsidRDefault="00357A3E" w:rsidP="00E40261">
          <w:pPr>
            <w:jc w:val="both"/>
          </w:pPr>
        </w:p>
        <w:p w14:paraId="218005DB" w14:textId="77777777" w:rsidR="00357A3E" w:rsidRDefault="00357A3E" w:rsidP="00E40261">
          <w:pPr>
            <w:jc w:val="both"/>
          </w:pPr>
        </w:p>
        <w:p w14:paraId="4D898F64" w14:textId="77777777" w:rsidR="00357A3E" w:rsidRDefault="00357A3E" w:rsidP="00E40261">
          <w:pPr>
            <w:jc w:val="both"/>
          </w:pPr>
        </w:p>
        <w:p w14:paraId="37995C02" w14:textId="77777777" w:rsidR="00357A3E" w:rsidRDefault="00357A3E" w:rsidP="00E40261">
          <w:pPr>
            <w:jc w:val="both"/>
          </w:pPr>
        </w:p>
        <w:p w14:paraId="58CEA48D" w14:textId="77777777" w:rsidR="00357A3E" w:rsidRDefault="00357A3E" w:rsidP="00E40261">
          <w:pPr>
            <w:jc w:val="both"/>
          </w:pPr>
        </w:p>
        <w:p w14:paraId="28F613BA" w14:textId="77777777" w:rsidR="00357A3E" w:rsidRDefault="00357A3E" w:rsidP="00E40261">
          <w:pPr>
            <w:jc w:val="both"/>
          </w:pPr>
        </w:p>
        <w:p w14:paraId="0152AA9B" w14:textId="77777777" w:rsidR="00357A3E" w:rsidRDefault="00357A3E" w:rsidP="00E40261">
          <w:pPr>
            <w:jc w:val="both"/>
          </w:pPr>
        </w:p>
        <w:p w14:paraId="7D078865" w14:textId="77777777" w:rsidR="00357A3E" w:rsidRDefault="00357A3E" w:rsidP="00E40261">
          <w:pPr>
            <w:jc w:val="both"/>
          </w:pPr>
        </w:p>
        <w:p w14:paraId="1557FF5A" w14:textId="77777777" w:rsidR="00DC2289" w:rsidRDefault="00B43EFE" w:rsidP="00E40261">
          <w:pPr>
            <w:jc w:val="both"/>
            <w:rPr>
              <w:b/>
              <w:bCs/>
            </w:rPr>
          </w:pPr>
          <w:r>
            <w:t xml:space="preserve">Prepared by: </w:t>
          </w:r>
          <w:r>
            <w:rPr>
              <w:b/>
              <w:bCs/>
            </w:rPr>
            <w:t>Rackspace Technology</w:t>
          </w:r>
        </w:p>
        <w:p w14:paraId="76E4ACA5" w14:textId="0B165367" w:rsidR="00F23729" w:rsidRPr="00AF7F5B" w:rsidRDefault="00DC2289" w:rsidP="00AF7F5B">
          <w:pPr>
            <w:spacing w:after="160"/>
            <w:rPr>
              <w:rFonts w:ascii="Arial" w:hAnsi="Arial"/>
            </w:rPr>
          </w:pPr>
          <w:r w:rsidRPr="004A67E8">
            <w:rPr>
              <w:rFonts w:ascii="Arial" w:hAnsi="Arial"/>
            </w:rPr>
            <w:t>Professional Services</w:t>
          </w:r>
          <w:r w:rsidRPr="004A67E8">
            <w:rPr>
              <w:rFonts w:ascii="Arial" w:hAnsi="Arial"/>
            </w:rPr>
            <w:br/>
            <w:t>Rackspace Europe, Middle East, Africa (EMEA</w:t>
          </w:r>
          <w:bookmarkStart w:id="0" w:name="_Toc104307396"/>
          <w:bookmarkEnd w:id="0"/>
          <w:r w:rsidRPr="004A67E8">
            <w:rPr>
              <w:rFonts w:ascii="Arial" w:hAnsi="Arial"/>
            </w:rPr>
            <w:t>)</w:t>
          </w:r>
        </w:p>
      </w:sdtContent>
    </w:sdt>
    <w:p w14:paraId="05C2FE90" w14:textId="77777777" w:rsidR="008D2E15" w:rsidRPr="00A7681A" w:rsidRDefault="008D2E15" w:rsidP="008D2E15">
      <w:pPr>
        <w:spacing w:after="200" w:line="288" w:lineRule="auto"/>
        <w:rPr>
          <w:rFonts w:asciiTheme="majorHAnsi" w:hAnsiTheme="majorHAnsi" w:cstheme="majorHAnsi"/>
          <w:color w:val="EB0000"/>
          <w:sz w:val="36"/>
          <w:szCs w:val="36"/>
        </w:rPr>
      </w:pPr>
      <w:r w:rsidRPr="00A7681A">
        <w:rPr>
          <w:rFonts w:asciiTheme="majorHAnsi" w:hAnsiTheme="majorHAnsi" w:cstheme="majorHAnsi"/>
          <w:color w:val="EB0000" w:themeColor="text2"/>
          <w:sz w:val="36"/>
          <w:szCs w:val="36"/>
        </w:rPr>
        <w:t>Table of Contents</w:t>
      </w:r>
    </w:p>
    <w:sdt>
      <w:sdtPr>
        <w:rPr>
          <w:rFonts w:asciiTheme="majorHAnsi" w:hAnsiTheme="majorHAnsi" w:cstheme="majorBidi"/>
          <w:b w:val="0"/>
          <w:bCs w:val="0"/>
          <w:sz w:val="20"/>
          <w:szCs w:val="20"/>
        </w:rPr>
        <w:id w:val="150185726"/>
        <w:docPartObj>
          <w:docPartGallery w:val="Table of Contents"/>
          <w:docPartUnique/>
        </w:docPartObj>
      </w:sdtPr>
      <w:sdtEndPr>
        <w:rPr>
          <w:rFonts w:asciiTheme="minorHAnsi" w:hAnsiTheme="minorHAnsi" w:cstheme="minorBidi"/>
          <w:b/>
          <w:bCs/>
          <w:sz w:val="24"/>
          <w:szCs w:val="24"/>
        </w:rPr>
      </w:sdtEndPr>
      <w:sdtContent>
        <w:p w14:paraId="2B020D9E" w14:textId="7207343D" w:rsidR="009E7AEA" w:rsidRDefault="009E7AEA">
          <w:pPr>
            <w:pStyle w:val="TOC1"/>
            <w:tabs>
              <w:tab w:val="right" w:leader="dot" w:pos="9730"/>
            </w:tabs>
            <w:rPr>
              <w:b w:val="0"/>
              <w:bCs w:val="0"/>
              <w:noProof/>
              <w:kern w:val="2"/>
              <w:lang w:eastAsia="en-GB"/>
              <w14:ligatures w14:val="standardContextual"/>
            </w:rPr>
          </w:pPr>
          <w:r>
            <w:rPr>
              <w:rFonts w:asciiTheme="majorHAnsi" w:hAnsiTheme="majorHAnsi" w:cstheme="majorHAnsi"/>
              <w:b w:val="0"/>
            </w:rPr>
            <w:fldChar w:fldCharType="begin"/>
          </w:r>
          <w:r>
            <w:rPr>
              <w:rFonts w:asciiTheme="majorHAnsi" w:hAnsiTheme="majorHAnsi" w:cstheme="majorHAnsi"/>
              <w:b w:val="0"/>
            </w:rPr>
            <w:instrText xml:space="preserve"> TOC \o "1-1" \h \z \u \t "Heading 6,2" </w:instrText>
          </w:r>
          <w:r>
            <w:rPr>
              <w:rFonts w:asciiTheme="majorHAnsi" w:hAnsiTheme="majorHAnsi" w:cstheme="majorHAnsi"/>
              <w:b w:val="0"/>
            </w:rPr>
            <w:fldChar w:fldCharType="separate"/>
          </w:r>
          <w:hyperlink w:anchor="_Toc227771404" w:history="1">
            <w:r w:rsidRPr="00F97A02">
              <w:rPr>
                <w:rStyle w:val="Hyperlink"/>
                <w:noProof/>
              </w:rPr>
              <w:t>Document Control</w:t>
            </w:r>
            <w:r>
              <w:rPr>
                <w:noProof/>
                <w:webHidden/>
              </w:rPr>
              <w:tab/>
            </w:r>
            <w:r>
              <w:rPr>
                <w:noProof/>
                <w:webHidden/>
              </w:rPr>
              <w:fldChar w:fldCharType="begin"/>
            </w:r>
            <w:r>
              <w:rPr>
                <w:noProof/>
                <w:webHidden/>
              </w:rPr>
              <w:instrText xml:space="preserve"> PAGEREF _Toc227771404 \h </w:instrText>
            </w:r>
            <w:r>
              <w:rPr>
                <w:noProof/>
                <w:webHidden/>
              </w:rPr>
            </w:r>
            <w:r>
              <w:rPr>
                <w:noProof/>
                <w:webHidden/>
              </w:rPr>
              <w:fldChar w:fldCharType="separate"/>
            </w:r>
            <w:r>
              <w:rPr>
                <w:noProof/>
                <w:webHidden/>
              </w:rPr>
              <w:t>2</w:t>
            </w:r>
            <w:r>
              <w:rPr>
                <w:noProof/>
                <w:webHidden/>
              </w:rPr>
              <w:fldChar w:fldCharType="end"/>
            </w:r>
          </w:hyperlink>
        </w:p>
        <w:p w14:paraId="08D12C3C" w14:textId="614D20BC" w:rsidR="009E7AEA" w:rsidRDefault="009E7AEA">
          <w:pPr>
            <w:pStyle w:val="TOC1"/>
            <w:tabs>
              <w:tab w:val="right" w:leader="dot" w:pos="9730"/>
            </w:tabs>
            <w:rPr>
              <w:b w:val="0"/>
              <w:bCs w:val="0"/>
              <w:noProof/>
              <w:kern w:val="2"/>
              <w:lang w:eastAsia="en-GB"/>
              <w14:ligatures w14:val="standardContextual"/>
            </w:rPr>
          </w:pPr>
          <w:hyperlink w:anchor="_Toc227771405" w:history="1">
            <w:r w:rsidRPr="00F97A02">
              <w:rPr>
                <w:rStyle w:val="Hyperlink"/>
                <w:noProof/>
              </w:rPr>
              <w:t>Section 1: Executive Summary</w:t>
            </w:r>
            <w:r>
              <w:rPr>
                <w:noProof/>
                <w:webHidden/>
              </w:rPr>
              <w:tab/>
            </w:r>
            <w:r>
              <w:rPr>
                <w:noProof/>
                <w:webHidden/>
              </w:rPr>
              <w:fldChar w:fldCharType="begin"/>
            </w:r>
            <w:r>
              <w:rPr>
                <w:noProof/>
                <w:webHidden/>
              </w:rPr>
              <w:instrText xml:space="preserve"> PAGEREF _Toc227771405 \h </w:instrText>
            </w:r>
            <w:r>
              <w:rPr>
                <w:noProof/>
                <w:webHidden/>
              </w:rPr>
            </w:r>
            <w:r>
              <w:rPr>
                <w:noProof/>
                <w:webHidden/>
              </w:rPr>
              <w:fldChar w:fldCharType="separate"/>
            </w:r>
            <w:r>
              <w:rPr>
                <w:noProof/>
                <w:webHidden/>
              </w:rPr>
              <w:t>3</w:t>
            </w:r>
            <w:r>
              <w:rPr>
                <w:noProof/>
                <w:webHidden/>
              </w:rPr>
              <w:fldChar w:fldCharType="end"/>
            </w:r>
          </w:hyperlink>
        </w:p>
        <w:p w14:paraId="5B9AB85C" w14:textId="4B04C518" w:rsidR="009E7AEA" w:rsidRDefault="009E7AEA">
          <w:pPr>
            <w:pStyle w:val="TOC1"/>
            <w:tabs>
              <w:tab w:val="right" w:leader="dot" w:pos="9730"/>
            </w:tabs>
            <w:rPr>
              <w:b w:val="0"/>
              <w:bCs w:val="0"/>
              <w:noProof/>
              <w:kern w:val="2"/>
              <w:lang w:eastAsia="en-GB"/>
              <w14:ligatures w14:val="standardContextual"/>
            </w:rPr>
          </w:pPr>
          <w:hyperlink w:anchor="_Toc227771406" w:history="1">
            <w:r w:rsidRPr="00F97A02">
              <w:rPr>
                <w:rStyle w:val="Hyperlink"/>
                <w:noProof/>
              </w:rPr>
              <w:t>Section 2: About This Assessment</w:t>
            </w:r>
            <w:r>
              <w:rPr>
                <w:noProof/>
                <w:webHidden/>
              </w:rPr>
              <w:tab/>
            </w:r>
            <w:r>
              <w:rPr>
                <w:noProof/>
                <w:webHidden/>
              </w:rPr>
              <w:fldChar w:fldCharType="begin"/>
            </w:r>
            <w:r>
              <w:rPr>
                <w:noProof/>
                <w:webHidden/>
              </w:rPr>
              <w:instrText xml:space="preserve"> PAGEREF _Toc227771406 \h </w:instrText>
            </w:r>
            <w:r>
              <w:rPr>
                <w:noProof/>
                <w:webHidden/>
              </w:rPr>
            </w:r>
            <w:r>
              <w:rPr>
                <w:noProof/>
                <w:webHidden/>
              </w:rPr>
              <w:fldChar w:fldCharType="separate"/>
            </w:r>
            <w:r>
              <w:rPr>
                <w:noProof/>
                <w:webHidden/>
              </w:rPr>
              <w:t>6</w:t>
            </w:r>
            <w:r>
              <w:rPr>
                <w:noProof/>
                <w:webHidden/>
              </w:rPr>
              <w:fldChar w:fldCharType="end"/>
            </w:r>
          </w:hyperlink>
        </w:p>
        <w:p w14:paraId="599F94F6" w14:textId="4A849C1C" w:rsidR="009E7AEA" w:rsidRDefault="009E7AEA">
          <w:pPr>
            <w:pStyle w:val="TOC1"/>
            <w:tabs>
              <w:tab w:val="right" w:leader="dot" w:pos="9730"/>
            </w:tabs>
            <w:rPr>
              <w:b w:val="0"/>
              <w:bCs w:val="0"/>
              <w:noProof/>
              <w:kern w:val="2"/>
              <w:lang w:eastAsia="en-GB"/>
              <w14:ligatures w14:val="standardContextual"/>
            </w:rPr>
          </w:pPr>
          <w:hyperlink w:anchor="_Toc227771407" w:history="1">
            <w:r w:rsidRPr="00F97A02">
              <w:rPr>
                <w:rStyle w:val="Hyperlink"/>
                <w:noProof/>
              </w:rPr>
              <w:t>Section 3: Why Cloud, Why Now</w:t>
            </w:r>
            <w:r>
              <w:rPr>
                <w:noProof/>
                <w:webHidden/>
              </w:rPr>
              <w:tab/>
            </w:r>
            <w:r>
              <w:rPr>
                <w:noProof/>
                <w:webHidden/>
              </w:rPr>
              <w:fldChar w:fldCharType="begin"/>
            </w:r>
            <w:r>
              <w:rPr>
                <w:noProof/>
                <w:webHidden/>
              </w:rPr>
              <w:instrText xml:space="preserve"> PAGEREF _Toc227771407 \h </w:instrText>
            </w:r>
            <w:r>
              <w:rPr>
                <w:noProof/>
                <w:webHidden/>
              </w:rPr>
            </w:r>
            <w:r>
              <w:rPr>
                <w:noProof/>
                <w:webHidden/>
              </w:rPr>
              <w:fldChar w:fldCharType="separate"/>
            </w:r>
            <w:r>
              <w:rPr>
                <w:noProof/>
                <w:webHidden/>
              </w:rPr>
              <w:t>9</w:t>
            </w:r>
            <w:r>
              <w:rPr>
                <w:noProof/>
                <w:webHidden/>
              </w:rPr>
              <w:fldChar w:fldCharType="end"/>
            </w:r>
          </w:hyperlink>
        </w:p>
        <w:p w14:paraId="5A227EA7" w14:textId="45203EF6" w:rsidR="009E7AEA" w:rsidRDefault="009E7AEA">
          <w:pPr>
            <w:pStyle w:val="TOC1"/>
            <w:tabs>
              <w:tab w:val="right" w:leader="dot" w:pos="9730"/>
            </w:tabs>
            <w:rPr>
              <w:b w:val="0"/>
              <w:bCs w:val="0"/>
              <w:noProof/>
              <w:kern w:val="2"/>
              <w:lang w:eastAsia="en-GB"/>
              <w14:ligatures w14:val="standardContextual"/>
            </w:rPr>
          </w:pPr>
          <w:hyperlink w:anchor="_Toc227771408" w:history="1">
            <w:r w:rsidRPr="00F97A02">
              <w:rPr>
                <w:rStyle w:val="Hyperlink"/>
                <w:noProof/>
              </w:rPr>
              <w:t>Section 4: Your Estate</w:t>
            </w:r>
            <w:r>
              <w:rPr>
                <w:noProof/>
                <w:webHidden/>
              </w:rPr>
              <w:tab/>
            </w:r>
            <w:r>
              <w:rPr>
                <w:noProof/>
                <w:webHidden/>
              </w:rPr>
              <w:fldChar w:fldCharType="begin"/>
            </w:r>
            <w:r>
              <w:rPr>
                <w:noProof/>
                <w:webHidden/>
              </w:rPr>
              <w:instrText xml:space="preserve"> PAGEREF _Toc227771408 \h </w:instrText>
            </w:r>
            <w:r>
              <w:rPr>
                <w:noProof/>
                <w:webHidden/>
              </w:rPr>
            </w:r>
            <w:r>
              <w:rPr>
                <w:noProof/>
                <w:webHidden/>
              </w:rPr>
              <w:fldChar w:fldCharType="separate"/>
            </w:r>
            <w:r>
              <w:rPr>
                <w:noProof/>
                <w:webHidden/>
              </w:rPr>
              <w:t>12</w:t>
            </w:r>
            <w:r>
              <w:rPr>
                <w:noProof/>
                <w:webHidden/>
              </w:rPr>
              <w:fldChar w:fldCharType="end"/>
            </w:r>
          </w:hyperlink>
        </w:p>
        <w:p w14:paraId="7861ABF9" w14:textId="3253D836" w:rsidR="009E7AEA" w:rsidRDefault="009E7AEA">
          <w:pPr>
            <w:pStyle w:val="TOC1"/>
            <w:tabs>
              <w:tab w:val="right" w:leader="dot" w:pos="9730"/>
            </w:tabs>
            <w:rPr>
              <w:b w:val="0"/>
              <w:bCs w:val="0"/>
              <w:noProof/>
              <w:kern w:val="2"/>
              <w:lang w:eastAsia="en-GB"/>
              <w14:ligatures w14:val="standardContextual"/>
            </w:rPr>
          </w:pPr>
          <w:hyperlink w:anchor="_Toc227771409" w:history="1">
            <w:r w:rsidRPr="00F97A02">
              <w:rPr>
                <w:rStyle w:val="Hyperlink"/>
                <w:noProof/>
              </w:rPr>
              <w:t>Section 5: Cost Comparison</w:t>
            </w:r>
            <w:r>
              <w:rPr>
                <w:noProof/>
                <w:webHidden/>
              </w:rPr>
              <w:tab/>
            </w:r>
            <w:r>
              <w:rPr>
                <w:noProof/>
                <w:webHidden/>
              </w:rPr>
              <w:fldChar w:fldCharType="begin"/>
            </w:r>
            <w:r>
              <w:rPr>
                <w:noProof/>
                <w:webHidden/>
              </w:rPr>
              <w:instrText xml:space="preserve"> PAGEREF _Toc227771409 \h </w:instrText>
            </w:r>
            <w:r>
              <w:rPr>
                <w:noProof/>
                <w:webHidden/>
              </w:rPr>
            </w:r>
            <w:r>
              <w:rPr>
                <w:noProof/>
                <w:webHidden/>
              </w:rPr>
              <w:fldChar w:fldCharType="separate"/>
            </w:r>
            <w:r>
              <w:rPr>
                <w:noProof/>
                <w:webHidden/>
              </w:rPr>
              <w:t>17</w:t>
            </w:r>
            <w:r>
              <w:rPr>
                <w:noProof/>
                <w:webHidden/>
              </w:rPr>
              <w:fldChar w:fldCharType="end"/>
            </w:r>
          </w:hyperlink>
        </w:p>
        <w:p w14:paraId="560F7175" w14:textId="20E91DE0" w:rsidR="009E7AEA" w:rsidRDefault="009E7AEA">
          <w:pPr>
            <w:pStyle w:val="TOC1"/>
            <w:tabs>
              <w:tab w:val="right" w:leader="dot" w:pos="9730"/>
            </w:tabs>
            <w:rPr>
              <w:b w:val="0"/>
              <w:bCs w:val="0"/>
              <w:noProof/>
              <w:kern w:val="2"/>
              <w:lang w:eastAsia="en-GB"/>
              <w14:ligatures w14:val="standardContextual"/>
            </w:rPr>
          </w:pPr>
          <w:hyperlink w:anchor="_Toc227771410" w:history="1">
            <w:r w:rsidRPr="00F97A02">
              <w:rPr>
                <w:rStyle w:val="Hyperlink"/>
                <w:noProof/>
              </w:rPr>
              <w:t>Section 6: Business and Application Fit</w:t>
            </w:r>
            <w:r>
              <w:rPr>
                <w:noProof/>
                <w:webHidden/>
              </w:rPr>
              <w:tab/>
            </w:r>
            <w:r>
              <w:rPr>
                <w:noProof/>
                <w:webHidden/>
              </w:rPr>
              <w:fldChar w:fldCharType="begin"/>
            </w:r>
            <w:r>
              <w:rPr>
                <w:noProof/>
                <w:webHidden/>
              </w:rPr>
              <w:instrText xml:space="preserve"> PAGEREF _Toc227771410 \h </w:instrText>
            </w:r>
            <w:r>
              <w:rPr>
                <w:noProof/>
                <w:webHidden/>
              </w:rPr>
            </w:r>
            <w:r>
              <w:rPr>
                <w:noProof/>
                <w:webHidden/>
              </w:rPr>
              <w:fldChar w:fldCharType="separate"/>
            </w:r>
            <w:r>
              <w:rPr>
                <w:noProof/>
                <w:webHidden/>
              </w:rPr>
              <w:t>26</w:t>
            </w:r>
            <w:r>
              <w:rPr>
                <w:noProof/>
                <w:webHidden/>
              </w:rPr>
              <w:fldChar w:fldCharType="end"/>
            </w:r>
          </w:hyperlink>
        </w:p>
        <w:p w14:paraId="2980750A" w14:textId="71C0A51C" w:rsidR="009E7AEA" w:rsidRDefault="009E7AEA">
          <w:pPr>
            <w:pStyle w:val="TOC1"/>
            <w:tabs>
              <w:tab w:val="right" w:leader="dot" w:pos="9730"/>
            </w:tabs>
            <w:rPr>
              <w:b w:val="0"/>
              <w:bCs w:val="0"/>
              <w:noProof/>
              <w:kern w:val="2"/>
              <w:lang w:eastAsia="en-GB"/>
              <w14:ligatures w14:val="standardContextual"/>
            </w:rPr>
          </w:pPr>
          <w:hyperlink w:anchor="_Toc227771411" w:history="1">
            <w:r w:rsidRPr="00F97A02">
              <w:rPr>
                <w:rStyle w:val="Hyperlink"/>
                <w:noProof/>
              </w:rPr>
              <w:t>Section 7: Hyperscaler Recommendation</w:t>
            </w:r>
            <w:r>
              <w:rPr>
                <w:noProof/>
                <w:webHidden/>
              </w:rPr>
              <w:tab/>
            </w:r>
            <w:r>
              <w:rPr>
                <w:noProof/>
                <w:webHidden/>
              </w:rPr>
              <w:fldChar w:fldCharType="begin"/>
            </w:r>
            <w:r>
              <w:rPr>
                <w:noProof/>
                <w:webHidden/>
              </w:rPr>
              <w:instrText xml:space="preserve"> PAGEREF _Toc227771411 \h </w:instrText>
            </w:r>
            <w:r>
              <w:rPr>
                <w:noProof/>
                <w:webHidden/>
              </w:rPr>
            </w:r>
            <w:r>
              <w:rPr>
                <w:noProof/>
                <w:webHidden/>
              </w:rPr>
              <w:fldChar w:fldCharType="separate"/>
            </w:r>
            <w:r>
              <w:rPr>
                <w:noProof/>
                <w:webHidden/>
              </w:rPr>
              <w:t>30</w:t>
            </w:r>
            <w:r>
              <w:rPr>
                <w:noProof/>
                <w:webHidden/>
              </w:rPr>
              <w:fldChar w:fldCharType="end"/>
            </w:r>
          </w:hyperlink>
        </w:p>
        <w:p w14:paraId="4016CAD0" w14:textId="1FEAAD74" w:rsidR="009E7AEA" w:rsidRDefault="009E7AEA">
          <w:pPr>
            <w:pStyle w:val="TOC1"/>
            <w:tabs>
              <w:tab w:val="right" w:leader="dot" w:pos="9730"/>
            </w:tabs>
            <w:rPr>
              <w:b w:val="0"/>
              <w:bCs w:val="0"/>
              <w:noProof/>
              <w:kern w:val="2"/>
              <w:lang w:eastAsia="en-GB"/>
              <w14:ligatures w14:val="standardContextual"/>
            </w:rPr>
          </w:pPr>
          <w:hyperlink w:anchor="_Toc227771412" w:history="1">
            <w:r w:rsidRPr="00F97A02">
              <w:rPr>
                <w:rStyle w:val="Hyperlink"/>
                <w:noProof/>
              </w:rPr>
              <w:t>Section 8: How Ready Is DMG Media</w:t>
            </w:r>
            <w:r>
              <w:rPr>
                <w:noProof/>
                <w:webHidden/>
              </w:rPr>
              <w:tab/>
            </w:r>
            <w:r>
              <w:rPr>
                <w:noProof/>
                <w:webHidden/>
              </w:rPr>
              <w:fldChar w:fldCharType="begin"/>
            </w:r>
            <w:r>
              <w:rPr>
                <w:noProof/>
                <w:webHidden/>
              </w:rPr>
              <w:instrText xml:space="preserve"> PAGEREF _Toc227771412 \h </w:instrText>
            </w:r>
            <w:r>
              <w:rPr>
                <w:noProof/>
                <w:webHidden/>
              </w:rPr>
            </w:r>
            <w:r>
              <w:rPr>
                <w:noProof/>
                <w:webHidden/>
              </w:rPr>
              <w:fldChar w:fldCharType="separate"/>
            </w:r>
            <w:r>
              <w:rPr>
                <w:noProof/>
                <w:webHidden/>
              </w:rPr>
              <w:t>34</w:t>
            </w:r>
            <w:r>
              <w:rPr>
                <w:noProof/>
                <w:webHidden/>
              </w:rPr>
              <w:fldChar w:fldCharType="end"/>
            </w:r>
          </w:hyperlink>
        </w:p>
        <w:p w14:paraId="456F60A8" w14:textId="5266FB55" w:rsidR="009E7AEA" w:rsidRDefault="009E7AEA">
          <w:pPr>
            <w:pStyle w:val="TOC1"/>
            <w:tabs>
              <w:tab w:val="right" w:leader="dot" w:pos="9730"/>
            </w:tabs>
            <w:rPr>
              <w:b w:val="0"/>
              <w:bCs w:val="0"/>
              <w:noProof/>
              <w:kern w:val="2"/>
              <w:lang w:eastAsia="en-GB"/>
              <w14:ligatures w14:val="standardContextual"/>
            </w:rPr>
          </w:pPr>
          <w:hyperlink w:anchor="_Toc227771413" w:history="1">
            <w:r w:rsidRPr="00F97A02">
              <w:rPr>
                <w:rStyle w:val="Hyperlink"/>
                <w:noProof/>
              </w:rPr>
              <w:t>Section 9: Challenges</w:t>
            </w:r>
            <w:r>
              <w:rPr>
                <w:noProof/>
                <w:webHidden/>
              </w:rPr>
              <w:tab/>
            </w:r>
            <w:r>
              <w:rPr>
                <w:noProof/>
                <w:webHidden/>
              </w:rPr>
              <w:fldChar w:fldCharType="begin"/>
            </w:r>
            <w:r>
              <w:rPr>
                <w:noProof/>
                <w:webHidden/>
              </w:rPr>
              <w:instrText xml:space="preserve"> PAGEREF _Toc227771413 \h </w:instrText>
            </w:r>
            <w:r>
              <w:rPr>
                <w:noProof/>
                <w:webHidden/>
              </w:rPr>
            </w:r>
            <w:r>
              <w:rPr>
                <w:noProof/>
                <w:webHidden/>
              </w:rPr>
              <w:fldChar w:fldCharType="separate"/>
            </w:r>
            <w:r>
              <w:rPr>
                <w:noProof/>
                <w:webHidden/>
              </w:rPr>
              <w:t>38</w:t>
            </w:r>
            <w:r>
              <w:rPr>
                <w:noProof/>
                <w:webHidden/>
              </w:rPr>
              <w:fldChar w:fldCharType="end"/>
            </w:r>
          </w:hyperlink>
        </w:p>
        <w:p w14:paraId="5CDBF7BA" w14:textId="4265AD09" w:rsidR="009E7AEA" w:rsidRDefault="009E7AEA">
          <w:pPr>
            <w:pStyle w:val="TOC1"/>
            <w:tabs>
              <w:tab w:val="right" w:leader="dot" w:pos="9730"/>
            </w:tabs>
            <w:rPr>
              <w:b w:val="0"/>
              <w:bCs w:val="0"/>
              <w:noProof/>
              <w:kern w:val="2"/>
              <w:lang w:eastAsia="en-GB"/>
              <w14:ligatures w14:val="standardContextual"/>
            </w:rPr>
          </w:pPr>
          <w:hyperlink w:anchor="_Toc227771414" w:history="1">
            <w:r w:rsidRPr="00F97A02">
              <w:rPr>
                <w:rStyle w:val="Hyperlink"/>
                <w:noProof/>
              </w:rPr>
              <w:t>Section 10: Opportunities</w:t>
            </w:r>
            <w:r>
              <w:rPr>
                <w:noProof/>
                <w:webHidden/>
              </w:rPr>
              <w:tab/>
            </w:r>
            <w:r>
              <w:rPr>
                <w:noProof/>
                <w:webHidden/>
              </w:rPr>
              <w:fldChar w:fldCharType="begin"/>
            </w:r>
            <w:r>
              <w:rPr>
                <w:noProof/>
                <w:webHidden/>
              </w:rPr>
              <w:instrText xml:space="preserve"> PAGEREF _Toc227771414 \h </w:instrText>
            </w:r>
            <w:r>
              <w:rPr>
                <w:noProof/>
                <w:webHidden/>
              </w:rPr>
            </w:r>
            <w:r>
              <w:rPr>
                <w:noProof/>
                <w:webHidden/>
              </w:rPr>
              <w:fldChar w:fldCharType="separate"/>
            </w:r>
            <w:r>
              <w:rPr>
                <w:noProof/>
                <w:webHidden/>
              </w:rPr>
              <w:t>42</w:t>
            </w:r>
            <w:r>
              <w:rPr>
                <w:noProof/>
                <w:webHidden/>
              </w:rPr>
              <w:fldChar w:fldCharType="end"/>
            </w:r>
          </w:hyperlink>
        </w:p>
        <w:p w14:paraId="7DBB8D95" w14:textId="5272E7A9" w:rsidR="009E7AEA" w:rsidRDefault="009E7AEA">
          <w:pPr>
            <w:pStyle w:val="TOC1"/>
            <w:tabs>
              <w:tab w:val="right" w:leader="dot" w:pos="9730"/>
            </w:tabs>
            <w:rPr>
              <w:b w:val="0"/>
              <w:bCs w:val="0"/>
              <w:noProof/>
              <w:kern w:val="2"/>
              <w:lang w:eastAsia="en-GB"/>
              <w14:ligatures w14:val="standardContextual"/>
            </w:rPr>
          </w:pPr>
          <w:hyperlink w:anchor="_Toc227771415" w:history="1">
            <w:r w:rsidRPr="00F97A02">
              <w:rPr>
                <w:rStyle w:val="Hyperlink"/>
                <w:noProof/>
              </w:rPr>
              <w:t>Section 11: Moving Forward and Phase 2</w:t>
            </w:r>
            <w:r>
              <w:rPr>
                <w:noProof/>
                <w:webHidden/>
              </w:rPr>
              <w:tab/>
            </w:r>
            <w:r>
              <w:rPr>
                <w:noProof/>
                <w:webHidden/>
              </w:rPr>
              <w:fldChar w:fldCharType="begin"/>
            </w:r>
            <w:r>
              <w:rPr>
                <w:noProof/>
                <w:webHidden/>
              </w:rPr>
              <w:instrText xml:space="preserve"> PAGEREF _Toc227771415 \h </w:instrText>
            </w:r>
            <w:r>
              <w:rPr>
                <w:noProof/>
                <w:webHidden/>
              </w:rPr>
            </w:r>
            <w:r>
              <w:rPr>
                <w:noProof/>
                <w:webHidden/>
              </w:rPr>
              <w:fldChar w:fldCharType="separate"/>
            </w:r>
            <w:r>
              <w:rPr>
                <w:noProof/>
                <w:webHidden/>
              </w:rPr>
              <w:t>45</w:t>
            </w:r>
            <w:r>
              <w:rPr>
                <w:noProof/>
                <w:webHidden/>
              </w:rPr>
              <w:fldChar w:fldCharType="end"/>
            </w:r>
          </w:hyperlink>
        </w:p>
        <w:p w14:paraId="1F33865D" w14:textId="0BD1EE11" w:rsidR="009E7AEA" w:rsidRDefault="009E7AEA">
          <w:pPr>
            <w:pStyle w:val="TOC1"/>
            <w:tabs>
              <w:tab w:val="right" w:leader="dot" w:pos="9730"/>
            </w:tabs>
            <w:rPr>
              <w:b w:val="0"/>
              <w:bCs w:val="0"/>
              <w:noProof/>
              <w:kern w:val="2"/>
              <w:lang w:eastAsia="en-GB"/>
              <w14:ligatures w14:val="standardContextual"/>
            </w:rPr>
          </w:pPr>
          <w:hyperlink w:anchor="_Toc227771416" w:history="1">
            <w:r w:rsidRPr="00F97A02">
              <w:rPr>
                <w:rStyle w:val="Hyperlink"/>
                <w:noProof/>
              </w:rPr>
              <w:t>Appendices</w:t>
            </w:r>
            <w:r>
              <w:rPr>
                <w:noProof/>
                <w:webHidden/>
              </w:rPr>
              <w:tab/>
            </w:r>
            <w:r>
              <w:rPr>
                <w:noProof/>
                <w:webHidden/>
              </w:rPr>
              <w:fldChar w:fldCharType="begin"/>
            </w:r>
            <w:r>
              <w:rPr>
                <w:noProof/>
                <w:webHidden/>
              </w:rPr>
              <w:instrText xml:space="preserve"> PAGEREF _Toc227771416 \h </w:instrText>
            </w:r>
            <w:r>
              <w:rPr>
                <w:noProof/>
                <w:webHidden/>
              </w:rPr>
            </w:r>
            <w:r>
              <w:rPr>
                <w:noProof/>
                <w:webHidden/>
              </w:rPr>
              <w:fldChar w:fldCharType="separate"/>
            </w:r>
            <w:r>
              <w:rPr>
                <w:noProof/>
                <w:webHidden/>
              </w:rPr>
              <w:t>50</w:t>
            </w:r>
            <w:r>
              <w:rPr>
                <w:noProof/>
                <w:webHidden/>
              </w:rPr>
              <w:fldChar w:fldCharType="end"/>
            </w:r>
          </w:hyperlink>
        </w:p>
        <w:p w14:paraId="16B673BB" w14:textId="0C429A6F" w:rsidR="009E7AEA" w:rsidRDefault="009E7AEA">
          <w:pPr>
            <w:pStyle w:val="TOC2"/>
            <w:tabs>
              <w:tab w:val="right" w:leader="dot" w:pos="9730"/>
            </w:tabs>
            <w:rPr>
              <w:b w:val="0"/>
              <w:bCs w:val="0"/>
              <w:noProof/>
              <w:kern w:val="2"/>
              <w:sz w:val="24"/>
              <w:szCs w:val="24"/>
              <w:lang w:eastAsia="en-GB"/>
              <w14:ligatures w14:val="standardContextual"/>
            </w:rPr>
          </w:pPr>
          <w:hyperlink w:anchor="_Toc227771417" w:history="1">
            <w:r w:rsidRPr="00F97A02">
              <w:rPr>
                <w:rStyle w:val="Hyperlink"/>
                <w:i/>
                <w:iCs/>
                <w:noProof/>
                <w:spacing w:val="5"/>
              </w:rPr>
              <w:t>Appendix A: TCO Methodology and Detail</w:t>
            </w:r>
            <w:r>
              <w:rPr>
                <w:noProof/>
                <w:webHidden/>
              </w:rPr>
              <w:tab/>
            </w:r>
            <w:r>
              <w:rPr>
                <w:noProof/>
                <w:webHidden/>
              </w:rPr>
              <w:fldChar w:fldCharType="begin"/>
            </w:r>
            <w:r>
              <w:rPr>
                <w:noProof/>
                <w:webHidden/>
              </w:rPr>
              <w:instrText xml:space="preserve"> PAGEREF _Toc227771417 \h </w:instrText>
            </w:r>
            <w:r>
              <w:rPr>
                <w:noProof/>
                <w:webHidden/>
              </w:rPr>
            </w:r>
            <w:r>
              <w:rPr>
                <w:noProof/>
                <w:webHidden/>
              </w:rPr>
              <w:fldChar w:fldCharType="separate"/>
            </w:r>
            <w:r>
              <w:rPr>
                <w:noProof/>
                <w:webHidden/>
              </w:rPr>
              <w:t>50</w:t>
            </w:r>
            <w:r>
              <w:rPr>
                <w:noProof/>
                <w:webHidden/>
              </w:rPr>
              <w:fldChar w:fldCharType="end"/>
            </w:r>
          </w:hyperlink>
        </w:p>
        <w:p w14:paraId="70828D85" w14:textId="033D2054" w:rsidR="009E7AEA" w:rsidRDefault="009E7AEA">
          <w:pPr>
            <w:pStyle w:val="TOC2"/>
            <w:tabs>
              <w:tab w:val="right" w:leader="dot" w:pos="9730"/>
            </w:tabs>
            <w:rPr>
              <w:b w:val="0"/>
              <w:bCs w:val="0"/>
              <w:noProof/>
              <w:kern w:val="2"/>
              <w:sz w:val="24"/>
              <w:szCs w:val="24"/>
              <w:lang w:eastAsia="en-GB"/>
              <w14:ligatures w14:val="standardContextual"/>
            </w:rPr>
          </w:pPr>
          <w:hyperlink w:anchor="_Toc227771418" w:history="1">
            <w:r w:rsidRPr="00F97A02">
              <w:rPr>
                <w:rStyle w:val="Hyperlink"/>
                <w:i/>
                <w:iCs/>
                <w:noProof/>
                <w:spacing w:val="5"/>
              </w:rPr>
              <w:t>Appendix B: Scoring Methodology and Detail</w:t>
            </w:r>
            <w:r>
              <w:rPr>
                <w:noProof/>
                <w:webHidden/>
              </w:rPr>
              <w:tab/>
            </w:r>
            <w:r>
              <w:rPr>
                <w:noProof/>
                <w:webHidden/>
              </w:rPr>
              <w:fldChar w:fldCharType="begin"/>
            </w:r>
            <w:r>
              <w:rPr>
                <w:noProof/>
                <w:webHidden/>
              </w:rPr>
              <w:instrText xml:space="preserve"> PAGEREF _Toc227771418 \h </w:instrText>
            </w:r>
            <w:r>
              <w:rPr>
                <w:noProof/>
                <w:webHidden/>
              </w:rPr>
            </w:r>
            <w:r>
              <w:rPr>
                <w:noProof/>
                <w:webHidden/>
              </w:rPr>
              <w:fldChar w:fldCharType="separate"/>
            </w:r>
            <w:r>
              <w:rPr>
                <w:noProof/>
                <w:webHidden/>
              </w:rPr>
              <w:t>51</w:t>
            </w:r>
            <w:r>
              <w:rPr>
                <w:noProof/>
                <w:webHidden/>
              </w:rPr>
              <w:fldChar w:fldCharType="end"/>
            </w:r>
          </w:hyperlink>
        </w:p>
        <w:p w14:paraId="5B7C172F" w14:textId="3E161B1F" w:rsidR="009E7AEA" w:rsidRDefault="009E7AEA">
          <w:pPr>
            <w:pStyle w:val="TOC2"/>
            <w:tabs>
              <w:tab w:val="right" w:leader="dot" w:pos="9730"/>
            </w:tabs>
            <w:rPr>
              <w:b w:val="0"/>
              <w:bCs w:val="0"/>
              <w:noProof/>
              <w:kern w:val="2"/>
              <w:sz w:val="24"/>
              <w:szCs w:val="24"/>
              <w:lang w:eastAsia="en-GB"/>
              <w14:ligatures w14:val="standardContextual"/>
            </w:rPr>
          </w:pPr>
          <w:hyperlink w:anchor="_Toc227771419" w:history="1">
            <w:r w:rsidRPr="00F97A02">
              <w:rPr>
                <w:rStyle w:val="Hyperlink"/>
                <w:i/>
                <w:iCs/>
                <w:noProof/>
                <w:spacing w:val="5"/>
              </w:rPr>
              <w:t>Appendix C: Attached Workbooks</w:t>
            </w:r>
            <w:r>
              <w:rPr>
                <w:noProof/>
                <w:webHidden/>
              </w:rPr>
              <w:tab/>
            </w:r>
            <w:r>
              <w:rPr>
                <w:noProof/>
                <w:webHidden/>
              </w:rPr>
              <w:fldChar w:fldCharType="begin"/>
            </w:r>
            <w:r>
              <w:rPr>
                <w:noProof/>
                <w:webHidden/>
              </w:rPr>
              <w:instrText xml:space="preserve"> PAGEREF _Toc227771419 \h </w:instrText>
            </w:r>
            <w:r>
              <w:rPr>
                <w:noProof/>
                <w:webHidden/>
              </w:rPr>
            </w:r>
            <w:r>
              <w:rPr>
                <w:noProof/>
                <w:webHidden/>
              </w:rPr>
              <w:fldChar w:fldCharType="separate"/>
            </w:r>
            <w:r>
              <w:rPr>
                <w:noProof/>
                <w:webHidden/>
              </w:rPr>
              <w:t>51</w:t>
            </w:r>
            <w:r>
              <w:rPr>
                <w:noProof/>
                <w:webHidden/>
              </w:rPr>
              <w:fldChar w:fldCharType="end"/>
            </w:r>
          </w:hyperlink>
        </w:p>
        <w:p w14:paraId="42924742" w14:textId="418CD63A" w:rsidR="009E7AEA" w:rsidRDefault="009E7AEA">
          <w:pPr>
            <w:pStyle w:val="TOC2"/>
            <w:tabs>
              <w:tab w:val="right" w:leader="dot" w:pos="9730"/>
            </w:tabs>
            <w:rPr>
              <w:b w:val="0"/>
              <w:bCs w:val="0"/>
              <w:noProof/>
              <w:kern w:val="2"/>
              <w:sz w:val="24"/>
              <w:szCs w:val="24"/>
              <w:lang w:eastAsia="en-GB"/>
              <w14:ligatures w14:val="standardContextual"/>
            </w:rPr>
          </w:pPr>
          <w:hyperlink w:anchor="_Toc227771420" w:history="1">
            <w:r w:rsidRPr="00F97A02">
              <w:rPr>
                <w:rStyle w:val="Hyperlink"/>
                <w:i/>
                <w:iCs/>
                <w:noProof/>
                <w:spacing w:val="5"/>
              </w:rPr>
              <w:t>Appendix D: Open Items</w:t>
            </w:r>
            <w:r>
              <w:rPr>
                <w:noProof/>
                <w:webHidden/>
              </w:rPr>
              <w:tab/>
            </w:r>
            <w:r>
              <w:rPr>
                <w:noProof/>
                <w:webHidden/>
              </w:rPr>
              <w:fldChar w:fldCharType="begin"/>
            </w:r>
            <w:r>
              <w:rPr>
                <w:noProof/>
                <w:webHidden/>
              </w:rPr>
              <w:instrText xml:space="preserve"> PAGEREF _Toc227771420 \h </w:instrText>
            </w:r>
            <w:r>
              <w:rPr>
                <w:noProof/>
                <w:webHidden/>
              </w:rPr>
            </w:r>
            <w:r>
              <w:rPr>
                <w:noProof/>
                <w:webHidden/>
              </w:rPr>
              <w:fldChar w:fldCharType="separate"/>
            </w:r>
            <w:r>
              <w:rPr>
                <w:noProof/>
                <w:webHidden/>
              </w:rPr>
              <w:t>51</w:t>
            </w:r>
            <w:r>
              <w:rPr>
                <w:noProof/>
                <w:webHidden/>
              </w:rPr>
              <w:fldChar w:fldCharType="end"/>
            </w:r>
          </w:hyperlink>
        </w:p>
        <w:p w14:paraId="00C47903" w14:textId="3FEE65DE" w:rsidR="009E7AEA" w:rsidRDefault="009E7AEA">
          <w:pPr>
            <w:pStyle w:val="TOC2"/>
            <w:tabs>
              <w:tab w:val="right" w:leader="dot" w:pos="9730"/>
            </w:tabs>
            <w:rPr>
              <w:b w:val="0"/>
              <w:bCs w:val="0"/>
              <w:noProof/>
              <w:kern w:val="2"/>
              <w:sz w:val="24"/>
              <w:szCs w:val="24"/>
              <w:lang w:eastAsia="en-GB"/>
              <w14:ligatures w14:val="standardContextual"/>
            </w:rPr>
          </w:pPr>
          <w:hyperlink w:anchor="_Toc227771421" w:history="1">
            <w:r w:rsidRPr="00F97A02">
              <w:rPr>
                <w:rStyle w:val="Hyperlink"/>
                <w:i/>
                <w:iCs/>
                <w:noProof/>
                <w:spacing w:val="5"/>
              </w:rPr>
              <w:t>Appendix E: Glossary</w:t>
            </w:r>
            <w:r>
              <w:rPr>
                <w:noProof/>
                <w:webHidden/>
              </w:rPr>
              <w:tab/>
            </w:r>
            <w:r>
              <w:rPr>
                <w:noProof/>
                <w:webHidden/>
              </w:rPr>
              <w:fldChar w:fldCharType="begin"/>
            </w:r>
            <w:r>
              <w:rPr>
                <w:noProof/>
                <w:webHidden/>
              </w:rPr>
              <w:instrText xml:space="preserve"> PAGEREF _Toc227771421 \h </w:instrText>
            </w:r>
            <w:r>
              <w:rPr>
                <w:noProof/>
                <w:webHidden/>
              </w:rPr>
            </w:r>
            <w:r>
              <w:rPr>
                <w:noProof/>
                <w:webHidden/>
              </w:rPr>
              <w:fldChar w:fldCharType="separate"/>
            </w:r>
            <w:r>
              <w:rPr>
                <w:noProof/>
                <w:webHidden/>
              </w:rPr>
              <w:t>52</w:t>
            </w:r>
            <w:r>
              <w:rPr>
                <w:noProof/>
                <w:webHidden/>
              </w:rPr>
              <w:fldChar w:fldCharType="end"/>
            </w:r>
          </w:hyperlink>
        </w:p>
        <w:p w14:paraId="14AB59B0" w14:textId="77777777" w:rsidR="1BAB210A" w:rsidRDefault="009E7AEA">
          <w:pPr>
            <w:pStyle w:val="TOC1"/>
            <w:tabs>
              <w:tab w:val="right" w:leader="dot" w:pos="9730"/>
            </w:tabs>
          </w:pPr>
          <w:r>
            <w:rPr>
              <w:rFonts w:asciiTheme="majorHAnsi" w:hAnsiTheme="majorHAnsi" w:cstheme="majorHAnsi"/>
              <w:b w:val="0"/>
            </w:rPr>
            <w:fldChar w:fldCharType="end"/>
          </w:r>
        </w:p>
      </w:sdtContent>
    </w:sdt>
    <w:p w14:paraId="0FEEDE0B" w14:textId="0C6306E4" w:rsidR="1BAB210A" w:rsidRDefault="1BAB210A" w:rsidP="009E7AEA">
      <w:pPr>
        <w:pStyle w:val="TOC1"/>
        <w:tabs>
          <w:tab w:val="right" w:leader="dot" w:pos="9730"/>
        </w:tabs>
      </w:pPr>
    </w:p>
    <w:p w14:paraId="7B5E4C6C" w14:textId="77777777" w:rsidR="008C7F6F" w:rsidRPr="001A3A3F" w:rsidRDefault="00F23729" w:rsidP="008C7F6F">
      <w:pPr>
        <w:pStyle w:val="Heading1"/>
      </w:pPr>
      <w:r>
        <w:br w:type="page"/>
      </w:r>
      <w:bookmarkStart w:id="1" w:name="_Toc227770878"/>
      <w:bookmarkStart w:id="2" w:name="_Toc227771404"/>
      <w:r w:rsidR="008C7F6F" w:rsidRPr="001A3A3F">
        <w:t>Document Control</w:t>
      </w:r>
      <w:bookmarkEnd w:id="1"/>
      <w:bookmarkEnd w:id="2"/>
    </w:p>
    <w:p w14:paraId="6BA6D04E" w14:textId="77777777" w:rsidR="008C7F6F" w:rsidRPr="00507BCD" w:rsidRDefault="008C7F6F" w:rsidP="008C7F6F">
      <w:pPr>
        <w:pStyle w:val="Heading2"/>
        <w:spacing w:line="360" w:lineRule="auto"/>
        <w:ind w:left="578" w:hanging="578"/>
      </w:pPr>
      <w:bookmarkStart w:id="3" w:name="_Toc227770879"/>
      <w:r w:rsidRPr="001A3A3F">
        <w:t>Distribution List</w:t>
      </w:r>
      <w:bookmarkEnd w:id="3"/>
    </w:p>
    <w:tbl>
      <w:tblPr>
        <w:tblW w:w="10245" w:type="dxa"/>
        <w:tblInd w:w="10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100" w:type="dxa"/>
          <w:left w:w="100" w:type="dxa"/>
          <w:bottom w:w="100" w:type="dxa"/>
          <w:right w:w="100" w:type="dxa"/>
        </w:tblCellMar>
        <w:tblLook w:val="04A0" w:firstRow="1" w:lastRow="0" w:firstColumn="1" w:lastColumn="0" w:noHBand="0" w:noVBand="1"/>
      </w:tblPr>
      <w:tblGrid>
        <w:gridCol w:w="2127"/>
        <w:gridCol w:w="2382"/>
        <w:gridCol w:w="2437"/>
        <w:gridCol w:w="3299"/>
      </w:tblGrid>
      <w:tr w:rsidR="008C7F6F" w:rsidRPr="0042693C" w14:paraId="0DD92295" w14:textId="77777777" w:rsidTr="1524DEBB">
        <w:trPr>
          <w:cantSplit/>
        </w:trPr>
        <w:tc>
          <w:tcPr>
            <w:tcW w:w="2127" w:type="dxa"/>
            <w:shd w:val="clear" w:color="auto" w:fill="D9D9D9" w:themeFill="background1" w:themeFillShade="D9"/>
          </w:tcPr>
          <w:p w14:paraId="799230F3" w14:textId="77777777" w:rsidR="008C7F6F" w:rsidRPr="0042693C" w:rsidRDefault="008C7F6F">
            <w:pPr>
              <w:pStyle w:val="TableHeader"/>
              <w:rPr>
                <w:rFonts w:ascii="Arial" w:hAnsi="Arial"/>
                <w:sz w:val="16"/>
                <w:szCs w:val="16"/>
              </w:rPr>
            </w:pPr>
            <w:r w:rsidRPr="004A67E8">
              <w:rPr>
                <w:rFonts w:ascii="Arial" w:hAnsi="Arial"/>
                <w:sz w:val="16"/>
                <w:szCs w:val="16"/>
              </w:rPr>
              <w:t>Organization</w:t>
            </w:r>
          </w:p>
        </w:tc>
        <w:tc>
          <w:tcPr>
            <w:tcW w:w="2382" w:type="dxa"/>
            <w:shd w:val="clear" w:color="auto" w:fill="D9D9D9" w:themeFill="background1" w:themeFillShade="D9"/>
          </w:tcPr>
          <w:p w14:paraId="786CDAC7" w14:textId="77777777" w:rsidR="008C7F6F" w:rsidRPr="0042693C" w:rsidRDefault="008C7F6F">
            <w:pPr>
              <w:pStyle w:val="TableHeader"/>
              <w:rPr>
                <w:rFonts w:ascii="Arial" w:hAnsi="Arial"/>
                <w:sz w:val="16"/>
                <w:szCs w:val="16"/>
              </w:rPr>
            </w:pPr>
            <w:r w:rsidRPr="004A67E8">
              <w:rPr>
                <w:rFonts w:ascii="Arial" w:hAnsi="Arial"/>
                <w:sz w:val="16"/>
                <w:szCs w:val="16"/>
              </w:rPr>
              <w:t>Department, Role</w:t>
            </w:r>
          </w:p>
        </w:tc>
        <w:tc>
          <w:tcPr>
            <w:tcW w:w="2437" w:type="dxa"/>
            <w:shd w:val="clear" w:color="auto" w:fill="D9D9D9" w:themeFill="background1" w:themeFillShade="D9"/>
          </w:tcPr>
          <w:p w14:paraId="0311F1EB" w14:textId="77777777" w:rsidR="008C7F6F" w:rsidRPr="0042693C" w:rsidRDefault="008C7F6F">
            <w:pPr>
              <w:pStyle w:val="TableHeader"/>
              <w:rPr>
                <w:rFonts w:ascii="Arial" w:hAnsi="Arial"/>
                <w:sz w:val="16"/>
                <w:szCs w:val="16"/>
              </w:rPr>
            </w:pPr>
            <w:r w:rsidRPr="004A67E8">
              <w:rPr>
                <w:rFonts w:ascii="Arial" w:hAnsi="Arial"/>
                <w:sz w:val="16"/>
                <w:szCs w:val="16"/>
              </w:rPr>
              <w:t>Name</w:t>
            </w:r>
          </w:p>
        </w:tc>
        <w:tc>
          <w:tcPr>
            <w:tcW w:w="3299" w:type="dxa"/>
            <w:shd w:val="clear" w:color="auto" w:fill="D9D9D9" w:themeFill="background1" w:themeFillShade="D9"/>
          </w:tcPr>
          <w:p w14:paraId="627A6DF4" w14:textId="77777777" w:rsidR="008C7F6F" w:rsidRPr="001A3A3F" w:rsidRDefault="008C7F6F">
            <w:pPr>
              <w:pStyle w:val="TableHeader"/>
              <w:rPr>
                <w:sz w:val="16"/>
                <w:szCs w:val="16"/>
              </w:rPr>
            </w:pPr>
            <w:r w:rsidRPr="004A67E8">
              <w:rPr>
                <w:rFonts w:ascii="Arial" w:hAnsi="Arial"/>
                <w:sz w:val="16"/>
                <w:szCs w:val="16"/>
              </w:rPr>
              <w:t>Email</w:t>
            </w:r>
          </w:p>
        </w:tc>
      </w:tr>
      <w:tr w:rsidR="008C7F6F" w:rsidRPr="0042693C" w14:paraId="77153E54" w14:textId="77777777" w:rsidTr="1524DEBB">
        <w:trPr>
          <w:cantSplit/>
        </w:trPr>
        <w:tc>
          <w:tcPr>
            <w:tcW w:w="2127" w:type="dxa"/>
          </w:tcPr>
          <w:p w14:paraId="5E1058B0" w14:textId="32256348" w:rsidR="008C7F6F" w:rsidRPr="001A3A3F" w:rsidRDefault="00AC7F93">
            <w:pPr>
              <w:pStyle w:val="TableInfo"/>
              <w:rPr>
                <w:sz w:val="16"/>
                <w:szCs w:val="16"/>
              </w:rPr>
            </w:pPr>
            <w:r>
              <w:rPr>
                <w:sz w:val="16"/>
                <w:szCs w:val="16"/>
              </w:rPr>
              <w:t xml:space="preserve">DMG Media </w:t>
            </w:r>
          </w:p>
        </w:tc>
        <w:tc>
          <w:tcPr>
            <w:tcW w:w="2382" w:type="dxa"/>
          </w:tcPr>
          <w:p w14:paraId="3427385F" w14:textId="27B912C8" w:rsidR="008C7F6F" w:rsidRPr="001A3A3F" w:rsidRDefault="00AC7F93">
            <w:pPr>
              <w:pStyle w:val="TableInfo"/>
              <w:rPr>
                <w:sz w:val="16"/>
                <w:szCs w:val="16"/>
              </w:rPr>
            </w:pPr>
            <w:r>
              <w:rPr>
                <w:sz w:val="16"/>
                <w:szCs w:val="16"/>
              </w:rPr>
              <w:t>Chief Technology Officer</w:t>
            </w:r>
          </w:p>
        </w:tc>
        <w:tc>
          <w:tcPr>
            <w:tcW w:w="2437" w:type="dxa"/>
          </w:tcPr>
          <w:p w14:paraId="5FAA6595" w14:textId="7440021F" w:rsidR="008C7F6F" w:rsidRPr="001A3A3F" w:rsidRDefault="3C9405F5" w:rsidP="1524DEBB">
            <w:pPr>
              <w:pStyle w:val="TableInfo"/>
              <w:rPr>
                <w:sz w:val="16"/>
                <w:szCs w:val="16"/>
                <w:lang w:val="en-GB"/>
              </w:rPr>
            </w:pPr>
            <w:r w:rsidRPr="1524DEBB">
              <w:rPr>
                <w:sz w:val="16"/>
                <w:szCs w:val="16"/>
                <w:lang w:val="en-GB"/>
              </w:rPr>
              <w:t>Neil Finalyson</w:t>
            </w:r>
          </w:p>
        </w:tc>
        <w:tc>
          <w:tcPr>
            <w:tcW w:w="3299" w:type="dxa"/>
          </w:tcPr>
          <w:p w14:paraId="2707F380" w14:textId="6591C7A7" w:rsidR="008C7F6F" w:rsidRPr="001A3A3F" w:rsidRDefault="008C7F6F">
            <w:pPr>
              <w:pStyle w:val="TableInfo"/>
              <w:rPr>
                <w:sz w:val="16"/>
                <w:szCs w:val="16"/>
              </w:rPr>
            </w:pPr>
          </w:p>
        </w:tc>
      </w:tr>
      <w:tr w:rsidR="000D5C19" w:rsidRPr="0042693C" w14:paraId="171B48FE" w14:textId="77777777" w:rsidTr="1524DEBB">
        <w:trPr>
          <w:cantSplit/>
        </w:trPr>
        <w:tc>
          <w:tcPr>
            <w:tcW w:w="2127" w:type="dxa"/>
          </w:tcPr>
          <w:p w14:paraId="05050BA3" w14:textId="5AAA0492" w:rsidR="000D5C19" w:rsidRPr="001A3A3F" w:rsidRDefault="000D5C19" w:rsidP="000D5C19">
            <w:pPr>
              <w:pStyle w:val="TableInfo"/>
              <w:rPr>
                <w:sz w:val="16"/>
                <w:szCs w:val="16"/>
              </w:rPr>
            </w:pPr>
            <w:r>
              <w:rPr>
                <w:sz w:val="16"/>
                <w:szCs w:val="16"/>
              </w:rPr>
              <w:t xml:space="preserve">DMG Media </w:t>
            </w:r>
          </w:p>
        </w:tc>
        <w:tc>
          <w:tcPr>
            <w:tcW w:w="2382" w:type="dxa"/>
          </w:tcPr>
          <w:p w14:paraId="2D9C2E14" w14:textId="7878E750" w:rsidR="000D5C19" w:rsidRPr="001A3A3F" w:rsidRDefault="000D5C19" w:rsidP="000D5C19">
            <w:pPr>
              <w:pStyle w:val="TableInfo"/>
              <w:rPr>
                <w:sz w:val="16"/>
                <w:szCs w:val="16"/>
              </w:rPr>
            </w:pPr>
            <w:r>
              <w:rPr>
                <w:sz w:val="16"/>
                <w:szCs w:val="16"/>
              </w:rPr>
              <w:t>Enterprise Architect</w:t>
            </w:r>
          </w:p>
        </w:tc>
        <w:tc>
          <w:tcPr>
            <w:tcW w:w="2437" w:type="dxa"/>
          </w:tcPr>
          <w:p w14:paraId="5BA08224" w14:textId="05B52B01" w:rsidR="000D5C19" w:rsidRPr="001A3A3F" w:rsidRDefault="000D5C19" w:rsidP="000D5C19">
            <w:pPr>
              <w:pStyle w:val="TableInfo"/>
              <w:rPr>
                <w:sz w:val="16"/>
                <w:szCs w:val="16"/>
              </w:rPr>
            </w:pPr>
            <w:r>
              <w:rPr>
                <w:sz w:val="16"/>
                <w:szCs w:val="16"/>
              </w:rPr>
              <w:t>Tristan</w:t>
            </w:r>
          </w:p>
        </w:tc>
        <w:tc>
          <w:tcPr>
            <w:tcW w:w="3299" w:type="dxa"/>
          </w:tcPr>
          <w:p w14:paraId="37AD86DB" w14:textId="130D441D" w:rsidR="000D5C19" w:rsidRPr="001A3A3F" w:rsidRDefault="000D5C19" w:rsidP="000D5C19">
            <w:pPr>
              <w:pStyle w:val="TableInfo"/>
              <w:rPr>
                <w:sz w:val="16"/>
                <w:szCs w:val="16"/>
              </w:rPr>
            </w:pPr>
          </w:p>
        </w:tc>
      </w:tr>
      <w:tr w:rsidR="000D5C19" w:rsidRPr="0042693C" w14:paraId="112D63ED" w14:textId="77777777" w:rsidTr="1524DEBB">
        <w:trPr>
          <w:cantSplit/>
        </w:trPr>
        <w:tc>
          <w:tcPr>
            <w:tcW w:w="2127" w:type="dxa"/>
          </w:tcPr>
          <w:p w14:paraId="0CCBEC0D" w14:textId="477E420F" w:rsidR="000D5C19" w:rsidRPr="001A3A3F" w:rsidRDefault="000D5C19" w:rsidP="000D5C19">
            <w:pPr>
              <w:pStyle w:val="TableInfo"/>
              <w:rPr>
                <w:sz w:val="16"/>
                <w:szCs w:val="16"/>
              </w:rPr>
            </w:pPr>
            <w:r>
              <w:rPr>
                <w:sz w:val="16"/>
                <w:szCs w:val="16"/>
              </w:rPr>
              <w:t xml:space="preserve">DMG Media </w:t>
            </w:r>
          </w:p>
        </w:tc>
        <w:tc>
          <w:tcPr>
            <w:tcW w:w="2382" w:type="dxa"/>
          </w:tcPr>
          <w:p w14:paraId="062B75E9" w14:textId="11290BE5" w:rsidR="000D5C19" w:rsidRPr="001A3A3F" w:rsidRDefault="000D5C19" w:rsidP="000D5C19">
            <w:pPr>
              <w:pStyle w:val="TableInfo"/>
              <w:rPr>
                <w:sz w:val="16"/>
                <w:szCs w:val="16"/>
              </w:rPr>
            </w:pPr>
          </w:p>
        </w:tc>
        <w:tc>
          <w:tcPr>
            <w:tcW w:w="2437" w:type="dxa"/>
          </w:tcPr>
          <w:p w14:paraId="4C570E30" w14:textId="085C71C6" w:rsidR="000D5C19" w:rsidRPr="001A3A3F" w:rsidRDefault="000D5C19" w:rsidP="000D5C19">
            <w:pPr>
              <w:pStyle w:val="TableInfo"/>
              <w:rPr>
                <w:sz w:val="16"/>
                <w:szCs w:val="16"/>
              </w:rPr>
            </w:pPr>
            <w:r>
              <w:rPr>
                <w:sz w:val="16"/>
                <w:szCs w:val="16"/>
              </w:rPr>
              <w:t>Carl</w:t>
            </w:r>
          </w:p>
        </w:tc>
        <w:tc>
          <w:tcPr>
            <w:tcW w:w="3299" w:type="dxa"/>
          </w:tcPr>
          <w:p w14:paraId="42C81729" w14:textId="2635B466" w:rsidR="000D5C19" w:rsidRPr="001A3A3F" w:rsidRDefault="000D5C19" w:rsidP="000D5C19">
            <w:pPr>
              <w:pStyle w:val="TableInfo"/>
              <w:rPr>
                <w:sz w:val="16"/>
                <w:szCs w:val="16"/>
              </w:rPr>
            </w:pPr>
          </w:p>
        </w:tc>
      </w:tr>
      <w:tr w:rsidR="000D5C19" w:rsidRPr="0042693C" w14:paraId="4259BA55" w14:textId="77777777" w:rsidTr="1524DEBB">
        <w:trPr>
          <w:cantSplit/>
        </w:trPr>
        <w:tc>
          <w:tcPr>
            <w:tcW w:w="2127" w:type="dxa"/>
          </w:tcPr>
          <w:p w14:paraId="155F4162" w14:textId="51B91E4D" w:rsidR="000D5C19" w:rsidRDefault="000D5C19" w:rsidP="000D5C19">
            <w:pPr>
              <w:pStyle w:val="TableInfo"/>
              <w:rPr>
                <w:sz w:val="16"/>
                <w:szCs w:val="16"/>
              </w:rPr>
            </w:pPr>
            <w:r>
              <w:rPr>
                <w:sz w:val="16"/>
                <w:szCs w:val="16"/>
              </w:rPr>
              <w:t xml:space="preserve">DMG Media </w:t>
            </w:r>
          </w:p>
        </w:tc>
        <w:tc>
          <w:tcPr>
            <w:tcW w:w="2382" w:type="dxa"/>
          </w:tcPr>
          <w:p w14:paraId="025C0E9E" w14:textId="45FCB3D7" w:rsidR="000D5C19" w:rsidRPr="001A3A3F" w:rsidRDefault="000D5C19" w:rsidP="000D5C19">
            <w:pPr>
              <w:pStyle w:val="TableInfo"/>
              <w:rPr>
                <w:sz w:val="16"/>
                <w:szCs w:val="16"/>
              </w:rPr>
            </w:pPr>
          </w:p>
        </w:tc>
        <w:tc>
          <w:tcPr>
            <w:tcW w:w="2437" w:type="dxa"/>
          </w:tcPr>
          <w:p w14:paraId="20A977DA" w14:textId="674A679B" w:rsidR="000D5C19" w:rsidRDefault="000D5C19" w:rsidP="000D5C19">
            <w:pPr>
              <w:pStyle w:val="TableInfo"/>
              <w:rPr>
                <w:sz w:val="16"/>
                <w:szCs w:val="16"/>
              </w:rPr>
            </w:pPr>
            <w:r>
              <w:rPr>
                <w:sz w:val="16"/>
                <w:szCs w:val="16"/>
              </w:rPr>
              <w:t>Chris</w:t>
            </w:r>
          </w:p>
        </w:tc>
        <w:tc>
          <w:tcPr>
            <w:tcW w:w="3299" w:type="dxa"/>
          </w:tcPr>
          <w:p w14:paraId="20679F5F" w14:textId="73B52B90" w:rsidR="000D5C19" w:rsidRPr="001A3A3F" w:rsidRDefault="000D5C19" w:rsidP="000D5C19">
            <w:pPr>
              <w:pStyle w:val="TableInfo"/>
              <w:rPr>
                <w:sz w:val="16"/>
                <w:szCs w:val="16"/>
              </w:rPr>
            </w:pPr>
          </w:p>
        </w:tc>
      </w:tr>
      <w:tr w:rsidR="000D5C19" w:rsidRPr="0042693C" w14:paraId="337CCA0C" w14:textId="77777777" w:rsidTr="1524DEBB">
        <w:trPr>
          <w:cantSplit/>
        </w:trPr>
        <w:tc>
          <w:tcPr>
            <w:tcW w:w="2127" w:type="dxa"/>
          </w:tcPr>
          <w:p w14:paraId="396BC4F0" w14:textId="45CC5C8B" w:rsidR="000D5C19" w:rsidRDefault="000D5C19" w:rsidP="000D5C19">
            <w:pPr>
              <w:pStyle w:val="TableInfo"/>
              <w:rPr>
                <w:sz w:val="16"/>
                <w:szCs w:val="16"/>
              </w:rPr>
            </w:pPr>
            <w:r>
              <w:rPr>
                <w:sz w:val="16"/>
                <w:szCs w:val="16"/>
              </w:rPr>
              <w:t xml:space="preserve">DMG Media </w:t>
            </w:r>
          </w:p>
        </w:tc>
        <w:tc>
          <w:tcPr>
            <w:tcW w:w="2382" w:type="dxa"/>
          </w:tcPr>
          <w:p w14:paraId="766F0420" w14:textId="77777777" w:rsidR="000D5C19" w:rsidRPr="001A3A3F" w:rsidRDefault="000D5C19" w:rsidP="000D5C19">
            <w:pPr>
              <w:pStyle w:val="TableInfo"/>
              <w:rPr>
                <w:sz w:val="16"/>
                <w:szCs w:val="16"/>
              </w:rPr>
            </w:pPr>
          </w:p>
        </w:tc>
        <w:tc>
          <w:tcPr>
            <w:tcW w:w="2437" w:type="dxa"/>
          </w:tcPr>
          <w:p w14:paraId="1BFE30C5" w14:textId="21603900" w:rsidR="000D5C19" w:rsidRDefault="000D5C19" w:rsidP="000D5C19">
            <w:pPr>
              <w:pStyle w:val="TableInfo"/>
              <w:rPr>
                <w:sz w:val="16"/>
                <w:szCs w:val="16"/>
              </w:rPr>
            </w:pPr>
            <w:r>
              <w:rPr>
                <w:sz w:val="16"/>
                <w:szCs w:val="16"/>
              </w:rPr>
              <w:t>Mark</w:t>
            </w:r>
          </w:p>
        </w:tc>
        <w:tc>
          <w:tcPr>
            <w:tcW w:w="3299" w:type="dxa"/>
          </w:tcPr>
          <w:p w14:paraId="01A1B3D6" w14:textId="77777777" w:rsidR="000D5C19" w:rsidRPr="001A3A3F" w:rsidRDefault="000D5C19" w:rsidP="000D5C19">
            <w:pPr>
              <w:pStyle w:val="TableInfo"/>
              <w:rPr>
                <w:sz w:val="16"/>
                <w:szCs w:val="16"/>
              </w:rPr>
            </w:pPr>
          </w:p>
        </w:tc>
      </w:tr>
    </w:tbl>
    <w:p w14:paraId="074E18E9" w14:textId="77777777" w:rsidR="008C7F6F" w:rsidRPr="004A67E8" w:rsidRDefault="008C7F6F" w:rsidP="008C7F6F">
      <w:pPr>
        <w:rPr>
          <w:rFonts w:ascii="Arial" w:hAnsi="Arial"/>
        </w:rPr>
      </w:pPr>
    </w:p>
    <w:p w14:paraId="685180E5" w14:textId="77777777" w:rsidR="008C7F6F" w:rsidRPr="00507BCD" w:rsidRDefault="008C7F6F" w:rsidP="008C7F6F">
      <w:pPr>
        <w:pStyle w:val="Heading2"/>
        <w:spacing w:line="360" w:lineRule="auto"/>
        <w:ind w:left="578" w:hanging="578"/>
      </w:pPr>
      <w:bookmarkStart w:id="4" w:name="_Toc227770881"/>
      <w:r w:rsidRPr="001A3A3F">
        <w:t>Document Version History</w:t>
      </w:r>
      <w:bookmarkEnd w:id="4"/>
    </w:p>
    <w:tbl>
      <w:tblPr>
        <w:tblW w:w="10245" w:type="dxa"/>
        <w:tblInd w:w="10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CellMar>
          <w:top w:w="100" w:type="dxa"/>
          <w:left w:w="100" w:type="dxa"/>
          <w:bottom w:w="100" w:type="dxa"/>
          <w:right w:w="100" w:type="dxa"/>
        </w:tblCellMar>
        <w:tblLook w:val="04A0" w:firstRow="1" w:lastRow="0" w:firstColumn="1" w:lastColumn="0" w:noHBand="0" w:noVBand="1"/>
      </w:tblPr>
      <w:tblGrid>
        <w:gridCol w:w="1740"/>
        <w:gridCol w:w="1985"/>
        <w:gridCol w:w="2126"/>
        <w:gridCol w:w="4394"/>
      </w:tblGrid>
      <w:tr w:rsidR="008C7F6F" w:rsidRPr="0042693C" w14:paraId="5DDC8672" w14:textId="77777777">
        <w:trPr>
          <w:cantSplit/>
        </w:trPr>
        <w:tc>
          <w:tcPr>
            <w:tcW w:w="1740" w:type="dxa"/>
            <w:shd w:val="clear" w:color="auto" w:fill="D9D9D9" w:themeFill="background1" w:themeFillShade="D9"/>
          </w:tcPr>
          <w:p w14:paraId="19CAB97F" w14:textId="77777777" w:rsidR="008C7F6F" w:rsidRPr="0042693C" w:rsidRDefault="008C7F6F">
            <w:pPr>
              <w:pStyle w:val="TableHeader"/>
              <w:rPr>
                <w:rFonts w:ascii="Arial" w:hAnsi="Arial"/>
                <w:sz w:val="16"/>
                <w:szCs w:val="16"/>
              </w:rPr>
            </w:pPr>
            <w:r w:rsidRPr="004A67E8">
              <w:rPr>
                <w:rFonts w:ascii="Arial" w:hAnsi="Arial"/>
                <w:sz w:val="16"/>
                <w:szCs w:val="16"/>
              </w:rPr>
              <w:t>Version Number</w:t>
            </w:r>
          </w:p>
        </w:tc>
        <w:tc>
          <w:tcPr>
            <w:tcW w:w="1985" w:type="dxa"/>
            <w:shd w:val="clear" w:color="auto" w:fill="D9D9D9" w:themeFill="background1" w:themeFillShade="D9"/>
          </w:tcPr>
          <w:p w14:paraId="113AEA9F" w14:textId="77777777" w:rsidR="008C7F6F" w:rsidRPr="0042693C" w:rsidRDefault="008C7F6F">
            <w:pPr>
              <w:pStyle w:val="TableHeader"/>
              <w:rPr>
                <w:rFonts w:ascii="Arial" w:hAnsi="Arial"/>
                <w:sz w:val="16"/>
                <w:szCs w:val="16"/>
              </w:rPr>
            </w:pPr>
            <w:r w:rsidRPr="004A67E8">
              <w:rPr>
                <w:rFonts w:ascii="Arial" w:hAnsi="Arial"/>
                <w:sz w:val="16"/>
                <w:szCs w:val="16"/>
              </w:rPr>
              <w:t>Version Date</w:t>
            </w:r>
          </w:p>
        </w:tc>
        <w:tc>
          <w:tcPr>
            <w:tcW w:w="2126" w:type="dxa"/>
            <w:shd w:val="clear" w:color="auto" w:fill="D9D9D9" w:themeFill="background1" w:themeFillShade="D9"/>
          </w:tcPr>
          <w:p w14:paraId="1C47930E" w14:textId="77777777" w:rsidR="008C7F6F" w:rsidRPr="0042693C" w:rsidRDefault="008C7F6F">
            <w:pPr>
              <w:pStyle w:val="TableHeader"/>
              <w:rPr>
                <w:rFonts w:ascii="Arial" w:hAnsi="Arial"/>
                <w:sz w:val="16"/>
                <w:szCs w:val="16"/>
              </w:rPr>
            </w:pPr>
            <w:r w:rsidRPr="004A67E8">
              <w:rPr>
                <w:rFonts w:ascii="Arial" w:hAnsi="Arial"/>
                <w:sz w:val="16"/>
                <w:szCs w:val="16"/>
              </w:rPr>
              <w:t>Revised By</w:t>
            </w:r>
          </w:p>
        </w:tc>
        <w:tc>
          <w:tcPr>
            <w:tcW w:w="4394" w:type="dxa"/>
            <w:shd w:val="clear" w:color="auto" w:fill="D9D9D9" w:themeFill="background1" w:themeFillShade="D9"/>
          </w:tcPr>
          <w:p w14:paraId="00E149E5" w14:textId="77777777" w:rsidR="008C7F6F" w:rsidRPr="001A3A3F" w:rsidRDefault="008C7F6F">
            <w:pPr>
              <w:pStyle w:val="TableHeader"/>
              <w:rPr>
                <w:sz w:val="16"/>
                <w:szCs w:val="16"/>
              </w:rPr>
            </w:pPr>
            <w:r w:rsidRPr="004A67E8">
              <w:rPr>
                <w:rFonts w:ascii="Arial" w:hAnsi="Arial"/>
                <w:sz w:val="16"/>
                <w:szCs w:val="16"/>
              </w:rPr>
              <w:t>Description</w:t>
            </w:r>
          </w:p>
        </w:tc>
      </w:tr>
      <w:tr w:rsidR="008C7F6F" w:rsidRPr="0042693C" w14:paraId="7290183F" w14:textId="77777777">
        <w:trPr>
          <w:cantSplit/>
        </w:trPr>
        <w:tc>
          <w:tcPr>
            <w:tcW w:w="1740" w:type="dxa"/>
          </w:tcPr>
          <w:p w14:paraId="701E9C5A" w14:textId="3D48CFD9" w:rsidR="008C7F6F" w:rsidRDefault="008C7F6F">
            <w:pPr>
              <w:pStyle w:val="TableInfo"/>
              <w:rPr>
                <w:sz w:val="16"/>
                <w:szCs w:val="16"/>
              </w:rPr>
            </w:pPr>
            <w:r>
              <w:rPr>
                <w:sz w:val="16"/>
                <w:szCs w:val="16"/>
              </w:rPr>
              <w:t>V</w:t>
            </w:r>
            <w:r w:rsidR="000D5C19">
              <w:rPr>
                <w:sz w:val="16"/>
                <w:szCs w:val="16"/>
              </w:rPr>
              <w:t>0.1</w:t>
            </w:r>
          </w:p>
        </w:tc>
        <w:tc>
          <w:tcPr>
            <w:tcW w:w="1985" w:type="dxa"/>
          </w:tcPr>
          <w:p w14:paraId="6161254D" w14:textId="41576910" w:rsidR="008C7F6F" w:rsidRDefault="000D5C19">
            <w:pPr>
              <w:pStyle w:val="TableInfo"/>
              <w:rPr>
                <w:sz w:val="16"/>
                <w:szCs w:val="16"/>
              </w:rPr>
            </w:pPr>
            <w:r>
              <w:rPr>
                <w:sz w:val="16"/>
                <w:szCs w:val="16"/>
              </w:rPr>
              <w:t>08/04/2026</w:t>
            </w:r>
          </w:p>
        </w:tc>
        <w:tc>
          <w:tcPr>
            <w:tcW w:w="2126" w:type="dxa"/>
          </w:tcPr>
          <w:p w14:paraId="66E0D782" w14:textId="27A82909" w:rsidR="008C7F6F" w:rsidRDefault="000D5C19">
            <w:pPr>
              <w:pStyle w:val="TableInfo"/>
              <w:rPr>
                <w:sz w:val="16"/>
                <w:szCs w:val="16"/>
              </w:rPr>
            </w:pPr>
            <w:r>
              <w:rPr>
                <w:sz w:val="16"/>
                <w:szCs w:val="16"/>
              </w:rPr>
              <w:t>Rishabh Dogra</w:t>
            </w:r>
          </w:p>
        </w:tc>
        <w:tc>
          <w:tcPr>
            <w:tcW w:w="4394" w:type="dxa"/>
          </w:tcPr>
          <w:p w14:paraId="5AB87C94" w14:textId="4D0913EA" w:rsidR="008C7F6F" w:rsidRDefault="000D5C19">
            <w:pPr>
              <w:pStyle w:val="TableInfo"/>
              <w:rPr>
                <w:sz w:val="16"/>
                <w:szCs w:val="16"/>
              </w:rPr>
            </w:pPr>
            <w:r>
              <w:rPr>
                <w:sz w:val="16"/>
                <w:szCs w:val="16"/>
              </w:rPr>
              <w:t xml:space="preserve">Initial Draft </w:t>
            </w:r>
          </w:p>
        </w:tc>
      </w:tr>
      <w:tr w:rsidR="000D5C19" w:rsidRPr="0042693C" w14:paraId="4A771000" w14:textId="77777777">
        <w:trPr>
          <w:cantSplit/>
        </w:trPr>
        <w:tc>
          <w:tcPr>
            <w:tcW w:w="1740" w:type="dxa"/>
          </w:tcPr>
          <w:p w14:paraId="0A16B82C" w14:textId="06C6B8B6" w:rsidR="000D5C19" w:rsidRDefault="000D5C19">
            <w:pPr>
              <w:pStyle w:val="TableInfo"/>
              <w:rPr>
                <w:sz w:val="16"/>
                <w:szCs w:val="16"/>
              </w:rPr>
            </w:pPr>
            <w:r>
              <w:rPr>
                <w:sz w:val="16"/>
                <w:szCs w:val="16"/>
              </w:rPr>
              <w:t>V0.2</w:t>
            </w:r>
          </w:p>
        </w:tc>
        <w:tc>
          <w:tcPr>
            <w:tcW w:w="1985" w:type="dxa"/>
          </w:tcPr>
          <w:p w14:paraId="24A43658" w14:textId="1F32BA5A" w:rsidR="000D5C19" w:rsidRDefault="000D5C19">
            <w:pPr>
              <w:pStyle w:val="TableInfo"/>
              <w:rPr>
                <w:sz w:val="16"/>
                <w:szCs w:val="16"/>
              </w:rPr>
            </w:pPr>
            <w:r>
              <w:rPr>
                <w:sz w:val="16"/>
                <w:szCs w:val="16"/>
              </w:rPr>
              <w:t>22/04/2026</w:t>
            </w:r>
          </w:p>
        </w:tc>
        <w:tc>
          <w:tcPr>
            <w:tcW w:w="2126" w:type="dxa"/>
          </w:tcPr>
          <w:p w14:paraId="4AC596F3" w14:textId="6A874418" w:rsidR="000D5C19" w:rsidRDefault="000D5C19">
            <w:pPr>
              <w:pStyle w:val="TableInfo"/>
              <w:rPr>
                <w:sz w:val="16"/>
                <w:szCs w:val="16"/>
              </w:rPr>
            </w:pPr>
            <w:r>
              <w:rPr>
                <w:sz w:val="16"/>
                <w:szCs w:val="16"/>
              </w:rPr>
              <w:t>Rishabh Dogra</w:t>
            </w:r>
          </w:p>
        </w:tc>
        <w:tc>
          <w:tcPr>
            <w:tcW w:w="4394" w:type="dxa"/>
          </w:tcPr>
          <w:p w14:paraId="193CBEF9" w14:textId="66AE7C5B" w:rsidR="000D5C19" w:rsidRDefault="000D5C19">
            <w:pPr>
              <w:pStyle w:val="TableInfo"/>
              <w:rPr>
                <w:sz w:val="16"/>
                <w:szCs w:val="16"/>
              </w:rPr>
            </w:pPr>
            <w:r>
              <w:rPr>
                <w:sz w:val="16"/>
                <w:szCs w:val="16"/>
              </w:rPr>
              <w:t>Second Draft</w:t>
            </w:r>
          </w:p>
        </w:tc>
      </w:tr>
    </w:tbl>
    <w:p w14:paraId="1CFF2AF7" w14:textId="77777777" w:rsidR="008C7F6F" w:rsidRDefault="008C7F6F" w:rsidP="008C7F6F">
      <w:pPr>
        <w:jc w:val="both"/>
        <w:rPr>
          <w:rFonts w:ascii="Arial" w:hAnsi="Arial"/>
        </w:rPr>
      </w:pPr>
    </w:p>
    <w:p w14:paraId="65EB4A6C" w14:textId="77777777" w:rsidR="00732108" w:rsidRPr="004A67E8" w:rsidRDefault="00732108" w:rsidP="008C7F6F">
      <w:pPr>
        <w:jc w:val="both"/>
        <w:rPr>
          <w:rFonts w:ascii="Arial" w:hAnsi="Arial"/>
        </w:rPr>
      </w:pPr>
    </w:p>
    <w:p w14:paraId="01F812C2" w14:textId="492F3994" w:rsidR="00901E7D" w:rsidRPr="004A67E8" w:rsidRDefault="00F23729" w:rsidP="008C7F6F">
      <w:pPr>
        <w:spacing w:after="160"/>
        <w:rPr>
          <w:rFonts w:ascii="Arial" w:eastAsiaTheme="majorEastAsia" w:hAnsi="Arial" w:cs="Arial"/>
          <w:color w:val="EB0000"/>
          <w:sz w:val="36"/>
          <w:szCs w:val="32"/>
        </w:rPr>
      </w:pPr>
      <w:r w:rsidRPr="004A67E8">
        <w:rPr>
          <w:rFonts w:ascii="Arial" w:hAnsi="Arial"/>
        </w:rPr>
        <w:br w:type="page"/>
      </w:r>
    </w:p>
    <w:p w14:paraId="00000001" w14:textId="00000002" w:rsidR="000B0F63" w:rsidRDefault="1BAB210A" w:rsidP="00E40261">
      <w:pPr>
        <w:pStyle w:val="Heading1"/>
        <w:jc w:val="both"/>
      </w:pPr>
      <w:bookmarkStart w:id="5" w:name="_Toc101"/>
      <w:bookmarkStart w:id="6" w:name="_Toc227770882"/>
      <w:bookmarkStart w:id="7" w:name="_Toc227771405"/>
      <w:commentRangeStart w:id="8"/>
      <w:r>
        <w:t>Section</w:t>
      </w:r>
      <w:commentRangeEnd w:id="8"/>
      <w:r w:rsidR="00C660BF">
        <w:rPr>
          <w:rStyle w:val="CommentReference"/>
          <w:sz w:val="36"/>
          <w:szCs w:val="36"/>
        </w:rPr>
        <w:commentReference w:id="8"/>
      </w:r>
      <w:r>
        <w:t xml:space="preserve"> 1: Executive Summary</w:t>
      </w:r>
      <w:bookmarkEnd w:id="5"/>
      <w:bookmarkEnd w:id="6"/>
      <w:bookmarkEnd w:id="7"/>
    </w:p>
    <w:p w14:paraId="00000003" w14:textId="00000004" w:rsidR="000B0F63" w:rsidRDefault="1BAB210A" w:rsidP="00E40261">
      <w:pPr>
        <w:pStyle w:val="Heading2"/>
        <w:jc w:val="both"/>
      </w:pPr>
      <w:bookmarkStart w:id="9" w:name="_Toc102"/>
      <w:bookmarkStart w:id="10" w:name="_Toc227770883"/>
      <w:r>
        <w:t>What This Report Delivers</w:t>
      </w:r>
      <w:bookmarkEnd w:id="9"/>
      <w:bookmarkEnd w:id="10"/>
    </w:p>
    <w:p w14:paraId="00000005" w14:textId="44B4DF89" w:rsidR="000B0F63" w:rsidRDefault="00C05D22" w:rsidP="00E40261">
      <w:pPr>
        <w:jc w:val="both"/>
      </w:pPr>
      <w:r>
        <w:t xml:space="preserve">This is the Phase 1 Cloud Readiness Assessment for DMG Media. Rackspace spent eleven weeks between February and April 2026 assessing </w:t>
      </w:r>
      <w:r w:rsidR="2EC6EC7B">
        <w:t>DMG Media’s</w:t>
      </w:r>
      <w:r>
        <w:t xml:space="preserve"> UK and Sydney datacentre estate. The assessment covered automated infrastructure discovery across </w:t>
      </w:r>
      <w:commentRangeStart w:id="11"/>
      <w:r>
        <w:t>the</w:t>
      </w:r>
      <w:commentRangeEnd w:id="11"/>
      <w:r w:rsidR="00324C31">
        <w:rPr>
          <w:rStyle w:val="CommentReference"/>
          <w:sz w:val="22"/>
          <w:szCs w:val="22"/>
        </w:rPr>
        <w:commentReference w:id="11"/>
      </w:r>
      <w:r>
        <w:t xml:space="preserve"> full server estate, nine application workshops with business area owners, an independent cost comparison across AWS, Azure, and GCP using live pricing data</w:t>
      </w:r>
      <w:r w:rsidR="679262D5">
        <w:t xml:space="preserve"> keeping like to like comparison</w:t>
      </w:r>
      <w:r>
        <w:t xml:space="preserve">, a cloud readiness assessment across five organisational dimensions, and a weighted </w:t>
      </w:r>
      <w:proofErr w:type="spellStart"/>
      <w:r>
        <w:t>hyperscaler</w:t>
      </w:r>
      <w:proofErr w:type="spellEnd"/>
      <w:r>
        <w:t xml:space="preserve"> selection evaluation. This report presents the findings, the platform recommendation, and the concrete entry point to Phase 2.</w:t>
      </w:r>
    </w:p>
    <w:p w14:paraId="00000007" w14:textId="00000008" w:rsidR="000B0F63" w:rsidRDefault="1BAB210A" w:rsidP="00E40261">
      <w:pPr>
        <w:pStyle w:val="Heading2"/>
        <w:jc w:val="both"/>
      </w:pPr>
      <w:bookmarkStart w:id="12" w:name="_Toc103"/>
      <w:bookmarkStart w:id="13" w:name="_Toc227770884"/>
      <w:commentRangeStart w:id="14"/>
      <w:commentRangeStart w:id="15"/>
      <w:r>
        <w:t>The Five Things That Matter</w:t>
      </w:r>
      <w:bookmarkEnd w:id="12"/>
      <w:bookmarkEnd w:id="13"/>
      <w:commentRangeEnd w:id="14"/>
      <w:r w:rsidR="00533DF7">
        <w:rPr>
          <w:rStyle w:val="CommentReference"/>
          <w:sz w:val="32"/>
          <w:szCs w:val="32"/>
        </w:rPr>
        <w:commentReference w:id="14"/>
      </w:r>
      <w:commentRangeEnd w:id="15"/>
      <w:r>
        <w:rPr>
          <w:rStyle w:val="CommentReference"/>
          <w:sz w:val="32"/>
          <w:szCs w:val="32"/>
        </w:rPr>
        <w:commentReference w:id="15"/>
      </w:r>
    </w:p>
    <w:p w14:paraId="00000009" w14:textId="0000000A" w:rsidR="000B0F63" w:rsidRDefault="1BAB210A" w:rsidP="00E40261">
      <w:pPr>
        <w:pStyle w:val="Heading3"/>
        <w:jc w:val="both"/>
      </w:pPr>
      <w:bookmarkStart w:id="16" w:name="_Toc104"/>
      <w:bookmarkStart w:id="17" w:name="_Toc227770885"/>
      <w:r>
        <w:t>1. Several DMG Media contracts are converging inside a two-year window.</w:t>
      </w:r>
      <w:bookmarkEnd w:id="16"/>
      <w:bookmarkEnd w:id="17"/>
    </w:p>
    <w:p w14:paraId="0000000B" w14:textId="028F4870" w:rsidR="000B0F63" w:rsidRDefault="00C05D22" w:rsidP="00E40261">
      <w:pPr>
        <w:jc w:val="both"/>
      </w:pPr>
      <w:r>
        <w:t>The Reading and Slough datacentre leases expire in November 2027. The Microsoft Enterprise Agreement expires in May 2027. The Broadcom VMware position has already shifted: DMG Media holds perpetual licences with expired or expiring Support and Subscription, which means no patches, no new host additions, and no version upgrades without a VCF subscription. Each of these can be renewed independently but doing so re-locks capital into on</w:t>
      </w:r>
      <w:r w:rsidR="492B6F00">
        <w:t xml:space="preserve"> </w:t>
      </w:r>
      <w:r>
        <w:t>premises for another cycle. A coordinated approach lets DMG Media take the decisions together rather than sequentially and is the reason this assessment exists now rather than in twelve or eighteen months.</w:t>
      </w:r>
    </w:p>
    <w:p w14:paraId="0000000D" w14:textId="0000000E" w:rsidR="000B0F63" w:rsidRDefault="1BAB210A" w:rsidP="00E40261">
      <w:pPr>
        <w:pStyle w:val="Heading3"/>
        <w:jc w:val="both"/>
      </w:pPr>
      <w:bookmarkStart w:id="18" w:name="_Toc105"/>
      <w:bookmarkStart w:id="19" w:name="_Toc227770886"/>
      <w:r>
        <w:t>2. The estate is bigger and more varied than the original scope assumed.</w:t>
      </w:r>
      <w:bookmarkEnd w:id="18"/>
      <w:bookmarkEnd w:id="19"/>
    </w:p>
    <w:p w14:paraId="0000000F" w14:textId="2675C8D0" w:rsidR="000B0F63" w:rsidRDefault="00C05D22" w:rsidP="00E40261">
      <w:pPr>
        <w:jc w:val="both"/>
      </w:pPr>
      <w:r>
        <w:t xml:space="preserve">The Statement of Work scoped 2,300 servers across VMware only, based on pre-engagement information. </w:t>
      </w:r>
      <w:r w:rsidR="000C108A">
        <w:t xml:space="preserve">At </w:t>
      </w:r>
      <w:r w:rsidR="6B52F044">
        <w:t>kick-off</w:t>
      </w:r>
      <w:r>
        <w:t xml:space="preserve">, additional infrastructure was disclosed (Proxmox, physical bare metal Oracle and SQL </w:t>
      </w:r>
      <w:r w:rsidR="6B4F8149">
        <w:t xml:space="preserve">Database </w:t>
      </w:r>
      <w:r w:rsidR="000C108A">
        <w:t>Server</w:t>
      </w:r>
      <w:r w:rsidR="63971EE6">
        <w:t>s</w:t>
      </w:r>
      <w:r>
        <w:t xml:space="preserve">, appliances, existing cloud). Scope was expanded during Phase 1 to 3,038 servers across five infrastructure types, fully priced and assessed. Full discovery also identified a wider estate of 4,500+ servers; </w:t>
      </w:r>
      <w:commentRangeStart w:id="20"/>
      <w:commentRangeStart w:id="21"/>
      <w:r>
        <w:t>the ~1,500 beyond the in-scope 3,038 are catalogued but not assessed in Phase 1 and are a Phase 2 scope item</w:t>
      </w:r>
      <w:commentRangeEnd w:id="20"/>
      <w:r w:rsidR="006C1EF3">
        <w:rPr>
          <w:rStyle w:val="CommentReference"/>
          <w:sz w:val="22"/>
          <w:szCs w:val="22"/>
        </w:rPr>
        <w:commentReference w:id="20"/>
      </w:r>
      <w:commentRangeEnd w:id="21"/>
      <w:r>
        <w:rPr>
          <w:rStyle w:val="CommentReference"/>
          <w:sz w:val="22"/>
          <w:szCs w:val="22"/>
        </w:rPr>
        <w:commentReference w:id="21"/>
      </w:r>
      <w:r>
        <w:t>. DMG Media has 39 applications across the estate. Mail Online alone represents 72.6% of in-scope servers and has 91 identified sub-components.</w:t>
      </w:r>
    </w:p>
    <w:p w14:paraId="00000011" w14:textId="00000012" w:rsidR="000B0F63" w:rsidRDefault="1BAB210A" w:rsidP="00E40261">
      <w:pPr>
        <w:pStyle w:val="Heading3"/>
        <w:jc w:val="both"/>
      </w:pPr>
      <w:bookmarkStart w:id="22" w:name="_Toc106"/>
      <w:bookmarkStart w:id="23" w:name="_Toc227770887"/>
      <w:r>
        <w:t>3. Cloud is materially cheaper than the on-premises baseline at steady state, and Oracle is the largest single variable.</w:t>
      </w:r>
      <w:bookmarkEnd w:id="22"/>
      <w:bookmarkEnd w:id="23"/>
    </w:p>
    <w:p w14:paraId="00000013" w14:textId="6E9828F7" w:rsidR="000B0F63" w:rsidRDefault="00C05D22" w:rsidP="00E40261">
      <w:pPr>
        <w:jc w:val="both"/>
      </w:pPr>
      <w:commentRangeStart w:id="24"/>
      <w:r>
        <w:t xml:space="preserve">The on-premises estate costs approximately </w:t>
      </w:r>
      <w:r w:rsidR="00312BB7">
        <w:t>£</w:t>
      </w:r>
      <w:r>
        <w:t xml:space="preserve">3.64 million per year (from the updated IT Costs workbook, with hardware and storage capex now populated). </w:t>
      </w:r>
      <w:commentRangeEnd w:id="24"/>
      <w:r w:rsidR="006C1EF3">
        <w:rPr>
          <w:rStyle w:val="CommentReference"/>
          <w:sz w:val="22"/>
          <w:szCs w:val="22"/>
        </w:rPr>
        <w:commentReference w:id="24"/>
      </w:r>
      <w:commentRangeStart w:id="25"/>
      <w:r>
        <w:t xml:space="preserve">The Complete View for cloud, including Oracle </w:t>
      </w:r>
      <w:proofErr w:type="spellStart"/>
      <w:r>
        <w:t>Exadata@Cloud</w:t>
      </w:r>
      <w:commentRangeEnd w:id="25"/>
      <w:r w:rsidR="007370F7">
        <w:rPr>
          <w:rStyle w:val="CommentReference"/>
          <w:sz w:val="22"/>
          <w:szCs w:val="22"/>
        </w:rPr>
        <w:commentReference w:id="25"/>
      </w:r>
      <w:proofErr w:type="spellEnd"/>
      <w:r>
        <w:t xml:space="preserve">, Oracle support retained under BYOL, Windows and SQL Server BYOL (SA assumed), and indicative internet egress, is approximately </w:t>
      </w:r>
      <w:r w:rsidR="00312BB7">
        <w:t>£</w:t>
      </w:r>
      <w:commentRangeStart w:id="26"/>
      <w:commentRangeStart w:id="27"/>
      <w:commentRangeStart w:id="28"/>
      <w:r>
        <w:t xml:space="preserve">3.17M/yr </w:t>
      </w:r>
      <w:commentRangeEnd w:id="26"/>
      <w:r w:rsidR="00927208">
        <w:rPr>
          <w:rStyle w:val="CommentReference"/>
          <w:sz w:val="22"/>
          <w:szCs w:val="22"/>
        </w:rPr>
        <w:commentReference w:id="26"/>
      </w:r>
      <w:commentRangeEnd w:id="27"/>
      <w:r>
        <w:rPr>
          <w:rStyle w:val="CommentReference"/>
          <w:sz w:val="22"/>
          <w:szCs w:val="22"/>
        </w:rPr>
        <w:commentReference w:id="27"/>
      </w:r>
      <w:commentRangeEnd w:id="28"/>
      <w:r>
        <w:rPr>
          <w:rStyle w:val="CommentReference"/>
          <w:sz w:val="22"/>
          <w:szCs w:val="22"/>
        </w:rPr>
        <w:commentReference w:id="28"/>
      </w:r>
      <w:r>
        <w:t xml:space="preserve">on GCP, </w:t>
      </w:r>
      <w:r w:rsidR="00312BB7">
        <w:t>£</w:t>
      </w:r>
      <w:r>
        <w:t xml:space="preserve">3.29M/yr on AWS, and </w:t>
      </w:r>
      <w:r w:rsidR="00312BB7">
        <w:t>£</w:t>
      </w:r>
      <w:r>
        <w:t xml:space="preserve">4.19M/yr on Azure. Each cloud's sizing was taken from its own native assessment tool (GCP Migration </w:t>
      </w:r>
      <w:proofErr w:type="spellStart"/>
      <w:r>
        <w:t>Center</w:t>
      </w:r>
      <w:proofErr w:type="spellEnd"/>
      <w:r>
        <w:t xml:space="preserve">, AWS Transform, Azure Migrate) and then priced against live pricing APIs to normalise the comparison and get as close to apples-to-apples as possible. SKU choices and workload mappings on any of the three clouds may refine with deeper assessment in Phase 2. Steady-state savings potential is approximately </w:t>
      </w:r>
      <w:r w:rsidR="00312BB7">
        <w:t>£</w:t>
      </w:r>
      <w:commentRangeStart w:id="30"/>
      <w:r>
        <w:t>340-460K/y</w:t>
      </w:r>
      <w:commentRangeEnd w:id="30"/>
      <w:r w:rsidR="00404DC2">
        <w:rPr>
          <w:rStyle w:val="CommentReference"/>
          <w:sz w:val="22"/>
          <w:szCs w:val="22"/>
        </w:rPr>
        <w:commentReference w:id="30"/>
      </w:r>
      <w:r>
        <w:t>r from AWS or GCP against the on-premises baseline.</w:t>
      </w:r>
    </w:p>
    <w:p w14:paraId="00000015" w14:textId="14B390C9" w:rsidR="000B0F63" w:rsidRDefault="00C05D22" w:rsidP="00E40261">
      <w:pPr>
        <w:jc w:val="both"/>
      </w:pPr>
      <w:r>
        <w:t xml:space="preserve">Oracle modernisation to PostgreSQL is a deeper strategic Phase 2 decision that could add a further </w:t>
      </w:r>
      <w:r w:rsidR="00312BB7">
        <w:t>£</w:t>
      </w:r>
      <w:r>
        <w:t xml:space="preserve">540-780K/yr saving potential if pursued, by eliminating the </w:t>
      </w:r>
      <w:r w:rsidR="00312BB7">
        <w:t>£</w:t>
      </w:r>
      <w:r>
        <w:t xml:space="preserve">650K/yr Oracle support contract. Each </w:t>
      </w:r>
      <w:proofErr w:type="spellStart"/>
      <w:r>
        <w:t>hyperscaler</w:t>
      </w:r>
      <w:proofErr w:type="spellEnd"/>
      <w:r>
        <w:t xml:space="preserve"> provides transformation support paths for this route; selecting it is a careful business decision, not a Phase 1 action.</w:t>
      </w:r>
    </w:p>
    <w:p w14:paraId="00000017" w14:textId="00000018" w:rsidR="000B0F63" w:rsidRDefault="00C05D22" w:rsidP="00E40261">
      <w:pPr>
        <w:jc w:val="both"/>
      </w:pPr>
      <w:commentRangeStart w:id="31"/>
      <w:r>
        <w:t>Year 1 net position cannot yet be stated with confidence</w:t>
      </w:r>
      <w:commentRangeEnd w:id="31"/>
      <w:r w:rsidR="00186241">
        <w:rPr>
          <w:rStyle w:val="CommentReference"/>
          <w:sz w:val="22"/>
          <w:szCs w:val="22"/>
        </w:rPr>
        <w:commentReference w:id="31"/>
      </w:r>
      <w:r>
        <w:t xml:space="preserve">. Year 1 includes migration effort (Phase 2 to scope), dual-run cost during the migration overlap (depends on cohort velocity), and </w:t>
      </w:r>
      <w:proofErr w:type="spellStart"/>
      <w:r>
        <w:t>hyperscaler</w:t>
      </w:r>
      <w:proofErr w:type="spellEnd"/>
      <w:r>
        <w:t xml:space="preserve"> commercial offers (pending). Presenting a speculative Year 1 number without these inputs would be false confidence. Steady-state savings accrue fully from Year 2 onwards as datacentre exit becomes viable.</w:t>
      </w:r>
    </w:p>
    <w:p w14:paraId="00000019" w14:textId="0000001A" w:rsidR="000B0F63" w:rsidRDefault="1BAB210A" w:rsidP="00E40261">
      <w:pPr>
        <w:pStyle w:val="Heading3"/>
        <w:jc w:val="both"/>
      </w:pPr>
      <w:bookmarkStart w:id="32" w:name="_Toc107"/>
      <w:bookmarkStart w:id="33" w:name="_Toc227770888"/>
      <w:r>
        <w:t xml:space="preserve">4. The recommended platform is AWS, </w:t>
      </w:r>
      <w:commentRangeStart w:id="34"/>
      <w:r>
        <w:t>primary</w:t>
      </w:r>
      <w:commentRangeEnd w:id="34"/>
      <w:r w:rsidR="00E90D04">
        <w:rPr>
          <w:rStyle w:val="CommentReference"/>
          <w:sz w:val="28"/>
          <w:szCs w:val="28"/>
        </w:rPr>
        <w:commentReference w:id="34"/>
      </w:r>
      <w:r>
        <w:t xml:space="preserve">, with </w:t>
      </w:r>
      <w:commentRangeStart w:id="35"/>
      <w:r>
        <w:t>validated exceptions</w:t>
      </w:r>
      <w:commentRangeEnd w:id="35"/>
      <w:r w:rsidR="003343ED">
        <w:rPr>
          <w:rStyle w:val="CommentReference"/>
          <w:sz w:val="28"/>
          <w:szCs w:val="28"/>
        </w:rPr>
        <w:commentReference w:id="35"/>
      </w:r>
      <w:r>
        <w:t>.</w:t>
      </w:r>
      <w:bookmarkEnd w:id="32"/>
      <w:bookmarkEnd w:id="33"/>
    </w:p>
    <w:p w14:paraId="0000001B" w14:textId="181D68B0" w:rsidR="000B0F63" w:rsidRDefault="00C05D22" w:rsidP="00E40261">
      <w:pPr>
        <w:jc w:val="both"/>
      </w:pPr>
      <w:commentRangeStart w:id="36"/>
      <w:commentRangeStart w:id="37"/>
      <w:r>
        <w:t xml:space="preserve">AWS </w:t>
      </w:r>
      <w:commentRangeEnd w:id="36"/>
      <w:r w:rsidR="00127284">
        <w:rPr>
          <w:rStyle w:val="CommentReference"/>
          <w:sz w:val="22"/>
          <w:szCs w:val="22"/>
        </w:rPr>
        <w:commentReference w:id="36"/>
      </w:r>
      <w:commentRangeEnd w:id="37"/>
      <w:r>
        <w:rPr>
          <w:rStyle w:val="CommentReference"/>
          <w:sz w:val="22"/>
          <w:szCs w:val="22"/>
        </w:rPr>
        <w:commentReference w:id="37"/>
      </w:r>
      <w:r>
        <w:t xml:space="preserve">is the path of least resistance for DMG Media's specific challenges. On the refreshed weighted scoring matrix (1-5 scale) the three clouds are effectively tied: Azure 4.3, AWS 4.3, GCP 4.2 (fit 85.6% / 85.0% / 83.4%). Scoring alone does not decide. Cost places GCP first </w:t>
      </w:r>
      <w:r w:rsidR="000C108A">
        <w:t>(</w:t>
      </w:r>
      <w:r w:rsidR="00312BB7">
        <w:t>£</w:t>
      </w:r>
      <w:r>
        <w:t>264K/</w:t>
      </w:r>
      <w:proofErr w:type="spellStart"/>
      <w:r>
        <w:t>mo</w:t>
      </w:r>
      <w:proofErr w:type="spellEnd"/>
      <w:r>
        <w:t xml:space="preserve">), AWS second (+3.7%), and Azure third (+32.1%). Three factors outside the matrix confirm the recommendation: AWS supports multicast natively where GCP and Azure do not (and VMware-on-cloud is not a viable path given the VMware exit strategy); video streaming already runs on AWS Elemental for Mail Online; and the largest partner and skills ecosystem supports the preferred upskill-with-partner model. Two exceptions are validated by evidence: commercial data analytics stays on GCP (existing beachhead, </w:t>
      </w:r>
      <w:proofErr w:type="spellStart"/>
      <w:r>
        <w:t>BigQuery</w:t>
      </w:r>
      <w:proofErr w:type="spellEnd"/>
      <w:r>
        <w:t xml:space="preserve"> is best-in-class for this workload), and video streaming stays on AWS (already there). Mail </w:t>
      </w:r>
      <w:proofErr w:type="spellStart"/>
      <w:r>
        <w:t>Online's</w:t>
      </w:r>
      <w:proofErr w:type="spellEnd"/>
      <w:r>
        <w:t xml:space="preserve"> dual ownership (Chief Product Officer for the product, Chief Technology Officer for the infrastructure) must be reflected in programme governance.</w:t>
      </w:r>
    </w:p>
    <w:p w14:paraId="0000001D" w14:textId="0000001E" w:rsidR="000B0F63" w:rsidRDefault="1BAB210A" w:rsidP="00E40261">
      <w:pPr>
        <w:pStyle w:val="Heading3"/>
        <w:jc w:val="both"/>
      </w:pPr>
      <w:bookmarkStart w:id="38" w:name="_Toc108"/>
      <w:bookmarkStart w:id="39" w:name="_Toc227770889"/>
      <w:r>
        <w:t>5. Organisational readiness is at the level typical for organisations starting this journey.</w:t>
      </w:r>
      <w:bookmarkEnd w:id="38"/>
      <w:bookmarkEnd w:id="39"/>
    </w:p>
    <w:p w14:paraId="0000001F" w14:textId="248B5C9C" w:rsidR="000B0F63" w:rsidRDefault="00C05D22" w:rsidP="00E40261">
      <w:pPr>
        <w:jc w:val="both"/>
      </w:pPr>
      <w:r>
        <w:t xml:space="preserve">Overall readiness is approximately </w:t>
      </w:r>
      <w:commentRangeStart w:id="40"/>
      <w:r>
        <w:t>2.1 of 5</w:t>
      </w:r>
      <w:commentRangeEnd w:id="40"/>
      <w:r w:rsidR="0063059B">
        <w:rPr>
          <w:rStyle w:val="CommentReference"/>
          <w:sz w:val="22"/>
          <w:szCs w:val="22"/>
        </w:rPr>
        <w:commentReference w:id="40"/>
      </w:r>
      <w:r>
        <w:t>, measured across Business, Governance, Operations, People, and Security using the standard cloud-adoption questionnaire. Governance is the strongest area (3.0). People is the weakest (1.2). This reflects cloud-specific skills and training rather than overall team capability. The infrastructure organisation has deep enterprise expertise in VMware, Oracle, and networking that this dimension does not capture. This is addressable. It is the first phase of any cloud transformation. Phase 2 and the early programme activities (landing zone, training, FinOps, security baselines) close the gap.</w:t>
      </w:r>
    </w:p>
    <w:p w14:paraId="00000021" w14:textId="00000022" w:rsidR="000B0F63" w:rsidRDefault="1BAB210A" w:rsidP="00E40261">
      <w:pPr>
        <w:pStyle w:val="Heading2"/>
        <w:jc w:val="both"/>
      </w:pPr>
      <w:bookmarkStart w:id="41" w:name="_Toc109"/>
      <w:bookmarkStart w:id="42" w:name="_Toc227770890"/>
      <w:commentRangeStart w:id="43"/>
      <w:commentRangeStart w:id="44"/>
      <w:r>
        <w:t xml:space="preserve">What DMG Needs </w:t>
      </w:r>
      <w:proofErr w:type="gramStart"/>
      <w:r>
        <w:t>To</w:t>
      </w:r>
      <w:proofErr w:type="gramEnd"/>
      <w:r>
        <w:t xml:space="preserve"> Do Now</w:t>
      </w:r>
      <w:bookmarkEnd w:id="41"/>
      <w:bookmarkEnd w:id="42"/>
      <w:commentRangeEnd w:id="43"/>
      <w:r w:rsidR="00533DF7">
        <w:rPr>
          <w:rStyle w:val="CommentReference"/>
          <w:sz w:val="32"/>
          <w:szCs w:val="32"/>
        </w:rPr>
        <w:commentReference w:id="43"/>
      </w:r>
      <w:commentRangeEnd w:id="44"/>
      <w:r>
        <w:rPr>
          <w:rStyle w:val="CommentReference"/>
          <w:sz w:val="32"/>
          <w:szCs w:val="32"/>
        </w:rPr>
        <w:commentReference w:id="44"/>
      </w:r>
    </w:p>
    <w:p w14:paraId="00000023" w14:textId="00000024" w:rsidR="000B0F63" w:rsidRDefault="1BAB210A" w:rsidP="00E40261">
      <w:pPr>
        <w:pStyle w:val="Heading3"/>
        <w:jc w:val="both"/>
      </w:pPr>
      <w:bookmarkStart w:id="47" w:name="_Toc110"/>
      <w:bookmarkStart w:id="48" w:name="_Toc227770891"/>
      <w:r>
        <w:t>Data to provide</w:t>
      </w:r>
      <w:bookmarkEnd w:id="47"/>
      <w:bookmarkEnd w:id="48"/>
    </w:p>
    <w:p w14:paraId="00000025" w14:textId="00000026" w:rsidR="000B0F63" w:rsidRDefault="00C05D22" w:rsidP="00E40261">
      <w:pPr>
        <w:pStyle w:val="ListBullet"/>
        <w:jc w:val="both"/>
      </w:pPr>
      <w:r>
        <w:t xml:space="preserve">Microsoft Software Assurance formal confirmation from </w:t>
      </w:r>
      <w:proofErr w:type="spellStart"/>
      <w:r>
        <w:t>Bluesource</w:t>
      </w:r>
      <w:proofErr w:type="spellEnd"/>
      <w:r>
        <w:t xml:space="preserve"> (unblocks BYOL modelling as certainty)</w:t>
      </w:r>
    </w:p>
    <w:p w14:paraId="00000027" w14:textId="00000028" w:rsidR="000B0F63" w:rsidRDefault="00C05D22" w:rsidP="00E40261">
      <w:pPr>
        <w:pStyle w:val="ListBullet"/>
        <w:jc w:val="both"/>
      </w:pPr>
      <w:r>
        <w:t>Broadcom VCF subscription quote (completes the 'cost of doing nothing' picture)</w:t>
      </w:r>
    </w:p>
    <w:p w14:paraId="00000029" w14:textId="0000002A" w:rsidR="000B0F63" w:rsidRDefault="00C05D22" w:rsidP="00E40261">
      <w:pPr>
        <w:pStyle w:val="ListBullet"/>
        <w:jc w:val="both"/>
      </w:pPr>
      <w:commentRangeStart w:id="49"/>
      <w:r>
        <w:t xml:space="preserve">MOL Oracle B-cluster DMA data collection </w:t>
      </w:r>
      <w:commentRangeEnd w:id="49"/>
      <w:r w:rsidR="005A2343">
        <w:rPr>
          <w:rStyle w:val="CommentReference"/>
          <w:sz w:val="22"/>
          <w:szCs w:val="24"/>
        </w:rPr>
        <w:commentReference w:id="49"/>
      </w:r>
      <w:r>
        <w:t>(the highest-value Phase 2 discovery gap)</w:t>
      </w:r>
    </w:p>
    <w:p w14:paraId="0000002B" w14:textId="0000002C" w:rsidR="000B0F63" w:rsidRDefault="1BAB210A" w:rsidP="00E40261">
      <w:pPr>
        <w:pStyle w:val="Heading3"/>
        <w:jc w:val="both"/>
      </w:pPr>
      <w:bookmarkStart w:id="50" w:name="_Toc111"/>
      <w:bookmarkStart w:id="51" w:name="_Toc227770892"/>
      <w:r>
        <w:t>Decisions to make</w:t>
      </w:r>
      <w:bookmarkEnd w:id="50"/>
      <w:bookmarkEnd w:id="51"/>
    </w:p>
    <w:p w14:paraId="0000002D" w14:textId="0000002E" w:rsidR="000B0F63" w:rsidRDefault="00C05D22" w:rsidP="00E40261">
      <w:pPr>
        <w:pStyle w:val="ListBullet"/>
        <w:jc w:val="both"/>
      </w:pPr>
      <w:r>
        <w:t>Primary platform (this report recommends AWS with exceptions)</w:t>
      </w:r>
    </w:p>
    <w:p w14:paraId="0000002F" w14:textId="00000030" w:rsidR="000B0F63" w:rsidRDefault="00C05D22" w:rsidP="00E40261">
      <w:pPr>
        <w:pStyle w:val="ListBullet"/>
        <w:jc w:val="both"/>
      </w:pPr>
      <w:proofErr w:type="spellStart"/>
      <w:r>
        <w:t>Atex</w:t>
      </w:r>
      <w:proofErr w:type="spellEnd"/>
      <w:r>
        <w:t xml:space="preserve"> vendor engagement on unicast support (direct cost impact)</w:t>
      </w:r>
    </w:p>
    <w:p w14:paraId="00000031" w14:textId="00000032" w:rsidR="000B0F63" w:rsidRDefault="00C05D22" w:rsidP="00E40261">
      <w:pPr>
        <w:pStyle w:val="ListBullet"/>
        <w:jc w:val="both"/>
      </w:pPr>
      <w:r>
        <w:t xml:space="preserve">Oracle path commitment: </w:t>
      </w:r>
      <w:proofErr w:type="spellStart"/>
      <w:r>
        <w:t>Exadata@Cloud</w:t>
      </w:r>
      <w:proofErr w:type="spellEnd"/>
      <w:r>
        <w:t xml:space="preserve"> primary, PostgreSQL as a Phase 2 strategic decision</w:t>
      </w:r>
    </w:p>
    <w:p w14:paraId="00000033" w14:textId="00000034" w:rsidR="000B0F63" w:rsidRDefault="00C05D22" w:rsidP="00E40261">
      <w:pPr>
        <w:pStyle w:val="ListBullet"/>
        <w:jc w:val="both"/>
      </w:pPr>
      <w:r>
        <w:t>Operating model for Day 2 (partner-assisted with upskilling is the indicated path)</w:t>
      </w:r>
    </w:p>
    <w:p w14:paraId="00000035" w14:textId="00000036" w:rsidR="000B0F63" w:rsidRDefault="00C05D22" w:rsidP="00E40261">
      <w:pPr>
        <w:pStyle w:val="ListBullet"/>
        <w:jc w:val="both"/>
      </w:pPr>
      <w:r>
        <w:t>CPO and CTO joint sponsorship for MOL migration</w:t>
      </w:r>
    </w:p>
    <w:p w14:paraId="00000037" w14:textId="00000038" w:rsidR="000B0F63" w:rsidRDefault="00C05D22" w:rsidP="00E40261">
      <w:pPr>
        <w:jc w:val="both"/>
      </w:pPr>
      <w:r>
        <w:t>Over the coming weeks you will hear from AWS, Microsoft, and Google directly. Each will present their own view and their own figures. This report is the independent frame of reference against which those presentations can be weighed.</w:t>
      </w:r>
    </w:p>
    <w:p w14:paraId="00000039" w14:textId="0000003A" w:rsidR="000B0F63" w:rsidRDefault="1BAB210A" w:rsidP="00E40261">
      <w:pPr>
        <w:pStyle w:val="Heading2"/>
        <w:jc w:val="both"/>
      </w:pPr>
      <w:bookmarkStart w:id="52" w:name="_Toc112"/>
      <w:bookmarkStart w:id="53" w:name="_Toc227770893"/>
      <w:r>
        <w:t xml:space="preserve">Where To Find </w:t>
      </w:r>
      <w:proofErr w:type="gramStart"/>
      <w:r>
        <w:t>The</w:t>
      </w:r>
      <w:proofErr w:type="gramEnd"/>
      <w:r>
        <w:t xml:space="preserve"> Detail</w:t>
      </w:r>
      <w:bookmarkEnd w:id="52"/>
      <w:bookmarkEnd w:id="53"/>
    </w:p>
    <w:p w14:paraId="0000003B" w14:textId="0000003C" w:rsidR="000B0F63" w:rsidRDefault="00C05D22" w:rsidP="00E40261">
      <w:pPr>
        <w:pStyle w:val="ListBullet"/>
        <w:jc w:val="both"/>
      </w:pPr>
      <w:commentRangeStart w:id="54"/>
      <w:r>
        <w:t>Section 3: the case for acting now, the Broadcom position, and the business drivers</w:t>
      </w:r>
    </w:p>
    <w:p w14:paraId="0000003D" w14:textId="0000003E" w:rsidR="000B0F63" w:rsidRDefault="00C05D22" w:rsidP="00E40261">
      <w:pPr>
        <w:pStyle w:val="ListBullet"/>
        <w:jc w:val="both"/>
      </w:pPr>
      <w:r>
        <w:t>Section 4: DMG Media's estate, the 39 applications, the database landscape</w:t>
      </w:r>
    </w:p>
    <w:p w14:paraId="0000003F" w14:textId="00000040" w:rsidR="000B0F63" w:rsidRDefault="00C05D22" w:rsidP="00E40261">
      <w:pPr>
        <w:pStyle w:val="ListBullet"/>
        <w:jc w:val="both"/>
      </w:pPr>
      <w:r>
        <w:t>Section 5: cost comparison, methodology, Oracle paths, Complete View</w:t>
      </w:r>
    </w:p>
    <w:p w14:paraId="00000041" w14:textId="00000042" w:rsidR="000B0F63" w:rsidRDefault="00C05D22" w:rsidP="00E40261">
      <w:pPr>
        <w:pStyle w:val="ListBullet"/>
        <w:jc w:val="both"/>
      </w:pPr>
      <w:r>
        <w:t>Section 6: application fit, cohorts, technical constraints</w:t>
      </w:r>
    </w:p>
    <w:p w14:paraId="00000043" w14:textId="00000044" w:rsidR="000B0F63" w:rsidRDefault="00C05D22" w:rsidP="00E40261">
      <w:pPr>
        <w:pStyle w:val="ListBullet"/>
        <w:jc w:val="both"/>
      </w:pPr>
      <w:r>
        <w:t>Section 7: the scoring matrix and the platform recommendation rationale</w:t>
      </w:r>
    </w:p>
    <w:p w14:paraId="00000045" w14:textId="00000046" w:rsidR="000B0F63" w:rsidRDefault="00C05D22" w:rsidP="00E40261">
      <w:pPr>
        <w:pStyle w:val="ListBullet"/>
        <w:jc w:val="both"/>
      </w:pPr>
      <w:r>
        <w:t>Section 8: readiness across five dimensions, current state versus target</w:t>
      </w:r>
    </w:p>
    <w:p w14:paraId="00000047" w14:textId="00000048" w:rsidR="000B0F63" w:rsidRDefault="00C05D22" w:rsidP="00E40261">
      <w:pPr>
        <w:pStyle w:val="ListBullet"/>
        <w:jc w:val="both"/>
      </w:pPr>
      <w:r>
        <w:t>Sections 9 and 10: specific challenges and opportunities with quantification</w:t>
      </w:r>
    </w:p>
    <w:p w14:paraId="00000049" w14:textId="0000004A" w:rsidR="000B0F63" w:rsidRDefault="00C05D22" w:rsidP="00E40261">
      <w:pPr>
        <w:pStyle w:val="ListBullet"/>
        <w:jc w:val="both"/>
      </w:pPr>
      <w:r>
        <w:t>Section 11: Moving forward, Phase 2 entry point, indicative timeline</w:t>
      </w:r>
    </w:p>
    <w:p w14:paraId="0000004B" w14:textId="0000004C" w:rsidR="000B0F63" w:rsidRDefault="00C05D22" w:rsidP="00E40261">
      <w:pPr>
        <w:pStyle w:val="ListBullet"/>
        <w:jc w:val="both"/>
      </w:pPr>
      <w:r>
        <w:t>Appendices A through E: TCO methodology, scoring methodology, attached workbooks, open items, glossary</w:t>
      </w:r>
      <w:commentRangeEnd w:id="54"/>
      <w:r w:rsidR="00AD691E">
        <w:rPr>
          <w:rStyle w:val="CommentReference"/>
          <w:sz w:val="22"/>
          <w:szCs w:val="24"/>
        </w:rPr>
        <w:commentReference w:id="54"/>
      </w:r>
    </w:p>
    <w:p w14:paraId="0000004D" w14:textId="0000004E" w:rsidR="000B0F63" w:rsidRDefault="00C05D22" w:rsidP="00E40261">
      <w:pPr>
        <w:jc w:val="both"/>
      </w:pPr>
      <w:r>
        <w:t>Phase 2 is a separately proposed engagement. It turns this report into a concrete migration plan and executes on the foundational actions.</w:t>
      </w:r>
    </w:p>
    <w:p w14:paraId="0000004F" w14:textId="00000050" w:rsidR="000B0F63" w:rsidRDefault="00C05D22" w:rsidP="00E40261">
      <w:pPr>
        <w:jc w:val="both"/>
      </w:pPr>
      <w:r>
        <w:br w:type="page"/>
      </w:r>
    </w:p>
    <w:p w14:paraId="00000051" w14:textId="00000052" w:rsidR="000B0F63" w:rsidRDefault="1BAB210A" w:rsidP="00E40261">
      <w:pPr>
        <w:pStyle w:val="Heading1"/>
        <w:jc w:val="both"/>
      </w:pPr>
      <w:bookmarkStart w:id="55" w:name="_Toc113"/>
      <w:bookmarkStart w:id="56" w:name="_Toc227770894"/>
      <w:bookmarkStart w:id="57" w:name="_Toc227771406"/>
      <w:commentRangeStart w:id="58"/>
      <w:r>
        <w:t>Section 2: About This Assessment</w:t>
      </w:r>
      <w:bookmarkEnd w:id="55"/>
      <w:bookmarkEnd w:id="56"/>
      <w:bookmarkEnd w:id="57"/>
      <w:commentRangeEnd w:id="58"/>
      <w:r w:rsidR="000E2CEA">
        <w:rPr>
          <w:rStyle w:val="CommentReference"/>
          <w:sz w:val="36"/>
          <w:szCs w:val="36"/>
        </w:rPr>
        <w:commentReference w:id="58"/>
      </w:r>
    </w:p>
    <w:p w14:paraId="00000053" w14:textId="00000054" w:rsidR="000B0F63" w:rsidRDefault="1BAB210A" w:rsidP="00E40261">
      <w:pPr>
        <w:pStyle w:val="Heading2"/>
        <w:jc w:val="both"/>
      </w:pPr>
      <w:bookmarkStart w:id="59" w:name="_Toc114"/>
      <w:bookmarkStart w:id="60" w:name="_Toc227770895"/>
      <w:commentRangeStart w:id="61"/>
      <w:r>
        <w:t>Who You Are and Why We Are Here</w:t>
      </w:r>
      <w:bookmarkEnd w:id="59"/>
      <w:bookmarkEnd w:id="60"/>
      <w:commentRangeEnd w:id="61"/>
      <w:r w:rsidR="001B19AC">
        <w:rPr>
          <w:rStyle w:val="CommentReference"/>
          <w:sz w:val="32"/>
          <w:szCs w:val="32"/>
        </w:rPr>
        <w:commentReference w:id="61"/>
      </w:r>
    </w:p>
    <w:p w14:paraId="00000055" w14:textId="00000056" w:rsidR="000B0F63" w:rsidRDefault="00C05D22" w:rsidP="00E40261">
      <w:pPr>
        <w:jc w:val="both"/>
      </w:pPr>
      <w:r>
        <w:t>DMG Media operates some of the UK's largest news and publishing brands, with Mail Online as the commercial centrepiece. You commissioned this engagement in February 2026 because three things are converging: the hardware in your datacentres is ageing out, your Broadcom/VMware support position has changed materially, and you have a clear business ambition to reach one million Mail Online subscribers. You needed an independent view of whether public cloud is the right foundation for the next decade and, if so, which platform.</w:t>
      </w:r>
    </w:p>
    <w:p w14:paraId="00000057" w14:textId="00000058" w:rsidR="000B0F63" w:rsidRDefault="1BAB210A" w:rsidP="00E40261">
      <w:pPr>
        <w:pStyle w:val="Heading2"/>
        <w:jc w:val="both"/>
      </w:pPr>
      <w:bookmarkStart w:id="62" w:name="_Toc115"/>
      <w:bookmarkStart w:id="63" w:name="_Toc227770896"/>
      <w:r>
        <w:t xml:space="preserve">What You Asked Rackspace </w:t>
      </w:r>
      <w:proofErr w:type="gramStart"/>
      <w:r>
        <w:t>To</w:t>
      </w:r>
      <w:proofErr w:type="gramEnd"/>
      <w:r>
        <w:t xml:space="preserve"> Do</w:t>
      </w:r>
      <w:bookmarkEnd w:id="62"/>
      <w:bookmarkEnd w:id="63"/>
    </w:p>
    <w:p w14:paraId="00000059" w14:textId="0000005A" w:rsidR="000B0F63" w:rsidRDefault="00C05D22" w:rsidP="00E40261">
      <w:pPr>
        <w:jc w:val="both"/>
      </w:pPr>
      <w:r>
        <w:t>The scope of Phase 1 was to produce:</w:t>
      </w:r>
    </w:p>
    <w:p w14:paraId="0000005B" w14:textId="0000005C" w:rsidR="000B0F63" w:rsidRDefault="00C05D22" w:rsidP="00EC2FA3">
      <w:pPr>
        <w:pStyle w:val="ListBullet"/>
        <w:numPr>
          <w:ilvl w:val="0"/>
          <w:numId w:val="47"/>
        </w:numPr>
        <w:jc w:val="both"/>
      </w:pPr>
      <w:r>
        <w:t xml:space="preserve">An independent infrastructure discovery of DMG Media's UK estate, plus the Sydney satellite </w:t>
      </w:r>
      <w:proofErr w:type="spellStart"/>
      <w:r>
        <w:t>datacentre</w:t>
      </w:r>
      <w:proofErr w:type="spellEnd"/>
    </w:p>
    <w:p w14:paraId="0000005D" w14:textId="0000005E" w:rsidR="000B0F63" w:rsidRDefault="00C05D22" w:rsidP="00EC2FA3">
      <w:pPr>
        <w:pStyle w:val="ListBullet"/>
        <w:numPr>
          <w:ilvl w:val="0"/>
          <w:numId w:val="47"/>
        </w:numPr>
        <w:jc w:val="both"/>
      </w:pPr>
      <w:r>
        <w:t>An apples-to-apples cost comparison across AWS, Azure, and GCP</w:t>
      </w:r>
    </w:p>
    <w:p w14:paraId="0000005F" w14:textId="00000060" w:rsidR="000B0F63" w:rsidRDefault="00C05D22" w:rsidP="00EC2FA3">
      <w:pPr>
        <w:pStyle w:val="ListBullet"/>
        <w:numPr>
          <w:ilvl w:val="0"/>
          <w:numId w:val="47"/>
        </w:numPr>
        <w:jc w:val="both"/>
      </w:pPr>
      <w:proofErr w:type="gramStart"/>
      <w:r>
        <w:t>An application</w:t>
      </w:r>
      <w:proofErr w:type="gramEnd"/>
      <w:r>
        <w:t xml:space="preserve"> profiling </w:t>
      </w:r>
      <w:proofErr w:type="gramStart"/>
      <w:r>
        <w:t>pass</w:t>
      </w:r>
      <w:proofErr w:type="gramEnd"/>
      <w:r>
        <w:t xml:space="preserve"> across DMG Media's major business applications</w:t>
      </w:r>
    </w:p>
    <w:p w14:paraId="00000061" w14:textId="00000062" w:rsidR="000B0F63" w:rsidRDefault="00C05D22" w:rsidP="00EC2FA3">
      <w:pPr>
        <w:pStyle w:val="ListBullet"/>
        <w:numPr>
          <w:ilvl w:val="0"/>
          <w:numId w:val="47"/>
        </w:numPr>
        <w:jc w:val="both"/>
      </w:pPr>
      <w:r>
        <w:t xml:space="preserve">A readiness assessment of the </w:t>
      </w:r>
      <w:proofErr w:type="spellStart"/>
      <w:r>
        <w:t>organisation</w:t>
      </w:r>
      <w:proofErr w:type="spellEnd"/>
      <w:r>
        <w:t xml:space="preserve"> against cloud adoption</w:t>
      </w:r>
    </w:p>
    <w:p w14:paraId="00000063" w14:textId="00000064" w:rsidR="000B0F63" w:rsidRDefault="00C05D22" w:rsidP="00EC2FA3">
      <w:pPr>
        <w:pStyle w:val="ListBullet"/>
        <w:numPr>
          <w:ilvl w:val="0"/>
          <w:numId w:val="47"/>
        </w:numPr>
        <w:jc w:val="both"/>
      </w:pPr>
      <w:r>
        <w:t>A platform recommendation and the entry point for Phase 2</w:t>
      </w:r>
    </w:p>
    <w:p w14:paraId="00000065" w14:textId="00000066" w:rsidR="000B0F63" w:rsidRDefault="00C05D22" w:rsidP="00E40261">
      <w:pPr>
        <w:jc w:val="both"/>
      </w:pPr>
      <w:r>
        <w:t>Phase 1 did not include: landing zone design, migration execution, per-application 7R classification across the full estate, or licensing procurement. Those are Phase 2 activities and are defined in Section 11.</w:t>
      </w:r>
    </w:p>
    <w:p w14:paraId="00000067" w14:textId="00000068" w:rsidR="000B0F63" w:rsidRDefault="1BAB210A" w:rsidP="00E40261">
      <w:pPr>
        <w:pStyle w:val="Heading2"/>
        <w:jc w:val="both"/>
      </w:pPr>
      <w:bookmarkStart w:id="64" w:name="_Toc116"/>
      <w:bookmarkStart w:id="65" w:name="_Toc227770897"/>
      <w:r>
        <w:t>How We Did It</w:t>
      </w:r>
      <w:bookmarkEnd w:id="64"/>
      <w:bookmarkEnd w:id="65"/>
    </w:p>
    <w:p w14:paraId="00000069" w14:textId="07E996FA" w:rsidR="000B0F63" w:rsidRDefault="00C05D22" w:rsidP="00E40261">
      <w:pPr>
        <w:jc w:val="both"/>
      </w:pPr>
      <w:r>
        <w:t xml:space="preserve">The work ran over eleven weeks between February and April 2026. </w:t>
      </w:r>
      <w:commentRangeStart w:id="66"/>
      <w:r>
        <w:t>The team was one lead consultant</w:t>
      </w:r>
      <w:r w:rsidR="0094614A">
        <w:t>,</w:t>
      </w:r>
      <w:r w:rsidR="00CB6726">
        <w:t xml:space="preserve"> </w:t>
      </w:r>
      <w:r>
        <w:t xml:space="preserve">three cloud architects (one per </w:t>
      </w:r>
      <w:proofErr w:type="spellStart"/>
      <w:r>
        <w:t>hyperscaler</w:t>
      </w:r>
      <w:proofErr w:type="spellEnd"/>
      <w:r w:rsidR="00CB6726">
        <w:t>)</w:t>
      </w:r>
      <w:r w:rsidR="0094614A">
        <w:t xml:space="preserve"> and a senior engagement manager</w:t>
      </w:r>
      <w:r w:rsidR="00CB6726">
        <w:t>.</w:t>
      </w:r>
      <w:r>
        <w:t xml:space="preserve"> </w:t>
      </w:r>
      <w:commentRangeEnd w:id="66"/>
      <w:r w:rsidR="00496476">
        <w:rPr>
          <w:rStyle w:val="CommentReference"/>
          <w:sz w:val="22"/>
          <w:szCs w:val="22"/>
        </w:rPr>
        <w:commentReference w:id="66"/>
      </w:r>
      <w:r>
        <w:t>The work fell into six phases:</w:t>
      </w:r>
    </w:p>
    <w:p w14:paraId="0000006B" w14:textId="0000006C" w:rsidR="000B0F63" w:rsidRDefault="00C05D22" w:rsidP="00EC2FA3">
      <w:pPr>
        <w:pStyle w:val="ListBullet"/>
        <w:numPr>
          <w:ilvl w:val="0"/>
          <w:numId w:val="3"/>
        </w:numPr>
        <w:jc w:val="both"/>
      </w:pPr>
      <w:commentRangeStart w:id="67"/>
      <w:commentRangeStart w:id="68"/>
      <w:r>
        <w:t xml:space="preserve">Mobilisation </w:t>
      </w:r>
      <w:commentRangeEnd w:id="67"/>
      <w:r w:rsidR="00154024">
        <w:rPr>
          <w:rStyle w:val="CommentReference"/>
          <w:sz w:val="22"/>
          <w:szCs w:val="24"/>
        </w:rPr>
        <w:commentReference w:id="67"/>
      </w:r>
      <w:commentRangeEnd w:id="68"/>
      <w:r>
        <w:rPr>
          <w:rStyle w:val="CommentReference"/>
          <w:sz w:val="22"/>
          <w:szCs w:val="24"/>
        </w:rPr>
        <w:commentReference w:id="68"/>
      </w:r>
      <w:r>
        <w:t>and kick off: stakeholder mapping, access provisioning, workshop scheduling</w:t>
      </w:r>
    </w:p>
    <w:p w14:paraId="0000006D" w14:textId="0000006E" w:rsidR="000B0F63" w:rsidRDefault="00C05D22" w:rsidP="00EC2FA3">
      <w:pPr>
        <w:pStyle w:val="ListBullet"/>
        <w:numPr>
          <w:ilvl w:val="0"/>
          <w:numId w:val="3"/>
        </w:numPr>
        <w:jc w:val="both"/>
      </w:pPr>
      <w:r>
        <w:t xml:space="preserve">Strategy assessment: foundational workshops, business driver capture, </w:t>
      </w:r>
      <w:commentRangeStart w:id="69"/>
      <w:proofErr w:type="spellStart"/>
      <w:r>
        <w:t>hyperscaler</w:t>
      </w:r>
      <w:proofErr w:type="spellEnd"/>
      <w:r>
        <w:t xml:space="preserve"> selection criteria</w:t>
      </w:r>
      <w:commentRangeEnd w:id="69"/>
      <w:r w:rsidR="001D334D">
        <w:rPr>
          <w:rStyle w:val="CommentReference"/>
          <w:sz w:val="22"/>
          <w:szCs w:val="24"/>
        </w:rPr>
        <w:commentReference w:id="69"/>
      </w:r>
    </w:p>
    <w:p w14:paraId="0000006F" w14:textId="00000070" w:rsidR="000B0F63" w:rsidRDefault="00C05D22" w:rsidP="00EC2FA3">
      <w:pPr>
        <w:pStyle w:val="ListBullet"/>
        <w:numPr>
          <w:ilvl w:val="0"/>
          <w:numId w:val="3"/>
        </w:numPr>
        <w:jc w:val="both"/>
      </w:pPr>
      <w:r>
        <w:t xml:space="preserve">Automated infrastructure discovery: deployment of Google Cloud Migration Center across the estate, </w:t>
      </w:r>
      <w:commentRangeStart w:id="70"/>
      <w:commentRangeStart w:id="71"/>
      <w:commentRangeStart w:id="72"/>
      <w:r>
        <w:t>Oracle database assessment via Oracle's DMA tool</w:t>
      </w:r>
      <w:commentRangeEnd w:id="70"/>
      <w:r w:rsidR="000548FC">
        <w:rPr>
          <w:rStyle w:val="CommentReference"/>
          <w:sz w:val="22"/>
          <w:szCs w:val="24"/>
        </w:rPr>
        <w:commentReference w:id="70"/>
      </w:r>
      <w:commentRangeEnd w:id="71"/>
      <w:r>
        <w:rPr>
          <w:rStyle w:val="CommentReference"/>
          <w:sz w:val="22"/>
          <w:szCs w:val="24"/>
        </w:rPr>
        <w:commentReference w:id="71"/>
      </w:r>
      <w:commentRangeEnd w:id="72"/>
      <w:r>
        <w:rPr>
          <w:rStyle w:val="CommentReference"/>
          <w:sz w:val="22"/>
          <w:szCs w:val="24"/>
        </w:rPr>
        <w:commentReference w:id="72"/>
      </w:r>
      <w:r>
        <w:t>, SQL Server assessment via a separate tooling pass, network dependency capture, application-to-infrastructure mapping</w:t>
      </w:r>
    </w:p>
    <w:p w14:paraId="00000071" w14:textId="00000072" w:rsidR="000B0F63" w:rsidRDefault="00C05D22" w:rsidP="00EC2FA3">
      <w:pPr>
        <w:pStyle w:val="ListBullet"/>
        <w:numPr>
          <w:ilvl w:val="0"/>
          <w:numId w:val="3"/>
        </w:numPr>
        <w:jc w:val="both"/>
      </w:pPr>
      <w:r>
        <w:t xml:space="preserve">TCO analysis: independent pricing of every in-scope server against live cloud pricing APIs, to </w:t>
      </w:r>
      <w:proofErr w:type="spellStart"/>
      <w:r>
        <w:t>normalise</w:t>
      </w:r>
      <w:proofErr w:type="spellEnd"/>
      <w:r>
        <w:t xml:space="preserve"> the comparison across providers and produce as close to an apples-to-apples view as possible; </w:t>
      </w:r>
      <w:proofErr w:type="spellStart"/>
      <w:r>
        <w:t>optimisation</w:t>
      </w:r>
      <w:proofErr w:type="spellEnd"/>
      <w:r>
        <w:t xml:space="preserve"> scenarios; Oracle path modelling</w:t>
      </w:r>
    </w:p>
    <w:p w14:paraId="00000073" w14:textId="00000074" w:rsidR="000B0F63" w:rsidRDefault="00C05D22" w:rsidP="00EC2FA3">
      <w:pPr>
        <w:pStyle w:val="ListBullet"/>
        <w:numPr>
          <w:ilvl w:val="0"/>
          <w:numId w:val="3"/>
        </w:numPr>
        <w:jc w:val="both"/>
      </w:pPr>
      <w:r>
        <w:t>Cloud service provider selection: DMG Media set the weightings. Rackspace scored the providers in two passes: an unbiased first pass against market baselines, then a refinement against DMG Media's specific estate to confirm each cloud's benefits are usable in practice, not just on paper.</w:t>
      </w:r>
    </w:p>
    <w:p w14:paraId="00000075" w14:textId="00000076" w:rsidR="000B0F63" w:rsidRDefault="00C05D22" w:rsidP="00EC2FA3">
      <w:pPr>
        <w:pStyle w:val="ListBullet"/>
        <w:numPr>
          <w:ilvl w:val="0"/>
          <w:numId w:val="3"/>
        </w:numPr>
        <w:jc w:val="both"/>
      </w:pPr>
      <w:r>
        <w:t>Strategy report and this playback</w:t>
      </w:r>
    </w:p>
    <w:p w14:paraId="00000077" w14:textId="00000078" w:rsidR="000B0F63" w:rsidRDefault="00C05D22" w:rsidP="00E40261">
      <w:pPr>
        <w:jc w:val="both"/>
      </w:pPr>
      <w:r>
        <w:t>Data was collected between 19 February and 27 March 2026. Nine application workshops were completed with business area owners. The data freeze was 27 March. Anything that changed after that date is flagged inline.</w:t>
      </w:r>
    </w:p>
    <w:p w14:paraId="00000079" w14:textId="0000007A" w:rsidR="000B0F63" w:rsidRDefault="1BAB210A" w:rsidP="00E40261">
      <w:pPr>
        <w:pStyle w:val="Heading2"/>
        <w:jc w:val="both"/>
      </w:pPr>
      <w:bookmarkStart w:id="73" w:name="_Toc117"/>
      <w:bookmarkStart w:id="74" w:name="_Toc227770898"/>
      <w:r>
        <w:t>What The Outcome Is</w:t>
      </w:r>
      <w:bookmarkEnd w:id="73"/>
      <w:bookmarkEnd w:id="74"/>
    </w:p>
    <w:p w14:paraId="0000007B" w14:textId="0000007C" w:rsidR="000B0F63" w:rsidRDefault="00C05D22" w:rsidP="00E40261">
      <w:pPr>
        <w:jc w:val="both"/>
      </w:pPr>
      <w:r>
        <w:t>This report presents:</w:t>
      </w:r>
    </w:p>
    <w:p w14:paraId="0000007D" w14:textId="0000007E" w:rsidR="000B0F63" w:rsidRDefault="00C05D22" w:rsidP="00EC2FA3">
      <w:pPr>
        <w:pStyle w:val="ListBullet"/>
        <w:numPr>
          <w:ilvl w:val="0"/>
          <w:numId w:val="4"/>
        </w:numPr>
        <w:jc w:val="both"/>
      </w:pPr>
      <w:r>
        <w:t xml:space="preserve">An apples-to-apples cost comparison for 3,038 servers across three clouds, with an </w:t>
      </w:r>
      <w:proofErr w:type="spellStart"/>
      <w:r>
        <w:t>optimised</w:t>
      </w:r>
      <w:proofErr w:type="spellEnd"/>
      <w:r>
        <w:t xml:space="preserve"> view that factors in licensing and Oracle migration options</w:t>
      </w:r>
    </w:p>
    <w:p w14:paraId="0000007F" w14:textId="00000080" w:rsidR="000B0F63" w:rsidRDefault="00C05D22" w:rsidP="00EC2FA3">
      <w:pPr>
        <w:pStyle w:val="ListBullet"/>
        <w:numPr>
          <w:ilvl w:val="0"/>
          <w:numId w:val="4"/>
        </w:numPr>
        <w:jc w:val="both"/>
      </w:pPr>
      <w:r>
        <w:t>A readiness score across five dimensions, showing current state and the gap to target</w:t>
      </w:r>
    </w:p>
    <w:p w14:paraId="00000081" w14:textId="00000082" w:rsidR="000B0F63" w:rsidRDefault="00C05D22" w:rsidP="00EC2FA3">
      <w:pPr>
        <w:pStyle w:val="ListBullet"/>
        <w:numPr>
          <w:ilvl w:val="0"/>
          <w:numId w:val="4"/>
        </w:numPr>
        <w:jc w:val="both"/>
      </w:pPr>
      <w:r>
        <w:t xml:space="preserve">A primary platform recommendation with validated </w:t>
      </w:r>
      <w:commentRangeStart w:id="75"/>
      <w:r>
        <w:t>exceptions</w:t>
      </w:r>
      <w:commentRangeEnd w:id="75"/>
      <w:r w:rsidR="00511CBB">
        <w:rPr>
          <w:rStyle w:val="CommentReference"/>
          <w:sz w:val="22"/>
          <w:szCs w:val="24"/>
        </w:rPr>
        <w:commentReference w:id="75"/>
      </w:r>
    </w:p>
    <w:p w14:paraId="00000083" w14:textId="00000084" w:rsidR="000B0F63" w:rsidRDefault="00C05D22" w:rsidP="00EC2FA3">
      <w:pPr>
        <w:pStyle w:val="ListBullet"/>
        <w:numPr>
          <w:ilvl w:val="0"/>
          <w:numId w:val="4"/>
        </w:numPr>
        <w:jc w:val="both"/>
      </w:pPr>
      <w:r>
        <w:t>A concrete Phase 2 entry point</w:t>
      </w:r>
    </w:p>
    <w:p w14:paraId="00000085" w14:textId="00000086" w:rsidR="000B0F63" w:rsidRDefault="1BAB210A" w:rsidP="00E40261">
      <w:pPr>
        <w:pStyle w:val="Heading2"/>
        <w:jc w:val="both"/>
      </w:pPr>
      <w:bookmarkStart w:id="76" w:name="_Toc118"/>
      <w:bookmarkStart w:id="77" w:name="_Toc227770899"/>
      <w:r>
        <w:t>Scope Versus Actual Discovery</w:t>
      </w:r>
      <w:bookmarkEnd w:id="76"/>
      <w:bookmarkEnd w:id="77"/>
    </w:p>
    <w:p w14:paraId="00000087" w14:textId="00000088" w:rsidR="000B0F63" w:rsidRDefault="00C05D22" w:rsidP="00E40261">
      <w:pPr>
        <w:jc w:val="both"/>
      </w:pPr>
      <w:commentRangeStart w:id="78"/>
      <w:r>
        <w:t>Three numbers matter in this section.</w:t>
      </w:r>
      <w:commentRangeEnd w:id="78"/>
      <w:r w:rsidR="00952132">
        <w:rPr>
          <w:rStyle w:val="CommentReference"/>
          <w:sz w:val="22"/>
          <w:szCs w:val="22"/>
        </w:rPr>
        <w:commentReference w:id="78"/>
      </w:r>
    </w:p>
    <w:p w14:paraId="00000089" w14:textId="0000008A" w:rsidR="000B0F63" w:rsidRDefault="00C05D22" w:rsidP="00EC2FA3">
      <w:pPr>
        <w:pStyle w:val="ListBullet"/>
        <w:numPr>
          <w:ilvl w:val="0"/>
          <w:numId w:val="5"/>
        </w:numPr>
        <w:jc w:val="both"/>
      </w:pPr>
      <w:r>
        <w:rPr>
          <w:b/>
          <w:bCs/>
        </w:rPr>
        <w:t>2,300 servers: the Statement of Work scope, based on pre-engagement information (VMware only).</w:t>
      </w:r>
    </w:p>
    <w:p w14:paraId="0000008B" w14:textId="0000008C" w:rsidR="000B0F63" w:rsidRDefault="00C05D22" w:rsidP="00EC2FA3">
      <w:pPr>
        <w:pStyle w:val="ListBullet"/>
        <w:numPr>
          <w:ilvl w:val="0"/>
          <w:numId w:val="5"/>
        </w:numPr>
        <w:jc w:val="both"/>
      </w:pPr>
      <w:r>
        <w:rPr>
          <w:b/>
          <w:bCs/>
        </w:rPr>
        <w:t>3,038 servers: the actual in-scope count for Phase 1 assessment, after scope was expanded to cover infrastructure disclosed at kickoff (Proxmox, physical bare metal, appliances, existing cloud). Every one of these 3,038 servers was discovered, profiled where possible, and independently priced.</w:t>
      </w:r>
    </w:p>
    <w:p w14:paraId="0000008D" w14:textId="0D9E39C3" w:rsidR="000B0F63" w:rsidRDefault="00C05D22" w:rsidP="00EC2FA3">
      <w:pPr>
        <w:pStyle w:val="ListBullet"/>
        <w:numPr>
          <w:ilvl w:val="0"/>
          <w:numId w:val="5"/>
        </w:numPr>
        <w:jc w:val="both"/>
      </w:pPr>
      <w:r>
        <w:rPr>
          <w:b/>
          <w:bCs/>
        </w:rPr>
        <w:t xml:space="preserve">4,500+ servers: the full discovered estate. The additional ~1,500 beyond the 3,038 in-scope </w:t>
      </w:r>
      <w:r w:rsidR="7B274E15" w:rsidRPr="260AF65C">
        <w:rPr>
          <w:b/>
          <w:bCs/>
        </w:rPr>
        <w:t>subsets</w:t>
      </w:r>
      <w:r>
        <w:rPr>
          <w:b/>
          <w:bCs/>
        </w:rPr>
        <w:t xml:space="preserve"> were catalogued but not assessed in Phase 1 and are a Phase 2 scope item.</w:t>
      </w:r>
    </w:p>
    <w:p w14:paraId="0000008F" w14:textId="00000090" w:rsidR="000B0F63" w:rsidRDefault="00C05D22" w:rsidP="00E40261">
      <w:pPr>
        <w:jc w:val="both"/>
      </w:pPr>
      <w:r>
        <w:t xml:space="preserve">Rackspace absorbed the Phase 1 scope expansion from 2,300 to 3,038 at no additional cost to DMG Media. This represents a material amount of additional discovery and analysis effort delivered without a revised commercial. </w:t>
      </w:r>
      <w:commentRangeStart w:id="79"/>
      <w:r>
        <w:t>The extra ~1,500 servers beyond 3,038 remain out of scope for Phase 1 deliverables and require Phase 2 to assess.</w:t>
      </w:r>
      <w:commentRangeEnd w:id="79"/>
      <w:r w:rsidR="00D63208">
        <w:rPr>
          <w:rStyle w:val="CommentReference"/>
          <w:sz w:val="22"/>
          <w:szCs w:val="22"/>
        </w:rPr>
        <w:commentReference w:id="79"/>
      </w:r>
    </w:p>
    <w:p w14:paraId="00000091" w14:textId="00000092" w:rsidR="000B0F63" w:rsidRDefault="00C05D22" w:rsidP="00E40261">
      <w:pPr>
        <w:jc w:val="both"/>
      </w:pPr>
      <w:r>
        <w:t>This report covers the 3,038 in-scope servers. Where the full estate is referenced (for context or Phase 2 framing), that is called out explicitly.</w:t>
      </w:r>
    </w:p>
    <w:p w14:paraId="00000093" w14:textId="00000094" w:rsidR="000B0F63" w:rsidRDefault="1BAB210A" w:rsidP="00E40261">
      <w:pPr>
        <w:pStyle w:val="Heading2"/>
        <w:jc w:val="both"/>
      </w:pPr>
      <w:bookmarkStart w:id="80" w:name="_Toc119"/>
      <w:bookmarkStart w:id="81" w:name="_Toc227770900"/>
      <w:r>
        <w:t>What This Report Covers</w:t>
      </w:r>
      <w:bookmarkEnd w:id="80"/>
      <w:bookmarkEnd w:id="81"/>
    </w:p>
    <w:p w14:paraId="00000095" w14:textId="00000096" w:rsidR="000B0F63" w:rsidRDefault="00C05D22" w:rsidP="00E40261">
      <w:pPr>
        <w:jc w:val="both"/>
      </w:pPr>
      <w:r>
        <w:t>The sections that follow cover why cloud makes sense now (Section 3), the estate discovery (Section 4), cost comparison (Section 5), business and application fit (Section 6), the platform recommendation (Section 7), organisational readiness (Section 8), specific challenges and opportunities (Sections 9 and 10), and moving forward into Phase 2 (Section 11). Appendices provide methodology and detail for the technical panel.</w:t>
      </w:r>
    </w:p>
    <w:p w14:paraId="00000097" w14:textId="00000098" w:rsidR="000B0F63" w:rsidRDefault="00C05D22" w:rsidP="00E40261">
      <w:pPr>
        <w:jc w:val="both"/>
      </w:pPr>
      <w:r>
        <w:br w:type="page"/>
      </w:r>
    </w:p>
    <w:p w14:paraId="00000099" w14:textId="0000009A" w:rsidR="000B0F63" w:rsidRDefault="1BAB210A" w:rsidP="00E40261">
      <w:pPr>
        <w:pStyle w:val="Heading1"/>
        <w:jc w:val="both"/>
      </w:pPr>
      <w:bookmarkStart w:id="82" w:name="_Toc120"/>
      <w:bookmarkStart w:id="83" w:name="_Toc227770901"/>
      <w:bookmarkStart w:id="84" w:name="_Toc227771407"/>
      <w:r>
        <w:t>Section 3: Why Cloud, Why Now</w:t>
      </w:r>
      <w:bookmarkEnd w:id="82"/>
      <w:bookmarkEnd w:id="83"/>
      <w:bookmarkEnd w:id="84"/>
    </w:p>
    <w:p w14:paraId="0000009B" w14:textId="0000009C" w:rsidR="000B0F63" w:rsidRDefault="1BAB210A" w:rsidP="00E40261">
      <w:pPr>
        <w:pStyle w:val="Heading2"/>
        <w:jc w:val="both"/>
      </w:pPr>
      <w:bookmarkStart w:id="85" w:name="_Toc121"/>
      <w:bookmarkStart w:id="86" w:name="_Toc227770902"/>
      <w:commentRangeStart w:id="87"/>
      <w:commentRangeStart w:id="88"/>
      <w:r>
        <w:t xml:space="preserve">Your </w:t>
      </w:r>
      <w:commentRangeEnd w:id="87"/>
      <w:r w:rsidR="001E784E">
        <w:rPr>
          <w:rStyle w:val="CommentReference"/>
          <w:sz w:val="32"/>
          <w:szCs w:val="32"/>
        </w:rPr>
        <w:commentReference w:id="87"/>
      </w:r>
      <w:commentRangeEnd w:id="88"/>
      <w:r>
        <w:rPr>
          <w:rStyle w:val="CommentReference"/>
          <w:sz w:val="32"/>
          <w:szCs w:val="32"/>
        </w:rPr>
        <w:commentReference w:id="88"/>
      </w:r>
      <w:r>
        <w:t>Business Drivers</w:t>
      </w:r>
      <w:bookmarkEnd w:id="85"/>
      <w:bookmarkEnd w:id="86"/>
    </w:p>
    <w:p w14:paraId="0000009D" w14:textId="0000009E" w:rsidR="000B0F63" w:rsidRDefault="00C05D22" w:rsidP="00E40261">
      <w:pPr>
        <w:jc w:val="both"/>
      </w:pPr>
      <w:r>
        <w:t xml:space="preserve">Your decision to explore cloud was framed at </w:t>
      </w:r>
      <w:proofErr w:type="spellStart"/>
      <w:r>
        <w:t>kickoff</w:t>
      </w:r>
      <w:proofErr w:type="spellEnd"/>
      <w:r>
        <w:t xml:space="preserve"> around three business drivers. Everything in this report ties back to these.</w:t>
      </w:r>
    </w:p>
    <w:p w14:paraId="0000009F" w14:textId="000000A0" w:rsidR="000B0F63" w:rsidRDefault="1BAB210A" w:rsidP="00E40261">
      <w:pPr>
        <w:pStyle w:val="Heading3"/>
        <w:jc w:val="both"/>
      </w:pPr>
      <w:bookmarkStart w:id="89" w:name="_Toc122"/>
      <w:bookmarkStart w:id="90" w:name="_Toc227770903"/>
      <w:r>
        <w:t>1. Standardisation and Simplification</w:t>
      </w:r>
      <w:bookmarkEnd w:id="89"/>
      <w:bookmarkEnd w:id="90"/>
    </w:p>
    <w:p w14:paraId="000000A1" w14:textId="000000A2" w:rsidR="000B0F63" w:rsidRDefault="00C05D22" w:rsidP="00E40261">
      <w:pPr>
        <w:jc w:val="both"/>
      </w:pPr>
      <w:r>
        <w:t xml:space="preserve">You operate across multiple brands with approximately 170 technology staff distributed across seven areas. Each area operates with its own tooling, processes, and standards. </w:t>
      </w:r>
      <w:commentRangeStart w:id="91"/>
      <w:r>
        <w:t xml:space="preserve">You told us at </w:t>
      </w:r>
      <w:proofErr w:type="spellStart"/>
      <w:r>
        <w:t>kickoff</w:t>
      </w:r>
      <w:proofErr w:type="spellEnd"/>
      <w:r>
        <w:t xml:space="preserve"> that only one in twenty projects follows a consistent delivery process</w:t>
      </w:r>
      <w:commentRangeEnd w:id="91"/>
      <w:r w:rsidR="00F24B69">
        <w:rPr>
          <w:rStyle w:val="CommentReference"/>
          <w:sz w:val="22"/>
          <w:szCs w:val="22"/>
        </w:rPr>
        <w:commentReference w:id="91"/>
      </w:r>
      <w:r>
        <w:t>. The cost of this fragmentation is slower delivery, higher operational risk, and harder co-ordination on changes that span brands.</w:t>
      </w:r>
    </w:p>
    <w:p w14:paraId="000000A3" w14:textId="000000A4" w:rsidR="000B0F63" w:rsidRDefault="00C05D22" w:rsidP="00E40261">
      <w:pPr>
        <w:jc w:val="both"/>
      </w:pPr>
      <w:r>
        <w:t>Your goal is to converge on a limited set of approved platforms and patterns, eliminate shadow IT, and establish a standardised technology foundation that supports growth without adding proportional complexity.</w:t>
      </w:r>
    </w:p>
    <w:p w14:paraId="000000A5" w14:textId="000000A6" w:rsidR="000B0F63" w:rsidRDefault="1BAB210A" w:rsidP="00E40261">
      <w:pPr>
        <w:pStyle w:val="Heading3"/>
        <w:jc w:val="both"/>
      </w:pPr>
      <w:bookmarkStart w:id="92" w:name="_Toc123"/>
      <w:bookmarkStart w:id="93" w:name="_Toc227770904"/>
      <w:r>
        <w:t>2. Productivity and Cost Optimisation</w:t>
      </w:r>
      <w:bookmarkEnd w:id="92"/>
      <w:bookmarkEnd w:id="93"/>
    </w:p>
    <w:p w14:paraId="000000A7" w14:textId="000000A8" w:rsidR="000B0F63" w:rsidRDefault="00C05D22" w:rsidP="00E40261">
      <w:pPr>
        <w:jc w:val="both"/>
      </w:pPr>
      <w:r>
        <w:t>You have set a target of a ten percent cost reduction in Year 1 without reducing headcount. This requires shifting from fixed, capacity-based cost models to demand-aligned consumption, removing custom systems that provide low value, and replacing bespoke workflows with pre-approved blueprints.</w:t>
      </w:r>
    </w:p>
    <w:p w14:paraId="000000A9" w14:textId="000000AA" w:rsidR="000B0F63" w:rsidRDefault="00C05D22" w:rsidP="00E40261">
      <w:pPr>
        <w:jc w:val="both"/>
      </w:pPr>
      <w:r>
        <w:t xml:space="preserve">The commercial test is whether cloud adoption translates to financial performance. It only does if cost discipline is </w:t>
      </w:r>
      <w:commentRangeStart w:id="94"/>
      <w:commentRangeStart w:id="95"/>
      <w:r>
        <w:t>embedded from day one, through FinOps practice and clear visibility of spend by platform, product, and environment.</w:t>
      </w:r>
      <w:commentRangeEnd w:id="94"/>
      <w:r w:rsidR="000669F4">
        <w:rPr>
          <w:rStyle w:val="CommentReference"/>
          <w:sz w:val="22"/>
          <w:szCs w:val="22"/>
        </w:rPr>
        <w:commentReference w:id="94"/>
      </w:r>
      <w:commentRangeEnd w:id="95"/>
      <w:r>
        <w:rPr>
          <w:rStyle w:val="CommentReference"/>
          <w:sz w:val="22"/>
          <w:szCs w:val="22"/>
        </w:rPr>
        <w:commentReference w:id="95"/>
      </w:r>
    </w:p>
    <w:p w14:paraId="000000AB" w14:textId="000000AC" w:rsidR="000B0F63" w:rsidRDefault="1BAB210A" w:rsidP="00E40261">
      <w:pPr>
        <w:pStyle w:val="Heading3"/>
        <w:jc w:val="both"/>
      </w:pPr>
      <w:bookmarkStart w:id="96" w:name="_Toc124"/>
      <w:bookmarkStart w:id="97" w:name="_Toc227770905"/>
      <w:r>
        <w:t>3. Automation and Workflow Optimisation</w:t>
      </w:r>
      <w:bookmarkEnd w:id="96"/>
      <w:bookmarkEnd w:id="97"/>
    </w:p>
    <w:p w14:paraId="000000AD" w14:textId="000000AE" w:rsidR="000B0F63" w:rsidRDefault="00C05D22" w:rsidP="00E40261">
      <w:pPr>
        <w:jc w:val="both"/>
      </w:pPr>
      <w:r>
        <w:t>Manual processes limit growth and degrade customer experience. You have identified automation of repeatable, high-volume operational workflows as essential for enterprise-scale operations. The outcome is reduced operational and key-person risk, the ability to scale revenue without linear cost growth, and business teams focused on value creation rather than administration.</w:t>
      </w:r>
    </w:p>
    <w:p w14:paraId="000000AF" w14:textId="000000B0" w:rsidR="000B0F63" w:rsidRDefault="00C05D22" w:rsidP="00E40261">
      <w:pPr>
        <w:jc w:val="both"/>
      </w:pPr>
      <w:r>
        <w:t>Enhanced security and data or AI analytical insights are an expected outcome of this transformation, not a standalone driver. Your early-stage AI work (Genie, AI Insights Agents) will benefit from a cloud platform but is not driving the migration timeline.</w:t>
      </w:r>
    </w:p>
    <w:p w14:paraId="000000B1" w14:textId="000000B2" w:rsidR="000B0F63" w:rsidRDefault="1BAB210A" w:rsidP="00E40261">
      <w:pPr>
        <w:pStyle w:val="Heading2"/>
        <w:jc w:val="both"/>
      </w:pPr>
      <w:bookmarkStart w:id="98" w:name="_Toc125"/>
      <w:bookmarkStart w:id="99" w:name="_Toc227770906"/>
      <w:r>
        <w:t xml:space="preserve">The Case </w:t>
      </w:r>
      <w:proofErr w:type="gramStart"/>
      <w:r>
        <w:t>For</w:t>
      </w:r>
      <w:proofErr w:type="gramEnd"/>
      <w:r>
        <w:t xml:space="preserve"> Acting Now</w:t>
      </w:r>
      <w:bookmarkEnd w:id="98"/>
      <w:bookmarkEnd w:id="99"/>
    </w:p>
    <w:p w14:paraId="000000B3" w14:textId="000000B4" w:rsidR="000B0F63" w:rsidRDefault="00C05D22" w:rsidP="00E40261">
      <w:pPr>
        <w:jc w:val="both"/>
      </w:pPr>
      <w:r>
        <w:t xml:space="preserve">What would happen if you did nothing? </w:t>
      </w:r>
      <w:commentRangeStart w:id="100"/>
      <w:commentRangeStart w:id="101"/>
      <w:r>
        <w:t>Three contract windows tell that story</w:t>
      </w:r>
      <w:commentRangeEnd w:id="100"/>
      <w:r w:rsidR="00E244E4">
        <w:rPr>
          <w:rStyle w:val="CommentReference"/>
          <w:sz w:val="22"/>
          <w:szCs w:val="22"/>
        </w:rPr>
        <w:commentReference w:id="100"/>
      </w:r>
      <w:commentRangeEnd w:id="101"/>
      <w:r>
        <w:rPr>
          <w:rStyle w:val="CommentReference"/>
          <w:sz w:val="22"/>
          <w:szCs w:val="22"/>
        </w:rPr>
        <w:commentReference w:id="101"/>
      </w:r>
      <w:r>
        <w:t>.</w:t>
      </w:r>
    </w:p>
    <w:p w14:paraId="000000B5" w14:textId="000000B6" w:rsidR="000B0F63" w:rsidRDefault="1BAB210A" w:rsidP="00E40261">
      <w:pPr>
        <w:pStyle w:val="Heading3"/>
        <w:jc w:val="both"/>
      </w:pPr>
      <w:bookmarkStart w:id="102" w:name="_Toc126"/>
      <w:bookmarkStart w:id="103" w:name="_Toc227770907"/>
      <w:r>
        <w:t>Converging contracts</w:t>
      </w:r>
      <w:bookmarkEnd w:id="102"/>
      <w:bookmarkEnd w:id="103"/>
    </w:p>
    <w:tbl>
      <w:tblPr>
        <w:tblW w:w="9720" w:type="dxa"/>
        <w:tblCellMar>
          <w:top w:w="100" w:type="dxa"/>
          <w:left w:w="100" w:type="dxa"/>
          <w:bottom w:w="100" w:type="dxa"/>
          <w:right w:w="100" w:type="dxa"/>
        </w:tblCellMar>
        <w:tblLook w:val="04A0" w:firstRow="1" w:lastRow="0" w:firstColumn="1" w:lastColumn="0" w:noHBand="0" w:noVBand="1"/>
      </w:tblPr>
      <w:tblGrid>
        <w:gridCol w:w="3240"/>
        <w:gridCol w:w="3240"/>
        <w:gridCol w:w="3240"/>
      </w:tblGrid>
      <w:tr w:rsidR="007E4C3F" w14:paraId="03EF7075" w14:textId="77777777" w:rsidTr="1524DEBB">
        <w:trPr>
          <w:cantSplit/>
        </w:trPr>
        <w:tc>
          <w:tcPr>
            <w:tcW w:w="3240" w:type="dxa"/>
            <w:shd w:val="clear" w:color="auto" w:fill="D9D9D9" w:themeFill="background1" w:themeFillShade="D9"/>
            <w:tcMar>
              <w:top w:w="100" w:type="dxa"/>
              <w:left w:w="100" w:type="dxa"/>
              <w:bottom w:w="100" w:type="dxa"/>
              <w:right w:w="100" w:type="dxa"/>
            </w:tcMar>
          </w:tcPr>
          <w:p w14:paraId="000000B7" w14:textId="000000B8" w:rsidR="000B0F63" w:rsidRDefault="00C05D22" w:rsidP="00E40261">
            <w:pPr>
              <w:pStyle w:val="TableHeader"/>
              <w:jc w:val="both"/>
            </w:pPr>
            <w:r>
              <w:t>Contract</w:t>
            </w:r>
          </w:p>
        </w:tc>
        <w:tc>
          <w:tcPr>
            <w:tcW w:w="3240" w:type="dxa"/>
            <w:shd w:val="clear" w:color="auto" w:fill="D9D9D9" w:themeFill="background1" w:themeFillShade="D9"/>
            <w:tcMar>
              <w:top w:w="100" w:type="dxa"/>
              <w:left w:w="100" w:type="dxa"/>
              <w:bottom w:w="100" w:type="dxa"/>
              <w:right w:w="100" w:type="dxa"/>
            </w:tcMar>
          </w:tcPr>
          <w:p w14:paraId="000000B9" w14:textId="000000BA" w:rsidR="000B0F63" w:rsidRDefault="00C05D22" w:rsidP="00E40261">
            <w:pPr>
              <w:pStyle w:val="TableHeader"/>
              <w:jc w:val="both"/>
            </w:pPr>
            <w:r>
              <w:t>End date</w:t>
            </w:r>
          </w:p>
        </w:tc>
        <w:tc>
          <w:tcPr>
            <w:tcW w:w="3240" w:type="dxa"/>
            <w:shd w:val="clear" w:color="auto" w:fill="D9D9D9" w:themeFill="background1" w:themeFillShade="D9"/>
            <w:tcMar>
              <w:top w:w="100" w:type="dxa"/>
              <w:left w:w="100" w:type="dxa"/>
              <w:bottom w:w="100" w:type="dxa"/>
              <w:right w:w="100" w:type="dxa"/>
            </w:tcMar>
          </w:tcPr>
          <w:p w14:paraId="000000BB" w14:textId="000000BC" w:rsidR="000B0F63" w:rsidRDefault="00C05D22" w:rsidP="00E40261">
            <w:pPr>
              <w:pStyle w:val="TableHeader"/>
              <w:jc w:val="both"/>
            </w:pPr>
            <w:r>
              <w:t>What happens at expiry</w:t>
            </w:r>
          </w:p>
        </w:tc>
      </w:tr>
      <w:tr w:rsidR="009909BC" w14:paraId="684B9DEA" w14:textId="77777777" w:rsidTr="1524DEBB">
        <w:tc>
          <w:tcPr>
            <w:tcW w:w="3240" w:type="dxa"/>
            <w:tcMar>
              <w:top w:w="100" w:type="dxa"/>
              <w:left w:w="100" w:type="dxa"/>
              <w:bottom w:w="100" w:type="dxa"/>
              <w:right w:w="100" w:type="dxa"/>
            </w:tcMar>
          </w:tcPr>
          <w:p w14:paraId="000000BD" w14:textId="000000BE" w:rsidR="000B0F63" w:rsidRDefault="00C05D22" w:rsidP="00E40261">
            <w:pPr>
              <w:pStyle w:val="TableInfo"/>
              <w:jc w:val="both"/>
            </w:pPr>
            <w:r>
              <w:t xml:space="preserve">Reading </w:t>
            </w:r>
            <w:proofErr w:type="spellStart"/>
            <w:r>
              <w:t>datacentre</w:t>
            </w:r>
            <w:proofErr w:type="spellEnd"/>
            <w:r>
              <w:t xml:space="preserve"> (Centre Square)</w:t>
            </w:r>
          </w:p>
        </w:tc>
        <w:tc>
          <w:tcPr>
            <w:tcW w:w="3240" w:type="dxa"/>
            <w:tcMar>
              <w:top w:w="100" w:type="dxa"/>
              <w:left w:w="100" w:type="dxa"/>
              <w:bottom w:w="100" w:type="dxa"/>
              <w:right w:w="100" w:type="dxa"/>
            </w:tcMar>
          </w:tcPr>
          <w:p w14:paraId="000000BF" w14:textId="000000C0" w:rsidR="000B0F63" w:rsidRDefault="00C05D22" w:rsidP="00E40261">
            <w:pPr>
              <w:pStyle w:val="TableInfo"/>
              <w:jc w:val="both"/>
            </w:pPr>
            <w:r>
              <w:t>30 Nov 2027</w:t>
            </w:r>
          </w:p>
        </w:tc>
        <w:tc>
          <w:tcPr>
            <w:tcW w:w="3240" w:type="dxa"/>
            <w:tcMar>
              <w:top w:w="100" w:type="dxa"/>
              <w:left w:w="100" w:type="dxa"/>
              <w:bottom w:w="100" w:type="dxa"/>
              <w:right w:w="100" w:type="dxa"/>
            </w:tcMar>
          </w:tcPr>
          <w:p w14:paraId="000000C1" w14:textId="064F1186" w:rsidR="000B0F63" w:rsidRDefault="00C05D22" w:rsidP="00E40261">
            <w:pPr>
              <w:pStyle w:val="TableInfo"/>
              <w:jc w:val="both"/>
            </w:pPr>
            <w:r>
              <w:t xml:space="preserve">Renegotiation or exit. </w:t>
            </w:r>
            <w:r w:rsidR="00312BB7">
              <w:t>£</w:t>
            </w:r>
            <w:r>
              <w:t>386K/yr.</w:t>
            </w:r>
          </w:p>
        </w:tc>
      </w:tr>
      <w:tr w:rsidR="009909BC" w14:paraId="7EEE1632" w14:textId="77777777" w:rsidTr="1524DEBB">
        <w:tc>
          <w:tcPr>
            <w:tcW w:w="3240" w:type="dxa"/>
            <w:tcMar>
              <w:top w:w="100" w:type="dxa"/>
              <w:left w:w="100" w:type="dxa"/>
              <w:bottom w:w="100" w:type="dxa"/>
              <w:right w:w="100" w:type="dxa"/>
            </w:tcMar>
          </w:tcPr>
          <w:p w14:paraId="000000C3" w14:textId="000000C4" w:rsidR="000B0F63" w:rsidRDefault="00C05D22" w:rsidP="00E40261">
            <w:pPr>
              <w:pStyle w:val="TableInfo"/>
              <w:jc w:val="both"/>
            </w:pPr>
            <w:r>
              <w:t xml:space="preserve">Slough </w:t>
            </w:r>
            <w:proofErr w:type="spellStart"/>
            <w:r>
              <w:t>datacentre</w:t>
            </w:r>
            <w:proofErr w:type="spellEnd"/>
            <w:r>
              <w:t xml:space="preserve"> (Digital Realty)</w:t>
            </w:r>
          </w:p>
        </w:tc>
        <w:tc>
          <w:tcPr>
            <w:tcW w:w="3240" w:type="dxa"/>
            <w:tcMar>
              <w:top w:w="100" w:type="dxa"/>
              <w:left w:w="100" w:type="dxa"/>
              <w:bottom w:w="100" w:type="dxa"/>
              <w:right w:w="100" w:type="dxa"/>
            </w:tcMar>
          </w:tcPr>
          <w:p w14:paraId="000000C5" w14:textId="000000C6" w:rsidR="000B0F63" w:rsidRDefault="00C05D22" w:rsidP="00E40261">
            <w:pPr>
              <w:pStyle w:val="TableInfo"/>
              <w:jc w:val="both"/>
            </w:pPr>
            <w:r>
              <w:t>30 Nov 2027</w:t>
            </w:r>
          </w:p>
        </w:tc>
        <w:tc>
          <w:tcPr>
            <w:tcW w:w="3240" w:type="dxa"/>
            <w:tcMar>
              <w:top w:w="100" w:type="dxa"/>
              <w:left w:w="100" w:type="dxa"/>
              <w:bottom w:w="100" w:type="dxa"/>
              <w:right w:w="100" w:type="dxa"/>
            </w:tcMar>
          </w:tcPr>
          <w:p w14:paraId="000000C7" w14:textId="54CBA288" w:rsidR="000B0F63" w:rsidRDefault="00C05D22" w:rsidP="00E40261">
            <w:pPr>
              <w:pStyle w:val="TableInfo"/>
              <w:jc w:val="both"/>
            </w:pPr>
            <w:r>
              <w:t xml:space="preserve">Renegotiation or exit. </w:t>
            </w:r>
            <w:r w:rsidR="00312BB7">
              <w:t>£</w:t>
            </w:r>
            <w:r>
              <w:t>338K/yr.</w:t>
            </w:r>
          </w:p>
        </w:tc>
      </w:tr>
      <w:tr w:rsidR="009909BC" w14:paraId="51D686BD" w14:textId="77777777" w:rsidTr="1524DEBB">
        <w:tc>
          <w:tcPr>
            <w:tcW w:w="3240" w:type="dxa"/>
            <w:tcMar>
              <w:top w:w="100" w:type="dxa"/>
              <w:left w:w="100" w:type="dxa"/>
              <w:bottom w:w="100" w:type="dxa"/>
              <w:right w:w="100" w:type="dxa"/>
            </w:tcMar>
          </w:tcPr>
          <w:p w14:paraId="000000C9" w14:textId="000000CA" w:rsidR="000B0F63" w:rsidRDefault="00C05D22" w:rsidP="00E40261">
            <w:pPr>
              <w:pStyle w:val="TableInfo"/>
              <w:jc w:val="both"/>
            </w:pPr>
            <w:r>
              <w:t xml:space="preserve">Sydney </w:t>
            </w:r>
            <w:proofErr w:type="spellStart"/>
            <w:r>
              <w:t>datacentre</w:t>
            </w:r>
            <w:proofErr w:type="spellEnd"/>
            <w:r>
              <w:t xml:space="preserve"> (Equinix)</w:t>
            </w:r>
          </w:p>
        </w:tc>
        <w:tc>
          <w:tcPr>
            <w:tcW w:w="3240" w:type="dxa"/>
            <w:tcMar>
              <w:top w:w="100" w:type="dxa"/>
              <w:left w:w="100" w:type="dxa"/>
              <w:bottom w:w="100" w:type="dxa"/>
              <w:right w:w="100" w:type="dxa"/>
            </w:tcMar>
          </w:tcPr>
          <w:p w14:paraId="000000CB" w14:textId="000000CC" w:rsidR="000B0F63" w:rsidRDefault="00C05D22" w:rsidP="00E40261">
            <w:pPr>
              <w:pStyle w:val="TableInfo"/>
              <w:jc w:val="both"/>
            </w:pPr>
            <w:r>
              <w:t>30 Jun 2028</w:t>
            </w:r>
          </w:p>
        </w:tc>
        <w:tc>
          <w:tcPr>
            <w:tcW w:w="3240" w:type="dxa"/>
            <w:tcMar>
              <w:top w:w="100" w:type="dxa"/>
              <w:left w:w="100" w:type="dxa"/>
              <w:bottom w:w="100" w:type="dxa"/>
              <w:right w:w="100" w:type="dxa"/>
            </w:tcMar>
          </w:tcPr>
          <w:p w14:paraId="000000CD" w14:textId="2F9A4A36" w:rsidR="000B0F63" w:rsidRDefault="00C05D22" w:rsidP="00E40261">
            <w:pPr>
              <w:pStyle w:val="TableInfo"/>
              <w:jc w:val="both"/>
            </w:pPr>
            <w:r>
              <w:t xml:space="preserve">Renegotiation or exit. Flexible contract. </w:t>
            </w:r>
            <w:r w:rsidR="00312BB7">
              <w:t>£</w:t>
            </w:r>
            <w:r>
              <w:t>40K/yr.</w:t>
            </w:r>
          </w:p>
        </w:tc>
      </w:tr>
      <w:tr w:rsidR="009909BC" w14:paraId="65BF2F92" w14:textId="77777777" w:rsidTr="1524DEBB">
        <w:tc>
          <w:tcPr>
            <w:tcW w:w="3240" w:type="dxa"/>
            <w:tcMar>
              <w:top w:w="100" w:type="dxa"/>
              <w:left w:w="100" w:type="dxa"/>
              <w:bottom w:w="100" w:type="dxa"/>
              <w:right w:w="100" w:type="dxa"/>
            </w:tcMar>
          </w:tcPr>
          <w:p w14:paraId="000000CF" w14:textId="000000D0" w:rsidR="000B0F63" w:rsidRDefault="00C05D22" w:rsidP="00E40261">
            <w:pPr>
              <w:pStyle w:val="TableInfo"/>
              <w:jc w:val="both"/>
            </w:pPr>
            <w:r>
              <w:t>Oracle 24x7 support</w:t>
            </w:r>
          </w:p>
        </w:tc>
        <w:tc>
          <w:tcPr>
            <w:tcW w:w="3240" w:type="dxa"/>
            <w:tcMar>
              <w:top w:w="100" w:type="dxa"/>
              <w:left w:w="100" w:type="dxa"/>
              <w:bottom w:w="100" w:type="dxa"/>
              <w:right w:w="100" w:type="dxa"/>
            </w:tcMar>
          </w:tcPr>
          <w:p w14:paraId="000000D1" w14:textId="000000D2" w:rsidR="000B0F63" w:rsidRDefault="00C05D22" w:rsidP="00E40261">
            <w:pPr>
              <w:pStyle w:val="TableInfo"/>
              <w:jc w:val="both"/>
            </w:pPr>
            <w:r>
              <w:t>Ongoing, perpetual</w:t>
            </w:r>
          </w:p>
        </w:tc>
        <w:tc>
          <w:tcPr>
            <w:tcW w:w="3240" w:type="dxa"/>
            <w:tcMar>
              <w:top w:w="100" w:type="dxa"/>
              <w:left w:w="100" w:type="dxa"/>
              <w:bottom w:w="100" w:type="dxa"/>
              <w:right w:w="100" w:type="dxa"/>
            </w:tcMar>
          </w:tcPr>
          <w:p w14:paraId="000000D3" w14:textId="000000D4" w:rsidR="000B0F63" w:rsidRDefault="00C05D22" w:rsidP="00E40261">
            <w:pPr>
              <w:pStyle w:val="TableInfo"/>
              <w:jc w:val="both"/>
            </w:pPr>
            <w:r>
              <w:t>Near one-way: reinstatement after drop costs 150% plus back-support for lapsed period.</w:t>
            </w:r>
          </w:p>
        </w:tc>
      </w:tr>
      <w:tr w:rsidR="009909BC" w14:paraId="552D7C3C" w14:textId="77777777" w:rsidTr="1524DEBB">
        <w:tc>
          <w:tcPr>
            <w:tcW w:w="3240" w:type="dxa"/>
            <w:tcMar>
              <w:top w:w="100" w:type="dxa"/>
              <w:left w:w="100" w:type="dxa"/>
              <w:bottom w:w="100" w:type="dxa"/>
              <w:right w:w="100" w:type="dxa"/>
            </w:tcMar>
          </w:tcPr>
          <w:p w14:paraId="000000D5" w14:textId="000000D6" w:rsidR="000B0F63" w:rsidRDefault="00C05D22" w:rsidP="00E40261">
            <w:pPr>
              <w:pStyle w:val="TableInfo"/>
              <w:jc w:val="both"/>
            </w:pPr>
            <w:r>
              <w:t>Microsoft Enterprise Agreement</w:t>
            </w:r>
          </w:p>
        </w:tc>
        <w:tc>
          <w:tcPr>
            <w:tcW w:w="3240" w:type="dxa"/>
            <w:tcMar>
              <w:top w:w="100" w:type="dxa"/>
              <w:left w:w="100" w:type="dxa"/>
              <w:bottom w:w="100" w:type="dxa"/>
              <w:right w:w="100" w:type="dxa"/>
            </w:tcMar>
          </w:tcPr>
          <w:p w14:paraId="000000D7" w14:textId="000000D8" w:rsidR="000B0F63" w:rsidRDefault="00C05D22" w:rsidP="00E40261">
            <w:pPr>
              <w:pStyle w:val="TableInfo"/>
              <w:jc w:val="both"/>
            </w:pPr>
            <w:r>
              <w:t>31 May 2027</w:t>
            </w:r>
          </w:p>
        </w:tc>
        <w:tc>
          <w:tcPr>
            <w:tcW w:w="3240" w:type="dxa"/>
            <w:tcMar>
              <w:top w:w="100" w:type="dxa"/>
              <w:left w:w="100" w:type="dxa"/>
              <w:bottom w:w="100" w:type="dxa"/>
              <w:right w:w="100" w:type="dxa"/>
            </w:tcMar>
          </w:tcPr>
          <w:p w14:paraId="000000D9" w14:textId="7A421DFD" w:rsidR="000B0F63" w:rsidRDefault="00C05D22" w:rsidP="00E40261">
            <w:pPr>
              <w:pStyle w:val="TableInfo"/>
              <w:jc w:val="both"/>
            </w:pPr>
            <w:r>
              <w:t xml:space="preserve">Renewal or move to MCA. </w:t>
            </w:r>
            <w:r w:rsidR="00312BB7">
              <w:t>£</w:t>
            </w:r>
            <w:r>
              <w:t xml:space="preserve">137K/yr Windows, </w:t>
            </w:r>
            <w:r w:rsidR="00312BB7">
              <w:t>£</w:t>
            </w:r>
            <w:r>
              <w:t>119K/yr SQL.</w:t>
            </w:r>
          </w:p>
        </w:tc>
      </w:tr>
      <w:tr w:rsidR="009909BC" w14:paraId="34A230D1" w14:textId="77777777" w:rsidTr="1524DEBB">
        <w:tc>
          <w:tcPr>
            <w:tcW w:w="3240" w:type="dxa"/>
            <w:tcMar>
              <w:top w:w="100" w:type="dxa"/>
              <w:left w:w="100" w:type="dxa"/>
              <w:bottom w:w="100" w:type="dxa"/>
              <w:right w:w="100" w:type="dxa"/>
            </w:tcMar>
          </w:tcPr>
          <w:p w14:paraId="000000DB" w14:textId="000000DC" w:rsidR="000B0F63" w:rsidRDefault="00C05D22" w:rsidP="00E40261">
            <w:pPr>
              <w:pStyle w:val="TableInfo"/>
              <w:jc w:val="both"/>
            </w:pPr>
            <w:r w:rsidRPr="1524DEBB">
              <w:rPr>
                <w:lang w:val="en-GB"/>
              </w:rPr>
              <w:t xml:space="preserve">Microsoft </w:t>
            </w:r>
            <w:proofErr w:type="spellStart"/>
            <w:r w:rsidRPr="1524DEBB">
              <w:rPr>
                <w:lang w:val="en-GB"/>
              </w:rPr>
              <w:t>Bluesource</w:t>
            </w:r>
            <w:proofErr w:type="spellEnd"/>
            <w:r w:rsidRPr="1524DEBB">
              <w:rPr>
                <w:lang w:val="en-GB"/>
              </w:rPr>
              <w:t xml:space="preserve"> support</w:t>
            </w:r>
          </w:p>
        </w:tc>
        <w:tc>
          <w:tcPr>
            <w:tcW w:w="3240" w:type="dxa"/>
            <w:tcMar>
              <w:top w:w="100" w:type="dxa"/>
              <w:left w:w="100" w:type="dxa"/>
              <w:bottom w:w="100" w:type="dxa"/>
              <w:right w:w="100" w:type="dxa"/>
            </w:tcMar>
          </w:tcPr>
          <w:p w14:paraId="000000DD" w14:textId="000000DE" w:rsidR="000B0F63" w:rsidRDefault="00C05D22" w:rsidP="00E40261">
            <w:pPr>
              <w:pStyle w:val="TableInfo"/>
              <w:jc w:val="both"/>
            </w:pPr>
            <w:r>
              <w:t>10 Oct 2027</w:t>
            </w:r>
          </w:p>
        </w:tc>
        <w:tc>
          <w:tcPr>
            <w:tcW w:w="3240" w:type="dxa"/>
            <w:tcMar>
              <w:top w:w="100" w:type="dxa"/>
              <w:left w:w="100" w:type="dxa"/>
              <w:bottom w:w="100" w:type="dxa"/>
              <w:right w:w="100" w:type="dxa"/>
            </w:tcMar>
          </w:tcPr>
          <w:p w14:paraId="000000DF" w14:textId="7A33C193" w:rsidR="000B0F63" w:rsidRDefault="00C05D22" w:rsidP="00E40261">
            <w:pPr>
              <w:pStyle w:val="TableInfo"/>
              <w:jc w:val="both"/>
            </w:pPr>
            <w:r>
              <w:t xml:space="preserve">Renewal or replacement. </w:t>
            </w:r>
            <w:r w:rsidR="00312BB7">
              <w:t>£</w:t>
            </w:r>
            <w:r>
              <w:t>80K/yr.</w:t>
            </w:r>
          </w:p>
        </w:tc>
      </w:tr>
      <w:tr w:rsidR="009909BC" w14:paraId="5F5ADCBD" w14:textId="77777777" w:rsidTr="1524DEBB">
        <w:tc>
          <w:tcPr>
            <w:tcW w:w="3240" w:type="dxa"/>
            <w:tcMar>
              <w:top w:w="100" w:type="dxa"/>
              <w:left w:w="100" w:type="dxa"/>
              <w:bottom w:w="100" w:type="dxa"/>
              <w:right w:w="100" w:type="dxa"/>
            </w:tcMar>
          </w:tcPr>
          <w:p w14:paraId="000000E1" w14:textId="000000E2" w:rsidR="000B0F63" w:rsidRDefault="00C05D22" w:rsidP="00E40261">
            <w:pPr>
              <w:pStyle w:val="TableInfo"/>
              <w:jc w:val="both"/>
            </w:pPr>
            <w:r>
              <w:t>Broadcom VMware support and subscription</w:t>
            </w:r>
          </w:p>
        </w:tc>
        <w:tc>
          <w:tcPr>
            <w:tcW w:w="3240" w:type="dxa"/>
            <w:tcMar>
              <w:top w:w="100" w:type="dxa"/>
              <w:left w:w="100" w:type="dxa"/>
              <w:bottom w:w="100" w:type="dxa"/>
              <w:right w:w="100" w:type="dxa"/>
            </w:tcMar>
          </w:tcPr>
          <w:p w14:paraId="000000E3" w14:textId="000000E4" w:rsidR="000B0F63" w:rsidRDefault="00C05D22" w:rsidP="00E40261">
            <w:pPr>
              <w:pStyle w:val="TableInfo"/>
              <w:jc w:val="both"/>
            </w:pPr>
            <w:r>
              <w:t>Expired / expiring</w:t>
            </w:r>
          </w:p>
        </w:tc>
        <w:tc>
          <w:tcPr>
            <w:tcW w:w="3240" w:type="dxa"/>
            <w:tcMar>
              <w:top w:w="100" w:type="dxa"/>
              <w:left w:w="100" w:type="dxa"/>
              <w:bottom w:w="100" w:type="dxa"/>
              <w:right w:w="100" w:type="dxa"/>
            </w:tcMar>
          </w:tcPr>
          <w:p w14:paraId="000000E5" w14:textId="000000E6" w:rsidR="000B0F63" w:rsidRDefault="00C05D22" w:rsidP="00E40261">
            <w:pPr>
              <w:pStyle w:val="TableInfo"/>
              <w:jc w:val="both"/>
            </w:pPr>
            <w:r>
              <w:t>See Broadcom position below.</w:t>
            </w:r>
          </w:p>
        </w:tc>
      </w:tr>
    </w:tbl>
    <w:p w14:paraId="000000E7" w14:textId="000000E8" w:rsidR="000B0F63" w:rsidRDefault="00C05D22" w:rsidP="00E40261">
      <w:pPr>
        <w:jc w:val="both"/>
      </w:pPr>
      <w:r>
        <w:t>Every contract in this table renews or expires within a two-year window. Extending any of them independently re-locks capital for another period. Co-ordinating exit reduces compounding sunk cost commitments and preserves the option value of a cloud migration.</w:t>
      </w:r>
    </w:p>
    <w:p w14:paraId="000000E9" w14:textId="000000EA" w:rsidR="000B0F63" w:rsidRDefault="1BAB210A" w:rsidP="00E40261">
      <w:pPr>
        <w:pStyle w:val="Heading3"/>
        <w:jc w:val="both"/>
      </w:pPr>
      <w:bookmarkStart w:id="104" w:name="_Toc127"/>
      <w:bookmarkStart w:id="105" w:name="_Toc227770908"/>
      <w:r>
        <w:t xml:space="preserve">Broadcom VMware perpetual </w:t>
      </w:r>
      <w:commentRangeStart w:id="106"/>
      <w:r>
        <w:t>licence</w:t>
      </w:r>
      <w:commentRangeEnd w:id="106"/>
      <w:r w:rsidR="0013556A">
        <w:rPr>
          <w:rStyle w:val="CommentReference"/>
          <w:sz w:val="28"/>
          <w:szCs w:val="28"/>
        </w:rPr>
        <w:commentReference w:id="106"/>
      </w:r>
      <w:r>
        <w:t xml:space="preserve"> position (KB Article 429208)</w:t>
      </w:r>
      <w:bookmarkEnd w:id="104"/>
      <w:bookmarkEnd w:id="105"/>
    </w:p>
    <w:p w14:paraId="30AEE3EB" w14:textId="77777777" w:rsidR="00134D2B" w:rsidRDefault="00C05D22" w:rsidP="00E40261">
      <w:pPr>
        <w:jc w:val="both"/>
      </w:pPr>
      <w:r>
        <w:t>Since Broadcom acquired VMware, the licensing model has changed. You hold perpetual VMware licences with Support and Subscription (</w:t>
      </w:r>
      <w:proofErr w:type="spellStart"/>
      <w:r>
        <w:t>SnS</w:t>
      </w:r>
      <w:proofErr w:type="spellEnd"/>
      <w:r>
        <w:t xml:space="preserve">) that has expired or is expiring. </w:t>
      </w:r>
    </w:p>
    <w:p w14:paraId="000000EB" w14:textId="321026D7" w:rsidR="000B0F63" w:rsidRDefault="00C05D22" w:rsidP="00E40261">
      <w:pPr>
        <w:jc w:val="both"/>
      </w:pPr>
      <w:r>
        <w:t>This creates a specific risk profile:</w:t>
      </w:r>
    </w:p>
    <w:p w14:paraId="000000ED" w14:textId="000000EE" w:rsidR="000B0F63" w:rsidRDefault="1BAB210A" w:rsidP="00E40261">
      <w:pPr>
        <w:pStyle w:val="Heading4"/>
        <w:jc w:val="both"/>
      </w:pPr>
      <w:bookmarkStart w:id="108" w:name="_Toc227770909"/>
      <w:r>
        <w:t>What continues to work</w:t>
      </w:r>
      <w:bookmarkEnd w:id="108"/>
    </w:p>
    <w:p w14:paraId="000000EF" w14:textId="000000F0" w:rsidR="000B0F63" w:rsidRDefault="00C05D22" w:rsidP="00EC2FA3">
      <w:pPr>
        <w:pStyle w:val="ListBullet"/>
        <w:numPr>
          <w:ilvl w:val="0"/>
          <w:numId w:val="6"/>
        </w:numPr>
        <w:spacing w:after="0"/>
        <w:jc w:val="both"/>
      </w:pPr>
      <w:proofErr w:type="spellStart"/>
      <w:r>
        <w:t>ESXi</w:t>
      </w:r>
      <w:proofErr w:type="spellEnd"/>
      <w:r>
        <w:t xml:space="preserve"> hosts and vCenter continue to operate normally</w:t>
      </w:r>
    </w:p>
    <w:p w14:paraId="000000F1" w14:textId="000000F2" w:rsidR="000B0F63" w:rsidRDefault="00C05D22" w:rsidP="00EC2FA3">
      <w:pPr>
        <w:pStyle w:val="ListBullet"/>
        <w:numPr>
          <w:ilvl w:val="0"/>
          <w:numId w:val="6"/>
        </w:numPr>
        <w:spacing w:after="0"/>
        <w:jc w:val="both"/>
      </w:pPr>
      <w:r>
        <w:t>No automated shutdown, all virtual machines remain powered on</w:t>
      </w:r>
    </w:p>
    <w:p w14:paraId="000000F3" w14:textId="000000F4" w:rsidR="000B0F63" w:rsidRDefault="00C05D22" w:rsidP="00EC2FA3">
      <w:pPr>
        <w:pStyle w:val="ListBullet"/>
        <w:numPr>
          <w:ilvl w:val="0"/>
          <w:numId w:val="6"/>
        </w:numPr>
        <w:spacing w:after="0"/>
        <w:jc w:val="both"/>
      </w:pPr>
      <w:r>
        <w:t xml:space="preserve">All management tasks </w:t>
      </w:r>
      <w:proofErr w:type="gramStart"/>
      <w:r>
        <w:t>functional</w:t>
      </w:r>
      <w:proofErr w:type="gramEnd"/>
    </w:p>
    <w:p w14:paraId="000000F5" w14:textId="000000F6" w:rsidR="00134D2B" w:rsidRDefault="00C05D22" w:rsidP="00EC2FA3">
      <w:pPr>
        <w:pStyle w:val="ListBullet"/>
        <w:numPr>
          <w:ilvl w:val="0"/>
          <w:numId w:val="6"/>
        </w:numPr>
        <w:jc w:val="both"/>
      </w:pPr>
      <w:r>
        <w:t xml:space="preserve">All features entitled by the current </w:t>
      </w:r>
      <w:proofErr w:type="spellStart"/>
      <w:r>
        <w:t>licence</w:t>
      </w:r>
      <w:proofErr w:type="spellEnd"/>
      <w:r>
        <w:t xml:space="preserve"> edition remain unlocked</w:t>
      </w:r>
    </w:p>
    <w:p w14:paraId="000000F7" w14:textId="000000F8" w:rsidR="000B0F63" w:rsidRDefault="1BAB210A" w:rsidP="00E40261">
      <w:pPr>
        <w:pStyle w:val="Heading4"/>
        <w:jc w:val="both"/>
      </w:pPr>
      <w:bookmarkStart w:id="109" w:name="_Toc227770910"/>
      <w:r>
        <w:t>What stops working</w:t>
      </w:r>
      <w:bookmarkEnd w:id="109"/>
    </w:p>
    <w:p w14:paraId="000000F9" w14:textId="000000FA" w:rsidR="000B0F63" w:rsidRDefault="00C05D22" w:rsidP="00EC2FA3">
      <w:pPr>
        <w:pStyle w:val="ListBullet"/>
        <w:numPr>
          <w:ilvl w:val="0"/>
          <w:numId w:val="7"/>
        </w:numPr>
        <w:spacing w:after="0"/>
        <w:jc w:val="both"/>
      </w:pPr>
      <w:r>
        <w:t>No access to the Broadcom Support Portal for patches, security updates, or version releases</w:t>
      </w:r>
    </w:p>
    <w:p w14:paraId="000000FB" w14:textId="000000FC" w:rsidR="000B0F63" w:rsidRDefault="00C05D22" w:rsidP="00EC2FA3">
      <w:pPr>
        <w:pStyle w:val="ListBullet"/>
        <w:numPr>
          <w:ilvl w:val="0"/>
          <w:numId w:val="7"/>
        </w:numPr>
        <w:spacing w:after="0"/>
        <w:jc w:val="both"/>
      </w:pPr>
      <w:r>
        <w:t>No ability to open support requests</w:t>
      </w:r>
    </w:p>
    <w:p w14:paraId="000000FD" w14:textId="000000FE" w:rsidR="000B0F63" w:rsidRDefault="00C05D22" w:rsidP="00EC2FA3">
      <w:pPr>
        <w:pStyle w:val="ListBullet"/>
        <w:numPr>
          <w:ilvl w:val="0"/>
          <w:numId w:val="7"/>
        </w:numPr>
        <w:spacing w:after="0"/>
        <w:jc w:val="both"/>
      </w:pPr>
      <w:r>
        <w:t xml:space="preserve">Security posture degrades over time because patches cannot be retrieved. Multiple </w:t>
      </w:r>
      <w:proofErr w:type="gramStart"/>
      <w:r>
        <w:t>actively-exploited</w:t>
      </w:r>
      <w:proofErr w:type="gramEnd"/>
      <w:r>
        <w:t xml:space="preserve"> zero-day vulnerabilities in VMware </w:t>
      </w:r>
      <w:proofErr w:type="spellStart"/>
      <w:r>
        <w:t>ESXi</w:t>
      </w:r>
      <w:proofErr w:type="spellEnd"/>
      <w:r>
        <w:t xml:space="preserve"> and Workstation have been disclosed in 2025 (CVE-2025-22224, CVE-2025-22225, CVE-2025-22226). DMG Media's ability to patch against </w:t>
      </w:r>
      <w:proofErr w:type="gramStart"/>
      <w:r>
        <w:t>newly-disclosed</w:t>
      </w:r>
      <w:proofErr w:type="gramEnd"/>
      <w:r>
        <w:t xml:space="preserve"> VMware CVEs depends on an active </w:t>
      </w:r>
      <w:proofErr w:type="spellStart"/>
      <w:r>
        <w:t>SnS</w:t>
      </w:r>
      <w:proofErr w:type="spellEnd"/>
      <w:r>
        <w:t xml:space="preserve"> contract, which is not currently in place.</w:t>
      </w:r>
    </w:p>
    <w:p w14:paraId="000000FF" w14:textId="00000100" w:rsidR="000B0F63" w:rsidRDefault="00C05D22" w:rsidP="00EC2FA3">
      <w:pPr>
        <w:pStyle w:val="ListBullet"/>
        <w:numPr>
          <w:ilvl w:val="0"/>
          <w:numId w:val="7"/>
        </w:numPr>
        <w:spacing w:after="0"/>
        <w:jc w:val="both"/>
      </w:pPr>
      <w:r>
        <w:t xml:space="preserve">No new </w:t>
      </w:r>
      <w:proofErr w:type="spellStart"/>
      <w:r>
        <w:t>ESXi</w:t>
      </w:r>
      <w:proofErr w:type="spellEnd"/>
      <w:r>
        <w:t xml:space="preserve"> hosts can be added to the environment</w:t>
      </w:r>
    </w:p>
    <w:p w14:paraId="00000101" w14:textId="00000102" w:rsidR="000B0F63" w:rsidRDefault="00C05D22" w:rsidP="00EC2FA3">
      <w:pPr>
        <w:pStyle w:val="ListBullet"/>
        <w:numPr>
          <w:ilvl w:val="0"/>
          <w:numId w:val="7"/>
        </w:numPr>
        <w:spacing w:after="0"/>
        <w:jc w:val="both"/>
      </w:pPr>
      <w:r>
        <w:t xml:space="preserve">No major version upgrades without active </w:t>
      </w:r>
      <w:proofErr w:type="spellStart"/>
      <w:r>
        <w:t>SnS</w:t>
      </w:r>
      <w:proofErr w:type="spellEnd"/>
    </w:p>
    <w:p w14:paraId="00000103" w14:textId="00000104" w:rsidR="000B0F63" w:rsidRDefault="00C05D22" w:rsidP="00EC2FA3">
      <w:pPr>
        <w:pStyle w:val="ListParagraph"/>
        <w:numPr>
          <w:ilvl w:val="0"/>
          <w:numId w:val="7"/>
        </w:numPr>
        <w:spacing w:after="0"/>
        <w:jc w:val="both"/>
      </w:pPr>
      <w:r>
        <w:t>Broadcom has ended perpetual licensing for new purchases. If you ever need to expand or upgrade, the only path is VCF subscription licensing. This is not a scare tactic; it is a factual description of where the VMware estate sits today.</w:t>
      </w:r>
    </w:p>
    <w:p w14:paraId="00000105" w14:textId="00000106" w:rsidR="000B0F63" w:rsidRDefault="00C05D22" w:rsidP="00EC2FA3">
      <w:pPr>
        <w:pStyle w:val="InsetText"/>
        <w:numPr>
          <w:ilvl w:val="0"/>
          <w:numId w:val="7"/>
        </w:numPr>
        <w:jc w:val="both"/>
      </w:pPr>
      <w:r>
        <w:t xml:space="preserve">[PENDING: indicative VCF subscription pricing for DMG's estate size, for use in the Complete View in </w:t>
      </w:r>
      <w:commentRangeStart w:id="110"/>
      <w:r>
        <w:t>Section</w:t>
      </w:r>
      <w:commentRangeEnd w:id="110"/>
      <w:r w:rsidR="0048637E">
        <w:rPr>
          <w:rStyle w:val="CommentReference"/>
          <w:sz w:val="22"/>
          <w:szCs w:val="22"/>
        </w:rPr>
        <w:commentReference w:id="110"/>
      </w:r>
      <w:r>
        <w:t xml:space="preserve"> 5.]</w:t>
      </w:r>
    </w:p>
    <w:p w14:paraId="00000107" w14:textId="00000108" w:rsidR="000B0F63" w:rsidRDefault="1BAB210A" w:rsidP="00E40261">
      <w:pPr>
        <w:pStyle w:val="Heading3"/>
        <w:jc w:val="both"/>
      </w:pPr>
      <w:bookmarkStart w:id="111" w:name="_Toc128"/>
      <w:bookmarkStart w:id="112" w:name="_Toc227770911"/>
      <w:r>
        <w:t>Operational fragmentation</w:t>
      </w:r>
      <w:bookmarkEnd w:id="111"/>
      <w:bookmarkEnd w:id="112"/>
    </w:p>
    <w:p w14:paraId="00000109" w14:textId="0000010A" w:rsidR="000B0F63" w:rsidRDefault="00C05D22" w:rsidP="00E40261">
      <w:pPr>
        <w:jc w:val="both"/>
      </w:pPr>
      <w:r>
        <w:t xml:space="preserve">170 technology staff across seven operating areas, running different tooling, processes, and standards, </w:t>
      </w:r>
      <w:commentRangeStart w:id="113"/>
      <w:r>
        <w:t xml:space="preserve">is not just an organisational problem. It actively limits </w:t>
      </w:r>
      <w:commentRangeEnd w:id="113"/>
      <w:r w:rsidR="007A2B75">
        <w:rPr>
          <w:rStyle w:val="CommentReference"/>
          <w:sz w:val="22"/>
          <w:szCs w:val="22"/>
        </w:rPr>
        <w:commentReference w:id="113"/>
      </w:r>
      <w:r>
        <w:t xml:space="preserve">what can be done operationally. </w:t>
      </w:r>
      <w:commentRangeStart w:id="114"/>
      <w:r>
        <w:t xml:space="preserve">During discovery, we saw several distinct access patterns (different credential stores, approval chains, and documentation maturity) across business areas and server types. </w:t>
      </w:r>
      <w:commentRangeEnd w:id="114"/>
      <w:r w:rsidR="006F79AD">
        <w:rPr>
          <w:rStyle w:val="CommentReference"/>
          <w:sz w:val="22"/>
          <w:szCs w:val="22"/>
        </w:rPr>
        <w:commentReference w:id="114"/>
      </w:r>
      <w:r>
        <w:t>Without a consistent control plane, the cost of any change is amplified across brands.</w:t>
      </w:r>
    </w:p>
    <w:p w14:paraId="0000010B" w14:textId="0000010C" w:rsidR="000B0F63" w:rsidRDefault="00C05D22" w:rsidP="00E40261">
      <w:pPr>
        <w:jc w:val="both"/>
      </w:pPr>
      <w:r>
        <w:t>Public cloud gives you a single control plane by default. That is the platform condition for the standardisation, automation, and cost discipline DMG Media's business drivers require.</w:t>
      </w:r>
    </w:p>
    <w:p w14:paraId="0000010D" w14:textId="0000010E" w:rsidR="000B0F63" w:rsidRDefault="1BAB210A" w:rsidP="00E40261">
      <w:pPr>
        <w:pStyle w:val="Heading2"/>
        <w:jc w:val="both"/>
      </w:pPr>
      <w:bookmarkStart w:id="115" w:name="_Toc129"/>
      <w:bookmarkStart w:id="116" w:name="_Toc227770912"/>
      <w:r>
        <w:t>The Financial Case</w:t>
      </w:r>
      <w:bookmarkEnd w:id="115"/>
      <w:bookmarkEnd w:id="116"/>
    </w:p>
    <w:p w14:paraId="62B952C2" w14:textId="77777777" w:rsidR="00A3328E" w:rsidRDefault="00C05D22" w:rsidP="00E40261">
      <w:pPr>
        <w:jc w:val="both"/>
      </w:pPr>
      <w:r>
        <w:t xml:space="preserve">The on-premises estate runs on capital expenditure. Hardware is bought, depreciated, and refreshed on a cycle. </w:t>
      </w:r>
    </w:p>
    <w:p w14:paraId="0000010F" w14:textId="5CE52964" w:rsidR="000B0F63" w:rsidRDefault="00C05D22" w:rsidP="00E40261">
      <w:pPr>
        <w:jc w:val="both"/>
      </w:pPr>
      <w:r>
        <w:t>Cloud runs on operational expenditure: payment follows consumption, month</w:t>
      </w:r>
      <w:r w:rsidR="00505B74">
        <w:t>-</w:t>
      </w:r>
      <w:r>
        <w:t>by</w:t>
      </w:r>
      <w:r w:rsidR="00505B74">
        <w:t>-</w:t>
      </w:r>
      <w:r>
        <w:t>month.</w:t>
      </w:r>
    </w:p>
    <w:p w14:paraId="00000111" w14:textId="396417FB" w:rsidR="000B0F63" w:rsidRDefault="00C05D22" w:rsidP="00E40261">
      <w:pPr>
        <w:jc w:val="both"/>
      </w:pPr>
      <w:commentRangeStart w:id="117"/>
      <w:r>
        <w:t xml:space="preserve">For a business with </w:t>
      </w:r>
      <w:r w:rsidR="00505B74">
        <w:t>demand based</w:t>
      </w:r>
      <w:r>
        <w:t xml:space="preserve"> traffic </w:t>
      </w:r>
      <w:r w:rsidR="00505B74">
        <w:t>patterns</w:t>
      </w:r>
      <w:r>
        <w:t xml:space="preserve"> (elections, breaking stories, sports events), </w:t>
      </w:r>
      <w:commentRangeEnd w:id="117"/>
      <w:r w:rsidR="004C5B14">
        <w:rPr>
          <w:rStyle w:val="CommentReference"/>
          <w:sz w:val="22"/>
          <w:szCs w:val="22"/>
        </w:rPr>
        <w:commentReference w:id="117"/>
      </w:r>
      <w:proofErr w:type="spellStart"/>
      <w:r>
        <w:t>OpEx</w:t>
      </w:r>
      <w:proofErr w:type="spellEnd"/>
      <w:r>
        <w:t xml:space="preserve"> is a better match. For a business targeting a Year 1 cost reduction, the timing advantage of </w:t>
      </w:r>
      <w:proofErr w:type="spellStart"/>
      <w:r>
        <w:t>OpEx</w:t>
      </w:r>
      <w:proofErr w:type="spellEnd"/>
      <w:r>
        <w:t xml:space="preserve"> matters: it is fully deductible in the period incurred, rather than recovered over asset life. And every pound not committed to the next hardware refresh is capital free to invest in content and subscriber growth.</w:t>
      </w:r>
    </w:p>
    <w:p w14:paraId="00000113" w14:textId="3E2D9CDE" w:rsidR="000B0F63" w:rsidRDefault="1BAB210A" w:rsidP="00E40261">
      <w:pPr>
        <w:pStyle w:val="Heading2"/>
        <w:jc w:val="both"/>
      </w:pPr>
      <w:bookmarkStart w:id="118" w:name="_Toc130"/>
      <w:bookmarkStart w:id="119" w:name="_Toc227770913"/>
      <w:r>
        <w:t xml:space="preserve">The </w:t>
      </w:r>
      <w:r w:rsidR="00384721">
        <w:t xml:space="preserve">1M </w:t>
      </w:r>
      <w:r>
        <w:t>Subscriber Ambition</w:t>
      </w:r>
      <w:bookmarkEnd w:id="118"/>
      <w:bookmarkEnd w:id="119"/>
    </w:p>
    <w:p w14:paraId="00000115" w14:textId="00000116" w:rsidR="000B0F63" w:rsidRDefault="00C05D22" w:rsidP="00E40261">
      <w:pPr>
        <w:jc w:val="both"/>
      </w:pPr>
      <w:commentRangeStart w:id="120"/>
      <w:r>
        <w:t>Your north star is one million Mail Online subscribers. Infrastructure that cannot scale elastically, and operational overhead that scales with headcount, both work against this ambition. A cloud platform removes the infrastructure constraint. The operating model changes described in Section 8 remove the operational one.</w:t>
      </w:r>
      <w:commentRangeEnd w:id="120"/>
      <w:r w:rsidR="00FD2463">
        <w:rPr>
          <w:rStyle w:val="CommentReference"/>
          <w:sz w:val="22"/>
          <w:szCs w:val="22"/>
        </w:rPr>
        <w:commentReference w:id="120"/>
      </w:r>
    </w:p>
    <w:p w14:paraId="00000117" w14:textId="00000118" w:rsidR="000B0F63" w:rsidRDefault="00C05D22" w:rsidP="00E40261">
      <w:pPr>
        <w:jc w:val="both"/>
      </w:pPr>
      <w:r>
        <w:br w:type="page"/>
      </w:r>
    </w:p>
    <w:p w14:paraId="00000119" w14:textId="0000011A" w:rsidR="000B0F63" w:rsidRDefault="1BAB210A" w:rsidP="00E40261">
      <w:pPr>
        <w:pStyle w:val="Heading1"/>
        <w:jc w:val="both"/>
      </w:pPr>
      <w:bookmarkStart w:id="121" w:name="_Toc131"/>
      <w:bookmarkStart w:id="122" w:name="_Toc227770914"/>
      <w:bookmarkStart w:id="123" w:name="_Toc227771408"/>
      <w:r>
        <w:t>Section 4: Your Estate</w:t>
      </w:r>
      <w:bookmarkEnd w:id="121"/>
      <w:bookmarkEnd w:id="122"/>
      <w:bookmarkEnd w:id="123"/>
    </w:p>
    <w:p w14:paraId="0000011B" w14:textId="0000011C" w:rsidR="000B0F63" w:rsidRDefault="1BAB210A" w:rsidP="00E40261">
      <w:pPr>
        <w:pStyle w:val="Heading2"/>
        <w:jc w:val="both"/>
      </w:pPr>
      <w:bookmarkStart w:id="124" w:name="_Toc132"/>
      <w:bookmarkStart w:id="125" w:name="_Toc227770915"/>
      <w:r>
        <w:t>What We Found</w:t>
      </w:r>
      <w:bookmarkEnd w:id="124"/>
      <w:bookmarkEnd w:id="125"/>
    </w:p>
    <w:p w14:paraId="0000011D" w14:textId="0000011E" w:rsidR="000B0F63" w:rsidRDefault="00C05D22" w:rsidP="00E40261">
      <w:pPr>
        <w:jc w:val="both"/>
      </w:pPr>
      <w:r>
        <w:t>This section plays back the discovery so you can recognise your own estate in this report. Where we see surprises or gaps, we flag them here rather than burying them.</w:t>
      </w:r>
    </w:p>
    <w:p w14:paraId="0000011F" w14:textId="00000120" w:rsidR="000B0F63" w:rsidRDefault="1BAB210A" w:rsidP="00E40261">
      <w:pPr>
        <w:pStyle w:val="Heading2"/>
        <w:jc w:val="both"/>
      </w:pPr>
      <w:bookmarkStart w:id="126" w:name="_Toc133"/>
      <w:bookmarkStart w:id="127" w:name="_Toc227770916"/>
      <w:r>
        <w:t>Headline Numbers</w:t>
      </w:r>
      <w:bookmarkEnd w:id="126"/>
      <w:bookmarkEnd w:id="127"/>
    </w:p>
    <w:tbl>
      <w:tblPr>
        <w:tblW w:w="9720" w:type="dxa"/>
        <w:tblCellMar>
          <w:top w:w="100" w:type="dxa"/>
          <w:left w:w="100" w:type="dxa"/>
          <w:bottom w:w="100" w:type="dxa"/>
          <w:right w:w="100" w:type="dxa"/>
        </w:tblCellMar>
        <w:tblLook w:val="04A0" w:firstRow="1" w:lastRow="0" w:firstColumn="1" w:lastColumn="0" w:noHBand="0" w:noVBand="1"/>
      </w:tblPr>
      <w:tblGrid>
        <w:gridCol w:w="3240"/>
        <w:gridCol w:w="2142"/>
        <w:gridCol w:w="4338"/>
      </w:tblGrid>
      <w:tr w:rsidR="00302E2E" w14:paraId="17AE70A8" w14:textId="77777777" w:rsidTr="1524DEBB">
        <w:tc>
          <w:tcPr>
            <w:tcW w:w="3240" w:type="dxa"/>
            <w:shd w:val="clear" w:color="auto" w:fill="D9D9D9" w:themeFill="background1" w:themeFillShade="D9"/>
            <w:tcMar>
              <w:top w:w="100" w:type="dxa"/>
              <w:left w:w="100" w:type="dxa"/>
              <w:bottom w:w="100" w:type="dxa"/>
              <w:right w:w="100" w:type="dxa"/>
            </w:tcMar>
            <w:vAlign w:val="center"/>
          </w:tcPr>
          <w:p w14:paraId="00000121" w14:textId="00000122" w:rsidR="000B0F63" w:rsidRDefault="00C05D22" w:rsidP="00460958">
            <w:pPr>
              <w:pStyle w:val="TableHeader"/>
              <w:jc w:val="center"/>
            </w:pPr>
            <w:r>
              <w:t>Dimension</w:t>
            </w:r>
          </w:p>
        </w:tc>
        <w:tc>
          <w:tcPr>
            <w:tcW w:w="2142" w:type="dxa"/>
            <w:shd w:val="clear" w:color="auto" w:fill="D9D9D9" w:themeFill="background1" w:themeFillShade="D9"/>
            <w:tcMar>
              <w:top w:w="100" w:type="dxa"/>
              <w:left w:w="100" w:type="dxa"/>
              <w:bottom w:w="100" w:type="dxa"/>
              <w:right w:w="100" w:type="dxa"/>
            </w:tcMar>
            <w:vAlign w:val="center"/>
          </w:tcPr>
          <w:p w14:paraId="00000123" w14:textId="00000124" w:rsidR="000B0F63" w:rsidRDefault="00C05D22" w:rsidP="00460958">
            <w:pPr>
              <w:pStyle w:val="TableHeader"/>
              <w:jc w:val="center"/>
            </w:pPr>
            <w:r>
              <w:t>Value</w:t>
            </w:r>
          </w:p>
        </w:tc>
        <w:tc>
          <w:tcPr>
            <w:tcW w:w="4338" w:type="dxa"/>
            <w:shd w:val="clear" w:color="auto" w:fill="D9D9D9" w:themeFill="background1" w:themeFillShade="D9"/>
            <w:tcMar>
              <w:top w:w="100" w:type="dxa"/>
              <w:left w:w="100" w:type="dxa"/>
              <w:bottom w:w="100" w:type="dxa"/>
              <w:right w:w="100" w:type="dxa"/>
            </w:tcMar>
            <w:vAlign w:val="center"/>
          </w:tcPr>
          <w:p w14:paraId="00000125" w14:textId="00000126" w:rsidR="000B0F63" w:rsidRDefault="00C05D22" w:rsidP="00460958">
            <w:pPr>
              <w:pStyle w:val="TableHeader"/>
              <w:jc w:val="center"/>
            </w:pPr>
            <w:r>
              <w:t>Note</w:t>
            </w:r>
          </w:p>
        </w:tc>
      </w:tr>
      <w:tr w:rsidR="00723435" w14:paraId="2D90B83B" w14:textId="77777777" w:rsidTr="1524DEBB">
        <w:tc>
          <w:tcPr>
            <w:tcW w:w="3240" w:type="dxa"/>
            <w:tcMar>
              <w:top w:w="100" w:type="dxa"/>
              <w:left w:w="100" w:type="dxa"/>
              <w:bottom w:w="100" w:type="dxa"/>
              <w:right w:w="100" w:type="dxa"/>
            </w:tcMar>
            <w:vAlign w:val="center"/>
          </w:tcPr>
          <w:p w14:paraId="00000127" w14:textId="00000128" w:rsidR="000B0F63" w:rsidRDefault="00C05D22" w:rsidP="00460958">
            <w:pPr>
              <w:pStyle w:val="TableInfo"/>
              <w:jc w:val="center"/>
            </w:pPr>
            <w:r>
              <w:t>Servers discovered (full estate)</w:t>
            </w:r>
          </w:p>
        </w:tc>
        <w:tc>
          <w:tcPr>
            <w:tcW w:w="2142" w:type="dxa"/>
            <w:tcMar>
              <w:top w:w="100" w:type="dxa"/>
              <w:left w:w="100" w:type="dxa"/>
              <w:bottom w:w="100" w:type="dxa"/>
              <w:right w:w="100" w:type="dxa"/>
            </w:tcMar>
            <w:vAlign w:val="center"/>
          </w:tcPr>
          <w:p w14:paraId="00000129" w14:textId="0000012A" w:rsidR="000B0F63" w:rsidRDefault="00C05D22" w:rsidP="00460958">
            <w:pPr>
              <w:pStyle w:val="TableInfo"/>
              <w:jc w:val="center"/>
            </w:pPr>
            <w:r>
              <w:t>4,500+</w:t>
            </w:r>
          </w:p>
        </w:tc>
        <w:tc>
          <w:tcPr>
            <w:tcW w:w="4338" w:type="dxa"/>
            <w:tcMar>
              <w:top w:w="100" w:type="dxa"/>
              <w:left w:w="100" w:type="dxa"/>
              <w:bottom w:w="100" w:type="dxa"/>
              <w:right w:w="100" w:type="dxa"/>
            </w:tcMar>
            <w:vAlign w:val="center"/>
          </w:tcPr>
          <w:p w14:paraId="0000012B" w14:textId="0000012C" w:rsidR="000B0F63" w:rsidRDefault="00C05D22" w:rsidP="00460958">
            <w:pPr>
              <w:pStyle w:val="TableInfo"/>
            </w:pPr>
            <w:r>
              <w:t>Across five infrastructure types</w:t>
            </w:r>
          </w:p>
        </w:tc>
      </w:tr>
      <w:tr w:rsidR="00723435" w14:paraId="4F9A9B6B" w14:textId="77777777" w:rsidTr="1524DEBB">
        <w:tc>
          <w:tcPr>
            <w:tcW w:w="3240" w:type="dxa"/>
            <w:tcMar>
              <w:top w:w="100" w:type="dxa"/>
              <w:left w:w="100" w:type="dxa"/>
              <w:bottom w:w="100" w:type="dxa"/>
              <w:right w:w="100" w:type="dxa"/>
            </w:tcMar>
            <w:vAlign w:val="center"/>
          </w:tcPr>
          <w:p w14:paraId="0000012D" w14:textId="0000012E" w:rsidR="000B0F63" w:rsidRDefault="00C05D22" w:rsidP="00460958">
            <w:pPr>
              <w:pStyle w:val="TableInfo"/>
              <w:jc w:val="center"/>
            </w:pPr>
            <w:r>
              <w:t>Servers in scope for Phase 1</w:t>
            </w:r>
          </w:p>
        </w:tc>
        <w:tc>
          <w:tcPr>
            <w:tcW w:w="2142" w:type="dxa"/>
            <w:tcMar>
              <w:top w:w="100" w:type="dxa"/>
              <w:left w:w="100" w:type="dxa"/>
              <w:bottom w:w="100" w:type="dxa"/>
              <w:right w:w="100" w:type="dxa"/>
            </w:tcMar>
            <w:vAlign w:val="center"/>
          </w:tcPr>
          <w:p w14:paraId="0000012F" w14:textId="00000130" w:rsidR="000B0F63" w:rsidRDefault="00C05D22" w:rsidP="00460958">
            <w:pPr>
              <w:pStyle w:val="TableInfo"/>
              <w:jc w:val="center"/>
            </w:pPr>
            <w:commentRangeStart w:id="128"/>
            <w:commentRangeStart w:id="129"/>
            <w:r>
              <w:t>3,038</w:t>
            </w:r>
            <w:commentRangeEnd w:id="128"/>
            <w:r w:rsidR="00E34DD5">
              <w:rPr>
                <w:rStyle w:val="CommentReference"/>
                <w:sz w:val="18"/>
                <w:szCs w:val="15"/>
              </w:rPr>
              <w:commentReference w:id="128"/>
            </w:r>
            <w:commentRangeEnd w:id="129"/>
            <w:r>
              <w:rPr>
                <w:rStyle w:val="CommentReference"/>
                <w:sz w:val="18"/>
                <w:szCs w:val="15"/>
              </w:rPr>
              <w:commentReference w:id="129"/>
            </w:r>
          </w:p>
        </w:tc>
        <w:tc>
          <w:tcPr>
            <w:tcW w:w="4338" w:type="dxa"/>
            <w:tcMar>
              <w:top w:w="100" w:type="dxa"/>
              <w:left w:w="100" w:type="dxa"/>
              <w:bottom w:w="100" w:type="dxa"/>
              <w:right w:w="100" w:type="dxa"/>
            </w:tcMar>
            <w:vAlign w:val="center"/>
          </w:tcPr>
          <w:p w14:paraId="00000131" w14:textId="00000132" w:rsidR="000B0F63" w:rsidRDefault="00C05D22" w:rsidP="00460958">
            <w:pPr>
              <w:pStyle w:val="TableInfo"/>
            </w:pPr>
            <w:r>
              <w:t>Priced and assessed</w:t>
            </w:r>
          </w:p>
        </w:tc>
      </w:tr>
      <w:tr w:rsidR="00723435" w14:paraId="0ABEF67C" w14:textId="77777777" w:rsidTr="1524DEBB">
        <w:tc>
          <w:tcPr>
            <w:tcW w:w="3240" w:type="dxa"/>
            <w:tcMar>
              <w:top w:w="100" w:type="dxa"/>
              <w:left w:w="100" w:type="dxa"/>
              <w:bottom w:w="100" w:type="dxa"/>
              <w:right w:w="100" w:type="dxa"/>
            </w:tcMar>
            <w:vAlign w:val="center"/>
          </w:tcPr>
          <w:p w14:paraId="00000133" w14:textId="00000134" w:rsidR="000B0F63" w:rsidRDefault="00C05D22" w:rsidP="00460958">
            <w:pPr>
              <w:pStyle w:val="TableInfo"/>
              <w:jc w:val="center"/>
            </w:pPr>
            <w:r>
              <w:t>Applications</w:t>
            </w:r>
          </w:p>
        </w:tc>
        <w:tc>
          <w:tcPr>
            <w:tcW w:w="2142" w:type="dxa"/>
            <w:tcMar>
              <w:top w:w="100" w:type="dxa"/>
              <w:left w:w="100" w:type="dxa"/>
              <w:bottom w:w="100" w:type="dxa"/>
              <w:right w:w="100" w:type="dxa"/>
            </w:tcMar>
            <w:vAlign w:val="center"/>
          </w:tcPr>
          <w:p w14:paraId="00000135" w14:textId="00000136" w:rsidR="000B0F63" w:rsidRDefault="00C05D22" w:rsidP="00460958">
            <w:pPr>
              <w:pStyle w:val="TableInfo"/>
              <w:jc w:val="center"/>
            </w:pPr>
            <w:r>
              <w:t>39</w:t>
            </w:r>
          </w:p>
        </w:tc>
        <w:tc>
          <w:tcPr>
            <w:tcW w:w="4338" w:type="dxa"/>
            <w:tcMar>
              <w:top w:w="100" w:type="dxa"/>
              <w:left w:w="100" w:type="dxa"/>
              <w:bottom w:w="100" w:type="dxa"/>
              <w:right w:w="100" w:type="dxa"/>
            </w:tcMar>
            <w:vAlign w:val="center"/>
          </w:tcPr>
          <w:p w14:paraId="00000137" w14:textId="00000138" w:rsidR="000B0F63" w:rsidRDefault="00C05D22" w:rsidP="00460958">
            <w:pPr>
              <w:pStyle w:val="TableInfo"/>
            </w:pPr>
            <w:r>
              <w:t>Plus 91 MOL sub-components as migration-planning units within Mail Online</w:t>
            </w:r>
          </w:p>
        </w:tc>
      </w:tr>
      <w:tr w:rsidR="00723435" w14:paraId="2F318796" w14:textId="77777777" w:rsidTr="1524DEBB">
        <w:tc>
          <w:tcPr>
            <w:tcW w:w="3240" w:type="dxa"/>
            <w:tcMar>
              <w:top w:w="100" w:type="dxa"/>
              <w:left w:w="100" w:type="dxa"/>
              <w:bottom w:w="100" w:type="dxa"/>
              <w:right w:w="100" w:type="dxa"/>
            </w:tcMar>
            <w:vAlign w:val="center"/>
          </w:tcPr>
          <w:p w14:paraId="00000139" w14:textId="0000013A" w:rsidR="000B0F63" w:rsidRDefault="00C05D22" w:rsidP="00460958">
            <w:pPr>
              <w:pStyle w:val="TableInfo"/>
              <w:jc w:val="center"/>
            </w:pPr>
            <w:r>
              <w:t>Infrastructure types</w:t>
            </w:r>
          </w:p>
        </w:tc>
        <w:tc>
          <w:tcPr>
            <w:tcW w:w="2142" w:type="dxa"/>
            <w:tcMar>
              <w:top w:w="100" w:type="dxa"/>
              <w:left w:w="100" w:type="dxa"/>
              <w:bottom w:w="100" w:type="dxa"/>
              <w:right w:w="100" w:type="dxa"/>
            </w:tcMar>
            <w:vAlign w:val="center"/>
          </w:tcPr>
          <w:p w14:paraId="0000013B" w14:textId="0000013C" w:rsidR="000B0F63" w:rsidRDefault="00C05D22" w:rsidP="00460958">
            <w:pPr>
              <w:pStyle w:val="TableInfo"/>
              <w:jc w:val="center"/>
            </w:pPr>
            <w:r>
              <w:t>5</w:t>
            </w:r>
          </w:p>
        </w:tc>
        <w:tc>
          <w:tcPr>
            <w:tcW w:w="4338" w:type="dxa"/>
            <w:tcMar>
              <w:top w:w="100" w:type="dxa"/>
              <w:left w:w="100" w:type="dxa"/>
              <w:bottom w:w="100" w:type="dxa"/>
              <w:right w:w="100" w:type="dxa"/>
            </w:tcMar>
            <w:vAlign w:val="center"/>
          </w:tcPr>
          <w:p w14:paraId="0000013D" w14:textId="0000013E" w:rsidR="000B0F63" w:rsidRDefault="1BAB210A" w:rsidP="00460958">
            <w:pPr>
              <w:pStyle w:val="TableInfo"/>
            </w:pPr>
            <w:r w:rsidRPr="1524DEBB">
              <w:rPr>
                <w:lang w:val="en-GB"/>
              </w:rPr>
              <w:t>VMware, Proxmox, physical, appliance, cloud</w:t>
            </w:r>
          </w:p>
        </w:tc>
      </w:tr>
      <w:tr w:rsidR="00723435" w14:paraId="58BA591C" w14:textId="77777777" w:rsidTr="1524DEBB">
        <w:tc>
          <w:tcPr>
            <w:tcW w:w="3240" w:type="dxa"/>
            <w:tcMar>
              <w:top w:w="100" w:type="dxa"/>
              <w:left w:w="100" w:type="dxa"/>
              <w:bottom w:w="100" w:type="dxa"/>
              <w:right w:w="100" w:type="dxa"/>
            </w:tcMar>
            <w:vAlign w:val="center"/>
          </w:tcPr>
          <w:p w14:paraId="0000013F" w14:textId="00000140" w:rsidR="000B0F63" w:rsidRDefault="00C05D22" w:rsidP="00460958">
            <w:pPr>
              <w:pStyle w:val="TableInfo"/>
              <w:jc w:val="center"/>
            </w:pPr>
            <w:r>
              <w:t xml:space="preserve">UK </w:t>
            </w:r>
            <w:proofErr w:type="spellStart"/>
            <w:r>
              <w:t>datacentres</w:t>
            </w:r>
            <w:proofErr w:type="spellEnd"/>
          </w:p>
        </w:tc>
        <w:tc>
          <w:tcPr>
            <w:tcW w:w="2142" w:type="dxa"/>
            <w:tcMar>
              <w:top w:w="100" w:type="dxa"/>
              <w:left w:w="100" w:type="dxa"/>
              <w:bottom w:w="100" w:type="dxa"/>
              <w:right w:w="100" w:type="dxa"/>
            </w:tcMar>
            <w:vAlign w:val="center"/>
          </w:tcPr>
          <w:p w14:paraId="00000141" w14:textId="00000142" w:rsidR="000B0F63" w:rsidRDefault="00C05D22" w:rsidP="00460958">
            <w:pPr>
              <w:pStyle w:val="TableInfo"/>
              <w:jc w:val="center"/>
            </w:pPr>
            <w:r>
              <w:t>2</w:t>
            </w:r>
          </w:p>
        </w:tc>
        <w:tc>
          <w:tcPr>
            <w:tcW w:w="4338" w:type="dxa"/>
            <w:tcMar>
              <w:top w:w="100" w:type="dxa"/>
              <w:left w:w="100" w:type="dxa"/>
              <w:bottom w:w="100" w:type="dxa"/>
              <w:right w:w="100" w:type="dxa"/>
            </w:tcMar>
            <w:vAlign w:val="center"/>
          </w:tcPr>
          <w:p w14:paraId="00000143" w14:textId="00000144" w:rsidR="000B0F63" w:rsidRDefault="00C05D22" w:rsidP="00460958">
            <w:pPr>
              <w:pStyle w:val="TableInfo"/>
            </w:pPr>
            <w:r>
              <w:t>Reading (Centre Square), Slough (Digital Realty)</w:t>
            </w:r>
          </w:p>
        </w:tc>
      </w:tr>
      <w:tr w:rsidR="00723435" w14:paraId="35EF358D" w14:textId="77777777" w:rsidTr="1524DEBB">
        <w:tc>
          <w:tcPr>
            <w:tcW w:w="3240" w:type="dxa"/>
            <w:tcMar>
              <w:top w:w="100" w:type="dxa"/>
              <w:left w:w="100" w:type="dxa"/>
              <w:bottom w:w="100" w:type="dxa"/>
              <w:right w:w="100" w:type="dxa"/>
            </w:tcMar>
            <w:vAlign w:val="center"/>
          </w:tcPr>
          <w:p w14:paraId="00000145" w14:textId="00000146" w:rsidR="000B0F63" w:rsidRDefault="00C05D22" w:rsidP="00460958">
            <w:pPr>
              <w:pStyle w:val="TableInfo"/>
              <w:jc w:val="center"/>
            </w:pPr>
            <w:r>
              <w:t xml:space="preserve">Overseas </w:t>
            </w:r>
            <w:proofErr w:type="spellStart"/>
            <w:r>
              <w:t>datacentre</w:t>
            </w:r>
            <w:proofErr w:type="spellEnd"/>
          </w:p>
        </w:tc>
        <w:tc>
          <w:tcPr>
            <w:tcW w:w="2142" w:type="dxa"/>
            <w:tcMar>
              <w:top w:w="100" w:type="dxa"/>
              <w:left w:w="100" w:type="dxa"/>
              <w:bottom w:w="100" w:type="dxa"/>
              <w:right w:w="100" w:type="dxa"/>
            </w:tcMar>
            <w:vAlign w:val="center"/>
          </w:tcPr>
          <w:p w14:paraId="00000147" w14:textId="00000148" w:rsidR="000B0F63" w:rsidRDefault="00C05D22" w:rsidP="00460958">
            <w:pPr>
              <w:pStyle w:val="TableInfo"/>
              <w:jc w:val="center"/>
            </w:pPr>
            <w:r>
              <w:t>1</w:t>
            </w:r>
          </w:p>
        </w:tc>
        <w:tc>
          <w:tcPr>
            <w:tcW w:w="4338" w:type="dxa"/>
            <w:tcMar>
              <w:top w:w="100" w:type="dxa"/>
              <w:left w:w="100" w:type="dxa"/>
              <w:bottom w:w="100" w:type="dxa"/>
              <w:right w:w="100" w:type="dxa"/>
            </w:tcMar>
            <w:vAlign w:val="center"/>
          </w:tcPr>
          <w:p w14:paraId="00000149" w14:textId="0000014A" w:rsidR="000B0F63" w:rsidRDefault="00C05D22" w:rsidP="00460958">
            <w:pPr>
              <w:pStyle w:val="TableInfo"/>
            </w:pPr>
            <w:r>
              <w:t>Sydney (Equinix), flexible contract</w:t>
            </w:r>
          </w:p>
        </w:tc>
      </w:tr>
      <w:tr w:rsidR="00723435" w14:paraId="2BD2EAD3" w14:textId="77777777" w:rsidTr="1524DEBB">
        <w:tc>
          <w:tcPr>
            <w:tcW w:w="3240" w:type="dxa"/>
            <w:tcMar>
              <w:top w:w="100" w:type="dxa"/>
              <w:left w:w="100" w:type="dxa"/>
              <w:bottom w:w="100" w:type="dxa"/>
              <w:right w:w="100" w:type="dxa"/>
            </w:tcMar>
            <w:vAlign w:val="center"/>
          </w:tcPr>
          <w:p w14:paraId="0000014B" w14:textId="0000014C" w:rsidR="000B0F63" w:rsidRDefault="00C05D22" w:rsidP="00460958">
            <w:pPr>
              <w:pStyle w:val="TableInfo"/>
              <w:jc w:val="center"/>
            </w:pPr>
            <w:r>
              <w:t>Discovery coverage</w:t>
            </w:r>
          </w:p>
        </w:tc>
        <w:tc>
          <w:tcPr>
            <w:tcW w:w="2142" w:type="dxa"/>
            <w:tcMar>
              <w:top w:w="100" w:type="dxa"/>
              <w:left w:w="100" w:type="dxa"/>
              <w:bottom w:w="100" w:type="dxa"/>
              <w:right w:w="100" w:type="dxa"/>
            </w:tcMar>
            <w:vAlign w:val="center"/>
          </w:tcPr>
          <w:p w14:paraId="0000014D" w14:textId="0000014E" w:rsidR="000B0F63" w:rsidRDefault="00C05D22" w:rsidP="00460958">
            <w:pPr>
              <w:pStyle w:val="TableInfo"/>
              <w:jc w:val="center"/>
            </w:pPr>
            <w:r>
              <w:t>100% of in-scope</w:t>
            </w:r>
          </w:p>
        </w:tc>
        <w:tc>
          <w:tcPr>
            <w:tcW w:w="4338" w:type="dxa"/>
            <w:tcMar>
              <w:top w:w="100" w:type="dxa"/>
              <w:left w:w="100" w:type="dxa"/>
              <w:bottom w:w="100" w:type="dxa"/>
              <w:right w:w="100" w:type="dxa"/>
            </w:tcMar>
            <w:vAlign w:val="center"/>
          </w:tcPr>
          <w:p w14:paraId="0000014F" w14:textId="00000150" w:rsidR="000B0F63" w:rsidRDefault="1BAB210A" w:rsidP="00460958">
            <w:pPr>
              <w:pStyle w:val="TableInfo"/>
            </w:pPr>
            <w:r w:rsidRPr="1524DEBB">
              <w:rPr>
                <w:lang w:val="en-GB"/>
              </w:rPr>
              <w:t xml:space="preserve">3,038 of 3,038 via Migration </w:t>
            </w:r>
            <w:proofErr w:type="spellStart"/>
            <w:r w:rsidRPr="1524DEBB">
              <w:rPr>
                <w:lang w:val="en-GB"/>
              </w:rPr>
              <w:t>Center</w:t>
            </w:r>
            <w:proofErr w:type="spellEnd"/>
            <w:r w:rsidRPr="1524DEBB">
              <w:rPr>
                <w:lang w:val="en-GB"/>
              </w:rPr>
              <w:t xml:space="preserve"> plus manual collection</w:t>
            </w:r>
          </w:p>
        </w:tc>
      </w:tr>
      <w:tr w:rsidR="00723435" w14:paraId="58A0D079" w14:textId="77777777" w:rsidTr="1524DEBB">
        <w:tc>
          <w:tcPr>
            <w:tcW w:w="3240" w:type="dxa"/>
            <w:tcMar>
              <w:top w:w="100" w:type="dxa"/>
              <w:left w:w="100" w:type="dxa"/>
              <w:bottom w:w="100" w:type="dxa"/>
              <w:right w:w="100" w:type="dxa"/>
            </w:tcMar>
            <w:vAlign w:val="center"/>
          </w:tcPr>
          <w:p w14:paraId="00000151" w14:textId="00000152" w:rsidR="000B0F63" w:rsidRDefault="00C05D22" w:rsidP="00460958">
            <w:pPr>
              <w:pStyle w:val="TableInfo"/>
              <w:jc w:val="center"/>
            </w:pPr>
            <w:r>
              <w:t>TCO data captured</w:t>
            </w:r>
          </w:p>
        </w:tc>
        <w:tc>
          <w:tcPr>
            <w:tcW w:w="2142" w:type="dxa"/>
            <w:tcMar>
              <w:top w:w="100" w:type="dxa"/>
              <w:left w:w="100" w:type="dxa"/>
              <w:bottom w:w="100" w:type="dxa"/>
              <w:right w:w="100" w:type="dxa"/>
            </w:tcMar>
            <w:vAlign w:val="center"/>
          </w:tcPr>
          <w:p w14:paraId="00000153" w14:textId="00000154" w:rsidR="000B0F63" w:rsidRDefault="00C05D22" w:rsidP="00460958">
            <w:pPr>
              <w:pStyle w:val="TableInfo"/>
              <w:jc w:val="center"/>
            </w:pPr>
            <w:r>
              <w:t>97.0%</w:t>
            </w:r>
          </w:p>
        </w:tc>
        <w:tc>
          <w:tcPr>
            <w:tcW w:w="4338" w:type="dxa"/>
            <w:tcMar>
              <w:top w:w="100" w:type="dxa"/>
              <w:left w:w="100" w:type="dxa"/>
              <w:bottom w:w="100" w:type="dxa"/>
              <w:right w:w="100" w:type="dxa"/>
            </w:tcMar>
            <w:vAlign w:val="center"/>
          </w:tcPr>
          <w:p w14:paraId="00000155" w14:textId="00000156" w:rsidR="000B0F63" w:rsidRDefault="00C05D22" w:rsidP="00460958">
            <w:pPr>
              <w:pStyle w:val="TableInfo"/>
            </w:pPr>
            <w:r>
              <w:t>Strong. Sufficient for pricing.</w:t>
            </w:r>
          </w:p>
        </w:tc>
      </w:tr>
      <w:tr w:rsidR="00723435" w14:paraId="18DBF224" w14:textId="77777777" w:rsidTr="1524DEBB">
        <w:tc>
          <w:tcPr>
            <w:tcW w:w="3240" w:type="dxa"/>
            <w:tcMar>
              <w:top w:w="100" w:type="dxa"/>
              <w:left w:w="100" w:type="dxa"/>
              <w:bottom w:w="100" w:type="dxa"/>
              <w:right w:w="100" w:type="dxa"/>
            </w:tcMar>
            <w:vAlign w:val="center"/>
          </w:tcPr>
          <w:p w14:paraId="00000157" w14:textId="00000158" w:rsidR="000B0F63" w:rsidRDefault="00C05D22" w:rsidP="00460958">
            <w:pPr>
              <w:pStyle w:val="TableInfo"/>
              <w:jc w:val="center"/>
            </w:pPr>
            <w:r>
              <w:t>Network dependency mapping</w:t>
            </w:r>
          </w:p>
        </w:tc>
        <w:tc>
          <w:tcPr>
            <w:tcW w:w="2142" w:type="dxa"/>
            <w:tcMar>
              <w:top w:w="100" w:type="dxa"/>
              <w:left w:w="100" w:type="dxa"/>
              <w:bottom w:w="100" w:type="dxa"/>
              <w:right w:w="100" w:type="dxa"/>
            </w:tcMar>
            <w:vAlign w:val="center"/>
          </w:tcPr>
          <w:p w14:paraId="00000159" w14:textId="0000015A" w:rsidR="000B0F63" w:rsidRDefault="00C05D22" w:rsidP="00460958">
            <w:pPr>
              <w:pStyle w:val="TableInfo"/>
              <w:jc w:val="center"/>
            </w:pPr>
            <w:r>
              <w:t>27.7% coverage</w:t>
            </w:r>
          </w:p>
        </w:tc>
        <w:tc>
          <w:tcPr>
            <w:tcW w:w="4338" w:type="dxa"/>
            <w:tcMar>
              <w:top w:w="100" w:type="dxa"/>
              <w:left w:w="100" w:type="dxa"/>
              <w:bottom w:w="100" w:type="dxa"/>
              <w:right w:w="100" w:type="dxa"/>
            </w:tcMar>
            <w:vAlign w:val="center"/>
          </w:tcPr>
          <w:p w14:paraId="0000015B" w14:textId="0000015C" w:rsidR="000B0F63" w:rsidRDefault="00C05D22" w:rsidP="00460958">
            <w:pPr>
              <w:pStyle w:val="TableInfo"/>
            </w:pPr>
            <w:r>
              <w:t>2M+ total connections captured across servers where guest-level collection was possible</w:t>
            </w:r>
          </w:p>
        </w:tc>
      </w:tr>
      <w:tr w:rsidR="00723435" w14:paraId="107E82EB" w14:textId="77777777" w:rsidTr="1524DEBB">
        <w:tc>
          <w:tcPr>
            <w:tcW w:w="3240" w:type="dxa"/>
            <w:tcMar>
              <w:top w:w="100" w:type="dxa"/>
              <w:left w:w="100" w:type="dxa"/>
              <w:bottom w:w="100" w:type="dxa"/>
              <w:right w:w="100" w:type="dxa"/>
            </w:tcMar>
            <w:vAlign w:val="center"/>
          </w:tcPr>
          <w:p w14:paraId="0000015D" w14:textId="0000015E" w:rsidR="000B0F63" w:rsidRDefault="00C05D22" w:rsidP="00460958">
            <w:pPr>
              <w:pStyle w:val="TableInfo"/>
              <w:jc w:val="center"/>
            </w:pPr>
            <w:r>
              <w:t>Software inventory</w:t>
            </w:r>
          </w:p>
        </w:tc>
        <w:tc>
          <w:tcPr>
            <w:tcW w:w="2142" w:type="dxa"/>
            <w:tcMar>
              <w:top w:w="100" w:type="dxa"/>
              <w:left w:w="100" w:type="dxa"/>
              <w:bottom w:w="100" w:type="dxa"/>
              <w:right w:w="100" w:type="dxa"/>
            </w:tcMar>
            <w:vAlign w:val="center"/>
          </w:tcPr>
          <w:p w14:paraId="0000015F" w14:textId="00000160" w:rsidR="000B0F63" w:rsidRDefault="00C05D22" w:rsidP="00460958">
            <w:pPr>
              <w:pStyle w:val="TableInfo"/>
              <w:jc w:val="center"/>
            </w:pPr>
            <w:r>
              <w:t>51.5% coverage</w:t>
            </w:r>
          </w:p>
        </w:tc>
        <w:tc>
          <w:tcPr>
            <w:tcW w:w="4338" w:type="dxa"/>
            <w:tcMar>
              <w:top w:w="100" w:type="dxa"/>
              <w:left w:w="100" w:type="dxa"/>
              <w:bottom w:w="100" w:type="dxa"/>
              <w:right w:w="100" w:type="dxa"/>
            </w:tcMar>
            <w:vAlign w:val="center"/>
          </w:tcPr>
          <w:p w14:paraId="00000161" w14:textId="00000162" w:rsidR="000B0F63" w:rsidRDefault="1BAB210A" w:rsidP="00460958">
            <w:pPr>
              <w:pStyle w:val="TableInfo"/>
            </w:pPr>
            <w:r w:rsidRPr="1524DEBB">
              <w:rPr>
                <w:lang w:val="en-GB"/>
              </w:rPr>
              <w:t>Identifies key software on half the estate</w:t>
            </w:r>
          </w:p>
        </w:tc>
      </w:tr>
      <w:tr w:rsidR="00723435" w14:paraId="5C9552B5" w14:textId="77777777" w:rsidTr="1524DEBB">
        <w:tc>
          <w:tcPr>
            <w:tcW w:w="3240" w:type="dxa"/>
            <w:tcMar>
              <w:top w:w="100" w:type="dxa"/>
              <w:left w:w="100" w:type="dxa"/>
              <w:bottom w:w="100" w:type="dxa"/>
              <w:right w:w="100" w:type="dxa"/>
            </w:tcMar>
            <w:vAlign w:val="center"/>
          </w:tcPr>
          <w:p w14:paraId="00000163" w14:textId="00000164" w:rsidR="000B0F63" w:rsidRDefault="00C05D22" w:rsidP="00460958">
            <w:pPr>
              <w:pStyle w:val="TableInfo"/>
              <w:jc w:val="center"/>
            </w:pPr>
            <w:r>
              <w:t>Collection period</w:t>
            </w:r>
          </w:p>
        </w:tc>
        <w:tc>
          <w:tcPr>
            <w:tcW w:w="2142" w:type="dxa"/>
            <w:tcMar>
              <w:top w:w="100" w:type="dxa"/>
              <w:left w:w="100" w:type="dxa"/>
              <w:bottom w:w="100" w:type="dxa"/>
              <w:right w:w="100" w:type="dxa"/>
            </w:tcMar>
            <w:vAlign w:val="center"/>
          </w:tcPr>
          <w:p w14:paraId="00000165" w14:textId="00000166" w:rsidR="000B0F63" w:rsidRDefault="00C05D22" w:rsidP="00460958">
            <w:pPr>
              <w:pStyle w:val="TableInfo"/>
              <w:jc w:val="center"/>
            </w:pPr>
            <w:r>
              <w:t>5 weeks</w:t>
            </w:r>
          </w:p>
        </w:tc>
        <w:tc>
          <w:tcPr>
            <w:tcW w:w="4338" w:type="dxa"/>
            <w:tcMar>
              <w:top w:w="100" w:type="dxa"/>
              <w:left w:w="100" w:type="dxa"/>
              <w:bottom w:w="100" w:type="dxa"/>
              <w:right w:w="100" w:type="dxa"/>
            </w:tcMar>
            <w:vAlign w:val="center"/>
          </w:tcPr>
          <w:p w14:paraId="00000167" w14:textId="00000168" w:rsidR="000B0F63" w:rsidRDefault="00C05D22" w:rsidP="00460958">
            <w:pPr>
              <w:pStyle w:val="TableInfo"/>
            </w:pPr>
            <w:r>
              <w:t>19 February - 27 March 2026</w:t>
            </w:r>
          </w:p>
        </w:tc>
      </w:tr>
    </w:tbl>
    <w:p w14:paraId="1CB94B7B" w14:textId="77777777" w:rsidR="00460958" w:rsidRDefault="00460958" w:rsidP="00E40261">
      <w:pPr>
        <w:jc w:val="both"/>
      </w:pPr>
    </w:p>
    <w:p w14:paraId="00000169" w14:textId="4646946F" w:rsidR="000B0F63" w:rsidRDefault="00C05D22" w:rsidP="00E40261">
      <w:pPr>
        <w:jc w:val="both"/>
      </w:pPr>
      <w:r>
        <w:t>The coverage figures are a deliberate trade-off. Phase 1 achieved breadth (every in-scope server discovered) with moderate depth on software and network dependencies. The depth required for migration execution is a Phase 2 activity. We explain why in the discovery narrative below.</w:t>
      </w:r>
    </w:p>
    <w:p w14:paraId="0000016B" w14:textId="0000016C" w:rsidR="000B0F63" w:rsidRDefault="1BAB210A" w:rsidP="00E40261">
      <w:pPr>
        <w:pStyle w:val="Heading2"/>
        <w:jc w:val="both"/>
      </w:pPr>
      <w:bookmarkStart w:id="130" w:name="_Toc134"/>
      <w:bookmarkStart w:id="131" w:name="_Toc227770917"/>
      <w:r>
        <w:t>Database Landscape</w:t>
      </w:r>
      <w:bookmarkEnd w:id="130"/>
      <w:bookmarkEnd w:id="131"/>
    </w:p>
    <w:p w14:paraId="0000016D" w14:textId="0000016E" w:rsidR="000B0F63" w:rsidRDefault="00C05D22" w:rsidP="00E40261">
      <w:pPr>
        <w:jc w:val="both"/>
      </w:pPr>
      <w:r>
        <w:t>The database estate drives a disproportionate share of complexity and cost. You have:</w:t>
      </w:r>
    </w:p>
    <w:p w14:paraId="0000016F" w14:textId="4F551382" w:rsidR="000B0F63" w:rsidRDefault="00C05D22" w:rsidP="00EC2FA3">
      <w:pPr>
        <w:pStyle w:val="ListBullet"/>
        <w:numPr>
          <w:ilvl w:val="0"/>
          <w:numId w:val="8"/>
        </w:numPr>
        <w:jc w:val="both"/>
      </w:pPr>
      <w:r>
        <w:rPr>
          <w:b/>
          <w:bCs/>
        </w:rPr>
        <w:t xml:space="preserve">Oracle: </w:t>
      </w:r>
      <w:r w:rsidRPr="003F3BDB">
        <w:t xml:space="preserve">6 physical RAC servers across </w:t>
      </w:r>
      <w:commentRangeStart w:id="132"/>
      <w:r w:rsidRPr="003F3BDB">
        <w:t xml:space="preserve">4 clusters </w:t>
      </w:r>
      <w:commentRangeEnd w:id="132"/>
      <w:r w:rsidR="00F22866" w:rsidRPr="003F3BDB">
        <w:rPr>
          <w:rStyle w:val="CommentReference"/>
          <w:sz w:val="22"/>
          <w:szCs w:val="24"/>
        </w:rPr>
        <w:commentReference w:id="132"/>
      </w:r>
      <w:r w:rsidRPr="003F3BDB">
        <w:t>(</w:t>
      </w:r>
      <w:commentRangeStart w:id="133"/>
      <w:r w:rsidRPr="003F3BDB">
        <w:t xml:space="preserve">MOL A, MOL B, </w:t>
      </w:r>
      <w:proofErr w:type="spellStart"/>
      <w:r w:rsidRPr="003F3BDB">
        <w:t>Atex</w:t>
      </w:r>
      <w:proofErr w:type="spellEnd"/>
      <w:r w:rsidRPr="003F3BDB">
        <w:t>, CHP</w:t>
      </w:r>
      <w:commentRangeEnd w:id="133"/>
      <w:r w:rsidR="004E34F1" w:rsidRPr="003F3BDB">
        <w:rPr>
          <w:rStyle w:val="CommentReference"/>
          <w:sz w:val="22"/>
          <w:szCs w:val="24"/>
        </w:rPr>
        <w:commentReference w:id="133"/>
      </w:r>
      <w:r w:rsidRPr="003F3BDB">
        <w:t xml:space="preserve">), 24 processor </w:t>
      </w:r>
      <w:proofErr w:type="spellStart"/>
      <w:r w:rsidRPr="003F3BDB">
        <w:t>licences</w:t>
      </w:r>
      <w:proofErr w:type="spellEnd"/>
      <w:r w:rsidRPr="003F3BDB">
        <w:t xml:space="preserve"> (perpetual), annual support </w:t>
      </w:r>
      <w:r w:rsidR="00312BB7">
        <w:t>£</w:t>
      </w:r>
      <w:r w:rsidRPr="003F3BDB">
        <w:t xml:space="preserve">650K. Combined raw Oracle storage is approximately 540 TB. Actual data per cluster inventory is approximately 176 TB (around 96 TB production, 80 TB standby replica). </w:t>
      </w:r>
      <w:commentRangeStart w:id="134"/>
      <w:r w:rsidRPr="003F3BDB">
        <w:t>The remainder is ASM mirroring, redo and archive logs, and temp tablespaces.</w:t>
      </w:r>
      <w:commentRangeEnd w:id="134"/>
      <w:r w:rsidR="00995762">
        <w:rPr>
          <w:rStyle w:val="CommentReference"/>
          <w:sz w:val="22"/>
          <w:szCs w:val="24"/>
        </w:rPr>
        <w:commentReference w:id="134"/>
      </w:r>
    </w:p>
    <w:p w14:paraId="00000171" w14:textId="00000172" w:rsidR="000B0F63" w:rsidRDefault="00C05D22" w:rsidP="00EC2FA3">
      <w:pPr>
        <w:pStyle w:val="ListBullet"/>
        <w:numPr>
          <w:ilvl w:val="0"/>
          <w:numId w:val="8"/>
        </w:numPr>
        <w:jc w:val="both"/>
      </w:pPr>
      <w:r>
        <w:rPr>
          <w:b/>
          <w:bCs/>
        </w:rPr>
        <w:t xml:space="preserve">SQL Server: </w:t>
      </w:r>
      <w:commentRangeStart w:id="135"/>
      <w:r w:rsidRPr="003F3BDB">
        <w:t xml:space="preserve">49 instances </w:t>
      </w:r>
      <w:commentRangeEnd w:id="135"/>
      <w:r w:rsidR="001D40DB" w:rsidRPr="003F3BDB">
        <w:rPr>
          <w:rStyle w:val="CommentReference"/>
          <w:sz w:val="22"/>
          <w:szCs w:val="24"/>
        </w:rPr>
        <w:commentReference w:id="135"/>
      </w:r>
      <w:r w:rsidRPr="003F3BDB">
        <w:t xml:space="preserve">across 29 hosts, 252 cores, 185 databases. 48 Enterprise Edition cores (Reading </w:t>
      </w:r>
      <w:proofErr w:type="spellStart"/>
      <w:r w:rsidRPr="003F3BDB">
        <w:t>datacentre</w:t>
      </w:r>
      <w:proofErr w:type="spellEnd"/>
      <w:r w:rsidRPr="003F3BDB">
        <w:t>, Datacenter edition), 66 Standard Edition cores (Slough). Covered by Microsoft Enterprise Agreement with Software Assurance.</w:t>
      </w:r>
    </w:p>
    <w:p w14:paraId="00000173" w14:textId="00000174" w:rsidR="000B0F63" w:rsidRDefault="00C05D22" w:rsidP="00EC2FA3">
      <w:pPr>
        <w:pStyle w:val="ListBullet"/>
        <w:numPr>
          <w:ilvl w:val="0"/>
          <w:numId w:val="8"/>
        </w:numPr>
        <w:jc w:val="both"/>
      </w:pPr>
      <w:r>
        <w:rPr>
          <w:b/>
          <w:bCs/>
        </w:rPr>
        <w:t xml:space="preserve">Other databases: </w:t>
      </w:r>
      <w:r w:rsidRPr="003F3BDB">
        <w:t>MongoDB, MySQL, PostgreSQL, Redis appear across the MOL estate, each in specific sub-services rather than as estate-wide platforms.</w:t>
      </w:r>
    </w:p>
    <w:p w14:paraId="00000175" w14:textId="00000176" w:rsidR="000B0F63" w:rsidRDefault="00C05D22" w:rsidP="00EC2FA3">
      <w:pPr>
        <w:pStyle w:val="ListBullet"/>
        <w:numPr>
          <w:ilvl w:val="0"/>
          <w:numId w:val="8"/>
        </w:numPr>
        <w:jc w:val="both"/>
      </w:pPr>
      <w:commentRangeStart w:id="136"/>
      <w:commentRangeStart w:id="137"/>
      <w:commentRangeStart w:id="138"/>
      <w:r>
        <w:rPr>
          <w:b/>
          <w:bCs/>
        </w:rPr>
        <w:t>One critical gap</w:t>
      </w:r>
      <w:commentRangeEnd w:id="136"/>
      <w:r w:rsidR="005D002F">
        <w:rPr>
          <w:rStyle w:val="CommentReference"/>
          <w:b/>
          <w:bCs/>
          <w:sz w:val="22"/>
          <w:szCs w:val="24"/>
        </w:rPr>
        <w:commentReference w:id="136"/>
      </w:r>
      <w:commentRangeEnd w:id="137"/>
      <w:r>
        <w:rPr>
          <w:rStyle w:val="CommentReference"/>
          <w:b/>
          <w:bCs/>
          <w:sz w:val="22"/>
          <w:szCs w:val="24"/>
        </w:rPr>
        <w:commentReference w:id="137"/>
      </w:r>
      <w:commentRangeEnd w:id="138"/>
      <w:r>
        <w:rPr>
          <w:rStyle w:val="CommentReference"/>
          <w:b/>
          <w:bCs/>
          <w:sz w:val="22"/>
          <w:szCs w:val="24"/>
        </w:rPr>
        <w:commentReference w:id="138"/>
      </w:r>
      <w:r>
        <w:rPr>
          <w:b/>
          <w:bCs/>
        </w:rPr>
        <w:t xml:space="preserve">: </w:t>
      </w:r>
      <w:r>
        <w:t xml:space="preserve">the MOL B-cluster is the production primary Oracle database and has no DMA assessment data collected. This is the single biggest data gap in the assessment. The Oracle cost estimates that follow </w:t>
      </w:r>
      <w:proofErr w:type="gramStart"/>
      <w:r>
        <w:t>are</w:t>
      </w:r>
      <w:proofErr w:type="gramEnd"/>
      <w:r>
        <w:t xml:space="preserve"> based on provisioned hardware specs, not actual workload. Collecting DMA data on the B-cluster is the highest-priority action for Phase 2.</w:t>
      </w:r>
    </w:p>
    <w:p w14:paraId="00000177" w14:textId="00000178" w:rsidR="000B0F63" w:rsidRDefault="1BAB210A" w:rsidP="00E40261">
      <w:pPr>
        <w:pStyle w:val="Heading2"/>
        <w:jc w:val="both"/>
      </w:pPr>
      <w:bookmarkStart w:id="140" w:name="_Toc135"/>
      <w:bookmarkStart w:id="141" w:name="_Toc227770918"/>
      <w:r>
        <w:t>Applications</w:t>
      </w:r>
      <w:bookmarkEnd w:id="140"/>
      <w:bookmarkEnd w:id="141"/>
    </w:p>
    <w:p w14:paraId="00000179" w14:textId="0000017A" w:rsidR="000B0F63" w:rsidRDefault="00C05D22" w:rsidP="00E40261">
      <w:pPr>
        <w:jc w:val="both"/>
      </w:pPr>
      <w:commentRangeStart w:id="142"/>
      <w:r>
        <w:t>DMG Media has 39 applications documented across the estate</w:t>
      </w:r>
      <w:commentRangeEnd w:id="142"/>
      <w:r w:rsidR="003F3BDB">
        <w:rPr>
          <w:rStyle w:val="CommentReference"/>
          <w:sz w:val="22"/>
          <w:szCs w:val="22"/>
        </w:rPr>
        <w:commentReference w:id="142"/>
      </w:r>
      <w:r>
        <w:t>. The top ten by server count account for more than 88 percent of in-scope servers. The remaining 29 applications are mostly single-server editorial tooling, shared services, and supporting infrastructure.</w:t>
      </w:r>
    </w:p>
    <w:p w14:paraId="0000017B" w14:textId="0000017C" w:rsidR="000B0F63" w:rsidRDefault="1BAB210A" w:rsidP="00E40261">
      <w:pPr>
        <w:pStyle w:val="Heading3"/>
        <w:jc w:val="both"/>
      </w:pPr>
      <w:bookmarkStart w:id="143" w:name="_Toc136"/>
      <w:bookmarkStart w:id="144" w:name="_Toc227770919"/>
      <w:r>
        <w:t>Top ten applications by server count</w:t>
      </w:r>
      <w:bookmarkEnd w:id="143"/>
      <w:bookmarkEnd w:id="144"/>
    </w:p>
    <w:tbl>
      <w:tblPr>
        <w:tblW w:w="9720" w:type="dxa"/>
        <w:tblCellMar>
          <w:top w:w="100" w:type="dxa"/>
          <w:left w:w="100" w:type="dxa"/>
          <w:bottom w:w="100" w:type="dxa"/>
          <w:right w:w="100" w:type="dxa"/>
        </w:tblCellMar>
        <w:tblLook w:val="04A0" w:firstRow="1" w:lastRow="0" w:firstColumn="1" w:lastColumn="0" w:noHBand="0" w:noVBand="1"/>
      </w:tblPr>
      <w:tblGrid>
        <w:gridCol w:w="1838"/>
        <w:gridCol w:w="1134"/>
        <w:gridCol w:w="1418"/>
        <w:gridCol w:w="5330"/>
      </w:tblGrid>
      <w:tr w:rsidR="007E4C3F" w14:paraId="778EB40D" w14:textId="77777777" w:rsidTr="1524DEBB">
        <w:tc>
          <w:tcPr>
            <w:tcW w:w="1838" w:type="dxa"/>
            <w:shd w:val="clear" w:color="auto" w:fill="D9D9D9" w:themeFill="background1" w:themeFillShade="D9"/>
            <w:tcMar>
              <w:top w:w="100" w:type="dxa"/>
              <w:left w:w="100" w:type="dxa"/>
              <w:bottom w:w="100" w:type="dxa"/>
              <w:right w:w="100" w:type="dxa"/>
            </w:tcMar>
            <w:vAlign w:val="center"/>
          </w:tcPr>
          <w:p w14:paraId="0000017D" w14:textId="0000017E" w:rsidR="000B0F63" w:rsidRDefault="00C05D22" w:rsidP="003F3BDB">
            <w:pPr>
              <w:pStyle w:val="TableHeader"/>
              <w:jc w:val="center"/>
            </w:pPr>
            <w:r>
              <w:t>Application</w:t>
            </w:r>
          </w:p>
        </w:tc>
        <w:tc>
          <w:tcPr>
            <w:tcW w:w="1134" w:type="dxa"/>
            <w:shd w:val="clear" w:color="auto" w:fill="D9D9D9" w:themeFill="background1" w:themeFillShade="D9"/>
            <w:tcMar>
              <w:top w:w="100" w:type="dxa"/>
              <w:left w:w="100" w:type="dxa"/>
              <w:bottom w:w="100" w:type="dxa"/>
              <w:right w:w="100" w:type="dxa"/>
            </w:tcMar>
            <w:vAlign w:val="center"/>
          </w:tcPr>
          <w:p w14:paraId="0000017F" w14:textId="00000180" w:rsidR="000B0F63" w:rsidRDefault="00C05D22" w:rsidP="003F3BDB">
            <w:pPr>
              <w:pStyle w:val="TableHeader"/>
              <w:jc w:val="center"/>
            </w:pPr>
            <w:r>
              <w:t>Servers</w:t>
            </w:r>
          </w:p>
        </w:tc>
        <w:tc>
          <w:tcPr>
            <w:tcW w:w="1418" w:type="dxa"/>
            <w:shd w:val="clear" w:color="auto" w:fill="D9D9D9" w:themeFill="background1" w:themeFillShade="D9"/>
            <w:tcMar>
              <w:top w:w="100" w:type="dxa"/>
              <w:left w:w="100" w:type="dxa"/>
              <w:bottom w:w="100" w:type="dxa"/>
              <w:right w:w="100" w:type="dxa"/>
            </w:tcMar>
            <w:vAlign w:val="center"/>
          </w:tcPr>
          <w:p w14:paraId="00000181" w14:textId="00000182" w:rsidR="000B0F63" w:rsidRDefault="00C05D22" w:rsidP="003F3BDB">
            <w:pPr>
              <w:pStyle w:val="TableHeader"/>
              <w:jc w:val="center"/>
            </w:pPr>
            <w:r>
              <w:t>% of in-scope</w:t>
            </w:r>
          </w:p>
        </w:tc>
        <w:tc>
          <w:tcPr>
            <w:tcW w:w="5330" w:type="dxa"/>
            <w:shd w:val="clear" w:color="auto" w:fill="D9D9D9" w:themeFill="background1" w:themeFillShade="D9"/>
            <w:tcMar>
              <w:top w:w="100" w:type="dxa"/>
              <w:left w:w="100" w:type="dxa"/>
              <w:bottom w:w="100" w:type="dxa"/>
              <w:right w:w="100" w:type="dxa"/>
            </w:tcMar>
            <w:vAlign w:val="center"/>
          </w:tcPr>
          <w:p w14:paraId="00000183" w14:textId="00000184" w:rsidR="000B0F63" w:rsidRDefault="00C05D22" w:rsidP="003F3BDB">
            <w:pPr>
              <w:pStyle w:val="TableHeader"/>
              <w:jc w:val="center"/>
            </w:pPr>
            <w:r>
              <w:t>What it does</w:t>
            </w:r>
          </w:p>
        </w:tc>
      </w:tr>
      <w:tr w:rsidR="00906732" w14:paraId="118AA0D7" w14:textId="77777777" w:rsidTr="1524DEBB">
        <w:tc>
          <w:tcPr>
            <w:tcW w:w="1838" w:type="dxa"/>
            <w:tcMar>
              <w:top w:w="100" w:type="dxa"/>
              <w:left w:w="100" w:type="dxa"/>
              <w:bottom w:w="100" w:type="dxa"/>
              <w:right w:w="100" w:type="dxa"/>
            </w:tcMar>
            <w:vAlign w:val="center"/>
          </w:tcPr>
          <w:p w14:paraId="00000185" w14:textId="00000186" w:rsidR="000B0F63" w:rsidRDefault="00C05D22" w:rsidP="003F3BDB">
            <w:pPr>
              <w:pStyle w:val="TableInfo"/>
              <w:jc w:val="center"/>
            </w:pPr>
            <w:r>
              <w:t>MOL</w:t>
            </w:r>
          </w:p>
        </w:tc>
        <w:tc>
          <w:tcPr>
            <w:tcW w:w="1134" w:type="dxa"/>
            <w:tcMar>
              <w:top w:w="100" w:type="dxa"/>
              <w:left w:w="100" w:type="dxa"/>
              <w:bottom w:w="100" w:type="dxa"/>
              <w:right w:w="100" w:type="dxa"/>
            </w:tcMar>
            <w:vAlign w:val="center"/>
          </w:tcPr>
          <w:p w14:paraId="00000187" w14:textId="00000188" w:rsidR="000B0F63" w:rsidRDefault="00C05D22" w:rsidP="003F3BDB">
            <w:pPr>
              <w:pStyle w:val="TableInfo"/>
              <w:jc w:val="center"/>
            </w:pPr>
            <w:r>
              <w:t>2,206</w:t>
            </w:r>
          </w:p>
        </w:tc>
        <w:tc>
          <w:tcPr>
            <w:tcW w:w="1418" w:type="dxa"/>
            <w:tcMar>
              <w:top w:w="100" w:type="dxa"/>
              <w:left w:w="100" w:type="dxa"/>
              <w:bottom w:w="100" w:type="dxa"/>
              <w:right w:w="100" w:type="dxa"/>
            </w:tcMar>
            <w:vAlign w:val="center"/>
          </w:tcPr>
          <w:p w14:paraId="00000189" w14:textId="0000018A" w:rsidR="000B0F63" w:rsidRDefault="00C05D22" w:rsidP="003F3BDB">
            <w:pPr>
              <w:pStyle w:val="TableInfo"/>
              <w:jc w:val="center"/>
            </w:pPr>
            <w:r>
              <w:t>72.6%</w:t>
            </w:r>
          </w:p>
        </w:tc>
        <w:tc>
          <w:tcPr>
            <w:tcW w:w="5330" w:type="dxa"/>
            <w:tcMar>
              <w:top w:w="100" w:type="dxa"/>
              <w:left w:w="100" w:type="dxa"/>
              <w:bottom w:w="100" w:type="dxa"/>
              <w:right w:w="100" w:type="dxa"/>
            </w:tcMar>
            <w:vAlign w:val="center"/>
          </w:tcPr>
          <w:p w14:paraId="0000018B" w14:textId="0000018C" w:rsidR="000B0F63" w:rsidRDefault="00C05D22" w:rsidP="000A13B1">
            <w:pPr>
              <w:pStyle w:val="TableInfo"/>
            </w:pPr>
            <w:r w:rsidRPr="1524DEBB">
              <w:rPr>
                <w:lang w:val="en-GB"/>
              </w:rPr>
              <w:t>Mail Online: the digital platform. 91 identified sub-components including search, commenting, video processing, content creation, advertising, real-time analytics, and the Oracle data layer.</w:t>
            </w:r>
          </w:p>
        </w:tc>
      </w:tr>
      <w:tr w:rsidR="00906732" w14:paraId="36FEE8BB" w14:textId="77777777" w:rsidTr="1524DEBB">
        <w:tc>
          <w:tcPr>
            <w:tcW w:w="1838" w:type="dxa"/>
            <w:tcMar>
              <w:top w:w="100" w:type="dxa"/>
              <w:left w:w="100" w:type="dxa"/>
              <w:bottom w:w="100" w:type="dxa"/>
              <w:right w:w="100" w:type="dxa"/>
            </w:tcMar>
            <w:vAlign w:val="center"/>
          </w:tcPr>
          <w:p w14:paraId="0000018D" w14:textId="0000018E" w:rsidR="000B0F63" w:rsidRDefault="00C05D22" w:rsidP="003F3BDB">
            <w:pPr>
              <w:pStyle w:val="TableInfo"/>
              <w:jc w:val="center"/>
            </w:pPr>
            <w:r>
              <w:t>CHP</w:t>
            </w:r>
          </w:p>
        </w:tc>
        <w:tc>
          <w:tcPr>
            <w:tcW w:w="1134" w:type="dxa"/>
            <w:tcMar>
              <w:top w:w="100" w:type="dxa"/>
              <w:left w:w="100" w:type="dxa"/>
              <w:bottom w:w="100" w:type="dxa"/>
              <w:right w:w="100" w:type="dxa"/>
            </w:tcMar>
            <w:vAlign w:val="center"/>
          </w:tcPr>
          <w:p w14:paraId="0000018F" w14:textId="00000190" w:rsidR="000B0F63" w:rsidRDefault="00C05D22" w:rsidP="003F3BDB">
            <w:pPr>
              <w:pStyle w:val="TableInfo"/>
              <w:jc w:val="center"/>
            </w:pPr>
            <w:r>
              <w:t>146</w:t>
            </w:r>
          </w:p>
        </w:tc>
        <w:tc>
          <w:tcPr>
            <w:tcW w:w="1418" w:type="dxa"/>
            <w:tcMar>
              <w:top w:w="100" w:type="dxa"/>
              <w:left w:w="100" w:type="dxa"/>
              <w:bottom w:w="100" w:type="dxa"/>
              <w:right w:w="100" w:type="dxa"/>
            </w:tcMar>
            <w:vAlign w:val="center"/>
          </w:tcPr>
          <w:p w14:paraId="00000191" w14:textId="00000192" w:rsidR="000B0F63" w:rsidRDefault="00C05D22" w:rsidP="003F3BDB">
            <w:pPr>
              <w:pStyle w:val="TableInfo"/>
              <w:jc w:val="center"/>
            </w:pPr>
            <w:r>
              <w:t>4.8%</w:t>
            </w:r>
          </w:p>
        </w:tc>
        <w:tc>
          <w:tcPr>
            <w:tcW w:w="5330" w:type="dxa"/>
            <w:tcMar>
              <w:top w:w="100" w:type="dxa"/>
              <w:left w:w="100" w:type="dxa"/>
              <w:bottom w:w="100" w:type="dxa"/>
              <w:right w:w="100" w:type="dxa"/>
            </w:tcMar>
            <w:vAlign w:val="center"/>
          </w:tcPr>
          <w:p w14:paraId="00000193" w14:textId="00000194" w:rsidR="000B0F63" w:rsidRDefault="00C05D22" w:rsidP="000A13B1">
            <w:pPr>
              <w:pStyle w:val="TableInfo"/>
            </w:pPr>
            <w:r>
              <w:t>Circulation Hub Platform. Oracle-backed, publishing operations. Runs across Reading, Slough, and Sydney.</w:t>
            </w:r>
          </w:p>
        </w:tc>
      </w:tr>
      <w:tr w:rsidR="00906732" w14:paraId="5BF2D24B" w14:textId="77777777" w:rsidTr="1524DEBB">
        <w:tc>
          <w:tcPr>
            <w:tcW w:w="1838" w:type="dxa"/>
            <w:tcMar>
              <w:top w:w="100" w:type="dxa"/>
              <w:left w:w="100" w:type="dxa"/>
              <w:bottom w:w="100" w:type="dxa"/>
              <w:right w:w="100" w:type="dxa"/>
            </w:tcMar>
            <w:vAlign w:val="center"/>
          </w:tcPr>
          <w:p w14:paraId="00000195" w14:textId="00000196" w:rsidR="000B0F63" w:rsidRDefault="00C05D22" w:rsidP="003F3BDB">
            <w:pPr>
              <w:pStyle w:val="TableInfo"/>
              <w:jc w:val="center"/>
            </w:pPr>
            <w:r>
              <w:t>WPS</w:t>
            </w:r>
          </w:p>
        </w:tc>
        <w:tc>
          <w:tcPr>
            <w:tcW w:w="1134" w:type="dxa"/>
            <w:tcMar>
              <w:top w:w="100" w:type="dxa"/>
              <w:left w:w="100" w:type="dxa"/>
              <w:bottom w:w="100" w:type="dxa"/>
              <w:right w:w="100" w:type="dxa"/>
            </w:tcMar>
            <w:vAlign w:val="center"/>
          </w:tcPr>
          <w:p w14:paraId="00000197" w14:textId="00000198" w:rsidR="000B0F63" w:rsidRDefault="00C05D22" w:rsidP="003F3BDB">
            <w:pPr>
              <w:pStyle w:val="TableInfo"/>
              <w:jc w:val="center"/>
            </w:pPr>
            <w:r>
              <w:t>136</w:t>
            </w:r>
          </w:p>
        </w:tc>
        <w:tc>
          <w:tcPr>
            <w:tcW w:w="1418" w:type="dxa"/>
            <w:tcMar>
              <w:top w:w="100" w:type="dxa"/>
              <w:left w:w="100" w:type="dxa"/>
              <w:bottom w:w="100" w:type="dxa"/>
              <w:right w:w="100" w:type="dxa"/>
            </w:tcMar>
            <w:vAlign w:val="center"/>
          </w:tcPr>
          <w:p w14:paraId="00000199" w14:textId="0000019A" w:rsidR="000B0F63" w:rsidRDefault="00C05D22" w:rsidP="003F3BDB">
            <w:pPr>
              <w:pStyle w:val="TableInfo"/>
              <w:jc w:val="center"/>
            </w:pPr>
            <w:r>
              <w:t>4.5%</w:t>
            </w:r>
          </w:p>
        </w:tc>
        <w:tc>
          <w:tcPr>
            <w:tcW w:w="5330" w:type="dxa"/>
            <w:tcMar>
              <w:top w:w="100" w:type="dxa"/>
              <w:left w:w="100" w:type="dxa"/>
              <w:bottom w:w="100" w:type="dxa"/>
              <w:right w:w="100" w:type="dxa"/>
            </w:tcMar>
            <w:vAlign w:val="center"/>
          </w:tcPr>
          <w:p w14:paraId="0000019B" w14:textId="0000019C" w:rsidR="000B0F63" w:rsidRDefault="00C05D22" w:rsidP="000A13B1">
            <w:pPr>
              <w:pStyle w:val="TableInfo"/>
            </w:pPr>
            <w:r>
              <w:t>Web Publishing System. MOL's publishing pipeline. Tightly coupled to MOL Oracle B-cluster.</w:t>
            </w:r>
          </w:p>
        </w:tc>
      </w:tr>
      <w:tr w:rsidR="00906732" w14:paraId="56F0CAEC" w14:textId="77777777" w:rsidTr="1524DEBB">
        <w:tc>
          <w:tcPr>
            <w:tcW w:w="1838" w:type="dxa"/>
            <w:tcMar>
              <w:top w:w="100" w:type="dxa"/>
              <w:left w:w="100" w:type="dxa"/>
              <w:bottom w:w="100" w:type="dxa"/>
              <w:right w:w="100" w:type="dxa"/>
            </w:tcMar>
            <w:vAlign w:val="center"/>
          </w:tcPr>
          <w:p w14:paraId="0000019D" w14:textId="0000019E" w:rsidR="000B0F63" w:rsidRDefault="00C05D22" w:rsidP="003F3BDB">
            <w:pPr>
              <w:pStyle w:val="TableInfo"/>
              <w:jc w:val="center"/>
            </w:pPr>
            <w:proofErr w:type="spellStart"/>
            <w:r w:rsidRPr="1524DEBB">
              <w:rPr>
                <w:lang w:val="en-GB"/>
              </w:rPr>
              <w:t>Atex</w:t>
            </w:r>
            <w:proofErr w:type="spellEnd"/>
          </w:p>
        </w:tc>
        <w:tc>
          <w:tcPr>
            <w:tcW w:w="1134" w:type="dxa"/>
            <w:tcMar>
              <w:top w:w="100" w:type="dxa"/>
              <w:left w:w="100" w:type="dxa"/>
              <w:bottom w:w="100" w:type="dxa"/>
              <w:right w:w="100" w:type="dxa"/>
            </w:tcMar>
            <w:vAlign w:val="center"/>
          </w:tcPr>
          <w:p w14:paraId="0000019F" w14:textId="000001A0" w:rsidR="000B0F63" w:rsidRDefault="00C05D22" w:rsidP="003F3BDB">
            <w:pPr>
              <w:pStyle w:val="TableInfo"/>
              <w:jc w:val="center"/>
            </w:pPr>
            <w:r>
              <w:t>109</w:t>
            </w:r>
          </w:p>
        </w:tc>
        <w:tc>
          <w:tcPr>
            <w:tcW w:w="1418" w:type="dxa"/>
            <w:tcMar>
              <w:top w:w="100" w:type="dxa"/>
              <w:left w:w="100" w:type="dxa"/>
              <w:bottom w:w="100" w:type="dxa"/>
              <w:right w:w="100" w:type="dxa"/>
            </w:tcMar>
            <w:vAlign w:val="center"/>
          </w:tcPr>
          <w:p w14:paraId="000001A1" w14:textId="000001A2" w:rsidR="000B0F63" w:rsidRDefault="00C05D22" w:rsidP="003F3BDB">
            <w:pPr>
              <w:pStyle w:val="TableInfo"/>
              <w:jc w:val="center"/>
            </w:pPr>
            <w:r>
              <w:t>3.6%</w:t>
            </w:r>
          </w:p>
        </w:tc>
        <w:tc>
          <w:tcPr>
            <w:tcW w:w="5330" w:type="dxa"/>
            <w:tcMar>
              <w:top w:w="100" w:type="dxa"/>
              <w:left w:w="100" w:type="dxa"/>
              <w:bottom w:w="100" w:type="dxa"/>
              <w:right w:w="100" w:type="dxa"/>
            </w:tcMar>
            <w:vAlign w:val="center"/>
          </w:tcPr>
          <w:p w14:paraId="000001A3" w14:textId="000001A4" w:rsidR="000B0F63" w:rsidRDefault="00C05D22" w:rsidP="000A13B1">
            <w:pPr>
              <w:pStyle w:val="TableInfo"/>
            </w:pPr>
            <w:r>
              <w:t>Editorial content management for print and digital. Multicast-dependent for cluster discovery.</w:t>
            </w:r>
          </w:p>
        </w:tc>
      </w:tr>
      <w:tr w:rsidR="00906732" w14:paraId="15E08819" w14:textId="77777777" w:rsidTr="1524DEBB">
        <w:tc>
          <w:tcPr>
            <w:tcW w:w="1838" w:type="dxa"/>
            <w:tcMar>
              <w:top w:w="100" w:type="dxa"/>
              <w:left w:w="100" w:type="dxa"/>
              <w:bottom w:w="100" w:type="dxa"/>
              <w:right w:w="100" w:type="dxa"/>
            </w:tcMar>
            <w:vAlign w:val="center"/>
          </w:tcPr>
          <w:p w14:paraId="000001A5" w14:textId="000001A6" w:rsidR="000B0F63" w:rsidRDefault="00C05D22" w:rsidP="003F3BDB">
            <w:pPr>
              <w:pStyle w:val="TableInfo"/>
              <w:jc w:val="center"/>
            </w:pPr>
            <w:r>
              <w:t>RTA</w:t>
            </w:r>
          </w:p>
        </w:tc>
        <w:tc>
          <w:tcPr>
            <w:tcW w:w="1134" w:type="dxa"/>
            <w:tcMar>
              <w:top w:w="100" w:type="dxa"/>
              <w:left w:w="100" w:type="dxa"/>
              <w:bottom w:w="100" w:type="dxa"/>
              <w:right w:w="100" w:type="dxa"/>
            </w:tcMar>
            <w:vAlign w:val="center"/>
          </w:tcPr>
          <w:p w14:paraId="000001A7" w14:textId="000001A8" w:rsidR="000B0F63" w:rsidRDefault="00C05D22" w:rsidP="003F3BDB">
            <w:pPr>
              <w:pStyle w:val="TableInfo"/>
              <w:jc w:val="center"/>
            </w:pPr>
            <w:r>
              <w:t>41</w:t>
            </w:r>
          </w:p>
        </w:tc>
        <w:tc>
          <w:tcPr>
            <w:tcW w:w="1418" w:type="dxa"/>
            <w:tcMar>
              <w:top w:w="100" w:type="dxa"/>
              <w:left w:w="100" w:type="dxa"/>
              <w:bottom w:w="100" w:type="dxa"/>
              <w:right w:w="100" w:type="dxa"/>
            </w:tcMar>
            <w:vAlign w:val="center"/>
          </w:tcPr>
          <w:p w14:paraId="000001A9" w14:textId="000001AA" w:rsidR="000B0F63" w:rsidRDefault="00C05D22" w:rsidP="003F3BDB">
            <w:pPr>
              <w:pStyle w:val="TableInfo"/>
              <w:jc w:val="center"/>
            </w:pPr>
            <w:r>
              <w:t>1.3%</w:t>
            </w:r>
          </w:p>
        </w:tc>
        <w:tc>
          <w:tcPr>
            <w:tcW w:w="5330" w:type="dxa"/>
            <w:tcMar>
              <w:top w:w="100" w:type="dxa"/>
              <w:left w:w="100" w:type="dxa"/>
              <w:bottom w:w="100" w:type="dxa"/>
              <w:right w:w="100" w:type="dxa"/>
            </w:tcMar>
            <w:vAlign w:val="center"/>
          </w:tcPr>
          <w:p w14:paraId="000001AB" w14:textId="000001AC" w:rsidR="000B0F63" w:rsidRDefault="00C05D22" w:rsidP="000A13B1">
            <w:pPr>
              <w:pStyle w:val="TableInfo"/>
            </w:pPr>
            <w:r>
              <w:t>Real-Time Analytics for MOL. Many instances significantly overprovisioned.</w:t>
            </w:r>
          </w:p>
        </w:tc>
      </w:tr>
      <w:tr w:rsidR="00906732" w14:paraId="64272920" w14:textId="77777777" w:rsidTr="1524DEBB">
        <w:tc>
          <w:tcPr>
            <w:tcW w:w="1838" w:type="dxa"/>
            <w:tcMar>
              <w:top w:w="100" w:type="dxa"/>
              <w:left w:w="100" w:type="dxa"/>
              <w:bottom w:w="100" w:type="dxa"/>
              <w:right w:w="100" w:type="dxa"/>
            </w:tcMar>
            <w:vAlign w:val="center"/>
          </w:tcPr>
          <w:p w14:paraId="000001AD" w14:textId="000001AE" w:rsidR="000B0F63" w:rsidRDefault="1BAB210A" w:rsidP="003F3BDB">
            <w:pPr>
              <w:pStyle w:val="TableInfo"/>
              <w:jc w:val="center"/>
            </w:pPr>
            <w:proofErr w:type="spellStart"/>
            <w:r w:rsidRPr="1524DEBB">
              <w:rPr>
                <w:lang w:val="en-GB"/>
              </w:rPr>
              <w:t>OneVision</w:t>
            </w:r>
            <w:proofErr w:type="spellEnd"/>
            <w:r w:rsidRPr="1524DEBB">
              <w:rPr>
                <w:lang w:val="en-GB"/>
              </w:rPr>
              <w:t xml:space="preserve"> Suite</w:t>
            </w:r>
          </w:p>
        </w:tc>
        <w:tc>
          <w:tcPr>
            <w:tcW w:w="1134" w:type="dxa"/>
            <w:tcMar>
              <w:top w:w="100" w:type="dxa"/>
              <w:left w:w="100" w:type="dxa"/>
              <w:bottom w:w="100" w:type="dxa"/>
              <w:right w:w="100" w:type="dxa"/>
            </w:tcMar>
            <w:vAlign w:val="center"/>
          </w:tcPr>
          <w:p w14:paraId="000001AF" w14:textId="000001B0" w:rsidR="000B0F63" w:rsidRDefault="00C05D22" w:rsidP="003F3BDB">
            <w:pPr>
              <w:pStyle w:val="TableInfo"/>
              <w:jc w:val="center"/>
            </w:pPr>
            <w:r>
              <w:t>36</w:t>
            </w:r>
          </w:p>
        </w:tc>
        <w:tc>
          <w:tcPr>
            <w:tcW w:w="1418" w:type="dxa"/>
            <w:tcMar>
              <w:top w:w="100" w:type="dxa"/>
              <w:left w:w="100" w:type="dxa"/>
              <w:bottom w:w="100" w:type="dxa"/>
              <w:right w:w="100" w:type="dxa"/>
            </w:tcMar>
            <w:vAlign w:val="center"/>
          </w:tcPr>
          <w:p w14:paraId="000001B1" w14:textId="000001B2" w:rsidR="000B0F63" w:rsidRDefault="00C05D22" w:rsidP="003F3BDB">
            <w:pPr>
              <w:pStyle w:val="TableInfo"/>
              <w:jc w:val="center"/>
            </w:pPr>
            <w:r>
              <w:t>1.2%</w:t>
            </w:r>
          </w:p>
        </w:tc>
        <w:tc>
          <w:tcPr>
            <w:tcW w:w="5330" w:type="dxa"/>
            <w:tcMar>
              <w:top w:w="100" w:type="dxa"/>
              <w:left w:w="100" w:type="dxa"/>
              <w:bottom w:w="100" w:type="dxa"/>
              <w:right w:w="100" w:type="dxa"/>
            </w:tcMar>
            <w:vAlign w:val="center"/>
          </w:tcPr>
          <w:p w14:paraId="000001B3" w14:textId="000001B4" w:rsidR="000B0F63" w:rsidRDefault="00C05D22" w:rsidP="000A13B1">
            <w:pPr>
              <w:pStyle w:val="TableInfo"/>
            </w:pPr>
            <w:r>
              <w:t>Advertising traffic management. Coupled to ECO3 via SMB.</w:t>
            </w:r>
          </w:p>
        </w:tc>
      </w:tr>
      <w:tr w:rsidR="00906732" w14:paraId="5188DF6F" w14:textId="77777777" w:rsidTr="1524DEBB">
        <w:tc>
          <w:tcPr>
            <w:tcW w:w="1838" w:type="dxa"/>
            <w:tcMar>
              <w:top w:w="100" w:type="dxa"/>
              <w:left w:w="100" w:type="dxa"/>
              <w:bottom w:w="100" w:type="dxa"/>
              <w:right w:w="100" w:type="dxa"/>
            </w:tcMar>
            <w:vAlign w:val="center"/>
          </w:tcPr>
          <w:p w14:paraId="000001B5" w14:textId="000001B6" w:rsidR="000B0F63" w:rsidRDefault="1BAB210A" w:rsidP="003F3BDB">
            <w:pPr>
              <w:pStyle w:val="TableInfo"/>
              <w:jc w:val="center"/>
            </w:pPr>
            <w:proofErr w:type="spellStart"/>
            <w:r w:rsidRPr="1524DEBB">
              <w:rPr>
                <w:lang w:val="en-GB"/>
              </w:rPr>
              <w:t>Teamcity</w:t>
            </w:r>
            <w:proofErr w:type="spellEnd"/>
          </w:p>
        </w:tc>
        <w:tc>
          <w:tcPr>
            <w:tcW w:w="1134" w:type="dxa"/>
            <w:tcMar>
              <w:top w:w="100" w:type="dxa"/>
              <w:left w:w="100" w:type="dxa"/>
              <w:bottom w:w="100" w:type="dxa"/>
              <w:right w:w="100" w:type="dxa"/>
            </w:tcMar>
            <w:vAlign w:val="center"/>
          </w:tcPr>
          <w:p w14:paraId="000001B7" w14:textId="000001B8" w:rsidR="000B0F63" w:rsidRDefault="00C05D22" w:rsidP="003F3BDB">
            <w:pPr>
              <w:pStyle w:val="TableInfo"/>
              <w:jc w:val="center"/>
            </w:pPr>
            <w:r>
              <w:t>33</w:t>
            </w:r>
          </w:p>
        </w:tc>
        <w:tc>
          <w:tcPr>
            <w:tcW w:w="1418" w:type="dxa"/>
            <w:tcMar>
              <w:top w:w="100" w:type="dxa"/>
              <w:left w:w="100" w:type="dxa"/>
              <w:bottom w:w="100" w:type="dxa"/>
              <w:right w:w="100" w:type="dxa"/>
            </w:tcMar>
            <w:vAlign w:val="center"/>
          </w:tcPr>
          <w:p w14:paraId="000001B9" w14:textId="000001BA" w:rsidR="000B0F63" w:rsidRDefault="00C05D22" w:rsidP="003F3BDB">
            <w:pPr>
              <w:pStyle w:val="TableInfo"/>
              <w:jc w:val="center"/>
            </w:pPr>
            <w:r>
              <w:t>1.1%</w:t>
            </w:r>
          </w:p>
        </w:tc>
        <w:tc>
          <w:tcPr>
            <w:tcW w:w="5330" w:type="dxa"/>
            <w:tcMar>
              <w:top w:w="100" w:type="dxa"/>
              <w:left w:w="100" w:type="dxa"/>
              <w:bottom w:w="100" w:type="dxa"/>
              <w:right w:w="100" w:type="dxa"/>
            </w:tcMar>
            <w:vAlign w:val="center"/>
          </w:tcPr>
          <w:p w14:paraId="000001BB" w14:textId="000001BC" w:rsidR="000B0F63" w:rsidRDefault="00C05D22" w:rsidP="000A13B1">
            <w:pPr>
              <w:pStyle w:val="TableInfo"/>
            </w:pPr>
            <w:r>
              <w:t>Build and CI tooling.</w:t>
            </w:r>
          </w:p>
        </w:tc>
      </w:tr>
      <w:tr w:rsidR="00906732" w14:paraId="19225701" w14:textId="77777777" w:rsidTr="1524DEBB">
        <w:tc>
          <w:tcPr>
            <w:tcW w:w="1838" w:type="dxa"/>
            <w:tcMar>
              <w:top w:w="100" w:type="dxa"/>
              <w:left w:w="100" w:type="dxa"/>
              <w:bottom w:w="100" w:type="dxa"/>
              <w:right w:w="100" w:type="dxa"/>
            </w:tcMar>
            <w:vAlign w:val="center"/>
          </w:tcPr>
          <w:p w14:paraId="000001BD" w14:textId="000001BE" w:rsidR="000B0F63" w:rsidRDefault="00C05D22" w:rsidP="003F3BDB">
            <w:pPr>
              <w:pStyle w:val="TableInfo"/>
              <w:jc w:val="center"/>
            </w:pPr>
            <w:r>
              <w:t>Zabbix</w:t>
            </w:r>
          </w:p>
        </w:tc>
        <w:tc>
          <w:tcPr>
            <w:tcW w:w="1134" w:type="dxa"/>
            <w:tcMar>
              <w:top w:w="100" w:type="dxa"/>
              <w:left w:w="100" w:type="dxa"/>
              <w:bottom w:w="100" w:type="dxa"/>
              <w:right w:w="100" w:type="dxa"/>
            </w:tcMar>
            <w:vAlign w:val="center"/>
          </w:tcPr>
          <w:p w14:paraId="000001BF" w14:textId="000001C0" w:rsidR="000B0F63" w:rsidRDefault="00C05D22" w:rsidP="003F3BDB">
            <w:pPr>
              <w:pStyle w:val="TableInfo"/>
              <w:jc w:val="center"/>
            </w:pPr>
            <w:r>
              <w:t>33</w:t>
            </w:r>
          </w:p>
        </w:tc>
        <w:tc>
          <w:tcPr>
            <w:tcW w:w="1418" w:type="dxa"/>
            <w:tcMar>
              <w:top w:w="100" w:type="dxa"/>
              <w:left w:w="100" w:type="dxa"/>
              <w:bottom w:w="100" w:type="dxa"/>
              <w:right w:w="100" w:type="dxa"/>
            </w:tcMar>
            <w:vAlign w:val="center"/>
          </w:tcPr>
          <w:p w14:paraId="000001C1" w14:textId="000001C2" w:rsidR="000B0F63" w:rsidRDefault="00C05D22" w:rsidP="003F3BDB">
            <w:pPr>
              <w:pStyle w:val="TableInfo"/>
              <w:jc w:val="center"/>
            </w:pPr>
            <w:r>
              <w:t>1.1%</w:t>
            </w:r>
          </w:p>
        </w:tc>
        <w:tc>
          <w:tcPr>
            <w:tcW w:w="5330" w:type="dxa"/>
            <w:tcMar>
              <w:top w:w="100" w:type="dxa"/>
              <w:left w:w="100" w:type="dxa"/>
              <w:bottom w:w="100" w:type="dxa"/>
              <w:right w:w="100" w:type="dxa"/>
            </w:tcMar>
            <w:vAlign w:val="center"/>
          </w:tcPr>
          <w:p w14:paraId="000001C3" w14:textId="000001C4" w:rsidR="000B0F63" w:rsidRDefault="00C05D22" w:rsidP="000A13B1">
            <w:pPr>
              <w:pStyle w:val="TableInfo"/>
            </w:pPr>
            <w:r>
              <w:t>Monitoring.</w:t>
            </w:r>
          </w:p>
        </w:tc>
      </w:tr>
      <w:tr w:rsidR="00906732" w14:paraId="3D7C8222" w14:textId="77777777" w:rsidTr="1524DEBB">
        <w:tc>
          <w:tcPr>
            <w:tcW w:w="1838" w:type="dxa"/>
            <w:tcMar>
              <w:top w:w="100" w:type="dxa"/>
              <w:left w:w="100" w:type="dxa"/>
              <w:bottom w:w="100" w:type="dxa"/>
              <w:right w:w="100" w:type="dxa"/>
            </w:tcMar>
            <w:vAlign w:val="center"/>
          </w:tcPr>
          <w:p w14:paraId="000001C5" w14:textId="000001C6" w:rsidR="000B0F63" w:rsidRDefault="00C05D22" w:rsidP="003F3BDB">
            <w:pPr>
              <w:pStyle w:val="TableInfo"/>
              <w:jc w:val="center"/>
            </w:pPr>
            <w:r>
              <w:t>ECO3</w:t>
            </w:r>
          </w:p>
        </w:tc>
        <w:tc>
          <w:tcPr>
            <w:tcW w:w="1134" w:type="dxa"/>
            <w:tcMar>
              <w:top w:w="100" w:type="dxa"/>
              <w:left w:w="100" w:type="dxa"/>
              <w:bottom w:w="100" w:type="dxa"/>
              <w:right w:w="100" w:type="dxa"/>
            </w:tcMar>
            <w:vAlign w:val="center"/>
          </w:tcPr>
          <w:p w14:paraId="000001C7" w14:textId="000001C8" w:rsidR="000B0F63" w:rsidRDefault="00C05D22" w:rsidP="003F3BDB">
            <w:pPr>
              <w:pStyle w:val="TableInfo"/>
              <w:jc w:val="center"/>
            </w:pPr>
            <w:r>
              <w:t>27</w:t>
            </w:r>
          </w:p>
        </w:tc>
        <w:tc>
          <w:tcPr>
            <w:tcW w:w="1418" w:type="dxa"/>
            <w:tcMar>
              <w:top w:w="100" w:type="dxa"/>
              <w:left w:w="100" w:type="dxa"/>
              <w:bottom w:w="100" w:type="dxa"/>
              <w:right w:w="100" w:type="dxa"/>
            </w:tcMar>
            <w:vAlign w:val="center"/>
          </w:tcPr>
          <w:p w14:paraId="000001C9" w14:textId="000001CA" w:rsidR="000B0F63" w:rsidRDefault="00C05D22" w:rsidP="003F3BDB">
            <w:pPr>
              <w:pStyle w:val="TableInfo"/>
              <w:jc w:val="center"/>
            </w:pPr>
            <w:r>
              <w:t>0.9%</w:t>
            </w:r>
          </w:p>
        </w:tc>
        <w:tc>
          <w:tcPr>
            <w:tcW w:w="5330" w:type="dxa"/>
            <w:tcMar>
              <w:top w:w="100" w:type="dxa"/>
              <w:left w:w="100" w:type="dxa"/>
              <w:bottom w:w="100" w:type="dxa"/>
              <w:right w:w="100" w:type="dxa"/>
            </w:tcMar>
            <w:vAlign w:val="center"/>
          </w:tcPr>
          <w:p w14:paraId="000001CB" w14:textId="000001CC" w:rsidR="000B0F63" w:rsidRDefault="1BAB210A" w:rsidP="000A13B1">
            <w:pPr>
              <w:pStyle w:val="TableInfo"/>
            </w:pPr>
            <w:r w:rsidRPr="1524DEBB">
              <w:rPr>
                <w:lang w:val="en-GB"/>
              </w:rPr>
              <w:t xml:space="preserve">Editorial content orchestration. Active-active architecture, feeds </w:t>
            </w:r>
            <w:proofErr w:type="spellStart"/>
            <w:r w:rsidRPr="1524DEBB">
              <w:rPr>
                <w:lang w:val="en-GB"/>
              </w:rPr>
              <w:t>OneVision</w:t>
            </w:r>
            <w:proofErr w:type="spellEnd"/>
            <w:r w:rsidRPr="1524DEBB">
              <w:rPr>
                <w:lang w:val="en-GB"/>
              </w:rPr>
              <w:t>.</w:t>
            </w:r>
          </w:p>
        </w:tc>
      </w:tr>
      <w:tr w:rsidR="00906732" w14:paraId="746C4BC9" w14:textId="77777777" w:rsidTr="1524DEBB">
        <w:tc>
          <w:tcPr>
            <w:tcW w:w="1838" w:type="dxa"/>
            <w:tcMar>
              <w:top w:w="100" w:type="dxa"/>
              <w:left w:w="100" w:type="dxa"/>
              <w:bottom w:w="100" w:type="dxa"/>
              <w:right w:w="100" w:type="dxa"/>
            </w:tcMar>
            <w:vAlign w:val="center"/>
          </w:tcPr>
          <w:p w14:paraId="000001CD" w14:textId="000001CE" w:rsidR="000B0F63" w:rsidRDefault="1BAB210A" w:rsidP="003F3BDB">
            <w:pPr>
              <w:pStyle w:val="TableInfo"/>
              <w:jc w:val="center"/>
            </w:pPr>
            <w:proofErr w:type="spellStart"/>
            <w:r w:rsidRPr="1524DEBB">
              <w:rPr>
                <w:lang w:val="en-GB"/>
              </w:rPr>
              <w:t>Circnet</w:t>
            </w:r>
            <w:proofErr w:type="spellEnd"/>
          </w:p>
        </w:tc>
        <w:tc>
          <w:tcPr>
            <w:tcW w:w="1134" w:type="dxa"/>
            <w:tcMar>
              <w:top w:w="100" w:type="dxa"/>
              <w:left w:w="100" w:type="dxa"/>
              <w:bottom w:w="100" w:type="dxa"/>
              <w:right w:w="100" w:type="dxa"/>
            </w:tcMar>
            <w:vAlign w:val="center"/>
          </w:tcPr>
          <w:p w14:paraId="000001CF" w14:textId="000001D0" w:rsidR="000B0F63" w:rsidRDefault="00C05D22" w:rsidP="003F3BDB">
            <w:pPr>
              <w:pStyle w:val="TableInfo"/>
              <w:jc w:val="center"/>
            </w:pPr>
            <w:r>
              <w:t>18</w:t>
            </w:r>
          </w:p>
        </w:tc>
        <w:tc>
          <w:tcPr>
            <w:tcW w:w="1418" w:type="dxa"/>
            <w:tcMar>
              <w:top w:w="100" w:type="dxa"/>
              <w:left w:w="100" w:type="dxa"/>
              <w:bottom w:w="100" w:type="dxa"/>
              <w:right w:w="100" w:type="dxa"/>
            </w:tcMar>
            <w:vAlign w:val="center"/>
          </w:tcPr>
          <w:p w14:paraId="000001D1" w14:textId="000001D2" w:rsidR="000B0F63" w:rsidRDefault="00C05D22" w:rsidP="003F3BDB">
            <w:pPr>
              <w:pStyle w:val="TableInfo"/>
              <w:jc w:val="center"/>
            </w:pPr>
            <w:r>
              <w:t>0.6%</w:t>
            </w:r>
          </w:p>
        </w:tc>
        <w:tc>
          <w:tcPr>
            <w:tcW w:w="5330" w:type="dxa"/>
            <w:tcMar>
              <w:top w:w="100" w:type="dxa"/>
              <w:left w:w="100" w:type="dxa"/>
              <w:bottom w:w="100" w:type="dxa"/>
              <w:right w:w="100" w:type="dxa"/>
            </w:tcMar>
            <w:vAlign w:val="center"/>
          </w:tcPr>
          <w:p w14:paraId="000001D3" w14:textId="000001D4" w:rsidR="000B0F63" w:rsidRDefault="00C05D22" w:rsidP="000A13B1">
            <w:pPr>
              <w:pStyle w:val="TableInfo"/>
            </w:pPr>
            <w:r>
              <w:t>Circulation network management. Oracle-backed.</w:t>
            </w:r>
          </w:p>
        </w:tc>
      </w:tr>
    </w:tbl>
    <w:p w14:paraId="01923C93" w14:textId="77777777" w:rsidR="00554A8D" w:rsidRDefault="00554A8D" w:rsidP="00E40261">
      <w:pPr>
        <w:jc w:val="both"/>
      </w:pPr>
    </w:p>
    <w:p w14:paraId="000001D5" w14:textId="7743DD6B" w:rsidR="000B0F63" w:rsidRDefault="00C05D22" w:rsidP="00E40261">
      <w:pPr>
        <w:jc w:val="both"/>
      </w:pPr>
      <w:r>
        <w:t>The remaining 29 applications span:</w:t>
      </w:r>
    </w:p>
    <w:p w14:paraId="000001D7" w14:textId="000001D8" w:rsidR="000B0F63" w:rsidRDefault="00C05D22" w:rsidP="00EC2FA3">
      <w:pPr>
        <w:pStyle w:val="ListBullet"/>
        <w:numPr>
          <w:ilvl w:val="0"/>
          <w:numId w:val="9"/>
        </w:numPr>
        <w:jc w:val="both"/>
      </w:pPr>
      <w:r w:rsidRPr="000A13B1">
        <w:rPr>
          <w:b/>
        </w:rPr>
        <w:t>Publishing and editorial tooling</w:t>
      </w:r>
      <w:r>
        <w:t xml:space="preserve">: Publishing Flight Check, Editorial Applications Team Automation Service, </w:t>
      </w:r>
      <w:proofErr w:type="spellStart"/>
      <w:r>
        <w:t>Mediaplanner</w:t>
      </w:r>
      <w:proofErr w:type="spellEnd"/>
      <w:r>
        <w:t xml:space="preserve">, Fingerpost (general and Advertising), Wombat, </w:t>
      </w:r>
      <w:proofErr w:type="spellStart"/>
      <w:r>
        <w:t>InstantPress</w:t>
      </w:r>
      <w:proofErr w:type="spellEnd"/>
      <w:r>
        <w:t xml:space="preserve">, </w:t>
      </w:r>
      <w:proofErr w:type="spellStart"/>
      <w:r>
        <w:t>MailPlus</w:t>
      </w:r>
      <w:proofErr w:type="spellEnd"/>
      <w:r>
        <w:t xml:space="preserve"> Puzzles, Tolkien.</w:t>
      </w:r>
    </w:p>
    <w:p w14:paraId="000001D9" w14:textId="000001DA" w:rsidR="000B0F63" w:rsidRDefault="00C05D22" w:rsidP="00EC2FA3">
      <w:pPr>
        <w:pStyle w:val="ListBullet"/>
        <w:numPr>
          <w:ilvl w:val="0"/>
          <w:numId w:val="9"/>
        </w:numPr>
        <w:jc w:val="both"/>
      </w:pPr>
      <w:r w:rsidRPr="000A13B1">
        <w:rPr>
          <w:b/>
        </w:rPr>
        <w:t>Shared and supporting services</w:t>
      </w:r>
      <w:r>
        <w:t>: SolarWinds, Landscape, Cockpit, Oracle Enterprise Manager (</w:t>
      </w:r>
      <w:proofErr w:type="spellStart"/>
      <w:r>
        <w:t>slo-aocc</w:t>
      </w:r>
      <w:proofErr w:type="spellEnd"/>
      <w:r>
        <w:t>), plus a small number of internal reporting and integration tools.</w:t>
      </w:r>
    </w:p>
    <w:p w14:paraId="000001DB" w14:textId="000001DC" w:rsidR="000B0F63" w:rsidRDefault="00C05D22" w:rsidP="00EC2FA3">
      <w:pPr>
        <w:pStyle w:val="ListBullet"/>
        <w:numPr>
          <w:ilvl w:val="0"/>
          <w:numId w:val="9"/>
        </w:numPr>
        <w:jc w:val="both"/>
      </w:pPr>
      <w:commentRangeStart w:id="145"/>
      <w:r w:rsidRPr="000A13B1">
        <w:rPr>
          <w:b/>
        </w:rPr>
        <w:t>Retirement candidates flagged during workshops</w:t>
      </w:r>
      <w:r>
        <w:t xml:space="preserve">: IBM Lotus Notes DB (legacy collaboration), </w:t>
      </w:r>
      <w:proofErr w:type="spellStart"/>
      <w:r>
        <w:t>Atex</w:t>
      </w:r>
      <w:proofErr w:type="spellEnd"/>
      <w:r>
        <w:t xml:space="preserve"> 5.5 (32-bit, cannot lift to modern cloud), SolarWinds and Zabbix (replaceable by cloud-native monitoring), Landscape (Ubuntu management, candidate for consolidation).</w:t>
      </w:r>
      <w:commentRangeEnd w:id="145"/>
      <w:r w:rsidR="000645F3">
        <w:rPr>
          <w:rStyle w:val="CommentReference"/>
          <w:sz w:val="22"/>
          <w:szCs w:val="24"/>
        </w:rPr>
        <w:commentReference w:id="145"/>
      </w:r>
    </w:p>
    <w:p w14:paraId="000001DD" w14:textId="000001DE" w:rsidR="000B0F63" w:rsidRDefault="00C05D22" w:rsidP="000A13B1">
      <w:pPr>
        <w:pStyle w:val="InsetText"/>
        <w:ind w:left="360"/>
        <w:jc w:val="both"/>
      </w:pPr>
      <w:r w:rsidRPr="000A13B1">
        <w:rPr>
          <w:b/>
        </w:rPr>
        <w:t>Note on MOL sub-components</w:t>
      </w:r>
      <w:r>
        <w:t>: the 91 sub-components referenced against MOL (Search, Reader Comments, Video Processing, Content Creator, Single Sign On, Cache Invalidation, Registration, AMP module, Ads, Live Commentary, Legal Tool, Elasticsearch, Redis clusters, and so on) sit within Mail Online as a single application. They are migration-planning units, not separate applications.</w:t>
      </w:r>
    </w:p>
    <w:p w14:paraId="000001DF" w14:textId="000001E0" w:rsidR="000B0F63" w:rsidRDefault="00C05D22" w:rsidP="00E40261">
      <w:pPr>
        <w:jc w:val="both"/>
      </w:pPr>
      <w:r>
        <w:t>Full application profile detail (dependencies, business criticality, workshop findings) for all 39 applications is in the Application Scoping workbook. This report highlights the patterns, not the list.</w:t>
      </w:r>
    </w:p>
    <w:p w14:paraId="000001E1" w14:textId="000001E2" w:rsidR="000B0F63" w:rsidRDefault="1BAB210A" w:rsidP="00E40261">
      <w:pPr>
        <w:pStyle w:val="Heading2"/>
        <w:jc w:val="both"/>
      </w:pPr>
      <w:bookmarkStart w:id="146" w:name="_Toc137"/>
      <w:bookmarkStart w:id="147" w:name="_Toc227770920"/>
      <w:r>
        <w:t>What The Workshops Told Us</w:t>
      </w:r>
      <w:bookmarkEnd w:id="146"/>
      <w:bookmarkEnd w:id="147"/>
    </w:p>
    <w:p w14:paraId="000001E3" w14:textId="000001E4" w:rsidR="000B0F63" w:rsidRDefault="00C05D22" w:rsidP="00E40261">
      <w:pPr>
        <w:jc w:val="both"/>
      </w:pPr>
      <w:r>
        <w:t>Nine application workshops were completed across the business areas. The following patterns emerged:</w:t>
      </w:r>
    </w:p>
    <w:p w14:paraId="000001E5" w14:textId="32087147" w:rsidR="000B0F63" w:rsidRDefault="00C05D22" w:rsidP="00EC2FA3">
      <w:pPr>
        <w:pStyle w:val="ListBullet"/>
        <w:numPr>
          <w:ilvl w:val="0"/>
          <w:numId w:val="9"/>
        </w:numPr>
        <w:jc w:val="both"/>
      </w:pPr>
      <w:r w:rsidRPr="00377936">
        <w:t xml:space="preserve">MOL is a distributed monolith. Many sub-services, many dependencies, but not independently releasable as units. Any MOL migration </w:t>
      </w:r>
      <w:r w:rsidR="00BF5260" w:rsidRPr="00377936">
        <w:t>must</w:t>
      </w:r>
      <w:r w:rsidRPr="00377936">
        <w:t xml:space="preserve"> be planned as a whole, then executed in tranches defined by data and coupling, not by convenience.</w:t>
      </w:r>
    </w:p>
    <w:p w14:paraId="000001E7" w14:textId="000001E8" w:rsidR="000B0F63" w:rsidRDefault="00C05D22" w:rsidP="00EC2FA3">
      <w:pPr>
        <w:pStyle w:val="ListBullet"/>
        <w:numPr>
          <w:ilvl w:val="0"/>
          <w:numId w:val="10"/>
        </w:numPr>
        <w:jc w:val="both"/>
      </w:pPr>
      <w:r w:rsidRPr="00377936">
        <w:t xml:space="preserve">Oracle is the </w:t>
      </w:r>
      <w:proofErr w:type="spellStart"/>
      <w:r w:rsidRPr="00377936">
        <w:t>centre</w:t>
      </w:r>
      <w:proofErr w:type="spellEnd"/>
      <w:r w:rsidRPr="00377936">
        <w:t xml:space="preserve"> of gravity for multiple applications. MOL, </w:t>
      </w:r>
      <w:proofErr w:type="spellStart"/>
      <w:r w:rsidRPr="00377936">
        <w:t>Atex</w:t>
      </w:r>
      <w:proofErr w:type="spellEnd"/>
      <w:r w:rsidRPr="00377936">
        <w:t xml:space="preserve">, CHP, and </w:t>
      </w:r>
      <w:proofErr w:type="spellStart"/>
      <w:r w:rsidRPr="00377936">
        <w:t>Circnet</w:t>
      </w:r>
      <w:proofErr w:type="spellEnd"/>
      <w:r w:rsidRPr="00377936">
        <w:t xml:space="preserve"> all land on Oracle. A cloud decision that does not address Oracle is incomplete. See Section 5 for the three paths modelled.</w:t>
      </w:r>
    </w:p>
    <w:p w14:paraId="000001E9" w14:textId="000001EA" w:rsidR="000B0F63" w:rsidRDefault="00C05D22" w:rsidP="00EC2FA3">
      <w:pPr>
        <w:pStyle w:val="ListBullet"/>
        <w:numPr>
          <w:ilvl w:val="0"/>
          <w:numId w:val="10"/>
        </w:numPr>
        <w:jc w:val="both"/>
      </w:pPr>
      <w:proofErr w:type="spellStart"/>
      <w:r w:rsidRPr="00377936">
        <w:t>Atex</w:t>
      </w:r>
      <w:proofErr w:type="spellEnd"/>
      <w:r w:rsidRPr="00377936">
        <w:t xml:space="preserve"> has a hard technical constraint. Prestige clustering uses multicast. This works inside a </w:t>
      </w:r>
      <w:proofErr w:type="spellStart"/>
      <w:r w:rsidRPr="00377936">
        <w:t>datacentre</w:t>
      </w:r>
      <w:proofErr w:type="spellEnd"/>
      <w:r w:rsidRPr="00377936">
        <w:t xml:space="preserve"> LAN and breaks in most cloud virtual networks. Section 6 explains the three options.</w:t>
      </w:r>
    </w:p>
    <w:p w14:paraId="000001EB" w14:textId="000001EC" w:rsidR="000B0F63" w:rsidRDefault="00C05D22" w:rsidP="00EC2FA3">
      <w:pPr>
        <w:pStyle w:val="ListBullet"/>
        <w:numPr>
          <w:ilvl w:val="0"/>
          <w:numId w:val="10"/>
        </w:numPr>
        <w:jc w:val="both"/>
      </w:pPr>
      <w:r w:rsidRPr="00377936">
        <w:t xml:space="preserve">Retirement candidates surfaced naturally. The workshops did not require a 'what can we kill' question. Application owners </w:t>
      </w:r>
      <w:proofErr w:type="gramStart"/>
      <w:r w:rsidRPr="00377936">
        <w:t>volunteered</w:t>
      </w:r>
      <w:proofErr w:type="gramEnd"/>
      <w:r w:rsidRPr="00377936">
        <w:t xml:space="preserve"> IBM Lotus Notes, </w:t>
      </w:r>
      <w:proofErr w:type="spellStart"/>
      <w:r w:rsidRPr="00377936">
        <w:t>Atex</w:t>
      </w:r>
      <w:proofErr w:type="spellEnd"/>
      <w:r w:rsidRPr="00377936">
        <w:t xml:space="preserve"> 5.5, and </w:t>
      </w:r>
      <w:commentRangeStart w:id="148"/>
      <w:r w:rsidRPr="00377936">
        <w:t xml:space="preserve">Wombat </w:t>
      </w:r>
      <w:commentRangeEnd w:id="148"/>
      <w:r w:rsidR="00F03AD1" w:rsidRPr="00377936">
        <w:rPr>
          <w:rStyle w:val="CommentReference"/>
          <w:sz w:val="22"/>
          <w:szCs w:val="24"/>
        </w:rPr>
        <w:commentReference w:id="148"/>
      </w:r>
      <w:r w:rsidRPr="00377936">
        <w:t>as retirement candidates.</w:t>
      </w:r>
    </w:p>
    <w:p w14:paraId="000001ED" w14:textId="000001EE" w:rsidR="000B0F63" w:rsidRDefault="00C05D22" w:rsidP="00EC2FA3">
      <w:pPr>
        <w:pStyle w:val="ListBullet"/>
        <w:numPr>
          <w:ilvl w:val="0"/>
          <w:numId w:val="10"/>
        </w:numPr>
        <w:jc w:val="both"/>
      </w:pPr>
      <w:r w:rsidRPr="00377936">
        <w:t xml:space="preserve">WPS is </w:t>
      </w:r>
      <w:commentRangeStart w:id="149"/>
      <w:r w:rsidRPr="00377936">
        <w:t xml:space="preserve">tightly coupled </w:t>
      </w:r>
      <w:commentRangeEnd w:id="149"/>
      <w:r w:rsidR="0015069E" w:rsidRPr="00377936">
        <w:rPr>
          <w:rStyle w:val="CommentReference"/>
          <w:sz w:val="22"/>
          <w:szCs w:val="24"/>
        </w:rPr>
        <w:commentReference w:id="149"/>
      </w:r>
      <w:r w:rsidRPr="00377936">
        <w:t>to MOL. WPS maintains many sustained Oracle connections to the MOL B-cluster. They must migrate together.</w:t>
      </w:r>
    </w:p>
    <w:p w14:paraId="000001EF" w14:textId="000001F0" w:rsidR="000B0F63" w:rsidRDefault="00C05D22" w:rsidP="00EC2FA3">
      <w:pPr>
        <w:pStyle w:val="ListBullet"/>
        <w:numPr>
          <w:ilvl w:val="0"/>
          <w:numId w:val="10"/>
        </w:numPr>
        <w:jc w:val="both"/>
      </w:pPr>
      <w:r w:rsidRPr="00377936">
        <w:t xml:space="preserve">ECO3 and </w:t>
      </w:r>
      <w:proofErr w:type="spellStart"/>
      <w:r w:rsidRPr="00377936">
        <w:t>OneVision</w:t>
      </w:r>
      <w:proofErr w:type="spellEnd"/>
      <w:r w:rsidRPr="00377936">
        <w:t xml:space="preserve"> also coupled. </w:t>
      </w:r>
      <w:proofErr w:type="spellStart"/>
      <w:r w:rsidRPr="00377936">
        <w:t>OneVision</w:t>
      </w:r>
      <w:proofErr w:type="spellEnd"/>
      <w:r w:rsidRPr="00377936">
        <w:t xml:space="preserve"> reads from ECO3's courier database via SMB. Co-migration group.</w:t>
      </w:r>
    </w:p>
    <w:p w14:paraId="000001F1" w14:textId="000001F2" w:rsidR="000B0F63" w:rsidRDefault="00C05D22" w:rsidP="00EC2FA3">
      <w:pPr>
        <w:pStyle w:val="ListBullet"/>
        <w:numPr>
          <w:ilvl w:val="0"/>
          <w:numId w:val="10"/>
        </w:numPr>
        <w:jc w:val="both"/>
      </w:pPr>
      <w:r w:rsidRPr="00377936">
        <w:t>Sydney is independent. The CSP application in Sydney runs on approximately four servers with minimal cross-dependency to UK systems. Flexible contract. Natural early-migration candidate.</w:t>
      </w:r>
    </w:p>
    <w:p w14:paraId="000001F3" w14:textId="000001F4" w:rsidR="000B0F63" w:rsidRDefault="1BAB210A" w:rsidP="00E40261">
      <w:pPr>
        <w:pStyle w:val="Heading2"/>
        <w:jc w:val="both"/>
      </w:pPr>
      <w:bookmarkStart w:id="150" w:name="_Toc138"/>
      <w:bookmarkStart w:id="151" w:name="_Toc227770921"/>
      <w:r>
        <w:t>Discovery: What We Actually Did</w:t>
      </w:r>
      <w:bookmarkEnd w:id="150"/>
      <w:bookmarkEnd w:id="151"/>
    </w:p>
    <w:p w14:paraId="000001F5" w14:textId="000001F6" w:rsidR="000B0F63" w:rsidRDefault="00C05D22" w:rsidP="00E40261">
      <w:pPr>
        <w:jc w:val="both"/>
      </w:pPr>
      <w:r>
        <w:t xml:space="preserve">The discovery process itself revealed the scale of the operational challenge. Deploying Migration </w:t>
      </w:r>
      <w:proofErr w:type="spellStart"/>
      <w:r>
        <w:t>Center</w:t>
      </w:r>
      <w:proofErr w:type="spellEnd"/>
      <w:r>
        <w:t xml:space="preserve"> across 3,038 servers required navigating a varied set of obstacles:</w:t>
      </w:r>
    </w:p>
    <w:p w14:paraId="000001F7" w14:textId="000001F8" w:rsidR="000B0F63" w:rsidRDefault="00C05D22" w:rsidP="00EC2FA3">
      <w:pPr>
        <w:pStyle w:val="ListBullet"/>
        <w:numPr>
          <w:ilvl w:val="0"/>
          <w:numId w:val="11"/>
        </w:numPr>
        <w:jc w:val="both"/>
      </w:pPr>
      <w:r>
        <w:rPr>
          <w:b/>
          <w:bCs/>
        </w:rPr>
        <w:t>No common credential mechanism</w:t>
      </w:r>
      <w:r w:rsidRPr="00F36E0A">
        <w:t xml:space="preserve">. SSH for Linux (where agent-less collection was possible), a Windows Collection VM running against vCenter for the general Windows estate (WMI was blocked so VMware Tools guest operations </w:t>
      </w:r>
      <w:proofErr w:type="gramStart"/>
      <w:r w:rsidRPr="00F36E0A">
        <w:t>was</w:t>
      </w:r>
      <w:proofErr w:type="gramEnd"/>
      <w:r w:rsidRPr="00F36E0A">
        <w:t xml:space="preserve"> the path), and manual PowerShell per-host for SQL Server DB hosts (</w:t>
      </w:r>
      <w:proofErr w:type="spellStart"/>
      <w:r w:rsidRPr="00F36E0A">
        <w:t>Guardicore</w:t>
      </w:r>
      <w:proofErr w:type="spellEnd"/>
      <w:r w:rsidRPr="00F36E0A">
        <w:t xml:space="preserve"> micro-segmentation). What works for MOL's Linux servers does not work for ANL's Windows estate, and neither approach works for bare metal Oracle or Proxmox hosts.</w:t>
      </w:r>
    </w:p>
    <w:p w14:paraId="000001F9" w14:textId="000001FA" w:rsidR="000B0F63" w:rsidRDefault="00C05D22" w:rsidP="00EC2FA3">
      <w:pPr>
        <w:pStyle w:val="ListBullet"/>
        <w:numPr>
          <w:ilvl w:val="0"/>
          <w:numId w:val="11"/>
        </w:numPr>
        <w:jc w:val="both"/>
      </w:pPr>
      <w:r>
        <w:rPr>
          <w:b/>
          <w:bCs/>
        </w:rPr>
        <w:t>Multiple teams, sequential engagement</w:t>
      </w:r>
      <w:r w:rsidRPr="00F36E0A">
        <w:t>. Infrastructure, database, security, and application teams each owned different parts of the access chain. Each team had its own approval process and timeline. This sequential coordination was the primary cause of delays in reaching guest-level coverage.</w:t>
      </w:r>
    </w:p>
    <w:p w14:paraId="000001FB" w14:textId="000001FC" w:rsidR="000B0F63" w:rsidRDefault="00C05D22" w:rsidP="00EC2FA3">
      <w:pPr>
        <w:pStyle w:val="ListBullet"/>
        <w:numPr>
          <w:ilvl w:val="0"/>
          <w:numId w:val="11"/>
        </w:numPr>
        <w:jc w:val="both"/>
      </w:pPr>
      <w:r>
        <w:rPr>
          <w:b/>
          <w:bCs/>
        </w:rPr>
        <w:t xml:space="preserve">Custom automation </w:t>
      </w:r>
      <w:proofErr w:type="gramStart"/>
      <w:r>
        <w:rPr>
          <w:b/>
          <w:bCs/>
        </w:rPr>
        <w:t>built</w:t>
      </w:r>
      <w:proofErr w:type="gramEnd"/>
      <w:r>
        <w:rPr>
          <w:b/>
          <w:bCs/>
        </w:rPr>
        <w:t xml:space="preserve"> specifically for DMG Media's estate</w:t>
      </w:r>
      <w:r w:rsidRPr="00F36E0A">
        <w:t xml:space="preserve">. Off-the-shelf discovery tooling could not handle the spread of infrastructure types and access constraints found in Phase 1. The Rackspace team built bespoke collection automation tailored to DMG Media's specific complexity: per-network-zone handling for MOL and ANL, vCenter path filtering with parallel discovery across multiple </w:t>
      </w:r>
      <w:proofErr w:type="spellStart"/>
      <w:r w:rsidRPr="00F36E0A">
        <w:t>vCenters</w:t>
      </w:r>
      <w:proofErr w:type="spellEnd"/>
      <w:r w:rsidRPr="00F36E0A">
        <w:t xml:space="preserve">, SSH fallback for VMs without VMware Tools, standalone Linux and Proxmox collection, and physical server import workflows. Database collection ran through separate channels (Oracle via DMA, SQL Server via PowerShell scripts run per-host because </w:t>
      </w:r>
      <w:proofErr w:type="spellStart"/>
      <w:r w:rsidRPr="00F36E0A">
        <w:t>Guardicore</w:t>
      </w:r>
      <w:proofErr w:type="spellEnd"/>
      <w:r w:rsidRPr="00F36E0A">
        <w:t xml:space="preserve"> micro-segmentation blocked WMI). The scripts and handover documentation were provided to DMG Media's team so collection can continue beyond Phase 1.</w:t>
      </w:r>
    </w:p>
    <w:p w14:paraId="000001FD" w14:textId="551A338A" w:rsidR="000B0F63" w:rsidRDefault="00C05D22" w:rsidP="00EC2FA3">
      <w:pPr>
        <w:pStyle w:val="ListBullet"/>
        <w:numPr>
          <w:ilvl w:val="0"/>
          <w:numId w:val="11"/>
        </w:numPr>
        <w:jc w:val="both"/>
      </w:pPr>
      <w:r>
        <w:rPr>
          <w:b/>
          <w:bCs/>
        </w:rPr>
        <w:t>DMG Media</w:t>
      </w:r>
      <w:r w:rsidR="002B6815" w:rsidRPr="00F36E0A">
        <w:rPr>
          <w:b/>
          <w:bCs/>
        </w:rPr>
        <w:t xml:space="preserve"> </w:t>
      </w:r>
      <w:r w:rsidR="00F36E0A">
        <w:rPr>
          <w:b/>
          <w:bCs/>
        </w:rPr>
        <w:t>Technology</w:t>
      </w:r>
      <w:r>
        <w:rPr>
          <w:b/>
          <w:bCs/>
        </w:rPr>
        <w:t xml:space="preserve"> team stretched thin</w:t>
      </w:r>
      <w:r w:rsidRPr="00F36E0A">
        <w:t>. DMG Media's technology teams were managing day-to-day operations alongside discovery support. The varied issues (port approvals, credential provisioning, firewall changes, agent deployments) meant the same small group was context-switching across unrelated problems simultaneously.</w:t>
      </w:r>
    </w:p>
    <w:p w14:paraId="000001FF" w14:textId="00000200" w:rsidR="000B0F63" w:rsidRDefault="00C05D22" w:rsidP="00E40261">
      <w:pPr>
        <w:jc w:val="both"/>
      </w:pPr>
      <w:r>
        <w:rPr>
          <w:b/>
          <w:bCs/>
        </w:rPr>
        <w:t xml:space="preserve">What this means for DMG Media: </w:t>
      </w:r>
      <w:r>
        <w:t xml:space="preserve">the discovery experience is direct evidence of the fragmentation flagged at </w:t>
      </w:r>
      <w:proofErr w:type="spellStart"/>
      <w:r>
        <w:t>kickoff</w:t>
      </w:r>
      <w:proofErr w:type="spellEnd"/>
      <w:r>
        <w:t xml:space="preserve">. Different credential stores, different approval chains, and different levels of documentation across business areas are not abstractions; they directly affected how long it took to reach each server. </w:t>
      </w:r>
      <w:commentRangeStart w:id="152"/>
      <w:r>
        <w:t xml:space="preserve">It also </w:t>
      </w:r>
      <w:commentRangeEnd w:id="152"/>
      <w:r w:rsidR="00AA307F">
        <w:rPr>
          <w:rStyle w:val="CommentReference"/>
          <w:sz w:val="22"/>
          <w:szCs w:val="22"/>
        </w:rPr>
        <w:commentReference w:id="152"/>
      </w:r>
      <w:r>
        <w:t>means Phase 2 cannot follow a single-threaded model. Multiple parallel workstreams, each with dedicated resources aligned to specific application groups and client teams, are required to maintain velocity and reach the deeper data coverage needed for migration execution planning.</w:t>
      </w:r>
    </w:p>
    <w:p w14:paraId="00000201" w14:textId="00000202" w:rsidR="000B0F63" w:rsidRDefault="1BAB210A" w:rsidP="00E40261">
      <w:pPr>
        <w:pStyle w:val="Heading2"/>
        <w:jc w:val="both"/>
      </w:pPr>
      <w:bookmarkStart w:id="153" w:name="_Toc139"/>
      <w:bookmarkStart w:id="154" w:name="_Toc227770922"/>
      <w:r>
        <w:t>Data Gaps and Confidence</w:t>
      </w:r>
      <w:bookmarkEnd w:id="153"/>
      <w:bookmarkEnd w:id="154"/>
    </w:p>
    <w:p w14:paraId="00000203" w14:textId="00000204" w:rsidR="000B0F63" w:rsidRDefault="1BAB210A" w:rsidP="00E40261">
      <w:pPr>
        <w:pStyle w:val="Heading3"/>
        <w:jc w:val="both"/>
      </w:pPr>
      <w:bookmarkStart w:id="155" w:name="_Toc140"/>
      <w:bookmarkStart w:id="156" w:name="_Toc227770923"/>
      <w:r>
        <w:t>What we have</w:t>
      </w:r>
      <w:bookmarkEnd w:id="155"/>
      <w:bookmarkEnd w:id="156"/>
    </w:p>
    <w:p w14:paraId="00000205" w14:textId="00000206" w:rsidR="000B0F63" w:rsidRDefault="00C05D22" w:rsidP="00E40261">
      <w:pPr>
        <w:pStyle w:val="ListBullet"/>
        <w:jc w:val="both"/>
      </w:pPr>
      <w:r>
        <w:t>100% coverage of in-scope servers (3,038 of 3,038 discovered via Migration Center plus manual collection)</w:t>
      </w:r>
    </w:p>
    <w:p w14:paraId="00000207" w14:textId="00000208" w:rsidR="000B0F63" w:rsidRDefault="00C05D22" w:rsidP="00E40261">
      <w:pPr>
        <w:pStyle w:val="ListBullet"/>
        <w:jc w:val="both"/>
      </w:pPr>
      <w:r>
        <w:t>TCO-grade data for 97% of the estate (sufficient for pricing across all three clouds)</w:t>
      </w:r>
    </w:p>
    <w:p w14:paraId="00000209" w14:textId="0000020A" w:rsidR="000B0F63" w:rsidRDefault="00C05D22" w:rsidP="00E40261">
      <w:pPr>
        <w:pStyle w:val="ListBullet"/>
        <w:jc w:val="both"/>
      </w:pPr>
      <w:r>
        <w:t>Network dependencies captured for 842 servers, yielding 2M plus connections (</w:t>
      </w:r>
      <w:commentRangeStart w:id="157"/>
      <w:r>
        <w:t>deep but narrow</w:t>
      </w:r>
      <w:commentRangeEnd w:id="157"/>
      <w:r w:rsidR="00D01B48">
        <w:rPr>
          <w:rStyle w:val="CommentReference"/>
          <w:sz w:val="22"/>
          <w:szCs w:val="24"/>
        </w:rPr>
        <w:commentReference w:id="157"/>
      </w:r>
      <w:r>
        <w:t>)</w:t>
      </w:r>
    </w:p>
    <w:p w14:paraId="0000020B" w14:textId="0000020C" w:rsidR="000B0F63" w:rsidRDefault="00C05D22" w:rsidP="00E40261">
      <w:pPr>
        <w:pStyle w:val="ListBullet"/>
        <w:jc w:val="both"/>
      </w:pPr>
      <w:r>
        <w:t>Software inventory on 51.5% of servers</w:t>
      </w:r>
    </w:p>
    <w:p w14:paraId="0000020D" w14:textId="0000020E" w:rsidR="000B0F63" w:rsidRDefault="00C05D22" w:rsidP="00E40261">
      <w:pPr>
        <w:pStyle w:val="ListBullet"/>
        <w:jc w:val="both"/>
      </w:pPr>
      <w:r>
        <w:t>Full SQL Server assessment (49 instances, 252 cores, 185 databases)</w:t>
      </w:r>
    </w:p>
    <w:p w14:paraId="0000020F" w14:textId="00000210" w:rsidR="000B0F63" w:rsidRDefault="00C05D22" w:rsidP="00E40261">
      <w:pPr>
        <w:pStyle w:val="ListBullet"/>
        <w:jc w:val="both"/>
      </w:pPr>
      <w:r>
        <w:t>Oracle DMA on 11 database instances across 7 hosts</w:t>
      </w:r>
    </w:p>
    <w:p w14:paraId="00000211" w14:textId="00000212" w:rsidR="000B0F63" w:rsidRDefault="1BAB210A" w:rsidP="00E40261">
      <w:pPr>
        <w:pStyle w:val="Heading3"/>
        <w:jc w:val="both"/>
      </w:pPr>
      <w:bookmarkStart w:id="158" w:name="_Toc141"/>
      <w:bookmarkStart w:id="159" w:name="_Toc227770924"/>
      <w:r>
        <w:t>What we do not have, and why</w:t>
      </w:r>
      <w:bookmarkEnd w:id="158"/>
      <w:bookmarkEnd w:id="159"/>
    </w:p>
    <w:p w14:paraId="00000213" w14:textId="00000214" w:rsidR="000B0F63" w:rsidRDefault="00C05D22" w:rsidP="00EC2FA3">
      <w:pPr>
        <w:pStyle w:val="ListBullet"/>
        <w:numPr>
          <w:ilvl w:val="0"/>
          <w:numId w:val="12"/>
        </w:numPr>
        <w:jc w:val="both"/>
      </w:pPr>
      <w:r>
        <w:rPr>
          <w:b/>
          <w:bCs/>
        </w:rPr>
        <w:t>MOL B-cluster DMA assessment</w:t>
      </w:r>
      <w:r w:rsidRPr="00A556AA">
        <w:t xml:space="preserve">. </w:t>
      </w:r>
      <w:proofErr w:type="gramStart"/>
      <w:r w:rsidRPr="00A556AA">
        <w:t>Production</w:t>
      </w:r>
      <w:proofErr w:type="gramEnd"/>
      <w:r w:rsidRPr="00A556AA">
        <w:t xml:space="preserve"> primary Oracle. Coordination constraints during Phase 1 prevented collection. Highest-priority Phase 2 action.</w:t>
      </w:r>
    </w:p>
    <w:p w14:paraId="00000215" w14:textId="00000216" w:rsidR="000B0F63" w:rsidRDefault="00C05D22" w:rsidP="00EC2FA3">
      <w:pPr>
        <w:pStyle w:val="ListBullet"/>
        <w:numPr>
          <w:ilvl w:val="0"/>
          <w:numId w:val="12"/>
        </w:numPr>
        <w:jc w:val="both"/>
      </w:pPr>
      <w:r>
        <w:rPr>
          <w:b/>
          <w:bCs/>
        </w:rPr>
        <w:t>Network dependency mapping at estate scale (coverage is 27.7%).</w:t>
      </w:r>
      <w:r w:rsidRPr="00A556AA">
        <w:t xml:space="preserve"> Guest-level collection depth was the main bottleneck. Deeper mapping is a Phase 2 activity.</w:t>
      </w:r>
    </w:p>
    <w:p w14:paraId="00000217" w14:textId="00000218" w:rsidR="000B0F63" w:rsidRDefault="00C05D22" w:rsidP="00EC2FA3">
      <w:pPr>
        <w:pStyle w:val="ListBullet"/>
        <w:numPr>
          <w:ilvl w:val="0"/>
          <w:numId w:val="12"/>
        </w:numPr>
        <w:jc w:val="both"/>
      </w:pPr>
      <w:r>
        <w:rPr>
          <w:b/>
          <w:bCs/>
        </w:rPr>
        <w:t>Software inventory at estate scale (coverage is 51.5%).</w:t>
      </w:r>
      <w:r w:rsidRPr="00A556AA">
        <w:t xml:space="preserve"> Same bottleneck.</w:t>
      </w:r>
    </w:p>
    <w:p w14:paraId="00000219" w14:textId="0000021A" w:rsidR="000B0F63" w:rsidRDefault="00C05D22" w:rsidP="00EC2FA3">
      <w:pPr>
        <w:pStyle w:val="ListBullet"/>
        <w:numPr>
          <w:ilvl w:val="0"/>
          <w:numId w:val="12"/>
        </w:numPr>
        <w:jc w:val="both"/>
      </w:pPr>
      <w:r>
        <w:rPr>
          <w:b/>
          <w:bCs/>
        </w:rPr>
        <w:t xml:space="preserve">Workload </w:t>
      </w:r>
      <w:proofErr w:type="spellStart"/>
      <w:r>
        <w:rPr>
          <w:b/>
          <w:bCs/>
        </w:rPr>
        <w:t>utilisation</w:t>
      </w:r>
      <w:proofErr w:type="spellEnd"/>
      <w:r>
        <w:rPr>
          <w:b/>
          <w:bCs/>
        </w:rPr>
        <w:t xml:space="preserve"> data on 1,227 servers without VMware Tools</w:t>
      </w:r>
      <w:r w:rsidRPr="00A556AA">
        <w:t xml:space="preserve">. Pricing for these servers uses provisioned specifications rather than observed </w:t>
      </w:r>
      <w:proofErr w:type="spellStart"/>
      <w:r w:rsidRPr="00A556AA">
        <w:t>utilisation</w:t>
      </w:r>
      <w:proofErr w:type="spellEnd"/>
      <w:r w:rsidRPr="00A556AA">
        <w:t>. This produces slightly conservative sizing for VMs and is accurate for bare metal.</w:t>
      </w:r>
    </w:p>
    <w:p w14:paraId="0000021B" w14:textId="0000021C" w:rsidR="000B0F63" w:rsidRDefault="00C05D22" w:rsidP="00E40261">
      <w:pPr>
        <w:jc w:val="both"/>
      </w:pPr>
      <w:r>
        <w:t xml:space="preserve">The data we have is sufficient for the Phase 1 outcomes (cost comparison, readiness assessment, primary platform recommendation). The data we do not yet have is exactly what Phase 2 needs to </w:t>
      </w:r>
      <w:proofErr w:type="gramStart"/>
      <w:r>
        <w:t>begin, and</w:t>
      </w:r>
      <w:proofErr w:type="gramEnd"/>
      <w:r>
        <w:t xml:space="preserve"> is called out in Section 11.</w:t>
      </w:r>
    </w:p>
    <w:p w14:paraId="0000021D" w14:textId="0000021E" w:rsidR="000B0F63" w:rsidRDefault="00C05D22" w:rsidP="00E40261">
      <w:pPr>
        <w:jc w:val="both"/>
      </w:pPr>
      <w:r>
        <w:br w:type="page"/>
      </w:r>
    </w:p>
    <w:p w14:paraId="0000021F" w14:textId="00000220" w:rsidR="000B0F63" w:rsidRDefault="1BAB210A" w:rsidP="00E40261">
      <w:pPr>
        <w:pStyle w:val="Heading1"/>
        <w:jc w:val="both"/>
      </w:pPr>
      <w:bookmarkStart w:id="160" w:name="_Toc142"/>
      <w:bookmarkStart w:id="161" w:name="_Toc227770925"/>
      <w:bookmarkStart w:id="162" w:name="_Toc227771409"/>
      <w:r>
        <w:t>Section 5: Cost Comparison</w:t>
      </w:r>
      <w:bookmarkEnd w:id="160"/>
      <w:bookmarkEnd w:id="161"/>
      <w:bookmarkEnd w:id="162"/>
    </w:p>
    <w:p w14:paraId="00000221" w14:textId="00000222" w:rsidR="000B0F63" w:rsidRDefault="1BAB210A" w:rsidP="00E40261">
      <w:pPr>
        <w:pStyle w:val="Heading2"/>
        <w:jc w:val="both"/>
      </w:pPr>
      <w:bookmarkStart w:id="163" w:name="_Toc143"/>
      <w:bookmarkStart w:id="164" w:name="_Toc227770926"/>
      <w:r>
        <w:t>What This Section Does</w:t>
      </w:r>
      <w:bookmarkEnd w:id="163"/>
      <w:bookmarkEnd w:id="164"/>
    </w:p>
    <w:p w14:paraId="00000223" w14:textId="00000224" w:rsidR="000B0F63" w:rsidRDefault="00C05D22" w:rsidP="00E40261">
      <w:pPr>
        <w:jc w:val="both"/>
      </w:pPr>
      <w:r>
        <w:t xml:space="preserve">This section shows what public </w:t>
      </w:r>
      <w:commentRangeStart w:id="165"/>
      <w:r>
        <w:t>cloud</w:t>
      </w:r>
      <w:commentRangeEnd w:id="165"/>
      <w:r w:rsidR="00733077">
        <w:rPr>
          <w:rStyle w:val="CommentReference"/>
          <w:sz w:val="22"/>
          <w:szCs w:val="22"/>
        </w:rPr>
        <w:commentReference w:id="165"/>
      </w:r>
      <w:r>
        <w:t xml:space="preserve"> will cost, how that compares across AWS, Azure, and GCP, and what the main levers are. It is the section your finance stakeholders will read. The numbers are the starting point for the commercial conversation, not the end of it.</w:t>
      </w:r>
    </w:p>
    <w:p w14:paraId="00000225" w14:textId="00000226" w:rsidR="000B0F63" w:rsidRDefault="1BAB210A" w:rsidP="00E40261">
      <w:pPr>
        <w:pStyle w:val="Heading2"/>
        <w:jc w:val="both"/>
      </w:pPr>
      <w:bookmarkStart w:id="166" w:name="_Toc144"/>
      <w:bookmarkStart w:id="167" w:name="_Toc227770927"/>
      <w:r>
        <w:t>How We Produced These Numbers</w:t>
      </w:r>
      <w:bookmarkEnd w:id="166"/>
      <w:bookmarkEnd w:id="167"/>
    </w:p>
    <w:p w14:paraId="00000227" w14:textId="00000228" w:rsidR="000B0F63" w:rsidRDefault="00C05D22" w:rsidP="00E40261">
      <w:pPr>
        <w:jc w:val="both"/>
      </w:pPr>
      <w:r>
        <w:t>Before getting to the figures, it matters how they were built. We used a seven-step process:</w:t>
      </w:r>
    </w:p>
    <w:p w14:paraId="00000229" w14:textId="0000022A" w:rsidR="000B0F63" w:rsidRDefault="00C05D22" w:rsidP="00715B50">
      <w:pPr>
        <w:pStyle w:val="ListBullet"/>
        <w:numPr>
          <w:ilvl w:val="0"/>
          <w:numId w:val="50"/>
        </w:numPr>
        <w:jc w:val="both"/>
      </w:pPr>
      <w:r>
        <w:rPr>
          <w:b/>
          <w:bCs/>
        </w:rPr>
        <w:t xml:space="preserve">Data </w:t>
      </w:r>
      <w:proofErr w:type="spellStart"/>
      <w:r>
        <w:rPr>
          <w:b/>
          <w:bCs/>
        </w:rPr>
        <w:t>normalisation</w:t>
      </w:r>
      <w:proofErr w:type="spellEnd"/>
      <w:r w:rsidRPr="00431923">
        <w:t xml:space="preserve">. The same source data (server specifications, memory, storage, operating system) was fed to all three </w:t>
      </w:r>
      <w:commentRangeStart w:id="168"/>
      <w:proofErr w:type="spellStart"/>
      <w:r w:rsidRPr="00431923">
        <w:t>hyperscalers</w:t>
      </w:r>
      <w:commentRangeEnd w:id="168"/>
      <w:r w:rsidR="00B6762A" w:rsidRPr="00431923">
        <w:rPr>
          <w:rStyle w:val="CommentReference"/>
          <w:sz w:val="22"/>
          <w:szCs w:val="24"/>
        </w:rPr>
        <w:commentReference w:id="168"/>
      </w:r>
      <w:proofErr w:type="spellEnd"/>
      <w:r w:rsidRPr="00431923">
        <w:t>. No cloud got a different version of DMG Media's estate.</w:t>
      </w:r>
    </w:p>
    <w:p w14:paraId="0000022B" w14:textId="0000022C" w:rsidR="000B0F63" w:rsidRDefault="00C05D22" w:rsidP="00715B50">
      <w:pPr>
        <w:pStyle w:val="ListBullet"/>
        <w:numPr>
          <w:ilvl w:val="0"/>
          <w:numId w:val="50"/>
        </w:numPr>
        <w:jc w:val="both"/>
      </w:pPr>
      <w:r>
        <w:rPr>
          <w:b/>
          <w:bCs/>
        </w:rPr>
        <w:t>Architectural benchmarking</w:t>
      </w:r>
      <w:r w:rsidRPr="00431923">
        <w:t>. Each cloud's own sizing tool (GCP Migration Center, AWS Transform, Azure Migrate) produced right-sized target configurations. The native tools did the sizing. Their outputs are the starting point, not the final answer.</w:t>
      </w:r>
    </w:p>
    <w:p w14:paraId="0000022D" w14:textId="0000022E" w:rsidR="000B0F63" w:rsidRDefault="00C05D22" w:rsidP="00715B50">
      <w:pPr>
        <w:pStyle w:val="ListBullet"/>
        <w:numPr>
          <w:ilvl w:val="0"/>
          <w:numId w:val="50"/>
        </w:numPr>
        <w:jc w:val="both"/>
      </w:pPr>
      <w:r>
        <w:rPr>
          <w:b/>
          <w:bCs/>
        </w:rPr>
        <w:t>AI logic audit.</w:t>
      </w:r>
      <w:r w:rsidRPr="00431923">
        <w:t xml:space="preserve"> We audited the SKU mappings each tool produced. Different tools use different </w:t>
      </w:r>
      <w:proofErr w:type="spellStart"/>
      <w:r w:rsidRPr="00431923">
        <w:t>optimisation</w:t>
      </w:r>
      <w:proofErr w:type="spellEnd"/>
      <w:r w:rsidRPr="00431923">
        <w:t xml:space="preserve"> logic. We checked what each tool assumed and why.</w:t>
      </w:r>
    </w:p>
    <w:p w14:paraId="0000022F" w14:textId="00000230" w:rsidR="000B0F63" w:rsidRDefault="00C05D22" w:rsidP="00715B50">
      <w:pPr>
        <w:pStyle w:val="ListBullet"/>
        <w:numPr>
          <w:ilvl w:val="0"/>
          <w:numId w:val="50"/>
        </w:numPr>
        <w:jc w:val="both"/>
      </w:pPr>
      <w:r>
        <w:rPr>
          <w:b/>
          <w:bCs/>
        </w:rPr>
        <w:t>Bias mitigation</w:t>
      </w:r>
      <w:r w:rsidRPr="00431923">
        <w:t xml:space="preserve">. To remove tool-specific bias, we re-priced every recommended SKU against the official cloud pricing APIs (AWS Price List API, Azure Retail Prices API, GCP Billing Catalog API). This produced a validated, </w:t>
      </w:r>
      <w:proofErr w:type="spellStart"/>
      <w:r w:rsidRPr="00431923">
        <w:t>normalised</w:t>
      </w:r>
      <w:proofErr w:type="spellEnd"/>
      <w:r w:rsidRPr="00431923">
        <w:t xml:space="preserve"> view. The provider-native outputs are kept for internal validation only.</w:t>
      </w:r>
    </w:p>
    <w:p w14:paraId="00000231" w14:textId="12631E75" w:rsidR="000B0F63" w:rsidRDefault="00C05D22" w:rsidP="00715B50">
      <w:pPr>
        <w:pStyle w:val="ListBullet"/>
        <w:numPr>
          <w:ilvl w:val="0"/>
          <w:numId w:val="50"/>
        </w:numPr>
        <w:jc w:val="both"/>
      </w:pPr>
      <w:r>
        <w:rPr>
          <w:b/>
          <w:bCs/>
        </w:rPr>
        <w:t>Two pricing pillars.</w:t>
      </w:r>
      <w:r w:rsidRPr="00431923">
        <w:t xml:space="preserve"> We report </w:t>
      </w:r>
      <w:commentRangeStart w:id="169"/>
      <w:r w:rsidRPr="00431923">
        <w:t xml:space="preserve">on-demand </w:t>
      </w:r>
      <w:commentRangeEnd w:id="169"/>
      <w:r w:rsidR="00205508" w:rsidRPr="00431923">
        <w:rPr>
          <w:rStyle w:val="CommentReference"/>
          <w:sz w:val="22"/>
          <w:szCs w:val="24"/>
        </w:rPr>
        <w:commentReference w:id="169"/>
      </w:r>
      <w:r w:rsidRPr="00431923">
        <w:t xml:space="preserve">(the clean baseline) and 3-year committed (the realistic commitment </w:t>
      </w:r>
      <w:r w:rsidR="00566526">
        <w:t>for an organization of</w:t>
      </w:r>
      <w:r w:rsidRPr="00431923">
        <w:t xml:space="preserve"> your scale). One-year commitments are </w:t>
      </w:r>
      <w:proofErr w:type="spellStart"/>
      <w:r w:rsidRPr="00431923">
        <w:t>deprioritised</w:t>
      </w:r>
      <w:proofErr w:type="spellEnd"/>
      <w:r w:rsidRPr="00431923">
        <w:t xml:space="preserve"> as </w:t>
      </w:r>
      <w:r w:rsidR="00F64277">
        <w:t>a less</w:t>
      </w:r>
      <w:r w:rsidRPr="00431923">
        <w:t xml:space="preserve"> attractive option.</w:t>
      </w:r>
    </w:p>
    <w:p w14:paraId="00000233" w14:textId="00000234" w:rsidR="000B0F63" w:rsidRDefault="00C05D22" w:rsidP="00715B50">
      <w:pPr>
        <w:pStyle w:val="ListBullet"/>
        <w:numPr>
          <w:ilvl w:val="0"/>
          <w:numId w:val="50"/>
        </w:numPr>
        <w:jc w:val="both"/>
      </w:pPr>
      <w:r>
        <w:rPr>
          <w:b/>
          <w:bCs/>
        </w:rPr>
        <w:t xml:space="preserve">Partner and commercial pricing </w:t>
      </w:r>
      <w:proofErr w:type="gramStart"/>
      <w:r>
        <w:rPr>
          <w:b/>
          <w:bCs/>
        </w:rPr>
        <w:t>is</w:t>
      </w:r>
      <w:proofErr w:type="gramEnd"/>
      <w:r>
        <w:rPr>
          <w:b/>
          <w:bCs/>
        </w:rPr>
        <w:t xml:space="preserve"> a separate layer.</w:t>
      </w:r>
      <w:r w:rsidRPr="00431923">
        <w:t xml:space="preserve"> This sits on top of the </w:t>
      </w:r>
      <w:proofErr w:type="spellStart"/>
      <w:r w:rsidRPr="00431923">
        <w:t>normalised</w:t>
      </w:r>
      <w:proofErr w:type="spellEnd"/>
      <w:r w:rsidRPr="00431923">
        <w:t xml:space="preserve"> baseline. Where commercial offers are not yet received, the layer is flagged [</w:t>
      </w:r>
      <w:commentRangeStart w:id="170"/>
      <w:r w:rsidRPr="00431923">
        <w:t>PENDING</w:t>
      </w:r>
      <w:commentRangeEnd w:id="170"/>
      <w:r w:rsidR="00AE39E6" w:rsidRPr="00431923">
        <w:rPr>
          <w:rStyle w:val="CommentReference"/>
          <w:sz w:val="22"/>
          <w:szCs w:val="24"/>
        </w:rPr>
        <w:commentReference w:id="170"/>
      </w:r>
      <w:r w:rsidRPr="00431923">
        <w:t>] rather than inferred.</w:t>
      </w:r>
    </w:p>
    <w:p w14:paraId="00000235" w14:textId="504D3EB2" w:rsidR="000B0F63" w:rsidRDefault="00C05D22" w:rsidP="00715B50">
      <w:pPr>
        <w:pStyle w:val="ListBullet"/>
        <w:numPr>
          <w:ilvl w:val="0"/>
          <w:numId w:val="50"/>
        </w:numPr>
        <w:jc w:val="both"/>
      </w:pPr>
      <w:r>
        <w:rPr>
          <w:b/>
          <w:bCs/>
        </w:rPr>
        <w:t>Oracle scenarios are modelled separately</w:t>
      </w:r>
      <w:r w:rsidRPr="00431923">
        <w:t xml:space="preserve">. Oracle has three fundamentally different migration paths, each with different pricing mechanics. These are </w:t>
      </w:r>
      <w:r w:rsidR="00AE39E6">
        <w:t>separated</w:t>
      </w:r>
      <w:r w:rsidRPr="00431923">
        <w:t xml:space="preserve"> rather than averaged into </w:t>
      </w:r>
      <w:proofErr w:type="gramStart"/>
      <w:r w:rsidRPr="00431923">
        <w:t>compute</w:t>
      </w:r>
      <w:proofErr w:type="gramEnd"/>
      <w:r w:rsidRPr="00431923">
        <w:t xml:space="preserve"> cost.</w:t>
      </w:r>
    </w:p>
    <w:p w14:paraId="00000237" w14:textId="00000238" w:rsidR="000B0F63" w:rsidRDefault="00C05D22" w:rsidP="00E40261">
      <w:pPr>
        <w:jc w:val="both"/>
      </w:pPr>
      <w:r>
        <w:t>This methodology is what gives the figures credibility when each cloud provider presents their own view directly. Your technical panel can verify any number against a specific API response and data normalisation step.</w:t>
      </w:r>
    </w:p>
    <w:p w14:paraId="00000239" w14:textId="0000023A" w:rsidR="000B0F63" w:rsidRDefault="1BAB210A" w:rsidP="00E40261">
      <w:pPr>
        <w:pStyle w:val="Heading2"/>
        <w:jc w:val="both"/>
      </w:pPr>
      <w:bookmarkStart w:id="172" w:name="_Toc145"/>
      <w:bookmarkStart w:id="173" w:name="_Toc227770928"/>
      <w:r>
        <w:t>What Is Included and Excluded</w:t>
      </w:r>
      <w:bookmarkEnd w:id="172"/>
      <w:bookmarkEnd w:id="173"/>
    </w:p>
    <w:p w14:paraId="0000023B" w14:textId="0000023C" w:rsidR="000B0F63" w:rsidRDefault="1BAB210A" w:rsidP="00E40261">
      <w:pPr>
        <w:pStyle w:val="Heading3"/>
        <w:jc w:val="both"/>
      </w:pPr>
      <w:bookmarkStart w:id="174" w:name="_Toc146"/>
      <w:bookmarkStart w:id="175" w:name="_Toc227770929"/>
      <w:r>
        <w:t>Included in every figure below</w:t>
      </w:r>
      <w:bookmarkEnd w:id="174"/>
      <w:bookmarkEnd w:id="175"/>
    </w:p>
    <w:p w14:paraId="0000023D" w14:textId="0000023E" w:rsidR="000B0F63" w:rsidRDefault="00C05D22" w:rsidP="00EC2FA3">
      <w:pPr>
        <w:pStyle w:val="ListBullet"/>
        <w:numPr>
          <w:ilvl w:val="0"/>
          <w:numId w:val="14"/>
        </w:numPr>
        <w:jc w:val="both"/>
      </w:pPr>
      <w:proofErr w:type="gramStart"/>
      <w:r>
        <w:t>Compute</w:t>
      </w:r>
      <w:proofErr w:type="gramEnd"/>
      <w:r>
        <w:t xml:space="preserve"> (vCPU and memory) for each in-scope server</w:t>
      </w:r>
    </w:p>
    <w:p w14:paraId="0000023F" w14:textId="00000240" w:rsidR="000B0F63" w:rsidRDefault="00C05D22" w:rsidP="00EC2FA3">
      <w:pPr>
        <w:pStyle w:val="ListBullet"/>
        <w:numPr>
          <w:ilvl w:val="0"/>
          <w:numId w:val="14"/>
        </w:numPr>
        <w:jc w:val="both"/>
      </w:pPr>
      <w:r>
        <w:t>Block storage (SSD class, IOPS-matched across clouds at 80,000 IOPS per disk where needed)</w:t>
      </w:r>
    </w:p>
    <w:p w14:paraId="00000241" w14:textId="00000242" w:rsidR="000B0F63" w:rsidRDefault="00C05D22" w:rsidP="00EC2FA3">
      <w:pPr>
        <w:pStyle w:val="ListBullet"/>
        <w:numPr>
          <w:ilvl w:val="0"/>
          <w:numId w:val="14"/>
        </w:numPr>
        <w:jc w:val="both"/>
      </w:pPr>
      <w:r>
        <w:t>Operating system licensing at pay-as-you-go rates unless otherwise stated</w:t>
      </w:r>
    </w:p>
    <w:p w14:paraId="00000243" w14:textId="00000244" w:rsidR="000B0F63" w:rsidRDefault="00C05D22" w:rsidP="00EC2FA3">
      <w:pPr>
        <w:pStyle w:val="ListBullet"/>
        <w:numPr>
          <w:ilvl w:val="0"/>
          <w:numId w:val="14"/>
        </w:numPr>
        <w:jc w:val="both"/>
      </w:pPr>
      <w:r>
        <w:t>Estimated network cost (</w:t>
      </w:r>
      <w:commentRangeStart w:id="176"/>
      <w:r>
        <w:t>5%</w:t>
      </w:r>
      <w:commentRangeEnd w:id="176"/>
      <w:r w:rsidR="00112ABD">
        <w:rPr>
          <w:rStyle w:val="CommentReference"/>
          <w:sz w:val="22"/>
          <w:szCs w:val="24"/>
        </w:rPr>
        <w:commentReference w:id="176"/>
      </w:r>
      <w:r>
        <w:t xml:space="preserve"> of compute plus storage, as a cloud estimate, since actual egress requires traffic flow data not collected in Phase 1)</w:t>
      </w:r>
    </w:p>
    <w:p w14:paraId="00000245" w14:textId="00000246" w:rsidR="000B0F63" w:rsidRDefault="1BAB210A" w:rsidP="00E40261">
      <w:pPr>
        <w:pStyle w:val="Heading3"/>
        <w:jc w:val="both"/>
      </w:pPr>
      <w:bookmarkStart w:id="177" w:name="_Toc147"/>
      <w:bookmarkStart w:id="178" w:name="_Toc227770930"/>
      <w:r>
        <w:t>Excluded from the headline figures</w:t>
      </w:r>
      <w:bookmarkEnd w:id="177"/>
      <w:bookmarkEnd w:id="178"/>
    </w:p>
    <w:p w14:paraId="0C450ED5" w14:textId="77777777" w:rsidR="007404B2" w:rsidRDefault="00C05D22" w:rsidP="00EC2FA3">
      <w:pPr>
        <w:pStyle w:val="ListBullet"/>
        <w:numPr>
          <w:ilvl w:val="0"/>
          <w:numId w:val="15"/>
        </w:numPr>
        <w:jc w:val="both"/>
      </w:pPr>
      <w:r>
        <w:t xml:space="preserve">Network egress across the public internet. Per-GB rates (API-verified, London): </w:t>
      </w:r>
    </w:p>
    <w:p w14:paraId="7BC7BCC9" w14:textId="77777777" w:rsidR="007404B2" w:rsidRDefault="00C05D22" w:rsidP="00EC2FA3">
      <w:pPr>
        <w:pStyle w:val="ListBullet"/>
        <w:numPr>
          <w:ilvl w:val="1"/>
          <w:numId w:val="15"/>
        </w:numPr>
        <w:jc w:val="both"/>
      </w:pPr>
      <w:r>
        <w:t>AWS $0.09/GB for the first 10TB/</w:t>
      </w:r>
      <w:proofErr w:type="spellStart"/>
      <w:r>
        <w:t>mo</w:t>
      </w:r>
      <w:proofErr w:type="spellEnd"/>
      <w:r>
        <w:t xml:space="preserve"> tapering to $0.05/GB above 150TB/</w:t>
      </w:r>
      <w:proofErr w:type="spellStart"/>
      <w:proofErr w:type="gramStart"/>
      <w:r>
        <w:t>mo</w:t>
      </w:r>
      <w:proofErr w:type="spellEnd"/>
      <w:r>
        <w:t>;</w:t>
      </w:r>
      <w:proofErr w:type="gramEnd"/>
      <w:r>
        <w:t xml:space="preserve"> </w:t>
      </w:r>
    </w:p>
    <w:p w14:paraId="05D3AD70" w14:textId="77777777" w:rsidR="007404B2" w:rsidRDefault="00C05D22" w:rsidP="00EC2FA3">
      <w:pPr>
        <w:pStyle w:val="ListBullet"/>
        <w:numPr>
          <w:ilvl w:val="1"/>
          <w:numId w:val="15"/>
        </w:numPr>
        <w:jc w:val="both"/>
      </w:pPr>
      <w:r>
        <w:t xml:space="preserve">Azure $0.08/GB for the first 10TB tapering to $0.04-0.05/GB at high </w:t>
      </w:r>
      <w:proofErr w:type="gramStart"/>
      <w:r>
        <w:t>volumes;</w:t>
      </w:r>
      <w:proofErr w:type="gramEnd"/>
      <w:r>
        <w:t xml:space="preserve"> </w:t>
      </w:r>
    </w:p>
    <w:p w14:paraId="252A9558" w14:textId="77777777" w:rsidR="001010F0" w:rsidRDefault="00C05D22" w:rsidP="00EC2FA3">
      <w:pPr>
        <w:pStyle w:val="ListBullet"/>
        <w:numPr>
          <w:ilvl w:val="1"/>
          <w:numId w:val="15"/>
        </w:numPr>
        <w:jc w:val="both"/>
      </w:pPr>
      <w:r>
        <w:t xml:space="preserve">GCP Premium Tier $0.12/GB for the first 1TB, $0.11/GB for 1-10TB, $0.08/GB at 10TB+. </w:t>
      </w:r>
    </w:p>
    <w:p w14:paraId="00000247" w14:textId="696D678E" w:rsidR="000B0F63" w:rsidRDefault="00C05D22" w:rsidP="00EC2FA3">
      <w:pPr>
        <w:pStyle w:val="ListBullet"/>
        <w:numPr>
          <w:ilvl w:val="1"/>
          <w:numId w:val="15"/>
        </w:numPr>
        <w:jc w:val="both"/>
      </w:pPr>
      <w:r>
        <w:t>At low-to-mid monthly volumes GCP is materially more expensive; at high volumes all three converge.</w:t>
      </w:r>
    </w:p>
    <w:p w14:paraId="00000249" w14:textId="0000024A" w:rsidR="000B0F63" w:rsidRDefault="00C05D22" w:rsidP="00EC2FA3">
      <w:pPr>
        <w:pStyle w:val="ListBullet"/>
        <w:numPr>
          <w:ilvl w:val="0"/>
          <w:numId w:val="15"/>
        </w:numPr>
        <w:jc w:val="both"/>
      </w:pPr>
      <w:commentRangeStart w:id="179"/>
      <w:r>
        <w:t xml:space="preserve">Backup </w:t>
      </w:r>
      <w:commentRangeEnd w:id="179"/>
      <w:r w:rsidR="006438B0">
        <w:rPr>
          <w:rStyle w:val="CommentReference"/>
          <w:sz w:val="22"/>
          <w:szCs w:val="24"/>
        </w:rPr>
        <w:commentReference w:id="179"/>
      </w:r>
      <w:r>
        <w:t>and disaster recovery, which require RPO and RTO decisions per application (Phase 2).</w:t>
      </w:r>
    </w:p>
    <w:p w14:paraId="0000024B" w14:textId="27B78DDF" w:rsidR="000B0F63" w:rsidRDefault="00C05D22" w:rsidP="00EC2FA3">
      <w:pPr>
        <w:pStyle w:val="ListBullet"/>
        <w:numPr>
          <w:ilvl w:val="0"/>
          <w:numId w:val="15"/>
        </w:numPr>
        <w:jc w:val="both"/>
      </w:pPr>
      <w:r>
        <w:t>Support contracts, which vary by support tier selection.</w:t>
      </w:r>
      <w:r w:rsidR="00EB37D7">
        <w:t xml:space="preserve">  VMware support costs are not included in the </w:t>
      </w:r>
      <w:proofErr w:type="gramStart"/>
      <w:r w:rsidR="00EB37D7">
        <w:t>on-premise</w:t>
      </w:r>
      <w:proofErr w:type="gramEnd"/>
      <w:r w:rsidR="00EB37D7">
        <w:t xml:space="preserve"> baseline.</w:t>
      </w:r>
    </w:p>
    <w:p w14:paraId="0000024D" w14:textId="0000024E" w:rsidR="000B0F63" w:rsidRDefault="00C05D22" w:rsidP="00EC2FA3">
      <w:pPr>
        <w:pStyle w:val="ListBullet"/>
        <w:numPr>
          <w:ilvl w:val="0"/>
          <w:numId w:val="15"/>
        </w:numPr>
        <w:jc w:val="both"/>
      </w:pPr>
      <w:r>
        <w:t xml:space="preserve">Migration </w:t>
      </w:r>
      <w:proofErr w:type="spellStart"/>
      <w:r>
        <w:t>labour</w:t>
      </w:r>
      <w:proofErr w:type="spellEnd"/>
      <w:r>
        <w:t>, which is out of scope for Phase 1.</w:t>
      </w:r>
    </w:p>
    <w:p w14:paraId="0000024F" w14:textId="00000250" w:rsidR="000B0F63" w:rsidRDefault="00C05D22" w:rsidP="00EC2FA3">
      <w:pPr>
        <w:pStyle w:val="ListBullet"/>
        <w:numPr>
          <w:ilvl w:val="0"/>
          <w:numId w:val="15"/>
        </w:numPr>
        <w:jc w:val="both"/>
      </w:pPr>
      <w:r>
        <w:t xml:space="preserve">Licensing </w:t>
      </w:r>
      <w:proofErr w:type="spellStart"/>
      <w:r>
        <w:t>optimisation</w:t>
      </w:r>
      <w:proofErr w:type="spellEnd"/>
      <w:r>
        <w:t xml:space="preserve"> (BYOL), which is modelled separately below because it depends on your Software Assurance status.</w:t>
      </w:r>
    </w:p>
    <w:p w14:paraId="00000251" w14:textId="00000252" w:rsidR="000B0F63" w:rsidRDefault="00C05D22" w:rsidP="00EC2FA3">
      <w:pPr>
        <w:pStyle w:val="ListBullet"/>
        <w:numPr>
          <w:ilvl w:val="0"/>
          <w:numId w:val="15"/>
        </w:numPr>
        <w:jc w:val="both"/>
      </w:pPr>
      <w:r>
        <w:t xml:space="preserve">Managed service substitutions (e.g. moving Oracle to PostgreSQL), which require application profiling and are modelled as </w:t>
      </w:r>
      <w:proofErr w:type="spellStart"/>
      <w:r>
        <w:t>optimisation</w:t>
      </w:r>
      <w:proofErr w:type="spellEnd"/>
      <w:r>
        <w:t xml:space="preserve"> scenarios.</w:t>
      </w:r>
    </w:p>
    <w:p w14:paraId="00000253" w14:textId="00000254" w:rsidR="000B0F63" w:rsidRDefault="00C05D22" w:rsidP="00EC2FA3">
      <w:pPr>
        <w:pStyle w:val="ListBullet"/>
        <w:numPr>
          <w:ilvl w:val="0"/>
          <w:numId w:val="15"/>
        </w:numPr>
        <w:jc w:val="both"/>
      </w:pPr>
      <w:r>
        <w:t>Landing zone infrastructure and interconnect, which depend on landing zone design.</w:t>
      </w:r>
    </w:p>
    <w:p w14:paraId="00000255" w14:textId="00000256" w:rsidR="000B0F63" w:rsidRDefault="1BAB210A" w:rsidP="00E40261">
      <w:pPr>
        <w:pStyle w:val="Heading2"/>
        <w:jc w:val="both"/>
      </w:pPr>
      <w:bookmarkStart w:id="180" w:name="_Toc148"/>
      <w:bookmarkStart w:id="181" w:name="_Toc227770931"/>
      <w:r>
        <w:t>Apples-to-Apples Baseline (London, 3-Year Committed, Per Month)</w:t>
      </w:r>
      <w:bookmarkEnd w:id="180"/>
      <w:bookmarkEnd w:id="181"/>
    </w:p>
    <w:p w14:paraId="00000257" w14:textId="00000258" w:rsidR="000B0F63" w:rsidRDefault="00C05D22" w:rsidP="00E40261">
      <w:pPr>
        <w:jc w:val="both"/>
      </w:pPr>
      <w:r>
        <w:t>The table below shows the same 3,038 servers priced on each cloud at the sizing each cloud's own tool recommended.</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906732" w14:paraId="36D4D4EE" w14:textId="77777777">
        <w:trPr>
          <w:cantSplit/>
        </w:trPr>
        <w:tc>
          <w:tcPr>
            <w:tcW w:w="2430" w:type="dxa"/>
            <w:shd w:val="clear" w:color="auto" w:fill="D9D9D9"/>
            <w:tcMar>
              <w:top w:w="100" w:type="dxa"/>
              <w:left w:w="100" w:type="dxa"/>
              <w:bottom w:w="100" w:type="dxa"/>
              <w:right w:w="100" w:type="dxa"/>
            </w:tcMar>
          </w:tcPr>
          <w:p w14:paraId="00000259" w14:textId="0000025A" w:rsidR="000B0F63" w:rsidRDefault="00C05D22" w:rsidP="00D403FC">
            <w:pPr>
              <w:pStyle w:val="TableHeader"/>
              <w:jc w:val="center"/>
            </w:pPr>
            <w:r>
              <w:t>Pricing model</w:t>
            </w:r>
          </w:p>
        </w:tc>
        <w:tc>
          <w:tcPr>
            <w:tcW w:w="2430" w:type="dxa"/>
            <w:shd w:val="clear" w:color="auto" w:fill="D9D9D9"/>
            <w:tcMar>
              <w:top w:w="100" w:type="dxa"/>
              <w:left w:w="100" w:type="dxa"/>
              <w:bottom w:w="100" w:type="dxa"/>
              <w:right w:w="100" w:type="dxa"/>
            </w:tcMar>
          </w:tcPr>
          <w:p w14:paraId="0000025B" w14:textId="0000025C" w:rsidR="000B0F63" w:rsidRDefault="00C05D22" w:rsidP="00D403FC">
            <w:pPr>
              <w:pStyle w:val="TableHeader"/>
              <w:jc w:val="center"/>
            </w:pPr>
            <w:r>
              <w:t>GCP</w:t>
            </w:r>
          </w:p>
        </w:tc>
        <w:tc>
          <w:tcPr>
            <w:tcW w:w="2430" w:type="dxa"/>
            <w:shd w:val="clear" w:color="auto" w:fill="D9D9D9"/>
            <w:tcMar>
              <w:top w:w="100" w:type="dxa"/>
              <w:left w:w="100" w:type="dxa"/>
              <w:bottom w:w="100" w:type="dxa"/>
              <w:right w:w="100" w:type="dxa"/>
            </w:tcMar>
          </w:tcPr>
          <w:p w14:paraId="0000025D" w14:textId="0000025E" w:rsidR="000B0F63" w:rsidRDefault="00C05D22" w:rsidP="00D403FC">
            <w:pPr>
              <w:pStyle w:val="TableHeader"/>
              <w:jc w:val="center"/>
            </w:pPr>
            <w:r>
              <w:t>AWS</w:t>
            </w:r>
          </w:p>
        </w:tc>
        <w:tc>
          <w:tcPr>
            <w:tcW w:w="2430" w:type="dxa"/>
            <w:shd w:val="clear" w:color="auto" w:fill="D9D9D9"/>
            <w:tcMar>
              <w:top w:w="100" w:type="dxa"/>
              <w:left w:w="100" w:type="dxa"/>
              <w:bottom w:w="100" w:type="dxa"/>
              <w:right w:w="100" w:type="dxa"/>
            </w:tcMar>
          </w:tcPr>
          <w:p w14:paraId="0000025F" w14:textId="00000260" w:rsidR="000B0F63" w:rsidRDefault="00C05D22" w:rsidP="00D403FC">
            <w:pPr>
              <w:pStyle w:val="TableHeader"/>
              <w:jc w:val="center"/>
            </w:pPr>
            <w:r>
              <w:t>Azure</w:t>
            </w:r>
          </w:p>
        </w:tc>
      </w:tr>
      <w:tr w:rsidR="008A54AF" w14:paraId="355376EF" w14:textId="77777777">
        <w:tc>
          <w:tcPr>
            <w:tcW w:w="2430" w:type="dxa"/>
            <w:tcMar>
              <w:top w:w="100" w:type="dxa"/>
              <w:left w:w="100" w:type="dxa"/>
              <w:bottom w:w="100" w:type="dxa"/>
              <w:right w:w="100" w:type="dxa"/>
            </w:tcMar>
          </w:tcPr>
          <w:p w14:paraId="00000261" w14:textId="00000262" w:rsidR="000B0F63" w:rsidRDefault="00C05D22" w:rsidP="00D403FC">
            <w:pPr>
              <w:pStyle w:val="TableInfo"/>
              <w:jc w:val="center"/>
            </w:pPr>
            <w:r>
              <w:t>Pay-as-you-go monthly</w:t>
            </w:r>
          </w:p>
        </w:tc>
        <w:tc>
          <w:tcPr>
            <w:tcW w:w="2430" w:type="dxa"/>
            <w:tcMar>
              <w:top w:w="100" w:type="dxa"/>
              <w:left w:w="100" w:type="dxa"/>
              <w:bottom w:w="100" w:type="dxa"/>
              <w:right w:w="100" w:type="dxa"/>
            </w:tcMar>
          </w:tcPr>
          <w:p w14:paraId="00000263" w14:textId="00000264" w:rsidR="000B0F63" w:rsidRDefault="00C05D22" w:rsidP="00D403FC">
            <w:pPr>
              <w:pStyle w:val="TableInfo"/>
              <w:jc w:val="center"/>
            </w:pPr>
            <w:r>
              <w:t>311,264</w:t>
            </w:r>
          </w:p>
        </w:tc>
        <w:tc>
          <w:tcPr>
            <w:tcW w:w="2430" w:type="dxa"/>
            <w:tcMar>
              <w:top w:w="100" w:type="dxa"/>
              <w:left w:w="100" w:type="dxa"/>
              <w:bottom w:w="100" w:type="dxa"/>
              <w:right w:w="100" w:type="dxa"/>
            </w:tcMar>
          </w:tcPr>
          <w:p w14:paraId="00000265" w14:textId="00000266" w:rsidR="000B0F63" w:rsidRDefault="00C05D22" w:rsidP="00D403FC">
            <w:pPr>
              <w:pStyle w:val="TableInfo"/>
              <w:jc w:val="center"/>
            </w:pPr>
            <w:r>
              <w:t>328,223</w:t>
            </w:r>
          </w:p>
        </w:tc>
        <w:tc>
          <w:tcPr>
            <w:tcW w:w="2430" w:type="dxa"/>
            <w:tcMar>
              <w:top w:w="100" w:type="dxa"/>
              <w:left w:w="100" w:type="dxa"/>
              <w:bottom w:w="100" w:type="dxa"/>
              <w:right w:w="100" w:type="dxa"/>
            </w:tcMar>
          </w:tcPr>
          <w:p w14:paraId="00000267" w14:textId="00000268" w:rsidR="000B0F63" w:rsidRDefault="00C05D22" w:rsidP="00D403FC">
            <w:pPr>
              <w:pStyle w:val="TableInfo"/>
              <w:jc w:val="center"/>
            </w:pPr>
            <w:r>
              <w:t>424,831</w:t>
            </w:r>
          </w:p>
        </w:tc>
      </w:tr>
      <w:tr w:rsidR="008A54AF" w14:paraId="4D69F6F6" w14:textId="77777777">
        <w:tc>
          <w:tcPr>
            <w:tcW w:w="2430" w:type="dxa"/>
            <w:tcMar>
              <w:top w:w="100" w:type="dxa"/>
              <w:left w:w="100" w:type="dxa"/>
              <w:bottom w:w="100" w:type="dxa"/>
              <w:right w:w="100" w:type="dxa"/>
            </w:tcMar>
          </w:tcPr>
          <w:p w14:paraId="00000269" w14:textId="0000026A" w:rsidR="000B0F63" w:rsidRDefault="00C05D22" w:rsidP="00D403FC">
            <w:pPr>
              <w:pStyle w:val="TableInfo"/>
              <w:jc w:val="center"/>
            </w:pPr>
            <w:r>
              <w:t>3-year committed monthly</w:t>
            </w:r>
          </w:p>
        </w:tc>
        <w:tc>
          <w:tcPr>
            <w:tcW w:w="2430" w:type="dxa"/>
            <w:tcMar>
              <w:top w:w="100" w:type="dxa"/>
              <w:left w:w="100" w:type="dxa"/>
              <w:bottom w:w="100" w:type="dxa"/>
              <w:right w:w="100" w:type="dxa"/>
            </w:tcMar>
          </w:tcPr>
          <w:p w14:paraId="0000026B" w14:textId="0000026C" w:rsidR="000B0F63" w:rsidRDefault="00C05D22" w:rsidP="00D403FC">
            <w:pPr>
              <w:pStyle w:val="TableInfo"/>
              <w:jc w:val="center"/>
            </w:pPr>
            <w:r>
              <w:t>186,974</w:t>
            </w:r>
          </w:p>
        </w:tc>
        <w:tc>
          <w:tcPr>
            <w:tcW w:w="2430" w:type="dxa"/>
            <w:tcMar>
              <w:top w:w="100" w:type="dxa"/>
              <w:left w:w="100" w:type="dxa"/>
              <w:bottom w:w="100" w:type="dxa"/>
              <w:right w:w="100" w:type="dxa"/>
            </w:tcMar>
          </w:tcPr>
          <w:p w14:paraId="0000026D" w14:textId="0000026E" w:rsidR="000B0F63" w:rsidRDefault="00C05D22" w:rsidP="00D403FC">
            <w:pPr>
              <w:pStyle w:val="TableInfo"/>
              <w:jc w:val="center"/>
            </w:pPr>
            <w:r>
              <w:t>190,285</w:t>
            </w:r>
          </w:p>
        </w:tc>
        <w:tc>
          <w:tcPr>
            <w:tcW w:w="2430" w:type="dxa"/>
            <w:tcMar>
              <w:top w:w="100" w:type="dxa"/>
              <w:left w:w="100" w:type="dxa"/>
              <w:bottom w:w="100" w:type="dxa"/>
              <w:right w:w="100" w:type="dxa"/>
            </w:tcMar>
          </w:tcPr>
          <w:p w14:paraId="0000026F" w14:textId="00000270" w:rsidR="000B0F63" w:rsidRDefault="00C05D22" w:rsidP="00D403FC">
            <w:pPr>
              <w:pStyle w:val="TableInfo"/>
              <w:jc w:val="center"/>
            </w:pPr>
            <w:r>
              <w:t>274,881</w:t>
            </w:r>
          </w:p>
        </w:tc>
      </w:tr>
    </w:tbl>
    <w:p w14:paraId="4F0BDE63" w14:textId="77777777" w:rsidR="00D403FC" w:rsidRDefault="00D403FC" w:rsidP="00D403FC"/>
    <w:p w14:paraId="00000271" w14:textId="00000272" w:rsidR="000B0F63" w:rsidRDefault="00C05D22" w:rsidP="00D403FC">
      <w:r>
        <w:t>On a 3-year committed basis in London, GCP is the cheapest by approximately 2% over AWS. Azure is approximately 47% more than GCP.</w:t>
      </w:r>
    </w:p>
    <w:p w14:paraId="21448A75" w14:textId="77777777" w:rsidR="005B213D" w:rsidRDefault="00C05D22" w:rsidP="00EC2FA3">
      <w:pPr>
        <w:pStyle w:val="ListParagraph"/>
        <w:numPr>
          <w:ilvl w:val="0"/>
          <w:numId w:val="20"/>
        </w:numPr>
        <w:jc w:val="both"/>
      </w:pPr>
      <w:r>
        <w:t xml:space="preserve">The cost spread reflects how each cloud's own assessment tool sized the same source workload. GCP Migration </w:t>
      </w:r>
      <w:proofErr w:type="spellStart"/>
      <w:r>
        <w:t>Center</w:t>
      </w:r>
      <w:proofErr w:type="spellEnd"/>
      <w:r>
        <w:t xml:space="preserve"> produced the smallest vCPU allocation at 32% of source, using custom instance shapes down to 1 vCPU. </w:t>
      </w:r>
    </w:p>
    <w:p w14:paraId="4836BC2B" w14:textId="77777777" w:rsidR="001A7FD6" w:rsidRDefault="00C05D22" w:rsidP="00EC2FA3">
      <w:pPr>
        <w:pStyle w:val="ListParagraph"/>
        <w:numPr>
          <w:ilvl w:val="0"/>
          <w:numId w:val="20"/>
        </w:numPr>
        <w:jc w:val="both"/>
      </w:pPr>
      <w:r>
        <w:t xml:space="preserve">AWS Transform sat at 49%. </w:t>
      </w:r>
    </w:p>
    <w:p w14:paraId="440AE758" w14:textId="77777777" w:rsidR="00C5380D" w:rsidRDefault="00C05D22" w:rsidP="00EC2FA3">
      <w:pPr>
        <w:pStyle w:val="ListParagraph"/>
        <w:numPr>
          <w:ilvl w:val="0"/>
          <w:numId w:val="20"/>
        </w:numPr>
        <w:jc w:val="both"/>
      </w:pPr>
      <w:r>
        <w:t xml:space="preserve">Azure Migrate sat at 53%, typically assigning F2s_v2 (2 vCPU minimum) across most of the estate because its sizing algorithm did not generate 1-vCPU SKUs for production workloads, and F-series SKU availability with 3-year Reserved Instance coverage in London shapes the options available. </w:t>
      </w:r>
    </w:p>
    <w:p w14:paraId="00000273" w14:textId="16C2A399" w:rsidR="000B0F63" w:rsidRDefault="00C05D22" w:rsidP="00EC2FA3">
      <w:pPr>
        <w:pStyle w:val="ListParagraph"/>
        <w:numPr>
          <w:ilvl w:val="0"/>
          <w:numId w:val="20"/>
        </w:numPr>
        <w:jc w:val="both"/>
      </w:pPr>
      <w:commentRangeStart w:id="182"/>
      <w:r>
        <w:t>Burstable VM families were excluded across all three clouds by team agreement as not suitable for production workloads.</w:t>
      </w:r>
      <w:commentRangeEnd w:id="182"/>
      <w:r w:rsidR="00E62A32">
        <w:rPr>
          <w:rStyle w:val="CommentReference"/>
          <w:sz w:val="22"/>
          <w:szCs w:val="22"/>
        </w:rPr>
        <w:commentReference w:id="182"/>
      </w:r>
    </w:p>
    <w:p w14:paraId="00000275" w14:textId="750DF596" w:rsidR="000B0F63" w:rsidRDefault="00C05D22" w:rsidP="00E40261">
      <w:pPr>
        <w:jc w:val="both"/>
      </w:pPr>
      <w:r>
        <w:t xml:space="preserve">SKU choices and workload mappings on any of the three clouds can </w:t>
      </w:r>
      <w:r w:rsidR="0013273F">
        <w:t xml:space="preserve">be </w:t>
      </w:r>
      <w:r>
        <w:t>refine</w:t>
      </w:r>
      <w:r w:rsidR="0013273F">
        <w:t>d</w:t>
      </w:r>
      <w:r>
        <w:t xml:space="preserve"> with deeper Phase 2 assessment. The numbers above are the right baseline for a Phase 1 independent comparison (same input, each cloud's own tool output, normalised against pricing APIs), not a ceiling or floor for each cloud's commercial position.</w:t>
      </w:r>
    </w:p>
    <w:p w14:paraId="00000277" w14:textId="00000278" w:rsidR="000B0F63" w:rsidRDefault="1BAB210A" w:rsidP="00E40261">
      <w:pPr>
        <w:pStyle w:val="Heading2"/>
        <w:jc w:val="both"/>
      </w:pPr>
      <w:bookmarkStart w:id="183" w:name="_Toc149"/>
      <w:bookmarkStart w:id="184" w:name="_Toc227770932"/>
      <w:r>
        <w:t>Regional Comparison</w:t>
      </w:r>
      <w:bookmarkEnd w:id="183"/>
      <w:bookmarkEnd w:id="184"/>
    </w:p>
    <w:p w14:paraId="00000279" w14:textId="0000027A" w:rsidR="000B0F63" w:rsidRDefault="00C05D22" w:rsidP="00E40261">
      <w:pPr>
        <w:jc w:val="both"/>
      </w:pPr>
      <w:r>
        <w:t>Three regions were assessed per cloud to give geographic context.</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7E4C3F" w14:paraId="6722FDB6" w14:textId="77777777">
        <w:trPr>
          <w:cantSplit/>
        </w:trPr>
        <w:tc>
          <w:tcPr>
            <w:tcW w:w="2430" w:type="dxa"/>
            <w:shd w:val="clear" w:color="auto" w:fill="D9D9D9"/>
            <w:tcMar>
              <w:top w:w="100" w:type="dxa"/>
              <w:left w:w="100" w:type="dxa"/>
              <w:bottom w:w="100" w:type="dxa"/>
              <w:right w:w="100" w:type="dxa"/>
            </w:tcMar>
          </w:tcPr>
          <w:p w14:paraId="0000027B" w14:textId="0000027C" w:rsidR="000B0F63" w:rsidRDefault="00C05D22" w:rsidP="00E40261">
            <w:pPr>
              <w:pStyle w:val="TableHeader"/>
              <w:jc w:val="both"/>
            </w:pPr>
            <w:r>
              <w:t>Region</w:t>
            </w:r>
          </w:p>
        </w:tc>
        <w:tc>
          <w:tcPr>
            <w:tcW w:w="2430" w:type="dxa"/>
            <w:shd w:val="clear" w:color="auto" w:fill="D9D9D9"/>
            <w:tcMar>
              <w:top w:w="100" w:type="dxa"/>
              <w:left w:w="100" w:type="dxa"/>
              <w:bottom w:w="100" w:type="dxa"/>
              <w:right w:w="100" w:type="dxa"/>
            </w:tcMar>
          </w:tcPr>
          <w:p w14:paraId="0000027D" w14:textId="0000027E" w:rsidR="000B0F63" w:rsidRDefault="00C05D22" w:rsidP="00E40261">
            <w:pPr>
              <w:pStyle w:val="TableHeader"/>
              <w:jc w:val="both"/>
            </w:pPr>
            <w:r>
              <w:t>GCP</w:t>
            </w:r>
          </w:p>
        </w:tc>
        <w:tc>
          <w:tcPr>
            <w:tcW w:w="2430" w:type="dxa"/>
            <w:shd w:val="clear" w:color="auto" w:fill="D9D9D9"/>
            <w:tcMar>
              <w:top w:w="100" w:type="dxa"/>
              <w:left w:w="100" w:type="dxa"/>
              <w:bottom w:w="100" w:type="dxa"/>
              <w:right w:w="100" w:type="dxa"/>
            </w:tcMar>
          </w:tcPr>
          <w:p w14:paraId="0000027F" w14:textId="00000280" w:rsidR="000B0F63" w:rsidRDefault="00C05D22" w:rsidP="00E40261">
            <w:pPr>
              <w:pStyle w:val="TableHeader"/>
              <w:jc w:val="both"/>
            </w:pPr>
            <w:r>
              <w:t>AWS</w:t>
            </w:r>
          </w:p>
        </w:tc>
        <w:tc>
          <w:tcPr>
            <w:tcW w:w="2430" w:type="dxa"/>
            <w:shd w:val="clear" w:color="auto" w:fill="D9D9D9"/>
            <w:tcMar>
              <w:top w:w="100" w:type="dxa"/>
              <w:left w:w="100" w:type="dxa"/>
              <w:bottom w:w="100" w:type="dxa"/>
              <w:right w:w="100" w:type="dxa"/>
            </w:tcMar>
          </w:tcPr>
          <w:p w14:paraId="00000281" w14:textId="00000282" w:rsidR="000B0F63" w:rsidRDefault="00C05D22" w:rsidP="00E40261">
            <w:pPr>
              <w:pStyle w:val="TableHeader"/>
              <w:jc w:val="both"/>
            </w:pPr>
            <w:r>
              <w:t>Azure</w:t>
            </w:r>
          </w:p>
        </w:tc>
      </w:tr>
      <w:tr w:rsidR="007E7776" w14:paraId="7C320D7A" w14:textId="77777777">
        <w:tc>
          <w:tcPr>
            <w:tcW w:w="2430" w:type="dxa"/>
            <w:tcMar>
              <w:top w:w="100" w:type="dxa"/>
              <w:left w:w="100" w:type="dxa"/>
              <w:bottom w:w="100" w:type="dxa"/>
              <w:right w:w="100" w:type="dxa"/>
            </w:tcMar>
          </w:tcPr>
          <w:p w14:paraId="00000283" w14:textId="00000284" w:rsidR="000B0F63" w:rsidRDefault="00C05D22" w:rsidP="00E40261">
            <w:pPr>
              <w:pStyle w:val="TableInfo"/>
              <w:jc w:val="both"/>
            </w:pPr>
            <w:r>
              <w:t>London</w:t>
            </w:r>
          </w:p>
        </w:tc>
        <w:tc>
          <w:tcPr>
            <w:tcW w:w="2430" w:type="dxa"/>
            <w:tcMar>
              <w:top w:w="100" w:type="dxa"/>
              <w:left w:w="100" w:type="dxa"/>
              <w:bottom w:w="100" w:type="dxa"/>
              <w:right w:w="100" w:type="dxa"/>
            </w:tcMar>
          </w:tcPr>
          <w:p w14:paraId="00000285" w14:textId="00000286" w:rsidR="000B0F63" w:rsidRDefault="00C05D22" w:rsidP="00E40261">
            <w:pPr>
              <w:pStyle w:val="TableInfo"/>
              <w:jc w:val="both"/>
            </w:pPr>
            <w:r>
              <w:t>186,974</w:t>
            </w:r>
          </w:p>
        </w:tc>
        <w:tc>
          <w:tcPr>
            <w:tcW w:w="2430" w:type="dxa"/>
            <w:tcMar>
              <w:top w:w="100" w:type="dxa"/>
              <w:left w:w="100" w:type="dxa"/>
              <w:bottom w:w="100" w:type="dxa"/>
              <w:right w:w="100" w:type="dxa"/>
            </w:tcMar>
          </w:tcPr>
          <w:p w14:paraId="00000287" w14:textId="00000288" w:rsidR="000B0F63" w:rsidRDefault="00C05D22" w:rsidP="00E40261">
            <w:pPr>
              <w:pStyle w:val="TableInfo"/>
              <w:jc w:val="both"/>
            </w:pPr>
            <w:r>
              <w:t>190,285</w:t>
            </w:r>
          </w:p>
        </w:tc>
        <w:tc>
          <w:tcPr>
            <w:tcW w:w="2430" w:type="dxa"/>
            <w:tcMar>
              <w:top w:w="100" w:type="dxa"/>
              <w:left w:w="100" w:type="dxa"/>
              <w:bottom w:w="100" w:type="dxa"/>
              <w:right w:w="100" w:type="dxa"/>
            </w:tcMar>
          </w:tcPr>
          <w:p w14:paraId="00000289" w14:textId="0000028A" w:rsidR="000B0F63" w:rsidRDefault="00C05D22" w:rsidP="00E40261">
            <w:pPr>
              <w:pStyle w:val="TableInfo"/>
              <w:jc w:val="both"/>
            </w:pPr>
            <w:r>
              <w:t>274,881</w:t>
            </w:r>
          </w:p>
        </w:tc>
      </w:tr>
      <w:tr w:rsidR="007E7776" w14:paraId="71F49403" w14:textId="77777777">
        <w:tc>
          <w:tcPr>
            <w:tcW w:w="2430" w:type="dxa"/>
            <w:tcMar>
              <w:top w:w="100" w:type="dxa"/>
              <w:left w:w="100" w:type="dxa"/>
              <w:bottom w:w="100" w:type="dxa"/>
              <w:right w:w="100" w:type="dxa"/>
            </w:tcMar>
          </w:tcPr>
          <w:p w14:paraId="0000028B" w14:textId="0000028C" w:rsidR="000B0F63" w:rsidRDefault="00C05D22" w:rsidP="00E40261">
            <w:pPr>
              <w:pStyle w:val="TableInfo"/>
              <w:jc w:val="both"/>
            </w:pPr>
            <w:r>
              <w:t>NL / Ireland</w:t>
            </w:r>
          </w:p>
        </w:tc>
        <w:tc>
          <w:tcPr>
            <w:tcW w:w="2430" w:type="dxa"/>
            <w:tcMar>
              <w:top w:w="100" w:type="dxa"/>
              <w:left w:w="100" w:type="dxa"/>
              <w:bottom w:w="100" w:type="dxa"/>
              <w:right w:w="100" w:type="dxa"/>
            </w:tcMar>
          </w:tcPr>
          <w:p w14:paraId="0000028D" w14:textId="0000028E" w:rsidR="000B0F63" w:rsidRDefault="00C05D22" w:rsidP="00E40261">
            <w:pPr>
              <w:pStyle w:val="TableInfo"/>
              <w:jc w:val="both"/>
            </w:pPr>
            <w:r>
              <w:t>170,918</w:t>
            </w:r>
          </w:p>
        </w:tc>
        <w:tc>
          <w:tcPr>
            <w:tcW w:w="2430" w:type="dxa"/>
            <w:tcMar>
              <w:top w:w="100" w:type="dxa"/>
              <w:left w:w="100" w:type="dxa"/>
              <w:bottom w:w="100" w:type="dxa"/>
              <w:right w:w="100" w:type="dxa"/>
            </w:tcMar>
          </w:tcPr>
          <w:p w14:paraId="0000028F" w14:textId="00000290" w:rsidR="000B0F63" w:rsidRDefault="00C05D22" w:rsidP="00E40261">
            <w:pPr>
              <w:pStyle w:val="TableInfo"/>
              <w:jc w:val="both"/>
            </w:pPr>
            <w:r>
              <w:t>181,298</w:t>
            </w:r>
          </w:p>
        </w:tc>
        <w:tc>
          <w:tcPr>
            <w:tcW w:w="2430" w:type="dxa"/>
            <w:tcMar>
              <w:top w:w="100" w:type="dxa"/>
              <w:left w:w="100" w:type="dxa"/>
              <w:bottom w:w="100" w:type="dxa"/>
              <w:right w:w="100" w:type="dxa"/>
            </w:tcMar>
          </w:tcPr>
          <w:p w14:paraId="00000291" w14:textId="00000292" w:rsidR="000B0F63" w:rsidRDefault="00C05D22" w:rsidP="00E40261">
            <w:pPr>
              <w:pStyle w:val="TableInfo"/>
              <w:jc w:val="both"/>
            </w:pPr>
            <w:r>
              <w:t>270,912</w:t>
            </w:r>
          </w:p>
        </w:tc>
      </w:tr>
      <w:tr w:rsidR="007E7776" w14:paraId="3BB17C0B" w14:textId="77777777">
        <w:tc>
          <w:tcPr>
            <w:tcW w:w="2430" w:type="dxa"/>
            <w:tcMar>
              <w:top w:w="100" w:type="dxa"/>
              <w:left w:w="100" w:type="dxa"/>
              <w:bottom w:w="100" w:type="dxa"/>
              <w:right w:w="100" w:type="dxa"/>
            </w:tcMar>
          </w:tcPr>
          <w:p w14:paraId="00000293" w14:textId="00000294" w:rsidR="000B0F63" w:rsidRDefault="00C05D22" w:rsidP="00E40261">
            <w:pPr>
              <w:pStyle w:val="TableInfo"/>
              <w:jc w:val="both"/>
            </w:pPr>
            <w:r>
              <w:t>Frankfurt</w:t>
            </w:r>
          </w:p>
        </w:tc>
        <w:tc>
          <w:tcPr>
            <w:tcW w:w="2430" w:type="dxa"/>
            <w:tcMar>
              <w:top w:w="100" w:type="dxa"/>
              <w:left w:w="100" w:type="dxa"/>
              <w:bottom w:w="100" w:type="dxa"/>
              <w:right w:w="100" w:type="dxa"/>
            </w:tcMar>
          </w:tcPr>
          <w:p w14:paraId="00000295" w14:textId="00000296" w:rsidR="000B0F63" w:rsidRDefault="00C05D22" w:rsidP="00E40261">
            <w:pPr>
              <w:pStyle w:val="TableInfo"/>
              <w:jc w:val="both"/>
            </w:pPr>
            <w:r>
              <w:t>189,185</w:t>
            </w:r>
          </w:p>
        </w:tc>
        <w:tc>
          <w:tcPr>
            <w:tcW w:w="2430" w:type="dxa"/>
            <w:tcMar>
              <w:top w:w="100" w:type="dxa"/>
              <w:left w:w="100" w:type="dxa"/>
              <w:bottom w:w="100" w:type="dxa"/>
              <w:right w:w="100" w:type="dxa"/>
            </w:tcMar>
          </w:tcPr>
          <w:p w14:paraId="00000297" w14:textId="00000298" w:rsidR="000B0F63" w:rsidRDefault="00C05D22" w:rsidP="00E40261">
            <w:pPr>
              <w:pStyle w:val="TableInfo"/>
              <w:jc w:val="both"/>
            </w:pPr>
            <w:r>
              <w:t>192,329</w:t>
            </w:r>
          </w:p>
        </w:tc>
        <w:tc>
          <w:tcPr>
            <w:tcW w:w="2430" w:type="dxa"/>
            <w:tcMar>
              <w:top w:w="100" w:type="dxa"/>
              <w:left w:w="100" w:type="dxa"/>
              <w:bottom w:w="100" w:type="dxa"/>
              <w:right w:w="100" w:type="dxa"/>
            </w:tcMar>
          </w:tcPr>
          <w:p w14:paraId="00000299" w14:textId="0000029A" w:rsidR="000B0F63" w:rsidRDefault="00C05D22" w:rsidP="00E40261">
            <w:pPr>
              <w:pStyle w:val="TableInfo"/>
              <w:jc w:val="both"/>
            </w:pPr>
            <w:r>
              <w:t>277,332</w:t>
            </w:r>
          </w:p>
        </w:tc>
      </w:tr>
    </w:tbl>
    <w:p w14:paraId="30E35319" w14:textId="77777777" w:rsidR="00E62A32" w:rsidRDefault="00E62A32" w:rsidP="00E40261">
      <w:pPr>
        <w:jc w:val="both"/>
      </w:pPr>
    </w:p>
    <w:p w14:paraId="0000029B" w14:textId="0000029C" w:rsidR="000B0F63" w:rsidRDefault="00C05D22" w:rsidP="00E40261">
      <w:pPr>
        <w:jc w:val="both"/>
      </w:pPr>
      <w:r>
        <w:t>NL / Ireland is the cheapest across all three clouds. London is approximately 9% more expensive than NL / Ireland for GCP (this is a consistent pattern, not a DMG-specific premium).</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7E4C3F" w14:paraId="1CDBBFEF" w14:textId="77777777" w:rsidTr="1524DEBB">
        <w:trPr>
          <w:cantSplit/>
        </w:trPr>
        <w:tc>
          <w:tcPr>
            <w:tcW w:w="2430" w:type="dxa"/>
            <w:shd w:val="clear" w:color="auto" w:fill="D9D9D9" w:themeFill="background1" w:themeFillShade="D9"/>
            <w:tcMar>
              <w:top w:w="100" w:type="dxa"/>
              <w:left w:w="100" w:type="dxa"/>
              <w:bottom w:w="100" w:type="dxa"/>
              <w:right w:w="100" w:type="dxa"/>
            </w:tcMar>
          </w:tcPr>
          <w:p w14:paraId="0000029D" w14:textId="0000029E" w:rsidR="000B0F63" w:rsidRDefault="00C05D22" w:rsidP="00E40261">
            <w:pPr>
              <w:pStyle w:val="TableHeader"/>
              <w:jc w:val="both"/>
            </w:pPr>
            <w:commentRangeStart w:id="185"/>
            <w:r>
              <w:t>Purpose</w:t>
            </w:r>
            <w:commentRangeEnd w:id="185"/>
            <w:r w:rsidR="001C0A22">
              <w:rPr>
                <w:rStyle w:val="CommentReference"/>
                <w:sz w:val="18"/>
                <w:szCs w:val="18"/>
              </w:rPr>
              <w:commentReference w:id="185"/>
            </w:r>
          </w:p>
        </w:tc>
        <w:tc>
          <w:tcPr>
            <w:tcW w:w="2430" w:type="dxa"/>
            <w:shd w:val="clear" w:color="auto" w:fill="D9D9D9" w:themeFill="background1" w:themeFillShade="D9"/>
            <w:tcMar>
              <w:top w:w="100" w:type="dxa"/>
              <w:left w:w="100" w:type="dxa"/>
              <w:bottom w:w="100" w:type="dxa"/>
              <w:right w:w="100" w:type="dxa"/>
            </w:tcMar>
          </w:tcPr>
          <w:p w14:paraId="0000029F" w14:textId="000002A0" w:rsidR="000B0F63" w:rsidRDefault="00C05D22" w:rsidP="00E40261">
            <w:pPr>
              <w:pStyle w:val="TableHeader"/>
              <w:jc w:val="both"/>
            </w:pPr>
            <w:r>
              <w:t>GCP region</w:t>
            </w:r>
          </w:p>
        </w:tc>
        <w:tc>
          <w:tcPr>
            <w:tcW w:w="2430" w:type="dxa"/>
            <w:shd w:val="clear" w:color="auto" w:fill="D9D9D9" w:themeFill="background1" w:themeFillShade="D9"/>
            <w:tcMar>
              <w:top w:w="100" w:type="dxa"/>
              <w:left w:w="100" w:type="dxa"/>
              <w:bottom w:w="100" w:type="dxa"/>
              <w:right w:w="100" w:type="dxa"/>
            </w:tcMar>
          </w:tcPr>
          <w:p w14:paraId="000002A1" w14:textId="000002A2" w:rsidR="000B0F63" w:rsidRDefault="00C05D22" w:rsidP="00E40261">
            <w:pPr>
              <w:pStyle w:val="TableHeader"/>
              <w:jc w:val="both"/>
            </w:pPr>
            <w:r>
              <w:t>AWS region</w:t>
            </w:r>
          </w:p>
        </w:tc>
        <w:tc>
          <w:tcPr>
            <w:tcW w:w="2430" w:type="dxa"/>
            <w:shd w:val="clear" w:color="auto" w:fill="D9D9D9" w:themeFill="background1" w:themeFillShade="D9"/>
            <w:tcMar>
              <w:top w:w="100" w:type="dxa"/>
              <w:left w:w="100" w:type="dxa"/>
              <w:bottom w:w="100" w:type="dxa"/>
              <w:right w:w="100" w:type="dxa"/>
            </w:tcMar>
          </w:tcPr>
          <w:p w14:paraId="000002A3" w14:textId="000002A4" w:rsidR="000B0F63" w:rsidRDefault="00C05D22" w:rsidP="00E40261">
            <w:pPr>
              <w:pStyle w:val="TableHeader"/>
              <w:jc w:val="both"/>
            </w:pPr>
            <w:r>
              <w:t>Azure region</w:t>
            </w:r>
          </w:p>
        </w:tc>
      </w:tr>
      <w:tr w:rsidR="007E7776" w14:paraId="26738ABA" w14:textId="77777777" w:rsidTr="1524DEBB">
        <w:tc>
          <w:tcPr>
            <w:tcW w:w="2430" w:type="dxa"/>
            <w:tcMar>
              <w:top w:w="100" w:type="dxa"/>
              <w:left w:w="100" w:type="dxa"/>
              <w:bottom w:w="100" w:type="dxa"/>
              <w:right w:w="100" w:type="dxa"/>
            </w:tcMar>
          </w:tcPr>
          <w:p w14:paraId="000002A5" w14:textId="000002A6" w:rsidR="000B0F63" w:rsidRDefault="00C05D22" w:rsidP="00E40261">
            <w:pPr>
              <w:pStyle w:val="TableInfo"/>
              <w:jc w:val="both"/>
            </w:pPr>
            <w:r>
              <w:t>Primary</w:t>
            </w:r>
          </w:p>
        </w:tc>
        <w:tc>
          <w:tcPr>
            <w:tcW w:w="2430" w:type="dxa"/>
            <w:tcMar>
              <w:top w:w="100" w:type="dxa"/>
              <w:left w:w="100" w:type="dxa"/>
              <w:bottom w:w="100" w:type="dxa"/>
              <w:right w:w="100" w:type="dxa"/>
            </w:tcMar>
          </w:tcPr>
          <w:p w14:paraId="000002A7" w14:textId="000002A8" w:rsidR="000B0F63" w:rsidRDefault="00C05D22" w:rsidP="00E40261">
            <w:pPr>
              <w:pStyle w:val="TableInfo"/>
              <w:jc w:val="both"/>
            </w:pPr>
            <w:r>
              <w:t>europe-west2 (London)</w:t>
            </w:r>
          </w:p>
        </w:tc>
        <w:tc>
          <w:tcPr>
            <w:tcW w:w="2430" w:type="dxa"/>
            <w:tcMar>
              <w:top w:w="100" w:type="dxa"/>
              <w:left w:w="100" w:type="dxa"/>
              <w:bottom w:w="100" w:type="dxa"/>
              <w:right w:w="100" w:type="dxa"/>
            </w:tcMar>
          </w:tcPr>
          <w:p w14:paraId="000002A9" w14:textId="000002AA" w:rsidR="000B0F63" w:rsidRDefault="00C05D22" w:rsidP="00E40261">
            <w:pPr>
              <w:pStyle w:val="TableInfo"/>
              <w:jc w:val="both"/>
            </w:pPr>
            <w:r>
              <w:t>eu-west-2 (London)</w:t>
            </w:r>
          </w:p>
        </w:tc>
        <w:tc>
          <w:tcPr>
            <w:tcW w:w="2430" w:type="dxa"/>
            <w:tcMar>
              <w:top w:w="100" w:type="dxa"/>
              <w:left w:w="100" w:type="dxa"/>
              <w:bottom w:w="100" w:type="dxa"/>
              <w:right w:w="100" w:type="dxa"/>
            </w:tcMar>
          </w:tcPr>
          <w:p w14:paraId="000002AB" w14:textId="000002AC" w:rsidR="000B0F63" w:rsidRDefault="00C05D22" w:rsidP="00E40261">
            <w:pPr>
              <w:pStyle w:val="TableInfo"/>
              <w:jc w:val="both"/>
            </w:pPr>
            <w:proofErr w:type="spellStart"/>
            <w:r w:rsidRPr="1524DEBB">
              <w:rPr>
                <w:lang w:val="en-GB"/>
              </w:rPr>
              <w:t>uksouth</w:t>
            </w:r>
            <w:proofErr w:type="spellEnd"/>
          </w:p>
        </w:tc>
      </w:tr>
      <w:tr w:rsidR="007E7776" w14:paraId="39F78ABF" w14:textId="77777777" w:rsidTr="1524DEBB">
        <w:tc>
          <w:tcPr>
            <w:tcW w:w="2430" w:type="dxa"/>
            <w:tcMar>
              <w:top w:w="100" w:type="dxa"/>
              <w:left w:w="100" w:type="dxa"/>
              <w:bottom w:w="100" w:type="dxa"/>
              <w:right w:w="100" w:type="dxa"/>
            </w:tcMar>
          </w:tcPr>
          <w:p w14:paraId="000002AD" w14:textId="000002AE" w:rsidR="000B0F63" w:rsidRDefault="00C05D22" w:rsidP="00E40261">
            <w:pPr>
              <w:pStyle w:val="TableInfo"/>
              <w:jc w:val="both"/>
            </w:pPr>
            <w:r>
              <w:t>Secondary</w:t>
            </w:r>
          </w:p>
        </w:tc>
        <w:tc>
          <w:tcPr>
            <w:tcW w:w="2430" w:type="dxa"/>
            <w:tcMar>
              <w:top w:w="100" w:type="dxa"/>
              <w:left w:w="100" w:type="dxa"/>
              <w:bottom w:w="100" w:type="dxa"/>
              <w:right w:w="100" w:type="dxa"/>
            </w:tcMar>
          </w:tcPr>
          <w:p w14:paraId="000002AF" w14:textId="000002B0" w:rsidR="000B0F63" w:rsidRDefault="00C05D22" w:rsidP="00E40261">
            <w:pPr>
              <w:pStyle w:val="TableInfo"/>
              <w:jc w:val="both"/>
            </w:pPr>
            <w:r>
              <w:t>europe-west4 (Netherlands)</w:t>
            </w:r>
          </w:p>
        </w:tc>
        <w:tc>
          <w:tcPr>
            <w:tcW w:w="2430" w:type="dxa"/>
            <w:tcMar>
              <w:top w:w="100" w:type="dxa"/>
              <w:left w:w="100" w:type="dxa"/>
              <w:bottom w:w="100" w:type="dxa"/>
              <w:right w:w="100" w:type="dxa"/>
            </w:tcMar>
          </w:tcPr>
          <w:p w14:paraId="000002B1" w14:textId="000002B2" w:rsidR="000B0F63" w:rsidRDefault="00C05D22" w:rsidP="00E40261">
            <w:pPr>
              <w:pStyle w:val="TableInfo"/>
              <w:jc w:val="both"/>
            </w:pPr>
            <w:r>
              <w:t>eu-west-1 (Ireland)</w:t>
            </w:r>
          </w:p>
        </w:tc>
        <w:tc>
          <w:tcPr>
            <w:tcW w:w="2430" w:type="dxa"/>
            <w:tcMar>
              <w:top w:w="100" w:type="dxa"/>
              <w:left w:w="100" w:type="dxa"/>
              <w:bottom w:w="100" w:type="dxa"/>
              <w:right w:w="100" w:type="dxa"/>
            </w:tcMar>
          </w:tcPr>
          <w:p w14:paraId="000002B3" w14:textId="000002B4" w:rsidR="000B0F63" w:rsidRDefault="00C05D22" w:rsidP="00E40261">
            <w:pPr>
              <w:pStyle w:val="TableInfo"/>
              <w:jc w:val="both"/>
            </w:pPr>
            <w:proofErr w:type="spellStart"/>
            <w:r w:rsidRPr="1524DEBB">
              <w:rPr>
                <w:lang w:val="en-GB"/>
              </w:rPr>
              <w:t>northeurope</w:t>
            </w:r>
            <w:proofErr w:type="spellEnd"/>
            <w:r w:rsidRPr="1524DEBB">
              <w:rPr>
                <w:lang w:val="en-GB"/>
              </w:rPr>
              <w:t xml:space="preserve"> (Ireland)</w:t>
            </w:r>
          </w:p>
        </w:tc>
      </w:tr>
      <w:tr w:rsidR="007E7776" w14:paraId="59DB5850" w14:textId="77777777" w:rsidTr="1524DEBB">
        <w:trPr>
          <w:trHeight w:val="16"/>
        </w:trPr>
        <w:tc>
          <w:tcPr>
            <w:tcW w:w="2430" w:type="dxa"/>
            <w:tcMar>
              <w:top w:w="100" w:type="dxa"/>
              <w:left w:w="100" w:type="dxa"/>
              <w:bottom w:w="100" w:type="dxa"/>
              <w:right w:w="100" w:type="dxa"/>
            </w:tcMar>
          </w:tcPr>
          <w:p w14:paraId="000002B5" w14:textId="000002B6" w:rsidR="000B0F63" w:rsidRDefault="00C05D22" w:rsidP="00E40261">
            <w:pPr>
              <w:pStyle w:val="TableInfo"/>
              <w:jc w:val="both"/>
            </w:pPr>
            <w:r>
              <w:t>Tertiary</w:t>
            </w:r>
          </w:p>
        </w:tc>
        <w:tc>
          <w:tcPr>
            <w:tcW w:w="2430" w:type="dxa"/>
            <w:tcMar>
              <w:top w:w="100" w:type="dxa"/>
              <w:left w:w="100" w:type="dxa"/>
              <w:bottom w:w="100" w:type="dxa"/>
              <w:right w:w="100" w:type="dxa"/>
            </w:tcMar>
          </w:tcPr>
          <w:p w14:paraId="000002B7" w14:textId="000002B8" w:rsidR="000B0F63" w:rsidRDefault="00C05D22" w:rsidP="00E40261">
            <w:pPr>
              <w:pStyle w:val="TableInfo"/>
              <w:jc w:val="both"/>
            </w:pPr>
            <w:r>
              <w:t>europe-west3 (Frankfurt)</w:t>
            </w:r>
          </w:p>
        </w:tc>
        <w:tc>
          <w:tcPr>
            <w:tcW w:w="2430" w:type="dxa"/>
            <w:tcMar>
              <w:top w:w="100" w:type="dxa"/>
              <w:left w:w="100" w:type="dxa"/>
              <w:bottom w:w="100" w:type="dxa"/>
              <w:right w:w="100" w:type="dxa"/>
            </w:tcMar>
          </w:tcPr>
          <w:p w14:paraId="000002B9" w14:textId="000002BA" w:rsidR="000B0F63" w:rsidRDefault="00C05D22" w:rsidP="00E40261">
            <w:pPr>
              <w:pStyle w:val="TableInfo"/>
              <w:jc w:val="both"/>
            </w:pPr>
            <w:r>
              <w:t>eu-central-1 (Frankfurt)</w:t>
            </w:r>
          </w:p>
        </w:tc>
        <w:tc>
          <w:tcPr>
            <w:tcW w:w="2430" w:type="dxa"/>
            <w:tcMar>
              <w:top w:w="100" w:type="dxa"/>
              <w:left w:w="100" w:type="dxa"/>
              <w:bottom w:w="100" w:type="dxa"/>
              <w:right w:w="100" w:type="dxa"/>
            </w:tcMar>
          </w:tcPr>
          <w:p w14:paraId="000002BB" w14:textId="000002BC" w:rsidR="000B0F63" w:rsidRDefault="1BAB210A" w:rsidP="00E40261">
            <w:pPr>
              <w:pStyle w:val="TableInfo"/>
              <w:jc w:val="both"/>
            </w:pPr>
            <w:commentRangeStart w:id="186"/>
            <w:proofErr w:type="spellStart"/>
            <w:r w:rsidRPr="1524DEBB">
              <w:rPr>
                <w:lang w:val="en-GB"/>
              </w:rPr>
              <w:t>germanywestcentral</w:t>
            </w:r>
            <w:commentRangeEnd w:id="186"/>
            <w:r w:rsidR="001C0A22">
              <w:rPr>
                <w:rStyle w:val="CommentReference"/>
                <w:sz w:val="18"/>
                <w:szCs w:val="15"/>
              </w:rPr>
              <w:commentReference w:id="186"/>
            </w:r>
            <w:proofErr w:type="spellEnd"/>
          </w:p>
        </w:tc>
      </w:tr>
    </w:tbl>
    <w:p w14:paraId="50B74FDC" w14:textId="77777777" w:rsidR="00E62A32" w:rsidRDefault="00E62A32" w:rsidP="00E40261">
      <w:pPr>
        <w:jc w:val="both"/>
      </w:pPr>
    </w:p>
    <w:p w14:paraId="000002BD" w14:textId="000002BE" w:rsidR="000B0F63" w:rsidRDefault="00C05D22" w:rsidP="00E40261">
      <w:pPr>
        <w:jc w:val="both"/>
      </w:pPr>
      <w:r>
        <w:t xml:space="preserve">GCP does not have an Ireland </w:t>
      </w:r>
      <w:proofErr w:type="gramStart"/>
      <w:r>
        <w:t>region</w:t>
      </w:r>
      <w:proofErr w:type="gramEnd"/>
      <w:r>
        <w:t xml:space="preserve"> so Netherlands is used as the closest equivalent. London remains the primary choice given regulatory and latency considerations for your user base.</w:t>
      </w:r>
    </w:p>
    <w:p w14:paraId="000002BF" w14:textId="000002C0" w:rsidR="000B0F63" w:rsidRDefault="1BAB210A" w:rsidP="00E40261">
      <w:pPr>
        <w:pStyle w:val="Heading2"/>
        <w:jc w:val="both"/>
      </w:pPr>
      <w:bookmarkStart w:id="187" w:name="_Toc150"/>
      <w:bookmarkStart w:id="188" w:name="_Toc227770933"/>
      <w:r>
        <w:t>Component Breakdown (London, PAYG, Per Month)</w:t>
      </w:r>
      <w:bookmarkEnd w:id="187"/>
      <w:bookmarkEnd w:id="188"/>
    </w:p>
    <w:p w14:paraId="000002C1" w14:textId="000002C2" w:rsidR="000B0F63" w:rsidRDefault="00C05D22" w:rsidP="00E40261">
      <w:pPr>
        <w:jc w:val="both"/>
      </w:pPr>
      <w:r>
        <w:t>This table explains where the cost differences come from.</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7E4C3F" w14:paraId="22498146" w14:textId="77777777">
        <w:trPr>
          <w:cantSplit/>
        </w:trPr>
        <w:tc>
          <w:tcPr>
            <w:tcW w:w="2430" w:type="dxa"/>
            <w:shd w:val="clear" w:color="auto" w:fill="D9D9D9"/>
            <w:tcMar>
              <w:top w:w="100" w:type="dxa"/>
              <w:left w:w="100" w:type="dxa"/>
              <w:bottom w:w="100" w:type="dxa"/>
              <w:right w:w="100" w:type="dxa"/>
            </w:tcMar>
          </w:tcPr>
          <w:p w14:paraId="000002C3" w14:textId="000002C4" w:rsidR="000B0F63" w:rsidRDefault="00C05D22" w:rsidP="00E40261">
            <w:pPr>
              <w:pStyle w:val="TableHeader"/>
              <w:jc w:val="both"/>
            </w:pPr>
            <w:r>
              <w:t>Component</w:t>
            </w:r>
          </w:p>
        </w:tc>
        <w:tc>
          <w:tcPr>
            <w:tcW w:w="2430" w:type="dxa"/>
            <w:shd w:val="clear" w:color="auto" w:fill="D9D9D9"/>
            <w:tcMar>
              <w:top w:w="100" w:type="dxa"/>
              <w:left w:w="100" w:type="dxa"/>
              <w:bottom w:w="100" w:type="dxa"/>
              <w:right w:w="100" w:type="dxa"/>
            </w:tcMar>
          </w:tcPr>
          <w:p w14:paraId="000002C5" w14:textId="000002C6" w:rsidR="000B0F63" w:rsidRDefault="00C05D22" w:rsidP="00E40261">
            <w:pPr>
              <w:pStyle w:val="TableHeader"/>
              <w:jc w:val="both"/>
            </w:pPr>
            <w:r>
              <w:t>GCP</w:t>
            </w:r>
          </w:p>
        </w:tc>
        <w:tc>
          <w:tcPr>
            <w:tcW w:w="2430" w:type="dxa"/>
            <w:shd w:val="clear" w:color="auto" w:fill="D9D9D9"/>
            <w:tcMar>
              <w:top w:w="100" w:type="dxa"/>
              <w:left w:w="100" w:type="dxa"/>
              <w:bottom w:w="100" w:type="dxa"/>
              <w:right w:w="100" w:type="dxa"/>
            </w:tcMar>
          </w:tcPr>
          <w:p w14:paraId="000002C7" w14:textId="000002C8" w:rsidR="000B0F63" w:rsidRDefault="00C05D22" w:rsidP="00E40261">
            <w:pPr>
              <w:pStyle w:val="TableHeader"/>
              <w:jc w:val="both"/>
            </w:pPr>
            <w:r>
              <w:t>AWS</w:t>
            </w:r>
          </w:p>
        </w:tc>
        <w:tc>
          <w:tcPr>
            <w:tcW w:w="2430" w:type="dxa"/>
            <w:shd w:val="clear" w:color="auto" w:fill="D9D9D9"/>
            <w:tcMar>
              <w:top w:w="100" w:type="dxa"/>
              <w:left w:w="100" w:type="dxa"/>
              <w:bottom w:w="100" w:type="dxa"/>
              <w:right w:w="100" w:type="dxa"/>
            </w:tcMar>
          </w:tcPr>
          <w:p w14:paraId="000002C9" w14:textId="000002CA" w:rsidR="000B0F63" w:rsidRDefault="00C05D22" w:rsidP="00E40261">
            <w:pPr>
              <w:pStyle w:val="TableHeader"/>
              <w:jc w:val="both"/>
            </w:pPr>
            <w:r>
              <w:t>Azure</w:t>
            </w:r>
          </w:p>
        </w:tc>
      </w:tr>
      <w:tr w:rsidR="007E7776" w14:paraId="2F5EF586" w14:textId="77777777">
        <w:tc>
          <w:tcPr>
            <w:tcW w:w="2430" w:type="dxa"/>
            <w:tcMar>
              <w:top w:w="100" w:type="dxa"/>
              <w:left w:w="100" w:type="dxa"/>
              <w:bottom w:w="100" w:type="dxa"/>
              <w:right w:w="100" w:type="dxa"/>
            </w:tcMar>
          </w:tcPr>
          <w:p w14:paraId="000002CB" w14:textId="000002CC" w:rsidR="000B0F63" w:rsidRDefault="00C05D22" w:rsidP="00E40261">
            <w:pPr>
              <w:pStyle w:val="TableInfo"/>
              <w:jc w:val="both"/>
            </w:pPr>
            <w:r>
              <w:t>Compute</w:t>
            </w:r>
          </w:p>
        </w:tc>
        <w:tc>
          <w:tcPr>
            <w:tcW w:w="2430" w:type="dxa"/>
            <w:tcMar>
              <w:top w:w="100" w:type="dxa"/>
              <w:left w:w="100" w:type="dxa"/>
              <w:bottom w:w="100" w:type="dxa"/>
              <w:right w:w="100" w:type="dxa"/>
            </w:tcMar>
          </w:tcPr>
          <w:p w14:paraId="000002CD" w14:textId="000002CE" w:rsidR="000B0F63" w:rsidRDefault="00C05D22" w:rsidP="00E40261">
            <w:pPr>
              <w:pStyle w:val="TableInfo"/>
              <w:jc w:val="both"/>
            </w:pPr>
            <w:r>
              <w:t>196,025</w:t>
            </w:r>
          </w:p>
        </w:tc>
        <w:tc>
          <w:tcPr>
            <w:tcW w:w="2430" w:type="dxa"/>
            <w:tcMar>
              <w:top w:w="100" w:type="dxa"/>
              <w:left w:w="100" w:type="dxa"/>
              <w:bottom w:w="100" w:type="dxa"/>
              <w:right w:w="100" w:type="dxa"/>
            </w:tcMar>
          </w:tcPr>
          <w:p w14:paraId="000002CF" w14:textId="000002D0" w:rsidR="000B0F63" w:rsidRDefault="00C05D22" w:rsidP="00E40261">
            <w:pPr>
              <w:pStyle w:val="TableInfo"/>
              <w:jc w:val="both"/>
            </w:pPr>
            <w:r>
              <w:t>228,907</w:t>
            </w:r>
          </w:p>
        </w:tc>
        <w:tc>
          <w:tcPr>
            <w:tcW w:w="2430" w:type="dxa"/>
            <w:tcMar>
              <w:top w:w="100" w:type="dxa"/>
              <w:left w:w="100" w:type="dxa"/>
              <w:bottom w:w="100" w:type="dxa"/>
              <w:right w:w="100" w:type="dxa"/>
            </w:tcMar>
          </w:tcPr>
          <w:p w14:paraId="000002D1" w14:textId="000002D2" w:rsidR="000B0F63" w:rsidRDefault="00C05D22" w:rsidP="00E40261">
            <w:pPr>
              <w:pStyle w:val="TableInfo"/>
              <w:jc w:val="both"/>
            </w:pPr>
            <w:r>
              <w:t>228,410</w:t>
            </w:r>
          </w:p>
        </w:tc>
      </w:tr>
      <w:tr w:rsidR="007E7776" w14:paraId="0FB8A058" w14:textId="77777777">
        <w:tc>
          <w:tcPr>
            <w:tcW w:w="2430" w:type="dxa"/>
            <w:tcMar>
              <w:top w:w="100" w:type="dxa"/>
              <w:left w:w="100" w:type="dxa"/>
              <w:bottom w:w="100" w:type="dxa"/>
              <w:right w:w="100" w:type="dxa"/>
            </w:tcMar>
          </w:tcPr>
          <w:p w14:paraId="000002D3" w14:textId="000002D4" w:rsidR="000B0F63" w:rsidRDefault="00C05D22" w:rsidP="00E40261">
            <w:pPr>
              <w:pStyle w:val="TableInfo"/>
              <w:jc w:val="both"/>
            </w:pPr>
            <w:r>
              <w:t>Storage</w:t>
            </w:r>
          </w:p>
        </w:tc>
        <w:tc>
          <w:tcPr>
            <w:tcW w:w="2430" w:type="dxa"/>
            <w:tcMar>
              <w:top w:w="100" w:type="dxa"/>
              <w:left w:w="100" w:type="dxa"/>
              <w:bottom w:w="100" w:type="dxa"/>
              <w:right w:w="100" w:type="dxa"/>
            </w:tcMar>
          </w:tcPr>
          <w:p w14:paraId="000002D5" w14:textId="000002D6" w:rsidR="000B0F63" w:rsidRDefault="00C05D22" w:rsidP="00E40261">
            <w:pPr>
              <w:pStyle w:val="TableInfo"/>
              <w:jc w:val="both"/>
            </w:pPr>
            <w:r>
              <w:t>91,005</w:t>
            </w:r>
          </w:p>
        </w:tc>
        <w:tc>
          <w:tcPr>
            <w:tcW w:w="2430" w:type="dxa"/>
            <w:tcMar>
              <w:top w:w="100" w:type="dxa"/>
              <w:left w:w="100" w:type="dxa"/>
              <w:bottom w:w="100" w:type="dxa"/>
              <w:right w:w="100" w:type="dxa"/>
            </w:tcMar>
          </w:tcPr>
          <w:p w14:paraId="000002D7" w14:textId="000002D8" w:rsidR="000B0F63" w:rsidRDefault="00C05D22" w:rsidP="00E40261">
            <w:pPr>
              <w:pStyle w:val="TableInfo"/>
              <w:jc w:val="both"/>
            </w:pPr>
            <w:r>
              <w:t>63,587</w:t>
            </w:r>
          </w:p>
        </w:tc>
        <w:tc>
          <w:tcPr>
            <w:tcW w:w="2430" w:type="dxa"/>
            <w:tcMar>
              <w:top w:w="100" w:type="dxa"/>
              <w:left w:w="100" w:type="dxa"/>
              <w:bottom w:w="100" w:type="dxa"/>
              <w:right w:w="100" w:type="dxa"/>
            </w:tcMar>
          </w:tcPr>
          <w:p w14:paraId="000002D9" w14:textId="000002DA" w:rsidR="000B0F63" w:rsidRDefault="00C05D22" w:rsidP="00E40261">
            <w:pPr>
              <w:pStyle w:val="TableInfo"/>
              <w:jc w:val="both"/>
            </w:pPr>
            <w:r>
              <w:t>159,446</w:t>
            </w:r>
          </w:p>
        </w:tc>
      </w:tr>
      <w:tr w:rsidR="007E7776" w14:paraId="60540B22" w14:textId="77777777">
        <w:tc>
          <w:tcPr>
            <w:tcW w:w="2430" w:type="dxa"/>
            <w:tcMar>
              <w:top w:w="100" w:type="dxa"/>
              <w:left w:w="100" w:type="dxa"/>
              <w:bottom w:w="100" w:type="dxa"/>
              <w:right w:w="100" w:type="dxa"/>
            </w:tcMar>
          </w:tcPr>
          <w:p w14:paraId="000002DB" w14:textId="000002DC" w:rsidR="000B0F63" w:rsidRDefault="00C05D22" w:rsidP="00E40261">
            <w:pPr>
              <w:pStyle w:val="TableInfo"/>
              <w:jc w:val="both"/>
            </w:pPr>
            <w:r>
              <w:t xml:space="preserve">OS </w:t>
            </w:r>
            <w:proofErr w:type="spellStart"/>
            <w:r>
              <w:t>licence</w:t>
            </w:r>
            <w:proofErr w:type="spellEnd"/>
          </w:p>
        </w:tc>
        <w:tc>
          <w:tcPr>
            <w:tcW w:w="2430" w:type="dxa"/>
            <w:tcMar>
              <w:top w:w="100" w:type="dxa"/>
              <w:left w:w="100" w:type="dxa"/>
              <w:bottom w:w="100" w:type="dxa"/>
              <w:right w:w="100" w:type="dxa"/>
            </w:tcMar>
          </w:tcPr>
          <w:p w14:paraId="000002DD" w14:textId="000002DE" w:rsidR="000B0F63" w:rsidRDefault="00C05D22" w:rsidP="00E40261">
            <w:pPr>
              <w:pStyle w:val="TableInfo"/>
              <w:jc w:val="both"/>
            </w:pPr>
            <w:r>
              <w:t>9,883</w:t>
            </w:r>
          </w:p>
        </w:tc>
        <w:tc>
          <w:tcPr>
            <w:tcW w:w="2430" w:type="dxa"/>
            <w:tcMar>
              <w:top w:w="100" w:type="dxa"/>
              <w:left w:w="100" w:type="dxa"/>
              <w:bottom w:w="100" w:type="dxa"/>
              <w:right w:w="100" w:type="dxa"/>
            </w:tcMar>
          </w:tcPr>
          <w:p w14:paraId="000002DF" w14:textId="000002E0" w:rsidR="000B0F63" w:rsidRDefault="00C05D22" w:rsidP="00E40261">
            <w:pPr>
              <w:pStyle w:val="TableInfo"/>
              <w:jc w:val="both"/>
            </w:pPr>
            <w:r>
              <w:t>21,105</w:t>
            </w:r>
          </w:p>
        </w:tc>
        <w:tc>
          <w:tcPr>
            <w:tcW w:w="2430" w:type="dxa"/>
            <w:tcMar>
              <w:top w:w="100" w:type="dxa"/>
              <w:left w:w="100" w:type="dxa"/>
              <w:bottom w:w="100" w:type="dxa"/>
              <w:right w:w="100" w:type="dxa"/>
            </w:tcMar>
          </w:tcPr>
          <w:p w14:paraId="000002E1" w14:textId="000002E2" w:rsidR="000B0F63" w:rsidRDefault="00C05D22" w:rsidP="00E40261">
            <w:pPr>
              <w:pStyle w:val="TableInfo"/>
              <w:jc w:val="both"/>
            </w:pPr>
            <w:r>
              <w:t>17,582</w:t>
            </w:r>
          </w:p>
        </w:tc>
      </w:tr>
      <w:tr w:rsidR="007E7776" w14:paraId="42885691" w14:textId="77777777">
        <w:tc>
          <w:tcPr>
            <w:tcW w:w="2430" w:type="dxa"/>
            <w:tcMar>
              <w:top w:w="100" w:type="dxa"/>
              <w:left w:w="100" w:type="dxa"/>
              <w:bottom w:w="100" w:type="dxa"/>
              <w:right w:w="100" w:type="dxa"/>
            </w:tcMar>
          </w:tcPr>
          <w:p w14:paraId="000002E3" w14:textId="000002E4" w:rsidR="000B0F63" w:rsidRDefault="00C05D22" w:rsidP="00E40261">
            <w:pPr>
              <w:pStyle w:val="TableInfo"/>
              <w:jc w:val="both"/>
            </w:pPr>
            <w:r>
              <w:t>Network (5%)</w:t>
            </w:r>
          </w:p>
        </w:tc>
        <w:tc>
          <w:tcPr>
            <w:tcW w:w="2430" w:type="dxa"/>
            <w:tcMar>
              <w:top w:w="100" w:type="dxa"/>
              <w:left w:w="100" w:type="dxa"/>
              <w:bottom w:w="100" w:type="dxa"/>
              <w:right w:w="100" w:type="dxa"/>
            </w:tcMar>
          </w:tcPr>
          <w:p w14:paraId="000002E5" w14:textId="000002E6" w:rsidR="000B0F63" w:rsidRDefault="00C05D22" w:rsidP="00E40261">
            <w:pPr>
              <w:pStyle w:val="TableInfo"/>
              <w:jc w:val="both"/>
            </w:pPr>
            <w:r>
              <w:t>14,351</w:t>
            </w:r>
          </w:p>
        </w:tc>
        <w:tc>
          <w:tcPr>
            <w:tcW w:w="2430" w:type="dxa"/>
            <w:tcMar>
              <w:top w:w="100" w:type="dxa"/>
              <w:left w:w="100" w:type="dxa"/>
              <w:bottom w:w="100" w:type="dxa"/>
              <w:right w:w="100" w:type="dxa"/>
            </w:tcMar>
          </w:tcPr>
          <w:p w14:paraId="000002E7" w14:textId="000002E8" w:rsidR="000B0F63" w:rsidRDefault="00C05D22" w:rsidP="00E40261">
            <w:pPr>
              <w:pStyle w:val="TableInfo"/>
              <w:jc w:val="both"/>
            </w:pPr>
            <w:r>
              <w:t>14,625</w:t>
            </w:r>
          </w:p>
        </w:tc>
        <w:tc>
          <w:tcPr>
            <w:tcW w:w="2430" w:type="dxa"/>
            <w:tcMar>
              <w:top w:w="100" w:type="dxa"/>
              <w:left w:w="100" w:type="dxa"/>
              <w:bottom w:w="100" w:type="dxa"/>
              <w:right w:w="100" w:type="dxa"/>
            </w:tcMar>
          </w:tcPr>
          <w:p w14:paraId="000002E9" w14:textId="000002EA" w:rsidR="000B0F63" w:rsidRDefault="00C05D22" w:rsidP="00E40261">
            <w:pPr>
              <w:pStyle w:val="TableInfo"/>
              <w:jc w:val="both"/>
            </w:pPr>
            <w:r>
              <w:t>19,393</w:t>
            </w:r>
          </w:p>
        </w:tc>
      </w:tr>
      <w:tr w:rsidR="007E7776" w14:paraId="614D2BE8" w14:textId="77777777">
        <w:tc>
          <w:tcPr>
            <w:tcW w:w="2430" w:type="dxa"/>
            <w:tcMar>
              <w:top w:w="100" w:type="dxa"/>
              <w:left w:w="100" w:type="dxa"/>
              <w:bottom w:w="100" w:type="dxa"/>
              <w:right w:w="100" w:type="dxa"/>
            </w:tcMar>
          </w:tcPr>
          <w:p w14:paraId="000002EB" w14:textId="000002EC" w:rsidR="000B0F63" w:rsidRDefault="00C05D22" w:rsidP="00E40261">
            <w:pPr>
              <w:pStyle w:val="TableInfo"/>
              <w:jc w:val="both"/>
            </w:pPr>
            <w:r>
              <w:t>Total PAYG</w:t>
            </w:r>
          </w:p>
        </w:tc>
        <w:tc>
          <w:tcPr>
            <w:tcW w:w="2430" w:type="dxa"/>
            <w:tcMar>
              <w:top w:w="100" w:type="dxa"/>
              <w:left w:w="100" w:type="dxa"/>
              <w:bottom w:w="100" w:type="dxa"/>
              <w:right w:w="100" w:type="dxa"/>
            </w:tcMar>
          </w:tcPr>
          <w:p w14:paraId="000002ED" w14:textId="000002EE" w:rsidR="000B0F63" w:rsidRDefault="00C05D22" w:rsidP="00E40261">
            <w:pPr>
              <w:pStyle w:val="TableInfo"/>
              <w:jc w:val="both"/>
            </w:pPr>
            <w:r>
              <w:t>311,264</w:t>
            </w:r>
          </w:p>
        </w:tc>
        <w:tc>
          <w:tcPr>
            <w:tcW w:w="2430" w:type="dxa"/>
            <w:tcMar>
              <w:top w:w="100" w:type="dxa"/>
              <w:left w:w="100" w:type="dxa"/>
              <w:bottom w:w="100" w:type="dxa"/>
              <w:right w:w="100" w:type="dxa"/>
            </w:tcMar>
          </w:tcPr>
          <w:p w14:paraId="000002EF" w14:textId="000002F0" w:rsidR="000B0F63" w:rsidRDefault="00C05D22" w:rsidP="00E40261">
            <w:pPr>
              <w:pStyle w:val="TableInfo"/>
              <w:jc w:val="both"/>
            </w:pPr>
            <w:r>
              <w:t>328,223</w:t>
            </w:r>
          </w:p>
        </w:tc>
        <w:tc>
          <w:tcPr>
            <w:tcW w:w="2430" w:type="dxa"/>
            <w:tcMar>
              <w:top w:w="100" w:type="dxa"/>
              <w:left w:w="100" w:type="dxa"/>
              <w:bottom w:w="100" w:type="dxa"/>
              <w:right w:w="100" w:type="dxa"/>
            </w:tcMar>
          </w:tcPr>
          <w:p w14:paraId="000002F1" w14:textId="000002F2" w:rsidR="000B0F63" w:rsidRDefault="00C05D22" w:rsidP="00E40261">
            <w:pPr>
              <w:pStyle w:val="TableInfo"/>
              <w:jc w:val="both"/>
            </w:pPr>
            <w:r>
              <w:t>424,831</w:t>
            </w:r>
          </w:p>
        </w:tc>
      </w:tr>
    </w:tbl>
    <w:p w14:paraId="345B8C8E" w14:textId="77777777" w:rsidR="00F70712" w:rsidRDefault="00F70712" w:rsidP="00E40261">
      <w:pPr>
        <w:jc w:val="both"/>
      </w:pPr>
    </w:p>
    <w:p w14:paraId="000002F3" w14:textId="000002F4" w:rsidR="000B0F63" w:rsidRDefault="00C05D22" w:rsidP="00E40261">
      <w:pPr>
        <w:jc w:val="both"/>
      </w:pPr>
      <w:r>
        <w:t>What to notice:</w:t>
      </w:r>
    </w:p>
    <w:p w14:paraId="000002F5" w14:textId="000002F6" w:rsidR="000B0F63" w:rsidRDefault="00C05D22" w:rsidP="00EC2FA3">
      <w:pPr>
        <w:pStyle w:val="ListBullet"/>
        <w:numPr>
          <w:ilvl w:val="0"/>
          <w:numId w:val="16"/>
        </w:numPr>
        <w:jc w:val="both"/>
      </w:pPr>
      <w:r>
        <w:t>GCP compute is cheapest because custom instances allow independent CPU and memory sizing. GCP allocated 32% of source vCPU versus AWS 49% and Azure 53%.</w:t>
      </w:r>
    </w:p>
    <w:p w14:paraId="729D8AC2" w14:textId="77777777" w:rsidR="0031004D" w:rsidRDefault="00C05D22" w:rsidP="00EC2FA3">
      <w:pPr>
        <w:pStyle w:val="ListBullet"/>
        <w:numPr>
          <w:ilvl w:val="0"/>
          <w:numId w:val="16"/>
        </w:numPr>
        <w:spacing w:after="0"/>
        <w:jc w:val="both"/>
      </w:pPr>
      <w:r>
        <w:t xml:space="preserve">Storage cost differences reflect each cloud's storage product pricing model rather than sizing choices. </w:t>
      </w:r>
    </w:p>
    <w:p w14:paraId="45DF6DEC" w14:textId="77777777" w:rsidR="0031004D" w:rsidRDefault="00C05D22" w:rsidP="00EC2FA3">
      <w:pPr>
        <w:pStyle w:val="ListBullet"/>
        <w:numPr>
          <w:ilvl w:val="1"/>
          <w:numId w:val="16"/>
        </w:numPr>
        <w:spacing w:after="0"/>
        <w:jc w:val="both"/>
      </w:pPr>
      <w:r>
        <w:t xml:space="preserve">AWS gp3 has a </w:t>
      </w:r>
      <w:commentRangeStart w:id="189"/>
      <w:r>
        <w:t>relatively low per-GB rate</w:t>
      </w:r>
      <w:commentRangeEnd w:id="189"/>
      <w:r w:rsidR="0061660E">
        <w:rPr>
          <w:rStyle w:val="CommentReference"/>
          <w:sz w:val="22"/>
          <w:szCs w:val="24"/>
        </w:rPr>
        <w:commentReference w:id="189"/>
      </w:r>
      <w:r>
        <w:t xml:space="preserve"> with separately priced IOPS and throughput.</w:t>
      </w:r>
    </w:p>
    <w:p w14:paraId="46BC28D1" w14:textId="77777777" w:rsidR="0031004D" w:rsidRDefault="00C05D22" w:rsidP="00EC2FA3">
      <w:pPr>
        <w:pStyle w:val="ListBullet"/>
        <w:numPr>
          <w:ilvl w:val="1"/>
          <w:numId w:val="16"/>
        </w:numPr>
        <w:spacing w:after="0"/>
        <w:jc w:val="both"/>
      </w:pPr>
      <w:r>
        <w:t xml:space="preserve">GCP Balanced Persistent Disk and </w:t>
      </w:r>
      <w:proofErr w:type="spellStart"/>
      <w:r>
        <w:t>Hyperdisk</w:t>
      </w:r>
      <w:proofErr w:type="spellEnd"/>
      <w:r>
        <w:t xml:space="preserve"> Balanced are per-GB at a higher unit rate. </w:t>
      </w:r>
    </w:p>
    <w:p w14:paraId="000002F7" w14:textId="2788D0BA" w:rsidR="000B0F63" w:rsidRDefault="00C05D22" w:rsidP="00EC2FA3">
      <w:pPr>
        <w:pStyle w:val="ListBullet"/>
        <w:numPr>
          <w:ilvl w:val="1"/>
          <w:numId w:val="16"/>
        </w:numPr>
        <w:spacing w:after="0"/>
        <w:jc w:val="both"/>
      </w:pPr>
      <w:r>
        <w:t>Azure assigns Premium SSD with tiered disk sizes (each tier has a minimum GB), which rounds small disks up to the next tier.</w:t>
      </w:r>
    </w:p>
    <w:p w14:paraId="000002F9" w14:textId="000002FA" w:rsidR="000B0F63" w:rsidRDefault="00C05D22" w:rsidP="00EC2FA3">
      <w:pPr>
        <w:pStyle w:val="ListBullet"/>
        <w:numPr>
          <w:ilvl w:val="0"/>
          <w:numId w:val="16"/>
        </w:numPr>
        <w:jc w:val="both"/>
      </w:pPr>
      <w:r>
        <w:t xml:space="preserve">OS </w:t>
      </w:r>
      <w:proofErr w:type="spellStart"/>
      <w:r>
        <w:t>licence</w:t>
      </w:r>
      <w:proofErr w:type="spellEnd"/>
      <w:r>
        <w:t xml:space="preserve"> costs differ because GCP allocates fewer vCPUs (less Windows per-vCPU licensing) and Azure has a mid-range allocation. The number scales with vCPU count, not server count.</w:t>
      </w:r>
    </w:p>
    <w:p w14:paraId="000002FB" w14:textId="000002FC" w:rsidR="000B0F63" w:rsidRDefault="1BAB210A" w:rsidP="00E40261">
      <w:pPr>
        <w:pStyle w:val="Heading2"/>
        <w:jc w:val="both"/>
      </w:pPr>
      <w:bookmarkStart w:id="190" w:name="_Toc151"/>
      <w:bookmarkStart w:id="191" w:name="_Toc227770934"/>
      <w:r>
        <w:t>Beyond The Baseline: Optimisation and Options</w:t>
      </w:r>
      <w:bookmarkEnd w:id="190"/>
      <w:bookmarkEnd w:id="191"/>
    </w:p>
    <w:p w14:paraId="000002FD" w14:textId="000002FE" w:rsidR="000B0F63" w:rsidRDefault="00C05D22" w:rsidP="00E40261">
      <w:pPr>
        <w:jc w:val="both"/>
      </w:pPr>
      <w:r>
        <w:t>The baseline covers compute, storage, OS licence, and internal network. Several items sit on top. Some are mandatory additions for a full view of cloud cost (Oracle, SQL); others are optional levers that reduce cost if DMG Media meets the conditions (BYOL, storage tiering).</w:t>
      </w:r>
    </w:p>
    <w:p w14:paraId="000002FF" w14:textId="00000300" w:rsidR="000B0F63" w:rsidRDefault="1BAB210A" w:rsidP="00E40261">
      <w:pPr>
        <w:pStyle w:val="Heading3"/>
        <w:jc w:val="both"/>
      </w:pPr>
      <w:bookmarkStart w:id="192" w:name="_Toc152"/>
      <w:bookmarkStart w:id="193" w:name="_Toc227770935"/>
      <w:r>
        <w:t>Mandatory additions (in Complete View)</w:t>
      </w:r>
      <w:bookmarkEnd w:id="192"/>
      <w:bookmarkEnd w:id="193"/>
    </w:p>
    <w:tbl>
      <w:tblPr>
        <w:tblW w:w="9720" w:type="dxa"/>
        <w:tblCellMar>
          <w:top w:w="100" w:type="dxa"/>
          <w:left w:w="100" w:type="dxa"/>
          <w:bottom w:w="100" w:type="dxa"/>
          <w:right w:w="100" w:type="dxa"/>
        </w:tblCellMar>
        <w:tblLook w:val="04A0" w:firstRow="1" w:lastRow="0" w:firstColumn="1" w:lastColumn="0" w:noHBand="0" w:noVBand="1"/>
      </w:tblPr>
      <w:tblGrid>
        <w:gridCol w:w="1944"/>
        <w:gridCol w:w="1944"/>
        <w:gridCol w:w="1944"/>
        <w:gridCol w:w="1944"/>
        <w:gridCol w:w="1944"/>
      </w:tblGrid>
      <w:tr w:rsidR="00723435" w14:paraId="402BCAFF" w14:textId="77777777" w:rsidTr="29E5A422">
        <w:trPr>
          <w:cantSplit/>
        </w:trPr>
        <w:tc>
          <w:tcPr>
            <w:tcW w:w="1944" w:type="dxa"/>
            <w:shd w:val="clear" w:color="auto" w:fill="D9D9D9" w:themeFill="background1" w:themeFillShade="D9"/>
            <w:tcMar>
              <w:top w:w="100" w:type="dxa"/>
              <w:left w:w="100" w:type="dxa"/>
              <w:bottom w:w="100" w:type="dxa"/>
              <w:right w:w="100" w:type="dxa"/>
            </w:tcMar>
          </w:tcPr>
          <w:p w14:paraId="00000301" w14:textId="00000302" w:rsidR="000B0F63" w:rsidRDefault="00C05D22" w:rsidP="00E40261">
            <w:pPr>
              <w:pStyle w:val="TableHeader"/>
              <w:jc w:val="both"/>
            </w:pPr>
            <w:r>
              <w:t>Item</w:t>
            </w:r>
          </w:p>
        </w:tc>
        <w:tc>
          <w:tcPr>
            <w:tcW w:w="1944" w:type="dxa"/>
            <w:shd w:val="clear" w:color="auto" w:fill="D9D9D9" w:themeFill="background1" w:themeFillShade="D9"/>
            <w:tcMar>
              <w:top w:w="100" w:type="dxa"/>
              <w:left w:w="100" w:type="dxa"/>
              <w:bottom w:w="100" w:type="dxa"/>
              <w:right w:w="100" w:type="dxa"/>
            </w:tcMar>
          </w:tcPr>
          <w:p w14:paraId="00000303" w14:textId="00000304" w:rsidR="000B0F63" w:rsidRDefault="00C05D22" w:rsidP="00E40261">
            <w:pPr>
              <w:pStyle w:val="TableHeader"/>
              <w:jc w:val="both"/>
            </w:pPr>
            <w:r>
              <w:t>GCP</w:t>
            </w:r>
          </w:p>
        </w:tc>
        <w:tc>
          <w:tcPr>
            <w:tcW w:w="1944" w:type="dxa"/>
            <w:shd w:val="clear" w:color="auto" w:fill="D9D9D9" w:themeFill="background1" w:themeFillShade="D9"/>
            <w:tcMar>
              <w:top w:w="100" w:type="dxa"/>
              <w:left w:w="100" w:type="dxa"/>
              <w:bottom w:w="100" w:type="dxa"/>
              <w:right w:w="100" w:type="dxa"/>
            </w:tcMar>
          </w:tcPr>
          <w:p w14:paraId="00000305" w14:textId="00000306" w:rsidR="000B0F63" w:rsidRDefault="00C05D22" w:rsidP="00E40261">
            <w:pPr>
              <w:pStyle w:val="TableHeader"/>
              <w:jc w:val="both"/>
            </w:pPr>
            <w:r>
              <w:t>AWS</w:t>
            </w:r>
          </w:p>
        </w:tc>
        <w:tc>
          <w:tcPr>
            <w:tcW w:w="1944" w:type="dxa"/>
            <w:shd w:val="clear" w:color="auto" w:fill="D9D9D9" w:themeFill="background1" w:themeFillShade="D9"/>
            <w:tcMar>
              <w:top w:w="100" w:type="dxa"/>
              <w:left w:w="100" w:type="dxa"/>
              <w:bottom w:w="100" w:type="dxa"/>
              <w:right w:w="100" w:type="dxa"/>
            </w:tcMar>
          </w:tcPr>
          <w:p w14:paraId="00000307" w14:textId="00000308" w:rsidR="000B0F63" w:rsidRDefault="00C05D22" w:rsidP="00E40261">
            <w:pPr>
              <w:pStyle w:val="TableHeader"/>
              <w:jc w:val="both"/>
            </w:pPr>
            <w:r>
              <w:t>Azure</w:t>
            </w:r>
          </w:p>
        </w:tc>
        <w:tc>
          <w:tcPr>
            <w:tcW w:w="1944" w:type="dxa"/>
            <w:shd w:val="clear" w:color="auto" w:fill="D9D9D9" w:themeFill="background1" w:themeFillShade="D9"/>
            <w:tcMar>
              <w:top w:w="100" w:type="dxa"/>
              <w:left w:w="100" w:type="dxa"/>
              <w:bottom w:w="100" w:type="dxa"/>
              <w:right w:w="100" w:type="dxa"/>
            </w:tcMar>
          </w:tcPr>
          <w:p w14:paraId="00000309" w14:textId="0000030A" w:rsidR="000B0F63" w:rsidRDefault="00C05D22" w:rsidP="00E40261">
            <w:pPr>
              <w:pStyle w:val="TableHeader"/>
              <w:jc w:val="both"/>
            </w:pPr>
            <w:r>
              <w:t>Condition</w:t>
            </w:r>
          </w:p>
        </w:tc>
      </w:tr>
      <w:tr w:rsidR="007E7776" w14:paraId="1626DFDB" w14:textId="77777777" w:rsidTr="29E5A422">
        <w:tc>
          <w:tcPr>
            <w:tcW w:w="1944" w:type="dxa"/>
            <w:tcMar>
              <w:top w:w="100" w:type="dxa"/>
              <w:left w:w="100" w:type="dxa"/>
              <w:bottom w:w="100" w:type="dxa"/>
              <w:right w:w="100" w:type="dxa"/>
            </w:tcMar>
          </w:tcPr>
          <w:p w14:paraId="0000030B" w14:textId="0000030C" w:rsidR="000B0F63" w:rsidRDefault="1BAB210A" w:rsidP="008E37F6">
            <w:pPr>
              <w:pStyle w:val="TableInfo"/>
              <w:jc w:val="center"/>
            </w:pPr>
            <w:r w:rsidRPr="1524DEBB">
              <w:rPr>
                <w:lang w:val="en-GB"/>
              </w:rPr>
              <w:t>Oracle (</w:t>
            </w:r>
            <w:proofErr w:type="spellStart"/>
            <w:r w:rsidRPr="1524DEBB">
              <w:rPr>
                <w:lang w:val="en-GB"/>
              </w:rPr>
              <w:t>Exadata@Cloud</w:t>
            </w:r>
            <w:proofErr w:type="spellEnd"/>
            <w:r w:rsidRPr="1524DEBB">
              <w:rPr>
                <w:lang w:val="en-GB"/>
              </w:rPr>
              <w:t>, Option A)</w:t>
            </w:r>
          </w:p>
        </w:tc>
        <w:tc>
          <w:tcPr>
            <w:tcW w:w="1944" w:type="dxa"/>
            <w:tcMar>
              <w:top w:w="100" w:type="dxa"/>
              <w:left w:w="100" w:type="dxa"/>
              <w:bottom w:w="100" w:type="dxa"/>
              <w:right w:w="100" w:type="dxa"/>
            </w:tcMar>
          </w:tcPr>
          <w:p w14:paraId="0000030D" w14:textId="0000030E" w:rsidR="000B0F63" w:rsidRDefault="1BAB210A" w:rsidP="008E37F6">
            <w:pPr>
              <w:pStyle w:val="TableInfo"/>
              <w:jc w:val="center"/>
            </w:pPr>
            <w:r w:rsidRPr="29E5A422">
              <w:rPr>
                <w:lang w:val="en-GB"/>
              </w:rPr>
              <w:t>+42,909/</w:t>
            </w:r>
            <w:proofErr w:type="spellStart"/>
            <w:r w:rsidRPr="29E5A422">
              <w:rPr>
                <w:lang w:val="en-GB"/>
              </w:rPr>
              <w:t>mo</w:t>
            </w:r>
            <w:proofErr w:type="spellEnd"/>
          </w:p>
        </w:tc>
        <w:tc>
          <w:tcPr>
            <w:tcW w:w="1944" w:type="dxa"/>
            <w:tcMar>
              <w:top w:w="100" w:type="dxa"/>
              <w:left w:w="100" w:type="dxa"/>
              <w:bottom w:w="100" w:type="dxa"/>
              <w:right w:w="100" w:type="dxa"/>
            </w:tcMar>
          </w:tcPr>
          <w:p w14:paraId="0000030F" w14:textId="00000310" w:rsidR="000B0F63" w:rsidRDefault="1BAB210A" w:rsidP="008E37F6">
            <w:pPr>
              <w:pStyle w:val="TableInfo"/>
              <w:jc w:val="center"/>
            </w:pPr>
            <w:r w:rsidRPr="29E5A422">
              <w:rPr>
                <w:lang w:val="en-GB"/>
              </w:rPr>
              <w:t>+42,909/</w:t>
            </w:r>
            <w:proofErr w:type="spellStart"/>
            <w:r w:rsidRPr="29E5A422">
              <w:rPr>
                <w:lang w:val="en-GB"/>
              </w:rPr>
              <w:t>mo</w:t>
            </w:r>
            <w:proofErr w:type="spellEnd"/>
          </w:p>
        </w:tc>
        <w:tc>
          <w:tcPr>
            <w:tcW w:w="1944" w:type="dxa"/>
            <w:tcMar>
              <w:top w:w="100" w:type="dxa"/>
              <w:left w:w="100" w:type="dxa"/>
              <w:bottom w:w="100" w:type="dxa"/>
              <w:right w:w="100" w:type="dxa"/>
            </w:tcMar>
          </w:tcPr>
          <w:p w14:paraId="00000311" w14:textId="00000312" w:rsidR="000B0F63" w:rsidRDefault="1BAB210A" w:rsidP="008E37F6">
            <w:pPr>
              <w:pStyle w:val="TableInfo"/>
              <w:jc w:val="center"/>
            </w:pPr>
            <w:r w:rsidRPr="29E5A422">
              <w:rPr>
                <w:lang w:val="en-GB"/>
              </w:rPr>
              <w:t>+42,909/</w:t>
            </w:r>
            <w:proofErr w:type="spellStart"/>
            <w:r w:rsidRPr="29E5A422">
              <w:rPr>
                <w:lang w:val="en-GB"/>
              </w:rPr>
              <w:t>mo</w:t>
            </w:r>
            <w:proofErr w:type="spellEnd"/>
          </w:p>
        </w:tc>
        <w:tc>
          <w:tcPr>
            <w:tcW w:w="1944" w:type="dxa"/>
            <w:tcMar>
              <w:top w:w="100" w:type="dxa"/>
              <w:left w:w="100" w:type="dxa"/>
              <w:bottom w:w="100" w:type="dxa"/>
              <w:right w:w="100" w:type="dxa"/>
            </w:tcMar>
          </w:tcPr>
          <w:p w14:paraId="00000313" w14:textId="00000314" w:rsidR="000B0F63" w:rsidRDefault="1BAB210A" w:rsidP="008E37F6">
            <w:pPr>
              <w:pStyle w:val="TableInfo"/>
            </w:pPr>
            <w:r w:rsidRPr="1524DEBB">
              <w:rPr>
                <w:lang w:val="en-GB"/>
              </w:rPr>
              <w:t xml:space="preserve">All three clouds offer </w:t>
            </w:r>
            <w:proofErr w:type="spellStart"/>
            <w:r w:rsidRPr="1524DEBB">
              <w:rPr>
                <w:lang w:val="en-GB"/>
              </w:rPr>
              <w:t>Exadata@Cloud</w:t>
            </w:r>
            <w:proofErr w:type="spellEnd"/>
            <w:r w:rsidRPr="1524DEBB">
              <w:rPr>
                <w:lang w:val="en-GB"/>
              </w:rPr>
              <w:t xml:space="preserve"> in London, identical OCI pricing.</w:t>
            </w:r>
          </w:p>
        </w:tc>
      </w:tr>
      <w:tr w:rsidR="007E7776" w14:paraId="59F9B0F8" w14:textId="77777777" w:rsidTr="29E5A422">
        <w:tc>
          <w:tcPr>
            <w:tcW w:w="1944" w:type="dxa"/>
            <w:tcMar>
              <w:top w:w="100" w:type="dxa"/>
              <w:left w:w="100" w:type="dxa"/>
              <w:bottom w:w="100" w:type="dxa"/>
              <w:right w:w="100" w:type="dxa"/>
            </w:tcMar>
          </w:tcPr>
          <w:p w14:paraId="00000315" w14:textId="00000316" w:rsidR="000B0F63" w:rsidRDefault="1BAB210A" w:rsidP="008E37F6">
            <w:pPr>
              <w:pStyle w:val="TableInfo"/>
              <w:jc w:val="center"/>
            </w:pPr>
            <w:r w:rsidRPr="1524DEBB">
              <w:rPr>
                <w:lang w:val="en-GB"/>
              </w:rPr>
              <w:t>Oracle support (retained under BYOL)</w:t>
            </w:r>
          </w:p>
        </w:tc>
        <w:tc>
          <w:tcPr>
            <w:tcW w:w="1944" w:type="dxa"/>
            <w:tcMar>
              <w:top w:w="100" w:type="dxa"/>
              <w:left w:w="100" w:type="dxa"/>
              <w:bottom w:w="100" w:type="dxa"/>
              <w:right w:w="100" w:type="dxa"/>
            </w:tcMar>
          </w:tcPr>
          <w:p w14:paraId="00000317" w14:textId="00000318" w:rsidR="000B0F63" w:rsidRDefault="1BAB210A" w:rsidP="008E37F6">
            <w:pPr>
              <w:pStyle w:val="TableInfo"/>
              <w:jc w:val="center"/>
            </w:pPr>
            <w:r w:rsidRPr="29E5A422">
              <w:rPr>
                <w:lang w:val="en-GB"/>
              </w:rPr>
              <w:t>+54,167/</w:t>
            </w:r>
            <w:proofErr w:type="spellStart"/>
            <w:r w:rsidRPr="29E5A422">
              <w:rPr>
                <w:lang w:val="en-GB"/>
              </w:rPr>
              <w:t>mo</w:t>
            </w:r>
            <w:proofErr w:type="spellEnd"/>
          </w:p>
        </w:tc>
        <w:tc>
          <w:tcPr>
            <w:tcW w:w="1944" w:type="dxa"/>
            <w:tcMar>
              <w:top w:w="100" w:type="dxa"/>
              <w:left w:w="100" w:type="dxa"/>
              <w:bottom w:w="100" w:type="dxa"/>
              <w:right w:w="100" w:type="dxa"/>
            </w:tcMar>
          </w:tcPr>
          <w:p w14:paraId="00000319" w14:textId="0000031A" w:rsidR="000B0F63" w:rsidRDefault="1BAB210A" w:rsidP="008E37F6">
            <w:pPr>
              <w:pStyle w:val="TableInfo"/>
              <w:jc w:val="center"/>
            </w:pPr>
            <w:r w:rsidRPr="29E5A422">
              <w:rPr>
                <w:lang w:val="en-GB"/>
              </w:rPr>
              <w:t>+54,167/</w:t>
            </w:r>
            <w:proofErr w:type="spellStart"/>
            <w:r w:rsidRPr="29E5A422">
              <w:rPr>
                <w:lang w:val="en-GB"/>
              </w:rPr>
              <w:t>mo</w:t>
            </w:r>
            <w:proofErr w:type="spellEnd"/>
          </w:p>
        </w:tc>
        <w:tc>
          <w:tcPr>
            <w:tcW w:w="1944" w:type="dxa"/>
            <w:tcMar>
              <w:top w:w="100" w:type="dxa"/>
              <w:left w:w="100" w:type="dxa"/>
              <w:bottom w:w="100" w:type="dxa"/>
              <w:right w:w="100" w:type="dxa"/>
            </w:tcMar>
          </w:tcPr>
          <w:p w14:paraId="0000031B" w14:textId="0000031C" w:rsidR="000B0F63" w:rsidRDefault="1BAB210A" w:rsidP="008E37F6">
            <w:pPr>
              <w:pStyle w:val="TableInfo"/>
              <w:jc w:val="center"/>
            </w:pPr>
            <w:r w:rsidRPr="29E5A422">
              <w:rPr>
                <w:lang w:val="en-GB"/>
              </w:rPr>
              <w:t>+54,167/</w:t>
            </w:r>
            <w:proofErr w:type="spellStart"/>
            <w:r w:rsidRPr="29E5A422">
              <w:rPr>
                <w:lang w:val="en-GB"/>
              </w:rPr>
              <w:t>mo</w:t>
            </w:r>
            <w:proofErr w:type="spellEnd"/>
          </w:p>
        </w:tc>
        <w:tc>
          <w:tcPr>
            <w:tcW w:w="1944" w:type="dxa"/>
            <w:tcMar>
              <w:top w:w="100" w:type="dxa"/>
              <w:left w:w="100" w:type="dxa"/>
              <w:bottom w:w="100" w:type="dxa"/>
              <w:right w:w="100" w:type="dxa"/>
            </w:tcMar>
          </w:tcPr>
          <w:p w14:paraId="0000031D" w14:textId="0972BC03" w:rsidR="000B0F63" w:rsidRDefault="0FA103C5" w:rsidP="008E37F6">
            <w:pPr>
              <w:pStyle w:val="TableInfo"/>
            </w:pPr>
            <w:r w:rsidRPr="1524DEBB">
              <w:rPr>
                <w:lang w:val="en-GB"/>
              </w:rPr>
              <w:t>£</w:t>
            </w:r>
            <w:r w:rsidR="1BAB210A" w:rsidRPr="1524DEBB">
              <w:rPr>
                <w:lang w:val="en-GB"/>
              </w:rPr>
              <w:t>650K/yr Oracle support contract retained under BYOL on all Option A/B paths.</w:t>
            </w:r>
          </w:p>
        </w:tc>
      </w:tr>
      <w:tr w:rsidR="007E7776" w14:paraId="282F0E45" w14:textId="77777777" w:rsidTr="29E5A422">
        <w:tc>
          <w:tcPr>
            <w:tcW w:w="1944" w:type="dxa"/>
            <w:tcMar>
              <w:top w:w="100" w:type="dxa"/>
              <w:left w:w="100" w:type="dxa"/>
              <w:bottom w:w="100" w:type="dxa"/>
              <w:right w:w="100" w:type="dxa"/>
            </w:tcMar>
          </w:tcPr>
          <w:p w14:paraId="0000031F" w14:textId="00000320" w:rsidR="000B0F63" w:rsidRDefault="00C05D22" w:rsidP="008E37F6">
            <w:pPr>
              <w:pStyle w:val="TableInfo"/>
              <w:jc w:val="center"/>
            </w:pPr>
            <w:r>
              <w:t>SQL Server surcharge</w:t>
            </w:r>
          </w:p>
        </w:tc>
        <w:tc>
          <w:tcPr>
            <w:tcW w:w="1944" w:type="dxa"/>
            <w:tcMar>
              <w:top w:w="100" w:type="dxa"/>
              <w:left w:w="100" w:type="dxa"/>
              <w:bottom w:w="100" w:type="dxa"/>
              <w:right w:w="100" w:type="dxa"/>
            </w:tcMar>
          </w:tcPr>
          <w:p w14:paraId="00000321" w14:textId="00000322" w:rsidR="000B0F63" w:rsidRDefault="1BAB210A" w:rsidP="008E37F6">
            <w:pPr>
              <w:pStyle w:val="TableInfo"/>
              <w:jc w:val="center"/>
            </w:pPr>
            <w:r w:rsidRPr="29E5A422">
              <w:rPr>
                <w:lang w:val="en-GB"/>
              </w:rPr>
              <w:t>+15,284/</w:t>
            </w:r>
            <w:proofErr w:type="spellStart"/>
            <w:r w:rsidRPr="29E5A422">
              <w:rPr>
                <w:lang w:val="en-GB"/>
              </w:rPr>
              <w:t>mo</w:t>
            </w:r>
            <w:proofErr w:type="spellEnd"/>
          </w:p>
        </w:tc>
        <w:tc>
          <w:tcPr>
            <w:tcW w:w="1944" w:type="dxa"/>
            <w:tcMar>
              <w:top w:w="100" w:type="dxa"/>
              <w:left w:w="100" w:type="dxa"/>
              <w:bottom w:w="100" w:type="dxa"/>
              <w:right w:w="100" w:type="dxa"/>
            </w:tcMar>
          </w:tcPr>
          <w:p w14:paraId="00000323" w14:textId="00000324" w:rsidR="000B0F63" w:rsidRDefault="1BAB210A" w:rsidP="008E37F6">
            <w:pPr>
              <w:pStyle w:val="TableInfo"/>
              <w:jc w:val="center"/>
            </w:pPr>
            <w:r w:rsidRPr="29E5A422">
              <w:rPr>
                <w:lang w:val="en-GB"/>
              </w:rPr>
              <w:t>+14,286/</w:t>
            </w:r>
            <w:proofErr w:type="spellStart"/>
            <w:r w:rsidRPr="29E5A422">
              <w:rPr>
                <w:lang w:val="en-GB"/>
              </w:rPr>
              <w:t>mo</w:t>
            </w:r>
            <w:proofErr w:type="spellEnd"/>
          </w:p>
        </w:tc>
        <w:tc>
          <w:tcPr>
            <w:tcW w:w="1944" w:type="dxa"/>
            <w:tcMar>
              <w:top w:w="100" w:type="dxa"/>
              <w:left w:w="100" w:type="dxa"/>
              <w:bottom w:w="100" w:type="dxa"/>
              <w:right w:w="100" w:type="dxa"/>
            </w:tcMar>
          </w:tcPr>
          <w:p w14:paraId="00000325" w14:textId="00000326" w:rsidR="000B0F63" w:rsidRDefault="1BAB210A" w:rsidP="008E37F6">
            <w:pPr>
              <w:pStyle w:val="TableInfo"/>
              <w:jc w:val="center"/>
            </w:pPr>
            <w:r w:rsidRPr="29E5A422">
              <w:rPr>
                <w:lang w:val="en-GB"/>
              </w:rPr>
              <w:t>+14,286/</w:t>
            </w:r>
            <w:proofErr w:type="spellStart"/>
            <w:r w:rsidRPr="29E5A422">
              <w:rPr>
                <w:lang w:val="en-GB"/>
              </w:rPr>
              <w:t>mo</w:t>
            </w:r>
            <w:proofErr w:type="spellEnd"/>
          </w:p>
        </w:tc>
        <w:tc>
          <w:tcPr>
            <w:tcW w:w="1944" w:type="dxa"/>
            <w:tcMar>
              <w:top w:w="100" w:type="dxa"/>
              <w:left w:w="100" w:type="dxa"/>
              <w:bottom w:w="100" w:type="dxa"/>
              <w:right w:w="100" w:type="dxa"/>
            </w:tcMar>
          </w:tcPr>
          <w:p w14:paraId="00000327" w14:textId="00000328" w:rsidR="000B0F63" w:rsidRDefault="00C05D22" w:rsidP="008E37F6">
            <w:pPr>
              <w:pStyle w:val="TableInfo"/>
            </w:pPr>
            <w:r>
              <w:t>Nets to zero if SA confirmed (BYOL). Currently included pending SA confirmation.</w:t>
            </w:r>
          </w:p>
        </w:tc>
      </w:tr>
    </w:tbl>
    <w:p w14:paraId="00000329" w14:textId="0000032A" w:rsidR="000B0F63" w:rsidRDefault="1BAB210A" w:rsidP="008E37F6">
      <w:pPr>
        <w:pStyle w:val="Heading3"/>
        <w:jc w:val="center"/>
      </w:pPr>
      <w:bookmarkStart w:id="194" w:name="_Toc153"/>
      <w:bookmarkStart w:id="195" w:name="_Toc227770936"/>
      <w:r>
        <w:t>Optional levers</w:t>
      </w:r>
      <w:bookmarkEnd w:id="194"/>
      <w:bookmarkEnd w:id="195"/>
    </w:p>
    <w:tbl>
      <w:tblPr>
        <w:tblW w:w="9720" w:type="dxa"/>
        <w:tblCellMar>
          <w:top w:w="100" w:type="dxa"/>
          <w:left w:w="100" w:type="dxa"/>
          <w:bottom w:w="100" w:type="dxa"/>
          <w:right w:w="100" w:type="dxa"/>
        </w:tblCellMar>
        <w:tblLook w:val="04A0" w:firstRow="1" w:lastRow="0" w:firstColumn="1" w:lastColumn="0" w:noHBand="0" w:noVBand="1"/>
      </w:tblPr>
      <w:tblGrid>
        <w:gridCol w:w="1944"/>
        <w:gridCol w:w="1944"/>
        <w:gridCol w:w="1944"/>
        <w:gridCol w:w="1944"/>
        <w:gridCol w:w="1944"/>
      </w:tblGrid>
      <w:tr w:rsidR="00723435" w14:paraId="0D2B21D4" w14:textId="77777777" w:rsidTr="29E5A422">
        <w:trPr>
          <w:cantSplit/>
        </w:trPr>
        <w:tc>
          <w:tcPr>
            <w:tcW w:w="1944" w:type="dxa"/>
            <w:shd w:val="clear" w:color="auto" w:fill="D9D9D9" w:themeFill="background1" w:themeFillShade="D9"/>
            <w:tcMar>
              <w:top w:w="100" w:type="dxa"/>
              <w:left w:w="100" w:type="dxa"/>
              <w:bottom w:w="100" w:type="dxa"/>
              <w:right w:w="100" w:type="dxa"/>
            </w:tcMar>
          </w:tcPr>
          <w:p w14:paraId="0000032B" w14:textId="0000032C" w:rsidR="000B0F63" w:rsidRDefault="00C05D22" w:rsidP="008E37F6">
            <w:pPr>
              <w:pStyle w:val="TableHeader"/>
              <w:jc w:val="center"/>
            </w:pPr>
            <w:r>
              <w:t>Lever</w:t>
            </w:r>
          </w:p>
        </w:tc>
        <w:tc>
          <w:tcPr>
            <w:tcW w:w="1944" w:type="dxa"/>
            <w:shd w:val="clear" w:color="auto" w:fill="D9D9D9" w:themeFill="background1" w:themeFillShade="D9"/>
            <w:tcMar>
              <w:top w:w="100" w:type="dxa"/>
              <w:left w:w="100" w:type="dxa"/>
              <w:bottom w:w="100" w:type="dxa"/>
              <w:right w:w="100" w:type="dxa"/>
            </w:tcMar>
          </w:tcPr>
          <w:p w14:paraId="0000032D" w14:textId="0000032E" w:rsidR="000B0F63" w:rsidRDefault="00C05D22" w:rsidP="008E37F6">
            <w:pPr>
              <w:pStyle w:val="TableHeader"/>
              <w:jc w:val="center"/>
            </w:pPr>
            <w:r>
              <w:t>GCP impact</w:t>
            </w:r>
          </w:p>
        </w:tc>
        <w:tc>
          <w:tcPr>
            <w:tcW w:w="1944" w:type="dxa"/>
            <w:shd w:val="clear" w:color="auto" w:fill="D9D9D9" w:themeFill="background1" w:themeFillShade="D9"/>
            <w:tcMar>
              <w:top w:w="100" w:type="dxa"/>
              <w:left w:w="100" w:type="dxa"/>
              <w:bottom w:w="100" w:type="dxa"/>
              <w:right w:w="100" w:type="dxa"/>
            </w:tcMar>
          </w:tcPr>
          <w:p w14:paraId="0000032F" w14:textId="00000330" w:rsidR="000B0F63" w:rsidRDefault="00C05D22" w:rsidP="008E37F6">
            <w:pPr>
              <w:pStyle w:val="TableHeader"/>
              <w:jc w:val="center"/>
            </w:pPr>
            <w:r>
              <w:t>AWS impact</w:t>
            </w:r>
          </w:p>
        </w:tc>
        <w:tc>
          <w:tcPr>
            <w:tcW w:w="1944" w:type="dxa"/>
            <w:shd w:val="clear" w:color="auto" w:fill="D9D9D9" w:themeFill="background1" w:themeFillShade="D9"/>
            <w:tcMar>
              <w:top w:w="100" w:type="dxa"/>
              <w:left w:w="100" w:type="dxa"/>
              <w:bottom w:w="100" w:type="dxa"/>
              <w:right w:w="100" w:type="dxa"/>
            </w:tcMar>
          </w:tcPr>
          <w:p w14:paraId="00000331" w14:textId="00000332" w:rsidR="000B0F63" w:rsidRDefault="00C05D22" w:rsidP="008E37F6">
            <w:pPr>
              <w:pStyle w:val="TableHeader"/>
              <w:jc w:val="center"/>
            </w:pPr>
            <w:r>
              <w:t>Azure impact</w:t>
            </w:r>
          </w:p>
        </w:tc>
        <w:tc>
          <w:tcPr>
            <w:tcW w:w="1944" w:type="dxa"/>
            <w:shd w:val="clear" w:color="auto" w:fill="D9D9D9" w:themeFill="background1" w:themeFillShade="D9"/>
            <w:tcMar>
              <w:top w:w="100" w:type="dxa"/>
              <w:left w:w="100" w:type="dxa"/>
              <w:bottom w:w="100" w:type="dxa"/>
              <w:right w:w="100" w:type="dxa"/>
            </w:tcMar>
          </w:tcPr>
          <w:p w14:paraId="00000333" w14:textId="00000334" w:rsidR="000B0F63" w:rsidRDefault="00C05D22" w:rsidP="008E37F6">
            <w:pPr>
              <w:pStyle w:val="TableHeader"/>
              <w:jc w:val="center"/>
            </w:pPr>
            <w:r>
              <w:t>Condition</w:t>
            </w:r>
          </w:p>
        </w:tc>
      </w:tr>
      <w:tr w:rsidR="007E7776" w14:paraId="0020775E" w14:textId="77777777" w:rsidTr="29E5A422">
        <w:tc>
          <w:tcPr>
            <w:tcW w:w="1944" w:type="dxa"/>
            <w:tcMar>
              <w:top w:w="100" w:type="dxa"/>
              <w:left w:w="100" w:type="dxa"/>
              <w:bottom w:w="100" w:type="dxa"/>
              <w:right w:w="100" w:type="dxa"/>
            </w:tcMar>
          </w:tcPr>
          <w:p w14:paraId="00000335" w14:textId="00000336" w:rsidR="000B0F63" w:rsidRDefault="00C05D22" w:rsidP="008E37F6">
            <w:pPr>
              <w:pStyle w:val="TableInfo"/>
              <w:jc w:val="center"/>
            </w:pPr>
            <w:r>
              <w:t>Windows BYOL</w:t>
            </w:r>
          </w:p>
        </w:tc>
        <w:tc>
          <w:tcPr>
            <w:tcW w:w="1944" w:type="dxa"/>
            <w:tcMar>
              <w:top w:w="100" w:type="dxa"/>
              <w:left w:w="100" w:type="dxa"/>
              <w:bottom w:w="100" w:type="dxa"/>
              <w:right w:w="100" w:type="dxa"/>
            </w:tcMar>
          </w:tcPr>
          <w:p w14:paraId="00000337" w14:textId="00000338" w:rsidR="000B0F63" w:rsidRDefault="1BAB210A" w:rsidP="008E37F6">
            <w:pPr>
              <w:pStyle w:val="TableInfo"/>
              <w:jc w:val="center"/>
            </w:pPr>
            <w:r w:rsidRPr="29E5A422">
              <w:rPr>
                <w:lang w:val="en-GB"/>
              </w:rPr>
              <w:t>-7,220/</w:t>
            </w:r>
            <w:proofErr w:type="spellStart"/>
            <w:r w:rsidRPr="29E5A422">
              <w:rPr>
                <w:lang w:val="en-GB"/>
              </w:rPr>
              <w:t>mo</w:t>
            </w:r>
            <w:proofErr w:type="spellEnd"/>
          </w:p>
        </w:tc>
        <w:tc>
          <w:tcPr>
            <w:tcW w:w="1944" w:type="dxa"/>
            <w:tcMar>
              <w:top w:w="100" w:type="dxa"/>
              <w:left w:w="100" w:type="dxa"/>
              <w:bottom w:w="100" w:type="dxa"/>
              <w:right w:w="100" w:type="dxa"/>
            </w:tcMar>
          </w:tcPr>
          <w:p w14:paraId="00000339" w14:textId="0000033A" w:rsidR="000B0F63" w:rsidRDefault="1BAB210A" w:rsidP="008E37F6">
            <w:pPr>
              <w:pStyle w:val="TableInfo"/>
              <w:jc w:val="center"/>
            </w:pPr>
            <w:r w:rsidRPr="29E5A422">
              <w:rPr>
                <w:lang w:val="en-GB"/>
              </w:rPr>
              <w:t>-8,605/</w:t>
            </w:r>
            <w:proofErr w:type="spellStart"/>
            <w:r w:rsidRPr="29E5A422">
              <w:rPr>
                <w:lang w:val="en-GB"/>
              </w:rPr>
              <w:t>mo</w:t>
            </w:r>
            <w:proofErr w:type="spellEnd"/>
          </w:p>
        </w:tc>
        <w:tc>
          <w:tcPr>
            <w:tcW w:w="1944" w:type="dxa"/>
            <w:tcMar>
              <w:top w:w="100" w:type="dxa"/>
              <w:left w:w="100" w:type="dxa"/>
              <w:bottom w:w="100" w:type="dxa"/>
              <w:right w:w="100" w:type="dxa"/>
            </w:tcMar>
          </w:tcPr>
          <w:p w14:paraId="0000033B" w14:textId="0000033C" w:rsidR="000B0F63" w:rsidRDefault="1BAB210A" w:rsidP="008E37F6">
            <w:pPr>
              <w:pStyle w:val="TableInfo"/>
              <w:jc w:val="center"/>
            </w:pPr>
            <w:commentRangeStart w:id="196"/>
            <w:r w:rsidRPr="29E5A422">
              <w:rPr>
                <w:lang w:val="en-GB"/>
              </w:rPr>
              <w:t>-17,529/</w:t>
            </w:r>
            <w:proofErr w:type="spellStart"/>
            <w:r w:rsidRPr="29E5A422">
              <w:rPr>
                <w:lang w:val="en-GB"/>
              </w:rPr>
              <w:t>mo</w:t>
            </w:r>
            <w:commentRangeEnd w:id="196"/>
            <w:r>
              <w:rPr>
                <w:rStyle w:val="CommentReference"/>
                <w:sz w:val="18"/>
                <w:szCs w:val="15"/>
              </w:rPr>
              <w:commentReference w:id="196"/>
            </w:r>
            <w:proofErr w:type="spellEnd"/>
          </w:p>
        </w:tc>
        <w:tc>
          <w:tcPr>
            <w:tcW w:w="1944" w:type="dxa"/>
            <w:tcMar>
              <w:top w:w="100" w:type="dxa"/>
              <w:left w:w="100" w:type="dxa"/>
              <w:bottom w:w="100" w:type="dxa"/>
              <w:right w:w="100" w:type="dxa"/>
            </w:tcMar>
          </w:tcPr>
          <w:p w14:paraId="0000033D" w14:textId="0000033E" w:rsidR="000B0F63" w:rsidRDefault="00C05D22" w:rsidP="008E37F6">
            <w:pPr>
              <w:pStyle w:val="TableInfo"/>
            </w:pPr>
            <w:r>
              <w:t>Requires active Software Assurance. Different mechanics per cloud. In Complete View.</w:t>
            </w:r>
          </w:p>
        </w:tc>
      </w:tr>
      <w:tr w:rsidR="007E7776" w14:paraId="08F6BB52" w14:textId="77777777" w:rsidTr="29E5A422">
        <w:tc>
          <w:tcPr>
            <w:tcW w:w="1944" w:type="dxa"/>
            <w:tcMar>
              <w:top w:w="100" w:type="dxa"/>
              <w:left w:w="100" w:type="dxa"/>
              <w:bottom w:w="100" w:type="dxa"/>
              <w:right w:w="100" w:type="dxa"/>
            </w:tcMar>
          </w:tcPr>
          <w:p w14:paraId="0000033F" w14:textId="00000340" w:rsidR="000B0F63" w:rsidRDefault="00C05D22" w:rsidP="008E37F6">
            <w:pPr>
              <w:pStyle w:val="TableInfo"/>
              <w:jc w:val="center"/>
            </w:pPr>
            <w:r>
              <w:t>Storage tiering (non-prod to HDD)</w:t>
            </w:r>
          </w:p>
        </w:tc>
        <w:tc>
          <w:tcPr>
            <w:tcW w:w="1944" w:type="dxa"/>
            <w:tcMar>
              <w:top w:w="100" w:type="dxa"/>
              <w:left w:w="100" w:type="dxa"/>
              <w:bottom w:w="100" w:type="dxa"/>
              <w:right w:w="100" w:type="dxa"/>
            </w:tcMar>
          </w:tcPr>
          <w:p w14:paraId="00000341" w14:textId="00000342" w:rsidR="000B0F63" w:rsidRDefault="1BAB210A" w:rsidP="008E37F6">
            <w:pPr>
              <w:pStyle w:val="TableInfo"/>
              <w:jc w:val="center"/>
            </w:pPr>
            <w:r w:rsidRPr="29E5A422">
              <w:rPr>
                <w:lang w:val="en-GB"/>
              </w:rPr>
              <w:t>-18,603/</w:t>
            </w:r>
            <w:proofErr w:type="spellStart"/>
            <w:r w:rsidRPr="29E5A422">
              <w:rPr>
                <w:lang w:val="en-GB"/>
              </w:rPr>
              <w:t>mo</w:t>
            </w:r>
            <w:proofErr w:type="spellEnd"/>
          </w:p>
        </w:tc>
        <w:tc>
          <w:tcPr>
            <w:tcW w:w="1944" w:type="dxa"/>
            <w:tcMar>
              <w:top w:w="100" w:type="dxa"/>
              <w:left w:w="100" w:type="dxa"/>
              <w:bottom w:w="100" w:type="dxa"/>
              <w:right w:w="100" w:type="dxa"/>
            </w:tcMar>
          </w:tcPr>
          <w:p w14:paraId="00000343" w14:textId="00000344" w:rsidR="000B0F63" w:rsidRDefault="1BAB210A" w:rsidP="008E37F6">
            <w:pPr>
              <w:pStyle w:val="TableInfo"/>
              <w:jc w:val="center"/>
            </w:pPr>
            <w:r w:rsidRPr="29E5A422">
              <w:rPr>
                <w:lang w:val="en-GB"/>
              </w:rPr>
              <w:t>-10,261/</w:t>
            </w:r>
            <w:proofErr w:type="spellStart"/>
            <w:r w:rsidRPr="29E5A422">
              <w:rPr>
                <w:lang w:val="en-GB"/>
              </w:rPr>
              <w:t>mo</w:t>
            </w:r>
            <w:proofErr w:type="spellEnd"/>
          </w:p>
        </w:tc>
        <w:tc>
          <w:tcPr>
            <w:tcW w:w="1944" w:type="dxa"/>
            <w:tcMar>
              <w:top w:w="100" w:type="dxa"/>
              <w:left w:w="100" w:type="dxa"/>
              <w:bottom w:w="100" w:type="dxa"/>
              <w:right w:w="100" w:type="dxa"/>
            </w:tcMar>
          </w:tcPr>
          <w:p w14:paraId="00000345" w14:textId="00000346" w:rsidR="000B0F63" w:rsidRDefault="1BAB210A" w:rsidP="008E37F6">
            <w:pPr>
              <w:pStyle w:val="TableInfo"/>
              <w:jc w:val="center"/>
            </w:pPr>
            <w:r w:rsidRPr="29E5A422">
              <w:rPr>
                <w:lang w:val="en-GB"/>
              </w:rPr>
              <w:t>-9,964/</w:t>
            </w:r>
            <w:proofErr w:type="spellStart"/>
            <w:r w:rsidRPr="29E5A422">
              <w:rPr>
                <w:lang w:val="en-GB"/>
              </w:rPr>
              <w:t>mo</w:t>
            </w:r>
            <w:proofErr w:type="spellEnd"/>
          </w:p>
        </w:tc>
        <w:tc>
          <w:tcPr>
            <w:tcW w:w="1944" w:type="dxa"/>
            <w:tcMar>
              <w:top w:w="100" w:type="dxa"/>
              <w:left w:w="100" w:type="dxa"/>
              <w:bottom w:w="100" w:type="dxa"/>
              <w:right w:w="100" w:type="dxa"/>
            </w:tcMar>
          </w:tcPr>
          <w:p w14:paraId="00000347" w14:textId="00000348" w:rsidR="000B0F63" w:rsidRDefault="00C05D22" w:rsidP="008E37F6">
            <w:pPr>
              <w:pStyle w:val="TableInfo"/>
            </w:pPr>
            <w:r>
              <w:t>Apply to 336 TiB non-prod. GCP has widest SSD-HDD gap. In Complete View.</w:t>
            </w:r>
          </w:p>
        </w:tc>
      </w:tr>
      <w:tr w:rsidR="007E7776" w14:paraId="41BCF984" w14:textId="77777777" w:rsidTr="29E5A422">
        <w:tc>
          <w:tcPr>
            <w:tcW w:w="1944" w:type="dxa"/>
            <w:tcMar>
              <w:top w:w="100" w:type="dxa"/>
              <w:left w:w="100" w:type="dxa"/>
              <w:bottom w:w="100" w:type="dxa"/>
              <w:right w:w="100" w:type="dxa"/>
            </w:tcMar>
          </w:tcPr>
          <w:p w14:paraId="00000349" w14:textId="0000034A" w:rsidR="000B0F63" w:rsidRDefault="00C05D22" w:rsidP="00E40261">
            <w:pPr>
              <w:pStyle w:val="TableInfo"/>
              <w:jc w:val="both"/>
            </w:pPr>
            <w:r>
              <w:t>RHEL BYOL</w:t>
            </w:r>
          </w:p>
        </w:tc>
        <w:tc>
          <w:tcPr>
            <w:tcW w:w="1944" w:type="dxa"/>
            <w:tcMar>
              <w:top w:w="100" w:type="dxa"/>
              <w:left w:w="100" w:type="dxa"/>
              <w:bottom w:w="100" w:type="dxa"/>
              <w:right w:w="100" w:type="dxa"/>
            </w:tcMar>
          </w:tcPr>
          <w:p w14:paraId="0000034B" w14:textId="0000034C" w:rsidR="000B0F63" w:rsidRDefault="1BAB210A" w:rsidP="00D95D23">
            <w:pPr>
              <w:pStyle w:val="TableInfo"/>
              <w:jc w:val="center"/>
            </w:pPr>
            <w:r w:rsidRPr="29E5A422">
              <w:rPr>
                <w:lang w:val="en-GB"/>
              </w:rPr>
              <w:t>-4,935/</w:t>
            </w:r>
            <w:proofErr w:type="spellStart"/>
            <w:r w:rsidRPr="29E5A422">
              <w:rPr>
                <w:lang w:val="en-GB"/>
              </w:rPr>
              <w:t>mo</w:t>
            </w:r>
            <w:proofErr w:type="spellEnd"/>
          </w:p>
        </w:tc>
        <w:tc>
          <w:tcPr>
            <w:tcW w:w="1944" w:type="dxa"/>
            <w:tcMar>
              <w:top w:w="100" w:type="dxa"/>
              <w:left w:w="100" w:type="dxa"/>
              <w:bottom w:w="100" w:type="dxa"/>
              <w:right w:w="100" w:type="dxa"/>
            </w:tcMar>
          </w:tcPr>
          <w:p w14:paraId="0000034D" w14:textId="0000034E" w:rsidR="000B0F63" w:rsidRDefault="1BAB210A" w:rsidP="00D95D23">
            <w:pPr>
              <w:pStyle w:val="TableInfo"/>
              <w:jc w:val="center"/>
            </w:pPr>
            <w:r w:rsidRPr="29E5A422">
              <w:rPr>
                <w:lang w:val="en-GB"/>
              </w:rPr>
              <w:t>-5,400/</w:t>
            </w:r>
            <w:proofErr w:type="spellStart"/>
            <w:r w:rsidRPr="29E5A422">
              <w:rPr>
                <w:lang w:val="en-GB"/>
              </w:rPr>
              <w:t>mo</w:t>
            </w:r>
            <w:proofErr w:type="spellEnd"/>
          </w:p>
        </w:tc>
        <w:tc>
          <w:tcPr>
            <w:tcW w:w="1944" w:type="dxa"/>
            <w:tcMar>
              <w:top w:w="100" w:type="dxa"/>
              <w:left w:w="100" w:type="dxa"/>
              <w:bottom w:w="100" w:type="dxa"/>
              <w:right w:w="100" w:type="dxa"/>
            </w:tcMar>
          </w:tcPr>
          <w:p w14:paraId="0000034F" w14:textId="00000350" w:rsidR="000B0F63" w:rsidRDefault="1BAB210A" w:rsidP="00D95D23">
            <w:pPr>
              <w:pStyle w:val="TableInfo"/>
              <w:jc w:val="center"/>
            </w:pPr>
            <w:r w:rsidRPr="29E5A422">
              <w:rPr>
                <w:lang w:val="en-GB"/>
              </w:rPr>
              <w:t>-4,935/</w:t>
            </w:r>
            <w:proofErr w:type="spellStart"/>
            <w:r w:rsidRPr="29E5A422">
              <w:rPr>
                <w:lang w:val="en-GB"/>
              </w:rPr>
              <w:t>mo</w:t>
            </w:r>
            <w:proofErr w:type="spellEnd"/>
          </w:p>
        </w:tc>
        <w:tc>
          <w:tcPr>
            <w:tcW w:w="1944" w:type="dxa"/>
            <w:tcMar>
              <w:top w:w="100" w:type="dxa"/>
              <w:left w:w="100" w:type="dxa"/>
              <w:bottom w:w="100" w:type="dxa"/>
              <w:right w:w="100" w:type="dxa"/>
            </w:tcMar>
          </w:tcPr>
          <w:p w14:paraId="00000351" w14:textId="00000352" w:rsidR="000B0F63" w:rsidRDefault="00C05D22" w:rsidP="008E37F6">
            <w:pPr>
              <w:pStyle w:val="TableInfo"/>
            </w:pPr>
            <w:r>
              <w:t>153 servers via Red Hat Cloud Access. Not in Complete View (</w:t>
            </w:r>
            <w:proofErr w:type="gramStart"/>
            <w:r>
              <w:t>requires</w:t>
            </w:r>
            <w:proofErr w:type="gramEnd"/>
            <w:r>
              <w:t xml:space="preserve"> client confirmation).</w:t>
            </w:r>
          </w:p>
        </w:tc>
      </w:tr>
      <w:tr w:rsidR="007E7776" w14:paraId="324D2DAC" w14:textId="77777777" w:rsidTr="29E5A422">
        <w:tc>
          <w:tcPr>
            <w:tcW w:w="1944" w:type="dxa"/>
            <w:tcMar>
              <w:top w:w="100" w:type="dxa"/>
              <w:left w:w="100" w:type="dxa"/>
              <w:bottom w:w="100" w:type="dxa"/>
              <w:right w:w="100" w:type="dxa"/>
            </w:tcMar>
          </w:tcPr>
          <w:p w14:paraId="00000353" w14:textId="00000354" w:rsidR="000B0F63" w:rsidRDefault="00C05D22" w:rsidP="00E40261">
            <w:pPr>
              <w:pStyle w:val="TableInfo"/>
              <w:jc w:val="both"/>
            </w:pPr>
            <w:r>
              <w:t>Azure Dev/Test</w:t>
            </w:r>
          </w:p>
        </w:tc>
        <w:tc>
          <w:tcPr>
            <w:tcW w:w="1944" w:type="dxa"/>
            <w:tcMar>
              <w:top w:w="100" w:type="dxa"/>
              <w:left w:w="100" w:type="dxa"/>
              <w:bottom w:w="100" w:type="dxa"/>
              <w:right w:w="100" w:type="dxa"/>
            </w:tcMar>
          </w:tcPr>
          <w:p w14:paraId="00000355" w14:textId="00000356" w:rsidR="000B0F63" w:rsidRDefault="00C05D22" w:rsidP="00D95D23">
            <w:pPr>
              <w:pStyle w:val="TableInfo"/>
              <w:jc w:val="center"/>
            </w:pPr>
            <w:r>
              <w:t>n/a</w:t>
            </w:r>
          </w:p>
        </w:tc>
        <w:tc>
          <w:tcPr>
            <w:tcW w:w="1944" w:type="dxa"/>
            <w:tcMar>
              <w:top w:w="100" w:type="dxa"/>
              <w:left w:w="100" w:type="dxa"/>
              <w:bottom w:w="100" w:type="dxa"/>
              <w:right w:w="100" w:type="dxa"/>
            </w:tcMar>
          </w:tcPr>
          <w:p w14:paraId="00000357" w14:textId="00000358" w:rsidR="000B0F63" w:rsidRDefault="00C05D22" w:rsidP="00D95D23">
            <w:pPr>
              <w:pStyle w:val="TableInfo"/>
              <w:jc w:val="center"/>
            </w:pPr>
            <w:r>
              <w:t>n/a</w:t>
            </w:r>
          </w:p>
        </w:tc>
        <w:tc>
          <w:tcPr>
            <w:tcW w:w="1944" w:type="dxa"/>
            <w:tcMar>
              <w:top w:w="100" w:type="dxa"/>
              <w:left w:w="100" w:type="dxa"/>
              <w:bottom w:w="100" w:type="dxa"/>
              <w:right w:w="100" w:type="dxa"/>
            </w:tcMar>
          </w:tcPr>
          <w:p w14:paraId="00000359" w14:textId="0000035A" w:rsidR="000B0F63" w:rsidRDefault="1BAB210A" w:rsidP="00D95D23">
            <w:pPr>
              <w:pStyle w:val="TableInfo"/>
              <w:jc w:val="center"/>
            </w:pPr>
            <w:r w:rsidRPr="29E5A422">
              <w:rPr>
                <w:lang w:val="en-GB"/>
              </w:rPr>
              <w:t>-2,475/</w:t>
            </w:r>
            <w:proofErr w:type="spellStart"/>
            <w:r w:rsidRPr="29E5A422">
              <w:rPr>
                <w:lang w:val="en-GB"/>
              </w:rPr>
              <w:t>mo</w:t>
            </w:r>
            <w:proofErr w:type="spellEnd"/>
          </w:p>
        </w:tc>
        <w:tc>
          <w:tcPr>
            <w:tcW w:w="1944" w:type="dxa"/>
            <w:tcMar>
              <w:top w:w="100" w:type="dxa"/>
              <w:left w:w="100" w:type="dxa"/>
              <w:bottom w:w="100" w:type="dxa"/>
              <w:right w:w="100" w:type="dxa"/>
            </w:tcMar>
          </w:tcPr>
          <w:p w14:paraId="0000035B" w14:textId="0000035C" w:rsidR="000B0F63" w:rsidRDefault="00C05D22" w:rsidP="008E37F6">
            <w:pPr>
              <w:pStyle w:val="TableInfo"/>
            </w:pPr>
            <w:r>
              <w:t>49 non-prod Windows. Requires EA and Visual Studio subscriptions. Not in Complete View.</w:t>
            </w:r>
          </w:p>
        </w:tc>
      </w:tr>
    </w:tbl>
    <w:p w14:paraId="0000035D" w14:textId="0000035E" w:rsidR="000B0F63" w:rsidRDefault="00C05D22" w:rsidP="00E40261">
      <w:pPr>
        <w:jc w:val="both"/>
      </w:pPr>
      <w:r>
        <w:t>Windows BYOL mechanics differ materially per cloud:</w:t>
      </w:r>
    </w:p>
    <w:p w14:paraId="0000035F" w14:textId="00000360" w:rsidR="000B0F63" w:rsidRDefault="00C05D22" w:rsidP="00EC2FA3">
      <w:pPr>
        <w:pStyle w:val="ListBullet"/>
        <w:numPr>
          <w:ilvl w:val="0"/>
          <w:numId w:val="17"/>
        </w:numPr>
        <w:jc w:val="both"/>
      </w:pPr>
      <w:r>
        <w:rPr>
          <w:b/>
          <w:bCs/>
        </w:rPr>
        <w:t>Azure uses Azure Hybrid Benefit (AHB).</w:t>
      </w:r>
      <w:r w:rsidRPr="008E37F6">
        <w:t xml:space="preserve"> This is a pricing toggle. No dedicated infrastructure </w:t>
      </w:r>
      <w:proofErr w:type="gramStart"/>
      <w:r w:rsidRPr="008E37F6">
        <w:t>required</w:t>
      </w:r>
      <w:proofErr w:type="gramEnd"/>
      <w:r w:rsidRPr="008E37F6">
        <w:t xml:space="preserve">. It gives the largest saving because it has no </w:t>
      </w:r>
      <w:proofErr w:type="gramStart"/>
      <w:r w:rsidRPr="008E37F6">
        <w:t>infrastructure overhead</w:t>
      </w:r>
      <w:proofErr w:type="gramEnd"/>
      <w:r w:rsidRPr="008E37F6">
        <w:t>.</w:t>
      </w:r>
    </w:p>
    <w:p w14:paraId="00000361" w14:textId="00000362" w:rsidR="000B0F63" w:rsidRDefault="00C05D22" w:rsidP="00EC2FA3">
      <w:pPr>
        <w:pStyle w:val="ListBullet"/>
        <w:numPr>
          <w:ilvl w:val="0"/>
          <w:numId w:val="17"/>
        </w:numPr>
        <w:jc w:val="both"/>
      </w:pPr>
      <w:r>
        <w:rPr>
          <w:b/>
          <w:bCs/>
        </w:rPr>
        <w:t>GCP requires Sole Tenant Nodes.</w:t>
      </w:r>
      <w:r w:rsidRPr="008E37F6">
        <w:t xml:space="preserve"> The Sole Tenant premium is 10% on </w:t>
      </w:r>
      <w:proofErr w:type="gramStart"/>
      <w:r w:rsidRPr="008E37F6">
        <w:t>compute</w:t>
      </w:r>
      <w:proofErr w:type="gramEnd"/>
      <w:r w:rsidRPr="008E37F6">
        <w:t xml:space="preserve"> pricing. Windows BYOL also requires the N-series machine family, which is more expensive than the E2 baseline used elsewhere in the TCO. The -7,220/</w:t>
      </w:r>
      <w:proofErr w:type="spellStart"/>
      <w:r w:rsidRPr="008E37F6">
        <w:t>mo</w:t>
      </w:r>
      <w:proofErr w:type="spellEnd"/>
      <w:r w:rsidRPr="008E37F6">
        <w:t xml:space="preserve"> is the net saving after the Sole Tenant premium and N-series uplift are deducted.</w:t>
      </w:r>
    </w:p>
    <w:p w14:paraId="00000363" w14:textId="00000364" w:rsidR="000B0F63" w:rsidRDefault="00C05D22" w:rsidP="00EC2FA3">
      <w:pPr>
        <w:pStyle w:val="ListBullet"/>
        <w:numPr>
          <w:ilvl w:val="0"/>
          <w:numId w:val="17"/>
        </w:numPr>
        <w:jc w:val="both"/>
      </w:pPr>
      <w:r>
        <w:rPr>
          <w:b/>
          <w:bCs/>
        </w:rPr>
        <w:t>AWS requires Dedicated Hosts.</w:t>
      </w:r>
      <w:r w:rsidRPr="008E37F6">
        <w:t xml:space="preserve"> The -8,605/</w:t>
      </w:r>
      <w:proofErr w:type="spellStart"/>
      <w:r w:rsidRPr="008E37F6">
        <w:t>mo</w:t>
      </w:r>
      <w:proofErr w:type="spellEnd"/>
      <w:r w:rsidRPr="008E37F6">
        <w:t xml:space="preserve"> is the net saving after the Dedicated Host cost premium is deducted from the gross BYOL saving.</w:t>
      </w:r>
    </w:p>
    <w:p w14:paraId="1E9AC956" w14:textId="77777777" w:rsidR="00904B07" w:rsidRDefault="00C05D22" w:rsidP="00E40261">
      <w:pPr>
        <w:pStyle w:val="InsetText"/>
        <w:jc w:val="both"/>
      </w:pPr>
      <w:r>
        <w:rPr>
          <w:b/>
          <w:bCs/>
        </w:rPr>
        <w:t xml:space="preserve">Important constraint on Windows BYOL on AWS and GCP: </w:t>
      </w:r>
      <w:r>
        <w:t xml:space="preserve">Microsoft's Listed Provider rules (October 2019) require that BYOL Windows licences be acquired before 1 October 2019, or </w:t>
      </w:r>
      <w:proofErr w:type="gramStart"/>
      <w:r>
        <w:t>true-upped</w:t>
      </w:r>
      <w:proofErr w:type="gramEnd"/>
      <w:r>
        <w:t xml:space="preserve"> under an Enterprise Agreement that was in force before that date. Only Windows Server 2019 and earlier is eligible. Windows Server 2022 is not eligible for BYOL on AWS or GCP regardless of Software Assurance status. </w:t>
      </w:r>
    </w:p>
    <w:p w14:paraId="3DAEAF94" w14:textId="77777777" w:rsidR="00904B07" w:rsidRDefault="00C05D22" w:rsidP="00663C0F">
      <w:pPr>
        <w:pStyle w:val="InsetText"/>
        <w:spacing w:after="0"/>
        <w:jc w:val="both"/>
      </w:pPr>
      <w:r>
        <w:t>Of DMG Media's 225 in-scope Windows servers</w:t>
      </w:r>
      <w:r w:rsidR="00904B07">
        <w:t>:</w:t>
      </w:r>
      <w:r>
        <w:t xml:space="preserve"> </w:t>
      </w:r>
    </w:p>
    <w:p w14:paraId="431C1629" w14:textId="77777777" w:rsidR="00904B07" w:rsidRDefault="00C05D22" w:rsidP="00EC2FA3">
      <w:pPr>
        <w:pStyle w:val="InsetText"/>
        <w:numPr>
          <w:ilvl w:val="1"/>
          <w:numId w:val="17"/>
        </w:numPr>
        <w:spacing w:after="0"/>
        <w:jc w:val="both"/>
      </w:pPr>
      <w:r>
        <w:t>160 run Server 2019 (BYOL eligible, subject to EA chain verification)</w:t>
      </w:r>
    </w:p>
    <w:p w14:paraId="17094CC3" w14:textId="77777777" w:rsidR="00904B07" w:rsidRDefault="00C05D22" w:rsidP="00EC2FA3">
      <w:pPr>
        <w:pStyle w:val="InsetText"/>
        <w:numPr>
          <w:ilvl w:val="1"/>
          <w:numId w:val="17"/>
        </w:numPr>
        <w:jc w:val="both"/>
      </w:pPr>
      <w:r>
        <w:t xml:space="preserve">65 run Server 2022. </w:t>
      </w:r>
    </w:p>
    <w:p w14:paraId="00000365" w14:textId="278AE894" w:rsidR="000B0F63" w:rsidRDefault="00C05D22" w:rsidP="00287ED9">
      <w:pPr>
        <w:pStyle w:val="InsetText"/>
        <w:jc w:val="both"/>
      </w:pPr>
      <w:r>
        <w:t>Those 65 Server 2022 VMs cannot use DMG Media's existing Windows licences on AWS or GCP. Azure AHB has no such restriction and accepts Server 2022 BYOL normally. This materially affects the BYOL saving realised on AWS and GCP.</w:t>
      </w:r>
    </w:p>
    <w:p w14:paraId="00000367" w14:textId="00000368" w:rsidR="000B0F63" w:rsidRDefault="1BAB210A" w:rsidP="00E40261">
      <w:pPr>
        <w:pStyle w:val="Heading2"/>
        <w:jc w:val="both"/>
      </w:pPr>
      <w:bookmarkStart w:id="197" w:name="_Toc154"/>
      <w:bookmarkStart w:id="198" w:name="_Toc227770937"/>
      <w:r>
        <w:t>Oracle Paths</w:t>
      </w:r>
      <w:bookmarkEnd w:id="197"/>
      <w:bookmarkEnd w:id="198"/>
    </w:p>
    <w:p w14:paraId="00000369" w14:textId="357FACDC" w:rsidR="000B0F63" w:rsidRDefault="00C05D22" w:rsidP="00E40261">
      <w:pPr>
        <w:jc w:val="both"/>
      </w:pPr>
      <w:r>
        <w:t xml:space="preserve">Oracle is the single largest cost variable. There are three paths, and they </w:t>
      </w:r>
      <w:r w:rsidR="00F41D73">
        <w:t xml:space="preserve">each </w:t>
      </w:r>
      <w:r>
        <w:t xml:space="preserve">have very different characteristics. The recommended path for DMG is </w:t>
      </w:r>
      <w:proofErr w:type="spellStart"/>
      <w:r>
        <w:t>Exadata@Cloud</w:t>
      </w:r>
      <w:proofErr w:type="spellEnd"/>
      <w:r>
        <w:t xml:space="preserve"> (Option A) as the primary way. PostgreSQL modernisation (Option C) is a deeper strategic decision that requires careful </w:t>
      </w:r>
      <w:r w:rsidR="00B66D00">
        <w:t>later p</w:t>
      </w:r>
      <w:r>
        <w:t>hase planning.</w:t>
      </w:r>
    </w:p>
    <w:tbl>
      <w:tblPr>
        <w:tblW w:w="9720" w:type="dxa"/>
        <w:tblCellMar>
          <w:top w:w="100" w:type="dxa"/>
          <w:left w:w="100" w:type="dxa"/>
          <w:bottom w:w="100" w:type="dxa"/>
          <w:right w:w="100" w:type="dxa"/>
        </w:tblCellMar>
        <w:tblLook w:val="04A0" w:firstRow="1" w:lastRow="0" w:firstColumn="1" w:lastColumn="0" w:noHBand="0" w:noVBand="1"/>
      </w:tblPr>
      <w:tblGrid>
        <w:gridCol w:w="1944"/>
        <w:gridCol w:w="1595"/>
        <w:gridCol w:w="1701"/>
        <w:gridCol w:w="1701"/>
        <w:gridCol w:w="2779"/>
      </w:tblGrid>
      <w:tr w:rsidR="00F12A44" w14:paraId="08BB1DF3" w14:textId="77777777" w:rsidTr="1524DEBB">
        <w:trPr>
          <w:cantSplit/>
        </w:trPr>
        <w:tc>
          <w:tcPr>
            <w:tcW w:w="1944" w:type="dxa"/>
            <w:shd w:val="clear" w:color="auto" w:fill="D9D9D9" w:themeFill="background1" w:themeFillShade="D9"/>
            <w:tcMar>
              <w:top w:w="100" w:type="dxa"/>
              <w:left w:w="100" w:type="dxa"/>
              <w:bottom w:w="100" w:type="dxa"/>
              <w:right w:w="100" w:type="dxa"/>
            </w:tcMar>
          </w:tcPr>
          <w:p w14:paraId="0000036B" w14:textId="0000036C" w:rsidR="000B0F63" w:rsidRDefault="00C05D22" w:rsidP="00C17011">
            <w:pPr>
              <w:pStyle w:val="TableHeader"/>
              <w:jc w:val="center"/>
            </w:pPr>
            <w:r>
              <w:t>Path</w:t>
            </w:r>
          </w:p>
        </w:tc>
        <w:tc>
          <w:tcPr>
            <w:tcW w:w="1595" w:type="dxa"/>
            <w:shd w:val="clear" w:color="auto" w:fill="D9D9D9" w:themeFill="background1" w:themeFillShade="D9"/>
            <w:tcMar>
              <w:top w:w="100" w:type="dxa"/>
              <w:left w:w="100" w:type="dxa"/>
              <w:bottom w:w="100" w:type="dxa"/>
              <w:right w:w="100" w:type="dxa"/>
            </w:tcMar>
          </w:tcPr>
          <w:p w14:paraId="0000036D" w14:textId="6E943481" w:rsidR="000B0F63" w:rsidRDefault="000C108A" w:rsidP="00C17011">
            <w:pPr>
              <w:pStyle w:val="TableHeader"/>
              <w:jc w:val="center"/>
            </w:pPr>
            <w:r>
              <w:t xml:space="preserve">GCP </w:t>
            </w:r>
            <w:r w:rsidR="00C17011">
              <w:t>monthly cost</w:t>
            </w:r>
          </w:p>
        </w:tc>
        <w:tc>
          <w:tcPr>
            <w:tcW w:w="1701" w:type="dxa"/>
            <w:shd w:val="clear" w:color="auto" w:fill="D9D9D9" w:themeFill="background1" w:themeFillShade="D9"/>
            <w:tcMar>
              <w:top w:w="100" w:type="dxa"/>
              <w:left w:w="100" w:type="dxa"/>
              <w:bottom w:w="100" w:type="dxa"/>
              <w:right w:w="100" w:type="dxa"/>
            </w:tcMar>
          </w:tcPr>
          <w:p w14:paraId="0000036F" w14:textId="6384B2A4" w:rsidR="000B0F63" w:rsidRDefault="000C108A" w:rsidP="00C17011">
            <w:pPr>
              <w:pStyle w:val="TableHeader"/>
              <w:jc w:val="center"/>
            </w:pPr>
            <w:r>
              <w:t xml:space="preserve">AWS </w:t>
            </w:r>
            <w:r w:rsidR="00C17011">
              <w:t>monthly cost</w:t>
            </w:r>
          </w:p>
        </w:tc>
        <w:tc>
          <w:tcPr>
            <w:tcW w:w="1701" w:type="dxa"/>
            <w:shd w:val="clear" w:color="auto" w:fill="D9D9D9" w:themeFill="background1" w:themeFillShade="D9"/>
            <w:tcMar>
              <w:top w:w="100" w:type="dxa"/>
              <w:left w:w="100" w:type="dxa"/>
              <w:bottom w:w="100" w:type="dxa"/>
              <w:right w:w="100" w:type="dxa"/>
            </w:tcMar>
          </w:tcPr>
          <w:p w14:paraId="00000371" w14:textId="62092858" w:rsidR="000B0F63" w:rsidRDefault="000C108A" w:rsidP="00C17011">
            <w:pPr>
              <w:pStyle w:val="TableHeader"/>
              <w:jc w:val="center"/>
            </w:pPr>
            <w:r>
              <w:t xml:space="preserve">Azure </w:t>
            </w:r>
            <w:r w:rsidR="00C17011">
              <w:t>monthly cost</w:t>
            </w:r>
          </w:p>
        </w:tc>
        <w:tc>
          <w:tcPr>
            <w:tcW w:w="2779" w:type="dxa"/>
            <w:shd w:val="clear" w:color="auto" w:fill="D9D9D9" w:themeFill="background1" w:themeFillShade="D9"/>
            <w:tcMar>
              <w:top w:w="100" w:type="dxa"/>
              <w:left w:w="100" w:type="dxa"/>
              <w:bottom w:w="100" w:type="dxa"/>
              <w:right w:w="100" w:type="dxa"/>
            </w:tcMar>
          </w:tcPr>
          <w:p w14:paraId="00000373" w14:textId="00000374" w:rsidR="000B0F63" w:rsidRDefault="00C05D22" w:rsidP="00C17011">
            <w:pPr>
              <w:pStyle w:val="TableHeader"/>
              <w:jc w:val="center"/>
            </w:pPr>
            <w:r>
              <w:t>Key points</w:t>
            </w:r>
          </w:p>
        </w:tc>
      </w:tr>
      <w:tr w:rsidR="00A0020A" w14:paraId="19312E49" w14:textId="77777777" w:rsidTr="1524DEBB">
        <w:tc>
          <w:tcPr>
            <w:tcW w:w="1944" w:type="dxa"/>
            <w:tcMar>
              <w:top w:w="100" w:type="dxa"/>
              <w:left w:w="100" w:type="dxa"/>
              <w:bottom w:w="100" w:type="dxa"/>
              <w:right w:w="100" w:type="dxa"/>
            </w:tcMar>
          </w:tcPr>
          <w:p w14:paraId="00000375" w14:textId="00000376" w:rsidR="000B0F63" w:rsidRDefault="1BAB210A" w:rsidP="00C17011">
            <w:pPr>
              <w:pStyle w:val="TableInfo"/>
              <w:jc w:val="center"/>
            </w:pPr>
            <w:r w:rsidRPr="1524DEBB">
              <w:rPr>
                <w:lang w:val="en-GB"/>
              </w:rPr>
              <w:t xml:space="preserve">A: </w:t>
            </w:r>
            <w:proofErr w:type="spellStart"/>
            <w:r w:rsidRPr="1524DEBB">
              <w:rPr>
                <w:lang w:val="en-GB"/>
              </w:rPr>
              <w:t>Exadata@Cloud</w:t>
            </w:r>
            <w:proofErr w:type="spellEnd"/>
            <w:r w:rsidRPr="1524DEBB">
              <w:rPr>
                <w:lang w:val="en-GB"/>
              </w:rPr>
              <w:t xml:space="preserve"> (primary path)</w:t>
            </w:r>
          </w:p>
        </w:tc>
        <w:tc>
          <w:tcPr>
            <w:tcW w:w="1595" w:type="dxa"/>
            <w:tcMar>
              <w:top w:w="100" w:type="dxa"/>
              <w:left w:w="100" w:type="dxa"/>
              <w:bottom w:w="100" w:type="dxa"/>
              <w:right w:w="100" w:type="dxa"/>
            </w:tcMar>
          </w:tcPr>
          <w:p w14:paraId="00000377" w14:textId="3FBD589C" w:rsidR="000B0F63" w:rsidRDefault="00C17011" w:rsidP="00C17011">
            <w:pPr>
              <w:pStyle w:val="TableInfo"/>
              <w:jc w:val="center"/>
            </w:pPr>
            <w:r>
              <w:t>£</w:t>
            </w:r>
            <w:r w:rsidR="00C05D22">
              <w:t>42,909</w:t>
            </w:r>
          </w:p>
        </w:tc>
        <w:tc>
          <w:tcPr>
            <w:tcW w:w="1701" w:type="dxa"/>
            <w:tcMar>
              <w:top w:w="100" w:type="dxa"/>
              <w:left w:w="100" w:type="dxa"/>
              <w:bottom w:w="100" w:type="dxa"/>
              <w:right w:w="100" w:type="dxa"/>
            </w:tcMar>
          </w:tcPr>
          <w:p w14:paraId="00000379" w14:textId="5DFD41DF" w:rsidR="000B0F63" w:rsidRDefault="00C17011" w:rsidP="00C17011">
            <w:pPr>
              <w:pStyle w:val="TableInfo"/>
              <w:jc w:val="center"/>
            </w:pPr>
            <w:r>
              <w:t>£</w:t>
            </w:r>
            <w:r w:rsidR="00C05D22">
              <w:t>42,909</w:t>
            </w:r>
          </w:p>
        </w:tc>
        <w:tc>
          <w:tcPr>
            <w:tcW w:w="1701" w:type="dxa"/>
            <w:tcMar>
              <w:top w:w="100" w:type="dxa"/>
              <w:left w:w="100" w:type="dxa"/>
              <w:bottom w:w="100" w:type="dxa"/>
              <w:right w:w="100" w:type="dxa"/>
            </w:tcMar>
          </w:tcPr>
          <w:p w14:paraId="0000037B" w14:textId="57D4E2C0" w:rsidR="000B0F63" w:rsidRDefault="00C17011" w:rsidP="00C17011">
            <w:pPr>
              <w:pStyle w:val="TableInfo"/>
              <w:jc w:val="center"/>
            </w:pPr>
            <w:r>
              <w:t>£</w:t>
            </w:r>
            <w:r w:rsidR="00C05D22">
              <w:t>42,909</w:t>
            </w:r>
          </w:p>
        </w:tc>
        <w:tc>
          <w:tcPr>
            <w:tcW w:w="2779" w:type="dxa"/>
            <w:tcMar>
              <w:top w:w="100" w:type="dxa"/>
              <w:left w:w="100" w:type="dxa"/>
              <w:bottom w:w="100" w:type="dxa"/>
              <w:right w:w="100" w:type="dxa"/>
            </w:tcMar>
          </w:tcPr>
          <w:p w14:paraId="0000037D" w14:textId="0000037E" w:rsidR="000B0F63" w:rsidRDefault="1BAB210A" w:rsidP="00C17011">
            <w:pPr>
              <w:pStyle w:val="TableInfo"/>
            </w:pPr>
            <w:r w:rsidRPr="1524DEBB">
              <w:rPr>
                <w:lang w:val="en-GB"/>
              </w:rPr>
              <w:t xml:space="preserve">All three clouds offer Oracle </w:t>
            </w:r>
            <w:proofErr w:type="spellStart"/>
            <w:r w:rsidRPr="1524DEBB">
              <w:rPr>
                <w:lang w:val="en-GB"/>
              </w:rPr>
              <w:t>Database@Cloud</w:t>
            </w:r>
            <w:proofErr w:type="spellEnd"/>
            <w:r w:rsidRPr="1524DEBB">
              <w:rPr>
                <w:lang w:val="en-GB"/>
              </w:rPr>
              <w:t xml:space="preserve"> in London. Oracle </w:t>
            </w:r>
            <w:proofErr w:type="spellStart"/>
            <w:r w:rsidRPr="1524DEBB">
              <w:rPr>
                <w:lang w:val="en-GB"/>
              </w:rPr>
              <w:t>Database@AWS</w:t>
            </w:r>
            <w:proofErr w:type="spellEnd"/>
            <w:r w:rsidRPr="1524DEBB">
              <w:rPr>
                <w:lang w:val="en-GB"/>
              </w:rPr>
              <w:t xml:space="preserve"> launched March 2026. Same OCI pricing across all three. Data layer stays on Oracle. Lowest migration risk.</w:t>
            </w:r>
          </w:p>
        </w:tc>
      </w:tr>
      <w:tr w:rsidR="00A0020A" w14:paraId="07F818AA" w14:textId="77777777" w:rsidTr="1524DEBB">
        <w:tc>
          <w:tcPr>
            <w:tcW w:w="1944" w:type="dxa"/>
            <w:tcMar>
              <w:top w:w="100" w:type="dxa"/>
              <w:left w:w="100" w:type="dxa"/>
              <w:bottom w:w="100" w:type="dxa"/>
              <w:right w:w="100" w:type="dxa"/>
            </w:tcMar>
          </w:tcPr>
          <w:p w14:paraId="0000037F" w14:textId="00000380" w:rsidR="000B0F63" w:rsidRDefault="00C05D22" w:rsidP="00C17011">
            <w:pPr>
              <w:pStyle w:val="TableInfo"/>
              <w:jc w:val="center"/>
            </w:pPr>
            <w:r>
              <w:t>B: Oracle on IaaS VMs (no RAC, Data Guard HA)</w:t>
            </w:r>
          </w:p>
        </w:tc>
        <w:tc>
          <w:tcPr>
            <w:tcW w:w="1595" w:type="dxa"/>
            <w:tcMar>
              <w:top w:w="100" w:type="dxa"/>
              <w:left w:w="100" w:type="dxa"/>
              <w:bottom w:w="100" w:type="dxa"/>
              <w:right w:w="100" w:type="dxa"/>
            </w:tcMar>
          </w:tcPr>
          <w:p w14:paraId="00000381" w14:textId="444446B4" w:rsidR="000B0F63" w:rsidRDefault="00C17011" w:rsidP="00C17011">
            <w:pPr>
              <w:pStyle w:val="TableInfo"/>
              <w:jc w:val="center"/>
            </w:pPr>
            <w:r>
              <w:t>£</w:t>
            </w:r>
            <w:r w:rsidR="00C05D22">
              <w:t>62,162</w:t>
            </w:r>
          </w:p>
        </w:tc>
        <w:tc>
          <w:tcPr>
            <w:tcW w:w="1701" w:type="dxa"/>
            <w:tcMar>
              <w:top w:w="100" w:type="dxa"/>
              <w:left w:w="100" w:type="dxa"/>
              <w:bottom w:w="100" w:type="dxa"/>
              <w:right w:w="100" w:type="dxa"/>
            </w:tcMar>
          </w:tcPr>
          <w:p w14:paraId="00000383" w14:textId="63C9801A" w:rsidR="000B0F63" w:rsidRDefault="00C17011" w:rsidP="00C17011">
            <w:pPr>
              <w:pStyle w:val="TableInfo"/>
              <w:jc w:val="center"/>
            </w:pPr>
            <w:r>
              <w:t>£</w:t>
            </w:r>
            <w:r w:rsidR="00C05D22">
              <w:t>48,194</w:t>
            </w:r>
          </w:p>
        </w:tc>
        <w:tc>
          <w:tcPr>
            <w:tcW w:w="1701" w:type="dxa"/>
            <w:tcMar>
              <w:top w:w="100" w:type="dxa"/>
              <w:left w:w="100" w:type="dxa"/>
              <w:bottom w:w="100" w:type="dxa"/>
              <w:right w:w="100" w:type="dxa"/>
            </w:tcMar>
          </w:tcPr>
          <w:p w14:paraId="00000385" w14:textId="1D0BB851" w:rsidR="000B0F63" w:rsidRDefault="00C17011" w:rsidP="00C17011">
            <w:pPr>
              <w:pStyle w:val="TableInfo"/>
              <w:jc w:val="center"/>
            </w:pPr>
            <w:r>
              <w:t>£</w:t>
            </w:r>
            <w:r w:rsidR="00C05D22">
              <w:t>48,194</w:t>
            </w:r>
          </w:p>
        </w:tc>
        <w:tc>
          <w:tcPr>
            <w:tcW w:w="2779" w:type="dxa"/>
            <w:tcMar>
              <w:top w:w="100" w:type="dxa"/>
              <w:left w:w="100" w:type="dxa"/>
              <w:bottom w:w="100" w:type="dxa"/>
              <w:right w:w="100" w:type="dxa"/>
            </w:tcMar>
          </w:tcPr>
          <w:p w14:paraId="00000387" w14:textId="00000388" w:rsidR="000B0F63" w:rsidRDefault="00C05D22" w:rsidP="00C17011">
            <w:pPr>
              <w:pStyle w:val="TableInfo"/>
            </w:pPr>
            <w:proofErr w:type="gramStart"/>
            <w:r>
              <w:t>Customer manages</w:t>
            </w:r>
            <w:proofErr w:type="gramEnd"/>
            <w:r>
              <w:t xml:space="preserve"> Oracle directly. Loses RAC. Uses Data Guard for HA. Cost varies by cloud because underlying VM pricing differs.</w:t>
            </w:r>
          </w:p>
        </w:tc>
      </w:tr>
      <w:tr w:rsidR="00A0020A" w14:paraId="7533904B" w14:textId="77777777" w:rsidTr="1524DEBB">
        <w:tc>
          <w:tcPr>
            <w:tcW w:w="1944" w:type="dxa"/>
            <w:tcMar>
              <w:top w:w="100" w:type="dxa"/>
              <w:left w:w="100" w:type="dxa"/>
              <w:bottom w:w="100" w:type="dxa"/>
              <w:right w:w="100" w:type="dxa"/>
            </w:tcMar>
          </w:tcPr>
          <w:p w14:paraId="00000389" w14:textId="0000038A" w:rsidR="000B0F63" w:rsidRDefault="00C05D22" w:rsidP="00C17011">
            <w:pPr>
              <w:pStyle w:val="TableInfo"/>
              <w:jc w:val="center"/>
            </w:pPr>
            <w:r>
              <w:t>C:</w:t>
            </w:r>
            <w:r w:rsidR="00C33614">
              <w:t xml:space="preserve"> </w:t>
            </w:r>
            <w:r>
              <w:t xml:space="preserve">PostgreSQL </w:t>
            </w:r>
            <w:proofErr w:type="spellStart"/>
            <w:r>
              <w:t>modernisation</w:t>
            </w:r>
            <w:proofErr w:type="spellEnd"/>
          </w:p>
        </w:tc>
        <w:tc>
          <w:tcPr>
            <w:tcW w:w="1595" w:type="dxa"/>
            <w:tcMar>
              <w:top w:w="100" w:type="dxa"/>
              <w:left w:w="100" w:type="dxa"/>
              <w:bottom w:w="100" w:type="dxa"/>
              <w:right w:w="100" w:type="dxa"/>
            </w:tcMar>
          </w:tcPr>
          <w:p w14:paraId="79EB4F03" w14:textId="0A593864" w:rsidR="00891FF1" w:rsidRDefault="00C17011" w:rsidP="00C17011">
            <w:pPr>
              <w:pStyle w:val="TableInfo"/>
              <w:jc w:val="center"/>
            </w:pPr>
            <w:r>
              <w:t>£</w:t>
            </w:r>
            <w:r w:rsidR="1BAB210A" w:rsidRPr="1BAB210A">
              <w:t>51,592</w:t>
            </w:r>
          </w:p>
          <w:p w14:paraId="0000038B" w14:textId="63D1926D" w:rsidR="000B0F63" w:rsidRDefault="1BAB210A" w:rsidP="00C17011">
            <w:pPr>
              <w:pStyle w:val="TableInfo"/>
              <w:jc w:val="center"/>
            </w:pPr>
            <w:r w:rsidRPr="1524DEBB">
              <w:rPr>
                <w:lang w:val="en-GB"/>
              </w:rPr>
              <w:t>(</w:t>
            </w:r>
            <w:proofErr w:type="spellStart"/>
            <w:r w:rsidRPr="1524DEBB">
              <w:rPr>
                <w:lang w:val="en-GB"/>
              </w:rPr>
              <w:t>AlloyDB</w:t>
            </w:r>
            <w:proofErr w:type="spellEnd"/>
            <w:r w:rsidRPr="1524DEBB">
              <w:rPr>
                <w:lang w:val="en-GB"/>
              </w:rPr>
              <w:t>)</w:t>
            </w:r>
          </w:p>
        </w:tc>
        <w:tc>
          <w:tcPr>
            <w:tcW w:w="1701" w:type="dxa"/>
            <w:tcMar>
              <w:top w:w="100" w:type="dxa"/>
              <w:left w:w="100" w:type="dxa"/>
              <w:bottom w:w="100" w:type="dxa"/>
              <w:right w:w="100" w:type="dxa"/>
            </w:tcMar>
          </w:tcPr>
          <w:p w14:paraId="52B37652" w14:textId="6409B74A" w:rsidR="00891FF1" w:rsidRDefault="00C17011" w:rsidP="00C17011">
            <w:pPr>
              <w:pStyle w:val="TableInfo"/>
              <w:jc w:val="center"/>
            </w:pPr>
            <w:r>
              <w:t>£</w:t>
            </w:r>
            <w:r w:rsidR="00C05D22">
              <w:t>37,687</w:t>
            </w:r>
          </w:p>
          <w:p w14:paraId="0000038D" w14:textId="53432A1D" w:rsidR="000B0F63" w:rsidRDefault="00C05D22" w:rsidP="00C17011">
            <w:pPr>
              <w:pStyle w:val="TableInfo"/>
              <w:jc w:val="center"/>
            </w:pPr>
            <w:r>
              <w:t>(Aurora)</w:t>
            </w:r>
          </w:p>
        </w:tc>
        <w:tc>
          <w:tcPr>
            <w:tcW w:w="1701" w:type="dxa"/>
            <w:tcMar>
              <w:top w:w="100" w:type="dxa"/>
              <w:left w:w="100" w:type="dxa"/>
              <w:bottom w:w="100" w:type="dxa"/>
              <w:right w:w="100" w:type="dxa"/>
            </w:tcMar>
          </w:tcPr>
          <w:p w14:paraId="286C8D68" w14:textId="65AAC9B9" w:rsidR="00891FF1" w:rsidRDefault="00C17011" w:rsidP="00C17011">
            <w:pPr>
              <w:pStyle w:val="TableInfo"/>
              <w:jc w:val="center"/>
            </w:pPr>
            <w:r>
              <w:t>£</w:t>
            </w:r>
            <w:r w:rsidR="00C05D22">
              <w:t>31,899</w:t>
            </w:r>
          </w:p>
          <w:p w14:paraId="0000038F" w14:textId="49CF152F" w:rsidR="000B0F63" w:rsidRDefault="00C05D22" w:rsidP="00C17011">
            <w:pPr>
              <w:pStyle w:val="TableInfo"/>
              <w:jc w:val="center"/>
            </w:pPr>
            <w:r>
              <w:t>(Flex Server)</w:t>
            </w:r>
          </w:p>
        </w:tc>
        <w:tc>
          <w:tcPr>
            <w:tcW w:w="2779" w:type="dxa"/>
            <w:tcMar>
              <w:top w:w="100" w:type="dxa"/>
              <w:left w:w="100" w:type="dxa"/>
              <w:bottom w:w="100" w:type="dxa"/>
              <w:right w:w="100" w:type="dxa"/>
            </w:tcMar>
          </w:tcPr>
          <w:p w14:paraId="00000391" w14:textId="00000392" w:rsidR="000B0F63" w:rsidRDefault="00C05D22" w:rsidP="00C17011">
            <w:pPr>
              <w:pStyle w:val="TableInfo"/>
            </w:pPr>
            <w:r>
              <w:t>Each cloud's managed PostgreSQL. All with HA. Requires significant application refactoring and PL/SQL conversion. Phase 2 validation essential.</w:t>
            </w:r>
          </w:p>
        </w:tc>
      </w:tr>
    </w:tbl>
    <w:p w14:paraId="7BCCD7C8" w14:textId="77777777" w:rsidR="008F60BF" w:rsidRDefault="008F60BF" w:rsidP="008F60BF">
      <w:pPr>
        <w:pStyle w:val="InsetText"/>
        <w:ind w:left="0"/>
        <w:jc w:val="both"/>
        <w:rPr>
          <w:b/>
          <w:bCs/>
        </w:rPr>
      </w:pPr>
    </w:p>
    <w:p w14:paraId="00000393" w14:textId="00000394" w:rsidR="000B0F63" w:rsidRDefault="00C05D22" w:rsidP="008F60BF">
      <w:pPr>
        <w:pStyle w:val="InsetText"/>
        <w:ind w:left="0"/>
        <w:jc w:val="both"/>
      </w:pPr>
      <w:r>
        <w:rPr>
          <w:b/>
          <w:bCs/>
        </w:rPr>
        <w:t xml:space="preserve">Important context for Option C (PostgreSQL): </w:t>
      </w:r>
      <w:r>
        <w:t xml:space="preserve">this is a Phase 2 strategic decision, not a Phase 1 action. Each </w:t>
      </w:r>
      <w:proofErr w:type="spellStart"/>
      <w:r>
        <w:t>hyperscaler</w:t>
      </w:r>
      <w:proofErr w:type="spellEnd"/>
      <w:r>
        <w:t xml:space="preserve"> has its own transformation support paths (AWS SCT and DMS, Azure Database Migration Service, Google Database Migration Service plus </w:t>
      </w:r>
      <w:proofErr w:type="spellStart"/>
      <w:r>
        <w:t>AlloyDB's</w:t>
      </w:r>
      <w:proofErr w:type="spellEnd"/>
      <w:r>
        <w:t xml:space="preserve"> Oracle compatibility mode). The saving potential is material, but the path requires: full DMA assessment of the MOL B-cluster (currently uncollected), per-cluster PL/SQL conversion scoping, application-by-application impact assessment, and business prioritisation.</w:t>
      </w:r>
    </w:p>
    <w:p w14:paraId="00000395" w14:textId="00000396" w:rsidR="000B0F63" w:rsidRDefault="00C05D22" w:rsidP="00E40261">
      <w:pPr>
        <w:jc w:val="both"/>
      </w:pPr>
      <w:commentRangeStart w:id="199"/>
      <w:r>
        <w:t>Oracle support treatment under each path</w:t>
      </w:r>
      <w:commentRangeEnd w:id="199"/>
      <w:r w:rsidR="002F1B8D">
        <w:rPr>
          <w:rStyle w:val="CommentReference"/>
          <w:sz w:val="22"/>
          <w:szCs w:val="22"/>
        </w:rPr>
        <w:commentReference w:id="199"/>
      </w:r>
      <w:r>
        <w:t>:</w:t>
      </w:r>
    </w:p>
    <w:p w14:paraId="00000397" w14:textId="494635A1" w:rsidR="000B0F63" w:rsidRDefault="00C05D22" w:rsidP="00EC2FA3">
      <w:pPr>
        <w:pStyle w:val="ListBullet"/>
        <w:numPr>
          <w:ilvl w:val="0"/>
          <w:numId w:val="18"/>
        </w:numPr>
        <w:jc w:val="both"/>
      </w:pPr>
      <w:r>
        <w:rPr>
          <w:b/>
          <w:bCs/>
        </w:rPr>
        <w:t>Option A (</w:t>
      </w:r>
      <w:proofErr w:type="spellStart"/>
      <w:r>
        <w:rPr>
          <w:b/>
          <w:bCs/>
        </w:rPr>
        <w:t>Exadata@Cloud</w:t>
      </w:r>
      <w:proofErr w:type="spellEnd"/>
      <w:r>
        <w:rPr>
          <w:b/>
          <w:bCs/>
        </w:rPr>
        <w:t xml:space="preserve">, BYOL): </w:t>
      </w:r>
      <w:r w:rsidRPr="008F60BF">
        <w:t xml:space="preserve">you must retain your </w:t>
      </w:r>
      <w:r w:rsidR="00312BB7">
        <w:t>£</w:t>
      </w:r>
      <w:r w:rsidRPr="008F60BF">
        <w:t xml:space="preserve">650K/yr Oracle support contract while using </w:t>
      </w:r>
      <w:proofErr w:type="spellStart"/>
      <w:r w:rsidRPr="008F60BF">
        <w:t>Exadata@Cloud</w:t>
      </w:r>
      <w:proofErr w:type="spellEnd"/>
      <w:r w:rsidRPr="008F60BF">
        <w:t>. BYOL on Oracle requires active support.</w:t>
      </w:r>
    </w:p>
    <w:p w14:paraId="00000399" w14:textId="5BCE03BB" w:rsidR="000B0F63" w:rsidRDefault="00C05D22" w:rsidP="00EC2FA3">
      <w:pPr>
        <w:pStyle w:val="ListBullet"/>
        <w:numPr>
          <w:ilvl w:val="0"/>
          <w:numId w:val="18"/>
        </w:numPr>
        <w:jc w:val="both"/>
      </w:pPr>
      <w:r>
        <w:rPr>
          <w:b/>
          <w:bCs/>
        </w:rPr>
        <w:t xml:space="preserve">Option B (Oracle on IaaS BYOL): </w:t>
      </w:r>
      <w:r w:rsidRPr="008F60BF">
        <w:t xml:space="preserve">same. </w:t>
      </w:r>
      <w:r w:rsidR="00312BB7">
        <w:t>£</w:t>
      </w:r>
      <w:r w:rsidRPr="008F60BF">
        <w:t>650K/yr retained.</w:t>
      </w:r>
    </w:p>
    <w:p w14:paraId="0000039B" w14:textId="766DA092" w:rsidR="000B0F63" w:rsidRDefault="00C05D22" w:rsidP="00EC2FA3">
      <w:pPr>
        <w:pStyle w:val="ListBullet"/>
        <w:numPr>
          <w:ilvl w:val="0"/>
          <w:numId w:val="18"/>
        </w:numPr>
        <w:jc w:val="both"/>
      </w:pPr>
      <w:r>
        <w:rPr>
          <w:b/>
          <w:bCs/>
        </w:rPr>
        <w:t xml:space="preserve">Option C (PostgreSQL): </w:t>
      </w:r>
      <w:r w:rsidRPr="008F60BF">
        <w:t xml:space="preserve">once Oracle is fully decommissioned, support can be dropped. This is the only path that eliminates the </w:t>
      </w:r>
      <w:r w:rsidR="00312BB7">
        <w:t>£</w:t>
      </w:r>
      <w:r w:rsidRPr="008F60BF">
        <w:t xml:space="preserve">650K/yr support line. Reinstatement is </w:t>
      </w:r>
      <w:proofErr w:type="spellStart"/>
      <w:r w:rsidRPr="008F60BF">
        <w:t>penalised</w:t>
      </w:r>
      <w:proofErr w:type="spellEnd"/>
      <w:r w:rsidRPr="008F60BF">
        <w:t xml:space="preserve"> (150% of last fee plus back-support), so the decision to drop must be final.</w:t>
      </w:r>
    </w:p>
    <w:p w14:paraId="0000039D" w14:textId="0000039E" w:rsidR="000B0F63" w:rsidRDefault="1BAB210A" w:rsidP="00E40261">
      <w:pPr>
        <w:pStyle w:val="Heading2"/>
        <w:jc w:val="both"/>
      </w:pPr>
      <w:bookmarkStart w:id="200" w:name="_Toc155"/>
      <w:bookmarkStart w:id="201" w:name="_Toc227770938"/>
      <w:proofErr w:type="spellStart"/>
      <w:r>
        <w:t>Atex</w:t>
      </w:r>
      <w:proofErr w:type="spellEnd"/>
      <w:r>
        <w:t xml:space="preserve"> Multicast Cost Impact</w:t>
      </w:r>
      <w:bookmarkEnd w:id="200"/>
      <w:bookmarkEnd w:id="201"/>
    </w:p>
    <w:p w14:paraId="0000039F" w14:textId="000003A0" w:rsidR="000B0F63" w:rsidRDefault="00C05D22" w:rsidP="00E40261">
      <w:pPr>
        <w:jc w:val="both"/>
      </w:pPr>
      <w:r>
        <w:t xml:space="preserve">The </w:t>
      </w:r>
      <w:proofErr w:type="spellStart"/>
      <w:r>
        <w:t>Atex</w:t>
      </w:r>
      <w:proofErr w:type="spellEnd"/>
      <w:r>
        <w:t xml:space="preserve"> multicast constraint (architectural detail in Section 6) has a cost dimension worth noting here. On AWS, native Transit Gateway multicast adds a small charge (tens to a few hundred pounds per month at DMG Media's traffic profile) from attachment and data-processing fees. On GCP and Azure, the only native workaround is VMware-on-cloud (GCVE, AVS); post-October 2025 these require customer-provided VCF subscription licences on top, making that path materially more expensive than either the AWS native route or a vendor-led </w:t>
      </w:r>
      <w:proofErr w:type="spellStart"/>
      <w:r>
        <w:t>Atex</w:t>
      </w:r>
      <w:proofErr w:type="spellEnd"/>
      <w:r>
        <w:t xml:space="preserve"> unicast refactor.</w:t>
      </w:r>
    </w:p>
    <w:p w14:paraId="000003A1" w14:textId="000003A2" w:rsidR="000B0F63" w:rsidRDefault="1BAB210A" w:rsidP="00E40261">
      <w:pPr>
        <w:pStyle w:val="Heading2"/>
        <w:jc w:val="both"/>
      </w:pPr>
      <w:bookmarkStart w:id="202" w:name="_Toc156"/>
      <w:bookmarkStart w:id="203" w:name="_Toc227770939"/>
      <w:r>
        <w:t>The Complete View (London, 3-Year Committed)</w:t>
      </w:r>
      <w:bookmarkEnd w:id="202"/>
      <w:bookmarkEnd w:id="203"/>
    </w:p>
    <w:p w14:paraId="000003A3" w14:textId="4755A1D3" w:rsidR="000B0F63" w:rsidRDefault="00C05D22" w:rsidP="00E40261">
      <w:pPr>
        <w:jc w:val="both"/>
      </w:pPr>
      <w:r>
        <w:t xml:space="preserve">This is the full picture: baseline compute and storage, operating system licensing, storage tiering savings, Windows BYOL, SQL Server BYOL (via License Mobility on AWS and GCP, AHB on Azure), Oracle </w:t>
      </w:r>
      <w:proofErr w:type="spellStart"/>
      <w:r>
        <w:t>Exadata@Cloud</w:t>
      </w:r>
      <w:proofErr w:type="spellEnd"/>
      <w:r>
        <w:t xml:space="preserve"> (Option A), Oracle support retained under BYOL, and indicative internet egress. Complete View assumes Microsoft Software Assurance in place for both Windows Server and SQL Server; formal confirmation is pending from </w:t>
      </w:r>
      <w:commentRangeStart w:id="204"/>
      <w:proofErr w:type="spellStart"/>
      <w:r>
        <w:t>Bluesource</w:t>
      </w:r>
      <w:commentRangeEnd w:id="204"/>
      <w:r w:rsidR="00842B02">
        <w:rPr>
          <w:rStyle w:val="CommentReference"/>
          <w:sz w:val="22"/>
          <w:szCs w:val="22"/>
        </w:rPr>
        <w:commentReference w:id="204"/>
      </w:r>
      <w:proofErr w:type="spellEnd"/>
      <w:r>
        <w:t>. All component lines are monthly final row is annual.</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7E4C3F" w14:paraId="24DAA713" w14:textId="77777777" w:rsidTr="1524DEBB">
        <w:trPr>
          <w:cantSplit/>
        </w:trPr>
        <w:tc>
          <w:tcPr>
            <w:tcW w:w="2430" w:type="dxa"/>
            <w:shd w:val="clear" w:color="auto" w:fill="D9D9D9" w:themeFill="background1" w:themeFillShade="D9"/>
            <w:tcMar>
              <w:top w:w="100" w:type="dxa"/>
              <w:left w:w="100" w:type="dxa"/>
              <w:bottom w:w="100" w:type="dxa"/>
              <w:right w:w="100" w:type="dxa"/>
            </w:tcMar>
          </w:tcPr>
          <w:p w14:paraId="000003A5" w14:textId="000003A6" w:rsidR="000B0F63" w:rsidRDefault="00C05D22" w:rsidP="00E40261">
            <w:pPr>
              <w:pStyle w:val="TableHeader"/>
              <w:jc w:val="both"/>
            </w:pPr>
            <w:r>
              <w:t>Component</w:t>
            </w:r>
          </w:p>
        </w:tc>
        <w:tc>
          <w:tcPr>
            <w:tcW w:w="2430" w:type="dxa"/>
            <w:shd w:val="clear" w:color="auto" w:fill="D9D9D9" w:themeFill="background1" w:themeFillShade="D9"/>
            <w:tcMar>
              <w:top w:w="100" w:type="dxa"/>
              <w:left w:w="100" w:type="dxa"/>
              <w:bottom w:w="100" w:type="dxa"/>
              <w:right w:w="100" w:type="dxa"/>
            </w:tcMar>
          </w:tcPr>
          <w:p w14:paraId="000003A7" w14:textId="000003A8" w:rsidR="000B0F63" w:rsidRDefault="00C05D22" w:rsidP="00E40261">
            <w:pPr>
              <w:pStyle w:val="TableHeader"/>
              <w:jc w:val="both"/>
            </w:pPr>
            <w:r>
              <w:t>GCP</w:t>
            </w:r>
          </w:p>
        </w:tc>
        <w:tc>
          <w:tcPr>
            <w:tcW w:w="2430" w:type="dxa"/>
            <w:shd w:val="clear" w:color="auto" w:fill="D9D9D9" w:themeFill="background1" w:themeFillShade="D9"/>
            <w:tcMar>
              <w:top w:w="100" w:type="dxa"/>
              <w:left w:w="100" w:type="dxa"/>
              <w:bottom w:w="100" w:type="dxa"/>
              <w:right w:w="100" w:type="dxa"/>
            </w:tcMar>
          </w:tcPr>
          <w:p w14:paraId="000003A9" w14:textId="000003AA" w:rsidR="000B0F63" w:rsidRDefault="00C05D22" w:rsidP="00E40261">
            <w:pPr>
              <w:pStyle w:val="TableHeader"/>
              <w:jc w:val="both"/>
            </w:pPr>
            <w:r>
              <w:t>AWS</w:t>
            </w:r>
          </w:p>
        </w:tc>
        <w:tc>
          <w:tcPr>
            <w:tcW w:w="2430" w:type="dxa"/>
            <w:shd w:val="clear" w:color="auto" w:fill="D9D9D9" w:themeFill="background1" w:themeFillShade="D9"/>
            <w:tcMar>
              <w:top w:w="100" w:type="dxa"/>
              <w:left w:w="100" w:type="dxa"/>
              <w:bottom w:w="100" w:type="dxa"/>
              <w:right w:w="100" w:type="dxa"/>
            </w:tcMar>
          </w:tcPr>
          <w:p w14:paraId="000003AB" w14:textId="000003AC" w:rsidR="000B0F63" w:rsidRDefault="00C05D22" w:rsidP="00E40261">
            <w:pPr>
              <w:pStyle w:val="TableHeader"/>
              <w:jc w:val="both"/>
            </w:pPr>
            <w:r>
              <w:t>Azure</w:t>
            </w:r>
          </w:p>
        </w:tc>
      </w:tr>
      <w:tr w:rsidR="007E7776" w14:paraId="04E4AD47" w14:textId="77777777" w:rsidTr="1524DEBB">
        <w:tc>
          <w:tcPr>
            <w:tcW w:w="2430" w:type="dxa"/>
            <w:tcMar>
              <w:top w:w="100" w:type="dxa"/>
              <w:left w:w="100" w:type="dxa"/>
              <w:bottom w:w="100" w:type="dxa"/>
              <w:right w:w="100" w:type="dxa"/>
            </w:tcMar>
          </w:tcPr>
          <w:p w14:paraId="000003AD" w14:textId="000003AE" w:rsidR="000B0F63" w:rsidRDefault="00C05D22" w:rsidP="00E40261">
            <w:pPr>
              <w:pStyle w:val="TableInfo"/>
              <w:jc w:val="both"/>
            </w:pPr>
            <w:r>
              <w:t>Baseline 3yr</w:t>
            </w:r>
          </w:p>
        </w:tc>
        <w:tc>
          <w:tcPr>
            <w:tcW w:w="2430" w:type="dxa"/>
            <w:tcMar>
              <w:top w:w="100" w:type="dxa"/>
              <w:left w:w="100" w:type="dxa"/>
              <w:bottom w:w="100" w:type="dxa"/>
              <w:right w:w="100" w:type="dxa"/>
            </w:tcMar>
          </w:tcPr>
          <w:p w14:paraId="000003AF" w14:textId="3B2E0753" w:rsidR="000B0F63" w:rsidRDefault="00C17011" w:rsidP="00E40261">
            <w:pPr>
              <w:pStyle w:val="TableInfo"/>
              <w:jc w:val="both"/>
            </w:pPr>
            <w:r>
              <w:t>£</w:t>
            </w:r>
            <w:r w:rsidR="00C05D22">
              <w:t>186,974</w:t>
            </w:r>
          </w:p>
        </w:tc>
        <w:tc>
          <w:tcPr>
            <w:tcW w:w="2430" w:type="dxa"/>
            <w:tcMar>
              <w:top w:w="100" w:type="dxa"/>
              <w:left w:w="100" w:type="dxa"/>
              <w:bottom w:w="100" w:type="dxa"/>
              <w:right w:w="100" w:type="dxa"/>
            </w:tcMar>
          </w:tcPr>
          <w:p w14:paraId="000003B1" w14:textId="70FF5A71" w:rsidR="000B0F63" w:rsidRDefault="00A035A9" w:rsidP="00E40261">
            <w:pPr>
              <w:pStyle w:val="TableInfo"/>
              <w:jc w:val="both"/>
            </w:pPr>
            <w:r>
              <w:t>£</w:t>
            </w:r>
            <w:r w:rsidR="00C05D22">
              <w:t>190,285</w:t>
            </w:r>
          </w:p>
        </w:tc>
        <w:tc>
          <w:tcPr>
            <w:tcW w:w="2430" w:type="dxa"/>
            <w:tcMar>
              <w:top w:w="100" w:type="dxa"/>
              <w:left w:w="100" w:type="dxa"/>
              <w:bottom w:w="100" w:type="dxa"/>
              <w:right w:w="100" w:type="dxa"/>
            </w:tcMar>
          </w:tcPr>
          <w:p w14:paraId="000003B3" w14:textId="0F3D9724" w:rsidR="000B0F63" w:rsidRDefault="00A035A9" w:rsidP="00E40261">
            <w:pPr>
              <w:pStyle w:val="TableInfo"/>
              <w:jc w:val="both"/>
            </w:pPr>
            <w:r>
              <w:t>£</w:t>
            </w:r>
            <w:r w:rsidR="00C05D22">
              <w:t>274,881</w:t>
            </w:r>
          </w:p>
        </w:tc>
      </w:tr>
      <w:tr w:rsidR="007E7776" w14:paraId="01000ED3" w14:textId="77777777" w:rsidTr="1524DEBB">
        <w:tc>
          <w:tcPr>
            <w:tcW w:w="2430" w:type="dxa"/>
            <w:tcMar>
              <w:top w:w="100" w:type="dxa"/>
              <w:left w:w="100" w:type="dxa"/>
              <w:bottom w:w="100" w:type="dxa"/>
              <w:right w:w="100" w:type="dxa"/>
            </w:tcMar>
          </w:tcPr>
          <w:p w14:paraId="000003B5" w14:textId="000003B6" w:rsidR="000B0F63" w:rsidRDefault="00C05D22" w:rsidP="00E40261">
            <w:pPr>
              <w:pStyle w:val="TableInfo"/>
              <w:jc w:val="both"/>
            </w:pPr>
            <w:r>
              <w:t>- Windows BYOL (SA assumed)</w:t>
            </w:r>
          </w:p>
        </w:tc>
        <w:tc>
          <w:tcPr>
            <w:tcW w:w="2430" w:type="dxa"/>
            <w:tcMar>
              <w:top w:w="100" w:type="dxa"/>
              <w:left w:w="100" w:type="dxa"/>
              <w:bottom w:w="100" w:type="dxa"/>
              <w:right w:w="100" w:type="dxa"/>
            </w:tcMar>
          </w:tcPr>
          <w:p w14:paraId="000003B7" w14:textId="7E2D6046" w:rsidR="000B0F63" w:rsidRDefault="00A035A9" w:rsidP="00E40261">
            <w:pPr>
              <w:pStyle w:val="TableInfo"/>
              <w:jc w:val="both"/>
            </w:pPr>
            <w:r>
              <w:t>-</w:t>
            </w:r>
            <w:r w:rsidR="00C17011">
              <w:t>£</w:t>
            </w:r>
            <w:r w:rsidR="00C05D22">
              <w:t>7,220</w:t>
            </w:r>
          </w:p>
        </w:tc>
        <w:tc>
          <w:tcPr>
            <w:tcW w:w="2430" w:type="dxa"/>
            <w:tcMar>
              <w:top w:w="100" w:type="dxa"/>
              <w:left w:w="100" w:type="dxa"/>
              <w:bottom w:w="100" w:type="dxa"/>
              <w:right w:w="100" w:type="dxa"/>
            </w:tcMar>
          </w:tcPr>
          <w:p w14:paraId="000003B9" w14:textId="20E60B90" w:rsidR="000B0F63" w:rsidRDefault="000C108A" w:rsidP="00E40261">
            <w:pPr>
              <w:pStyle w:val="TableInfo"/>
              <w:jc w:val="both"/>
            </w:pPr>
            <w:r>
              <w:t>-</w:t>
            </w:r>
            <w:r w:rsidR="00A035A9">
              <w:t>£</w:t>
            </w:r>
            <w:r w:rsidR="00C05D22">
              <w:t>8,605</w:t>
            </w:r>
          </w:p>
        </w:tc>
        <w:tc>
          <w:tcPr>
            <w:tcW w:w="2430" w:type="dxa"/>
            <w:tcMar>
              <w:top w:w="100" w:type="dxa"/>
              <w:left w:w="100" w:type="dxa"/>
              <w:bottom w:w="100" w:type="dxa"/>
              <w:right w:w="100" w:type="dxa"/>
            </w:tcMar>
          </w:tcPr>
          <w:p w14:paraId="000003BB" w14:textId="48DBFDBE" w:rsidR="000B0F63" w:rsidRDefault="000C108A" w:rsidP="00E40261">
            <w:pPr>
              <w:pStyle w:val="TableInfo"/>
              <w:jc w:val="both"/>
            </w:pPr>
            <w:r>
              <w:t>-</w:t>
            </w:r>
            <w:r w:rsidR="00A035A9">
              <w:t>£</w:t>
            </w:r>
            <w:r w:rsidR="00C05D22">
              <w:t>17,529</w:t>
            </w:r>
          </w:p>
        </w:tc>
      </w:tr>
      <w:tr w:rsidR="007E7776" w14:paraId="3CEA5027" w14:textId="77777777" w:rsidTr="1524DEBB">
        <w:tc>
          <w:tcPr>
            <w:tcW w:w="2430" w:type="dxa"/>
            <w:tcMar>
              <w:top w:w="100" w:type="dxa"/>
              <w:left w:w="100" w:type="dxa"/>
              <w:bottom w:w="100" w:type="dxa"/>
              <w:right w:w="100" w:type="dxa"/>
            </w:tcMar>
          </w:tcPr>
          <w:p w14:paraId="000003BD" w14:textId="000003BE" w:rsidR="000B0F63" w:rsidRDefault="00C05D22" w:rsidP="00E40261">
            <w:pPr>
              <w:pStyle w:val="TableInfo"/>
              <w:jc w:val="both"/>
            </w:pPr>
            <w:r>
              <w:t>- Storage tiering (non-prod to HDD)</w:t>
            </w:r>
          </w:p>
        </w:tc>
        <w:tc>
          <w:tcPr>
            <w:tcW w:w="2430" w:type="dxa"/>
            <w:tcMar>
              <w:top w:w="100" w:type="dxa"/>
              <w:left w:w="100" w:type="dxa"/>
              <w:bottom w:w="100" w:type="dxa"/>
              <w:right w:w="100" w:type="dxa"/>
            </w:tcMar>
          </w:tcPr>
          <w:p w14:paraId="000003BF" w14:textId="2DD35684" w:rsidR="000B0F63" w:rsidRDefault="000C108A" w:rsidP="00E40261">
            <w:pPr>
              <w:pStyle w:val="TableInfo"/>
              <w:jc w:val="both"/>
            </w:pPr>
            <w:r>
              <w:t>-</w:t>
            </w:r>
            <w:r w:rsidR="00A035A9">
              <w:t>£</w:t>
            </w:r>
            <w:r w:rsidR="00C05D22">
              <w:t>18,603</w:t>
            </w:r>
          </w:p>
        </w:tc>
        <w:tc>
          <w:tcPr>
            <w:tcW w:w="2430" w:type="dxa"/>
            <w:tcMar>
              <w:top w:w="100" w:type="dxa"/>
              <w:left w:w="100" w:type="dxa"/>
              <w:bottom w:w="100" w:type="dxa"/>
              <w:right w:w="100" w:type="dxa"/>
            </w:tcMar>
          </w:tcPr>
          <w:p w14:paraId="000003C1" w14:textId="542169D6" w:rsidR="000B0F63" w:rsidRDefault="000C108A" w:rsidP="00E40261">
            <w:pPr>
              <w:pStyle w:val="TableInfo"/>
              <w:jc w:val="both"/>
            </w:pPr>
            <w:r>
              <w:t>-</w:t>
            </w:r>
            <w:r w:rsidR="00A035A9">
              <w:t>£</w:t>
            </w:r>
            <w:r w:rsidR="00C05D22">
              <w:t>10,261</w:t>
            </w:r>
          </w:p>
        </w:tc>
        <w:tc>
          <w:tcPr>
            <w:tcW w:w="2430" w:type="dxa"/>
            <w:tcMar>
              <w:top w:w="100" w:type="dxa"/>
              <w:left w:w="100" w:type="dxa"/>
              <w:bottom w:w="100" w:type="dxa"/>
              <w:right w:w="100" w:type="dxa"/>
            </w:tcMar>
          </w:tcPr>
          <w:p w14:paraId="000003C3" w14:textId="3AA24EAC" w:rsidR="000B0F63" w:rsidRDefault="000C108A" w:rsidP="00E40261">
            <w:pPr>
              <w:pStyle w:val="TableInfo"/>
              <w:jc w:val="both"/>
            </w:pPr>
            <w:r>
              <w:t>-</w:t>
            </w:r>
            <w:r w:rsidR="00A035A9">
              <w:t>£</w:t>
            </w:r>
            <w:r w:rsidR="00C05D22">
              <w:t>9,964</w:t>
            </w:r>
          </w:p>
        </w:tc>
      </w:tr>
      <w:tr w:rsidR="007E7776" w14:paraId="3B0ADD63" w14:textId="77777777" w:rsidTr="1524DEBB">
        <w:tc>
          <w:tcPr>
            <w:tcW w:w="2430" w:type="dxa"/>
            <w:tcMar>
              <w:top w:w="100" w:type="dxa"/>
              <w:left w:w="100" w:type="dxa"/>
              <w:bottom w:w="100" w:type="dxa"/>
              <w:right w:w="100" w:type="dxa"/>
            </w:tcMar>
          </w:tcPr>
          <w:p w14:paraId="000003C5" w14:textId="000003C6" w:rsidR="000B0F63" w:rsidRDefault="1BAB210A" w:rsidP="00E40261">
            <w:pPr>
              <w:pStyle w:val="TableInfo"/>
              <w:jc w:val="both"/>
            </w:pPr>
            <w:r w:rsidRPr="1524DEBB">
              <w:rPr>
                <w:lang w:val="en-GB"/>
              </w:rPr>
              <w:t>+ Oracle Option A (</w:t>
            </w:r>
            <w:proofErr w:type="spellStart"/>
            <w:r w:rsidRPr="1524DEBB">
              <w:rPr>
                <w:lang w:val="en-GB"/>
              </w:rPr>
              <w:t>Exadata@Cloud</w:t>
            </w:r>
            <w:proofErr w:type="spellEnd"/>
            <w:r w:rsidRPr="1524DEBB">
              <w:rPr>
                <w:lang w:val="en-GB"/>
              </w:rPr>
              <w:t>)</w:t>
            </w:r>
          </w:p>
        </w:tc>
        <w:tc>
          <w:tcPr>
            <w:tcW w:w="2430" w:type="dxa"/>
            <w:tcMar>
              <w:top w:w="100" w:type="dxa"/>
              <w:left w:w="100" w:type="dxa"/>
              <w:bottom w:w="100" w:type="dxa"/>
              <w:right w:w="100" w:type="dxa"/>
            </w:tcMar>
          </w:tcPr>
          <w:p w14:paraId="000003C7" w14:textId="1FAACDD0" w:rsidR="000B0F63" w:rsidRDefault="000C108A" w:rsidP="00E40261">
            <w:pPr>
              <w:pStyle w:val="TableInfo"/>
              <w:jc w:val="both"/>
            </w:pPr>
            <w:r>
              <w:t>+</w:t>
            </w:r>
            <w:r w:rsidR="00A035A9">
              <w:t>£</w:t>
            </w:r>
            <w:r w:rsidR="00C05D22">
              <w:t>42,909</w:t>
            </w:r>
          </w:p>
        </w:tc>
        <w:tc>
          <w:tcPr>
            <w:tcW w:w="2430" w:type="dxa"/>
            <w:tcMar>
              <w:top w:w="100" w:type="dxa"/>
              <w:left w:w="100" w:type="dxa"/>
              <w:bottom w:w="100" w:type="dxa"/>
              <w:right w:w="100" w:type="dxa"/>
            </w:tcMar>
          </w:tcPr>
          <w:p w14:paraId="000003C9" w14:textId="61FD7940" w:rsidR="000B0F63" w:rsidRDefault="000C108A" w:rsidP="00E40261">
            <w:pPr>
              <w:pStyle w:val="TableInfo"/>
              <w:jc w:val="both"/>
            </w:pPr>
            <w:r>
              <w:t>+</w:t>
            </w:r>
            <w:r w:rsidR="00A035A9">
              <w:t>£</w:t>
            </w:r>
            <w:r w:rsidR="00C05D22">
              <w:t>42,909</w:t>
            </w:r>
          </w:p>
        </w:tc>
        <w:tc>
          <w:tcPr>
            <w:tcW w:w="2430" w:type="dxa"/>
            <w:tcMar>
              <w:top w:w="100" w:type="dxa"/>
              <w:left w:w="100" w:type="dxa"/>
              <w:bottom w:w="100" w:type="dxa"/>
              <w:right w:w="100" w:type="dxa"/>
            </w:tcMar>
          </w:tcPr>
          <w:p w14:paraId="000003CB" w14:textId="7FB0DE7E" w:rsidR="000B0F63" w:rsidRDefault="000C108A" w:rsidP="00E40261">
            <w:pPr>
              <w:pStyle w:val="TableInfo"/>
              <w:jc w:val="both"/>
            </w:pPr>
            <w:r>
              <w:t>+</w:t>
            </w:r>
            <w:r w:rsidR="00A035A9">
              <w:t>£</w:t>
            </w:r>
            <w:r w:rsidR="00C05D22">
              <w:t>42,909</w:t>
            </w:r>
          </w:p>
        </w:tc>
      </w:tr>
      <w:tr w:rsidR="007E7776" w14:paraId="75F4DF8A" w14:textId="77777777" w:rsidTr="1524DEBB">
        <w:tc>
          <w:tcPr>
            <w:tcW w:w="2430" w:type="dxa"/>
            <w:tcMar>
              <w:top w:w="100" w:type="dxa"/>
              <w:left w:w="100" w:type="dxa"/>
              <w:bottom w:w="100" w:type="dxa"/>
              <w:right w:w="100" w:type="dxa"/>
            </w:tcMar>
          </w:tcPr>
          <w:p w14:paraId="000003CD" w14:textId="6CB137FE" w:rsidR="000B0F63" w:rsidRDefault="1BAB210A" w:rsidP="00E40261">
            <w:pPr>
              <w:pStyle w:val="TableInfo"/>
              <w:jc w:val="both"/>
            </w:pPr>
            <w:r w:rsidRPr="1524DEBB">
              <w:rPr>
                <w:lang w:val="en-GB"/>
              </w:rPr>
              <w:t xml:space="preserve">+ Oracle support </w:t>
            </w:r>
            <w:r w:rsidR="7B9E15AA" w:rsidRPr="1524DEBB">
              <w:rPr>
                <w:lang w:val="en-GB"/>
              </w:rPr>
              <w:t>(</w:t>
            </w:r>
            <w:r w:rsidR="0FA103C5" w:rsidRPr="1524DEBB">
              <w:rPr>
                <w:lang w:val="en-GB"/>
              </w:rPr>
              <w:t>£</w:t>
            </w:r>
            <w:r w:rsidRPr="1524DEBB">
              <w:rPr>
                <w:lang w:val="en-GB"/>
              </w:rPr>
              <w:t>650K/yr, retained under BYOL)</w:t>
            </w:r>
          </w:p>
        </w:tc>
        <w:tc>
          <w:tcPr>
            <w:tcW w:w="2430" w:type="dxa"/>
            <w:tcMar>
              <w:top w:w="100" w:type="dxa"/>
              <w:left w:w="100" w:type="dxa"/>
              <w:bottom w:w="100" w:type="dxa"/>
              <w:right w:w="100" w:type="dxa"/>
            </w:tcMar>
          </w:tcPr>
          <w:p w14:paraId="000003CF" w14:textId="76A65F74" w:rsidR="000B0F63" w:rsidRDefault="000C108A" w:rsidP="00E40261">
            <w:pPr>
              <w:pStyle w:val="TableInfo"/>
              <w:jc w:val="both"/>
            </w:pPr>
            <w:r>
              <w:t>+</w:t>
            </w:r>
            <w:r w:rsidR="00A035A9">
              <w:t>£</w:t>
            </w:r>
            <w:r w:rsidR="00C05D22">
              <w:t>54,167</w:t>
            </w:r>
          </w:p>
        </w:tc>
        <w:tc>
          <w:tcPr>
            <w:tcW w:w="2430" w:type="dxa"/>
            <w:tcMar>
              <w:top w:w="100" w:type="dxa"/>
              <w:left w:w="100" w:type="dxa"/>
              <w:bottom w:w="100" w:type="dxa"/>
              <w:right w:w="100" w:type="dxa"/>
            </w:tcMar>
          </w:tcPr>
          <w:p w14:paraId="000003D1" w14:textId="1B3BD8EB" w:rsidR="000B0F63" w:rsidRDefault="000C108A" w:rsidP="00E40261">
            <w:pPr>
              <w:pStyle w:val="TableInfo"/>
              <w:jc w:val="both"/>
            </w:pPr>
            <w:r>
              <w:t>+</w:t>
            </w:r>
            <w:r w:rsidR="00A035A9">
              <w:t>£</w:t>
            </w:r>
            <w:r w:rsidR="00C05D22">
              <w:t>54,167</w:t>
            </w:r>
          </w:p>
        </w:tc>
        <w:tc>
          <w:tcPr>
            <w:tcW w:w="2430" w:type="dxa"/>
            <w:tcMar>
              <w:top w:w="100" w:type="dxa"/>
              <w:left w:w="100" w:type="dxa"/>
              <w:bottom w:w="100" w:type="dxa"/>
              <w:right w:w="100" w:type="dxa"/>
            </w:tcMar>
          </w:tcPr>
          <w:p w14:paraId="000003D3" w14:textId="3F5488F3" w:rsidR="000B0F63" w:rsidRDefault="000C108A" w:rsidP="00E40261">
            <w:pPr>
              <w:pStyle w:val="TableInfo"/>
              <w:jc w:val="both"/>
            </w:pPr>
            <w:r>
              <w:t>+</w:t>
            </w:r>
            <w:r w:rsidR="00A035A9">
              <w:t>£</w:t>
            </w:r>
            <w:r w:rsidR="00C05D22">
              <w:t>54,167</w:t>
            </w:r>
          </w:p>
        </w:tc>
      </w:tr>
      <w:tr w:rsidR="007E7776" w14:paraId="4B1DDA43" w14:textId="77777777" w:rsidTr="1524DEBB">
        <w:tc>
          <w:tcPr>
            <w:tcW w:w="2430" w:type="dxa"/>
            <w:tcMar>
              <w:top w:w="100" w:type="dxa"/>
              <w:left w:w="100" w:type="dxa"/>
              <w:bottom w:w="100" w:type="dxa"/>
              <w:right w:w="100" w:type="dxa"/>
            </w:tcMar>
          </w:tcPr>
          <w:p w14:paraId="000003D5" w14:textId="000003D6" w:rsidR="000B0F63" w:rsidRDefault="00C05D22" w:rsidP="00E40261">
            <w:pPr>
              <w:pStyle w:val="TableInfo"/>
              <w:jc w:val="both"/>
            </w:pPr>
            <w:r>
              <w:t>Complete View subtotal (monthly, pre-egress)</w:t>
            </w:r>
          </w:p>
        </w:tc>
        <w:tc>
          <w:tcPr>
            <w:tcW w:w="2430" w:type="dxa"/>
            <w:tcMar>
              <w:top w:w="100" w:type="dxa"/>
              <w:left w:w="100" w:type="dxa"/>
              <w:bottom w:w="100" w:type="dxa"/>
              <w:right w:w="100" w:type="dxa"/>
            </w:tcMar>
          </w:tcPr>
          <w:p w14:paraId="000003D7" w14:textId="67A8DC80" w:rsidR="000B0F63" w:rsidRDefault="00A035A9" w:rsidP="00E40261">
            <w:pPr>
              <w:pStyle w:val="TableInfo"/>
              <w:jc w:val="both"/>
            </w:pPr>
            <w:r>
              <w:t>£</w:t>
            </w:r>
            <w:r w:rsidR="00C05D22">
              <w:t>258,227</w:t>
            </w:r>
          </w:p>
        </w:tc>
        <w:tc>
          <w:tcPr>
            <w:tcW w:w="2430" w:type="dxa"/>
            <w:tcMar>
              <w:top w:w="100" w:type="dxa"/>
              <w:left w:w="100" w:type="dxa"/>
              <w:bottom w:w="100" w:type="dxa"/>
              <w:right w:w="100" w:type="dxa"/>
            </w:tcMar>
          </w:tcPr>
          <w:p w14:paraId="000003D9" w14:textId="22B8810F" w:rsidR="000B0F63" w:rsidRDefault="00A035A9" w:rsidP="00E40261">
            <w:pPr>
              <w:pStyle w:val="TableInfo"/>
              <w:jc w:val="both"/>
            </w:pPr>
            <w:r>
              <w:t>£</w:t>
            </w:r>
            <w:r w:rsidR="00C05D22">
              <w:t>268,495</w:t>
            </w:r>
          </w:p>
        </w:tc>
        <w:tc>
          <w:tcPr>
            <w:tcW w:w="2430" w:type="dxa"/>
            <w:tcMar>
              <w:top w:w="100" w:type="dxa"/>
              <w:left w:w="100" w:type="dxa"/>
              <w:bottom w:w="100" w:type="dxa"/>
              <w:right w:w="100" w:type="dxa"/>
            </w:tcMar>
          </w:tcPr>
          <w:p w14:paraId="000003DB" w14:textId="2916B1D0" w:rsidR="000B0F63" w:rsidRDefault="00A035A9" w:rsidP="00E40261">
            <w:pPr>
              <w:pStyle w:val="TableInfo"/>
              <w:jc w:val="both"/>
            </w:pPr>
            <w:r>
              <w:t>£</w:t>
            </w:r>
            <w:r w:rsidR="00C05D22">
              <w:t>344,464</w:t>
            </w:r>
          </w:p>
        </w:tc>
      </w:tr>
      <w:tr w:rsidR="007E7776" w14:paraId="1A7B9481" w14:textId="77777777" w:rsidTr="1524DEBB">
        <w:tc>
          <w:tcPr>
            <w:tcW w:w="2430" w:type="dxa"/>
            <w:tcMar>
              <w:top w:w="100" w:type="dxa"/>
              <w:left w:w="100" w:type="dxa"/>
              <w:bottom w:w="100" w:type="dxa"/>
              <w:right w:w="100" w:type="dxa"/>
            </w:tcMar>
          </w:tcPr>
          <w:p w14:paraId="000003DD" w14:textId="000003DE" w:rsidR="000B0F63" w:rsidRDefault="00C05D22" w:rsidP="00E40261">
            <w:pPr>
              <w:pStyle w:val="TableInfo"/>
              <w:jc w:val="both"/>
            </w:pPr>
            <w:r>
              <w:t>+ Indicative internet egress at 100TB/month</w:t>
            </w:r>
          </w:p>
        </w:tc>
        <w:tc>
          <w:tcPr>
            <w:tcW w:w="2430" w:type="dxa"/>
            <w:tcMar>
              <w:top w:w="100" w:type="dxa"/>
              <w:left w:w="100" w:type="dxa"/>
              <w:bottom w:w="100" w:type="dxa"/>
              <w:right w:w="100" w:type="dxa"/>
            </w:tcMar>
          </w:tcPr>
          <w:p w14:paraId="000003DF" w14:textId="542001FA" w:rsidR="000B0F63" w:rsidRDefault="000C108A" w:rsidP="00E40261">
            <w:pPr>
              <w:pStyle w:val="TableInfo"/>
              <w:jc w:val="both"/>
            </w:pPr>
            <w:r>
              <w:t>+</w:t>
            </w:r>
            <w:r w:rsidR="00A035A9">
              <w:t>£</w:t>
            </w:r>
            <w:r w:rsidR="00C05D22">
              <w:t>6,274</w:t>
            </w:r>
          </w:p>
        </w:tc>
        <w:tc>
          <w:tcPr>
            <w:tcW w:w="2430" w:type="dxa"/>
            <w:tcMar>
              <w:top w:w="100" w:type="dxa"/>
              <w:left w:w="100" w:type="dxa"/>
              <w:bottom w:w="100" w:type="dxa"/>
              <w:right w:w="100" w:type="dxa"/>
            </w:tcMar>
          </w:tcPr>
          <w:p w14:paraId="000003E1" w14:textId="477D0869" w:rsidR="000B0F63" w:rsidRDefault="000C108A" w:rsidP="00E40261">
            <w:pPr>
              <w:pStyle w:val="TableInfo"/>
              <w:jc w:val="both"/>
            </w:pPr>
            <w:r>
              <w:t>+</w:t>
            </w:r>
            <w:r w:rsidR="00A035A9">
              <w:t>£</w:t>
            </w:r>
            <w:r w:rsidR="00C05D22">
              <w:t>5,889</w:t>
            </w:r>
          </w:p>
        </w:tc>
        <w:tc>
          <w:tcPr>
            <w:tcW w:w="2430" w:type="dxa"/>
            <w:tcMar>
              <w:top w:w="100" w:type="dxa"/>
              <w:left w:w="100" w:type="dxa"/>
              <w:bottom w:w="100" w:type="dxa"/>
              <w:right w:w="100" w:type="dxa"/>
            </w:tcMar>
          </w:tcPr>
          <w:p w14:paraId="000003E3" w14:textId="66B042BD" w:rsidR="000B0F63" w:rsidRDefault="000C108A" w:rsidP="00E40261">
            <w:pPr>
              <w:pStyle w:val="TableInfo"/>
              <w:jc w:val="both"/>
            </w:pPr>
            <w:r>
              <w:t>+</w:t>
            </w:r>
            <w:r w:rsidR="00A035A9">
              <w:t>£</w:t>
            </w:r>
            <w:r w:rsidR="00C05D22">
              <w:t>4,832</w:t>
            </w:r>
          </w:p>
        </w:tc>
      </w:tr>
      <w:tr w:rsidR="007E7776" w14:paraId="404B4975" w14:textId="77777777" w:rsidTr="1524DEBB">
        <w:tc>
          <w:tcPr>
            <w:tcW w:w="2430" w:type="dxa"/>
            <w:tcMar>
              <w:top w:w="100" w:type="dxa"/>
              <w:left w:w="100" w:type="dxa"/>
              <w:bottom w:w="100" w:type="dxa"/>
              <w:right w:w="100" w:type="dxa"/>
            </w:tcMar>
          </w:tcPr>
          <w:p w14:paraId="000003E5" w14:textId="000003E6" w:rsidR="000B0F63" w:rsidRDefault="00C05D22" w:rsidP="00E40261">
            <w:pPr>
              <w:pStyle w:val="TableInfo"/>
              <w:jc w:val="both"/>
            </w:pPr>
            <w:r>
              <w:t>Complete View (monthly)</w:t>
            </w:r>
          </w:p>
        </w:tc>
        <w:tc>
          <w:tcPr>
            <w:tcW w:w="2430" w:type="dxa"/>
            <w:tcMar>
              <w:top w:w="100" w:type="dxa"/>
              <w:left w:w="100" w:type="dxa"/>
              <w:bottom w:w="100" w:type="dxa"/>
              <w:right w:w="100" w:type="dxa"/>
            </w:tcMar>
          </w:tcPr>
          <w:p w14:paraId="000003E7" w14:textId="6AF8A7BD" w:rsidR="000B0F63" w:rsidRDefault="00A035A9" w:rsidP="00E40261">
            <w:pPr>
              <w:pStyle w:val="TableInfo"/>
              <w:jc w:val="both"/>
            </w:pPr>
            <w:r>
              <w:t>£</w:t>
            </w:r>
            <w:r w:rsidR="00C05D22">
              <w:t>264,501</w:t>
            </w:r>
          </w:p>
        </w:tc>
        <w:tc>
          <w:tcPr>
            <w:tcW w:w="2430" w:type="dxa"/>
            <w:tcMar>
              <w:top w:w="100" w:type="dxa"/>
              <w:left w:w="100" w:type="dxa"/>
              <w:bottom w:w="100" w:type="dxa"/>
              <w:right w:w="100" w:type="dxa"/>
            </w:tcMar>
          </w:tcPr>
          <w:p w14:paraId="000003E9" w14:textId="3E75C7C1" w:rsidR="000B0F63" w:rsidRDefault="00A035A9" w:rsidP="00E40261">
            <w:pPr>
              <w:pStyle w:val="TableInfo"/>
              <w:jc w:val="both"/>
            </w:pPr>
            <w:r>
              <w:t>£</w:t>
            </w:r>
            <w:r w:rsidR="00C05D22">
              <w:t>274,384</w:t>
            </w:r>
          </w:p>
        </w:tc>
        <w:tc>
          <w:tcPr>
            <w:tcW w:w="2430" w:type="dxa"/>
            <w:tcMar>
              <w:top w:w="100" w:type="dxa"/>
              <w:left w:w="100" w:type="dxa"/>
              <w:bottom w:w="100" w:type="dxa"/>
              <w:right w:w="100" w:type="dxa"/>
            </w:tcMar>
          </w:tcPr>
          <w:p w14:paraId="000003EB" w14:textId="12FD461F" w:rsidR="000B0F63" w:rsidRDefault="00A035A9" w:rsidP="00E40261">
            <w:pPr>
              <w:pStyle w:val="TableInfo"/>
              <w:jc w:val="both"/>
            </w:pPr>
            <w:r>
              <w:t>£</w:t>
            </w:r>
            <w:r w:rsidR="00C05D22">
              <w:t>349,296</w:t>
            </w:r>
          </w:p>
        </w:tc>
      </w:tr>
      <w:tr w:rsidR="007E7776" w14:paraId="7C4FE1D2" w14:textId="77777777" w:rsidTr="1524DEBB">
        <w:tc>
          <w:tcPr>
            <w:tcW w:w="2430" w:type="dxa"/>
            <w:tcMar>
              <w:top w:w="100" w:type="dxa"/>
              <w:left w:w="100" w:type="dxa"/>
              <w:bottom w:w="100" w:type="dxa"/>
              <w:right w:w="100" w:type="dxa"/>
            </w:tcMar>
          </w:tcPr>
          <w:p w14:paraId="000003ED" w14:textId="000003EE" w:rsidR="000B0F63" w:rsidRDefault="00C05D22" w:rsidP="00E40261">
            <w:pPr>
              <w:pStyle w:val="TableInfo"/>
              <w:jc w:val="both"/>
            </w:pPr>
            <w:r>
              <w:t>Complete View (annual)</w:t>
            </w:r>
          </w:p>
        </w:tc>
        <w:tc>
          <w:tcPr>
            <w:tcW w:w="2430" w:type="dxa"/>
            <w:tcMar>
              <w:top w:w="100" w:type="dxa"/>
              <w:left w:w="100" w:type="dxa"/>
              <w:bottom w:w="100" w:type="dxa"/>
              <w:right w:w="100" w:type="dxa"/>
            </w:tcMar>
          </w:tcPr>
          <w:p w14:paraId="000003EF" w14:textId="6047E848" w:rsidR="000B0F63" w:rsidRDefault="00A035A9" w:rsidP="00E40261">
            <w:pPr>
              <w:pStyle w:val="TableInfo"/>
              <w:jc w:val="both"/>
            </w:pPr>
            <w:r>
              <w:t>£</w:t>
            </w:r>
            <w:r w:rsidR="00C05D22">
              <w:t>3,174,012</w:t>
            </w:r>
          </w:p>
        </w:tc>
        <w:tc>
          <w:tcPr>
            <w:tcW w:w="2430" w:type="dxa"/>
            <w:tcMar>
              <w:top w:w="100" w:type="dxa"/>
              <w:left w:w="100" w:type="dxa"/>
              <w:bottom w:w="100" w:type="dxa"/>
              <w:right w:w="100" w:type="dxa"/>
            </w:tcMar>
          </w:tcPr>
          <w:p w14:paraId="000003F1" w14:textId="41A6FE47" w:rsidR="000B0F63" w:rsidRDefault="00A035A9" w:rsidP="00E40261">
            <w:pPr>
              <w:pStyle w:val="TableInfo"/>
              <w:jc w:val="both"/>
            </w:pPr>
            <w:r>
              <w:t>£</w:t>
            </w:r>
            <w:r w:rsidR="00C05D22">
              <w:t>3,292,608</w:t>
            </w:r>
          </w:p>
        </w:tc>
        <w:tc>
          <w:tcPr>
            <w:tcW w:w="2430" w:type="dxa"/>
            <w:tcMar>
              <w:top w:w="100" w:type="dxa"/>
              <w:left w:w="100" w:type="dxa"/>
              <w:bottom w:w="100" w:type="dxa"/>
              <w:right w:w="100" w:type="dxa"/>
            </w:tcMar>
          </w:tcPr>
          <w:p w14:paraId="000003F3" w14:textId="1977D799" w:rsidR="000B0F63" w:rsidRDefault="00A035A9" w:rsidP="00E40261">
            <w:pPr>
              <w:pStyle w:val="TableInfo"/>
              <w:jc w:val="both"/>
            </w:pPr>
            <w:r>
              <w:t>£</w:t>
            </w:r>
            <w:r w:rsidR="00C05D22">
              <w:t>4,191,552</w:t>
            </w:r>
          </w:p>
        </w:tc>
      </w:tr>
    </w:tbl>
    <w:p w14:paraId="4436E3F3" w14:textId="77777777" w:rsidR="005B445B" w:rsidRDefault="005B445B" w:rsidP="00E40261">
      <w:pPr>
        <w:pStyle w:val="InsetText"/>
        <w:jc w:val="both"/>
      </w:pPr>
    </w:p>
    <w:p w14:paraId="000003F5" w14:textId="160B3519" w:rsidR="000B0F63" w:rsidRDefault="004649D1" w:rsidP="005B445B">
      <w:pPr>
        <w:pStyle w:val="InsetText"/>
        <w:ind w:left="0"/>
        <w:jc w:val="both"/>
      </w:pPr>
      <w:r w:rsidRPr="004649D1">
        <w:rPr>
          <w:b/>
          <w:bCs/>
        </w:rPr>
        <w:t>Note</w:t>
      </w:r>
      <w:r>
        <w:t xml:space="preserve">: </w:t>
      </w:r>
      <w:r w:rsidR="00C05D22">
        <w:t xml:space="preserve">SQL Server assumed as BYOL in baseline (SA + License Mobility); avoids approximately </w:t>
      </w:r>
      <w:r w:rsidR="00312BB7">
        <w:t>£</w:t>
      </w:r>
      <w:r w:rsidR="00C05D22">
        <w:t>15K/</w:t>
      </w:r>
      <w:proofErr w:type="spellStart"/>
      <w:r w:rsidR="00C05D22">
        <w:t>mo</w:t>
      </w:r>
      <w:proofErr w:type="spellEnd"/>
      <w:r w:rsidR="00C05D22">
        <w:t xml:space="preserve"> GCP, </w:t>
      </w:r>
      <w:r w:rsidR="00312BB7">
        <w:t>£</w:t>
      </w:r>
      <w:r w:rsidR="00C05D22">
        <w:t>14K/</w:t>
      </w:r>
      <w:proofErr w:type="spellStart"/>
      <w:r w:rsidR="00C05D22">
        <w:t>mo</w:t>
      </w:r>
      <w:proofErr w:type="spellEnd"/>
      <w:r w:rsidR="00C05D22">
        <w:t xml:space="preserve"> each AWS/Azure of cloud-provider license-included surcharge.</w:t>
      </w:r>
    </w:p>
    <w:p w14:paraId="000003F7" w14:textId="000003F8" w:rsidR="000B0F63" w:rsidRDefault="00C05D22" w:rsidP="00E40261">
      <w:pPr>
        <w:jc w:val="both"/>
      </w:pPr>
      <w:r>
        <w:t xml:space="preserve">Complete View with indicative egress is the reference number for client comparison. </w:t>
      </w:r>
      <w:commentRangeStart w:id="205"/>
      <w:r>
        <w:t>The 100TB/month is illustrative</w:t>
      </w:r>
      <w:commentRangeEnd w:id="205"/>
      <w:r w:rsidR="00182AEB">
        <w:rPr>
          <w:rStyle w:val="CommentReference"/>
          <w:sz w:val="22"/>
          <w:szCs w:val="22"/>
        </w:rPr>
        <w:commentReference w:id="205"/>
      </w:r>
      <w:r>
        <w:t xml:space="preserve">; actual DMG Media egress depends on Akamai CDN cache hit rate and origin traffic </w:t>
      </w:r>
      <w:proofErr w:type="gramStart"/>
      <w:r>
        <w:t>patterns, and</w:t>
      </w:r>
      <w:proofErr w:type="gramEnd"/>
      <w:r>
        <w:t xml:space="preserve"> can be quantified by Phase 2 given traffic flow data.</w:t>
      </w:r>
    </w:p>
    <w:p w14:paraId="000003F9" w14:textId="244ABF2F" w:rsidR="000B0F63" w:rsidRDefault="00C05D22" w:rsidP="00E40261">
      <w:pPr>
        <w:jc w:val="both"/>
      </w:pPr>
      <w:r>
        <w:t xml:space="preserve">GCP remains the cheapest by approximately </w:t>
      </w:r>
      <w:r w:rsidR="00312BB7">
        <w:t>£</w:t>
      </w:r>
      <w:r>
        <w:t>10K/</w:t>
      </w:r>
      <w:proofErr w:type="spellStart"/>
      <w:r>
        <w:t>mo</w:t>
      </w:r>
      <w:proofErr w:type="spellEnd"/>
      <w:r>
        <w:t xml:space="preserve"> over AWS (around 3.7%). Azure sits approximately </w:t>
      </w:r>
      <w:r w:rsidR="00312BB7">
        <w:t>£</w:t>
      </w:r>
      <w:r>
        <w:t>85K/</w:t>
      </w:r>
      <w:proofErr w:type="spellStart"/>
      <w:r>
        <w:t>mo</w:t>
      </w:r>
      <w:proofErr w:type="spellEnd"/>
      <w:r>
        <w:t xml:space="preserve"> higher than GCP, still driven mainly by the sizing methodology gap rather than by pricing. Azure does offset part of this through the strongest Windows BYOL mechanism (AHB).</w:t>
      </w:r>
    </w:p>
    <w:p w14:paraId="000003FB" w14:textId="000003FC" w:rsidR="000B0F63" w:rsidRDefault="00C05D22" w:rsidP="00E40261">
      <w:pPr>
        <w:jc w:val="both"/>
      </w:pPr>
      <w:r>
        <w:t>Notes on what is in and out:</w:t>
      </w:r>
    </w:p>
    <w:p w14:paraId="000003FD" w14:textId="10E9B0BB" w:rsidR="000B0F63" w:rsidRDefault="00C05D22" w:rsidP="00EC2FA3">
      <w:pPr>
        <w:pStyle w:val="ListBullet"/>
        <w:numPr>
          <w:ilvl w:val="0"/>
          <w:numId w:val="19"/>
        </w:numPr>
        <w:jc w:val="both"/>
      </w:pPr>
      <w:commentRangeStart w:id="206"/>
      <w:r>
        <w:t xml:space="preserve">RHEL BYOL </w:t>
      </w:r>
      <w:commentRangeEnd w:id="206"/>
      <w:r w:rsidR="00C60399">
        <w:rPr>
          <w:rStyle w:val="CommentReference"/>
          <w:sz w:val="22"/>
          <w:szCs w:val="24"/>
        </w:rPr>
        <w:commentReference w:id="206"/>
      </w:r>
      <w:r>
        <w:t>(-4,935 to -5,400/</w:t>
      </w:r>
      <w:proofErr w:type="spellStart"/>
      <w:r>
        <w:t>mo</w:t>
      </w:r>
      <w:proofErr w:type="spellEnd"/>
      <w:r>
        <w:t xml:space="preserve">) and </w:t>
      </w:r>
      <w:commentRangeStart w:id="207"/>
      <w:r>
        <w:t>Azure</w:t>
      </w:r>
      <w:commentRangeEnd w:id="207"/>
      <w:r w:rsidR="00D44AFA">
        <w:rPr>
          <w:rStyle w:val="CommentReference"/>
          <w:sz w:val="22"/>
          <w:szCs w:val="24"/>
        </w:rPr>
        <w:commentReference w:id="207"/>
      </w:r>
      <w:r>
        <w:t xml:space="preserve"> Dev/Test (-2,475/</w:t>
      </w:r>
      <w:proofErr w:type="spellStart"/>
      <w:r>
        <w:t>mo</w:t>
      </w:r>
      <w:proofErr w:type="spellEnd"/>
      <w:r>
        <w:t xml:space="preserve">) are not in </w:t>
      </w:r>
      <w:proofErr w:type="gramStart"/>
      <w:r>
        <w:t>the Complete</w:t>
      </w:r>
      <w:proofErr w:type="gramEnd"/>
      <w:r>
        <w:t xml:space="preserve"> View because both require client confirmation. If both are confirmed, Azure Complete View drops to approximately </w:t>
      </w:r>
      <w:r w:rsidR="00312BB7">
        <w:t>£</w:t>
      </w:r>
      <w:r>
        <w:t>338,685/mo.</w:t>
      </w:r>
    </w:p>
    <w:p w14:paraId="000003FF" w14:textId="00000400" w:rsidR="000B0F63" w:rsidRDefault="00C05D22" w:rsidP="00EC2FA3">
      <w:pPr>
        <w:pStyle w:val="ListBullet"/>
        <w:numPr>
          <w:ilvl w:val="0"/>
          <w:numId w:val="19"/>
        </w:numPr>
        <w:jc w:val="both"/>
      </w:pPr>
      <w:r>
        <w:t xml:space="preserve">Enterprise support is </w:t>
      </w:r>
      <w:commentRangeStart w:id="208"/>
      <w:commentRangeStart w:id="209"/>
      <w:r>
        <w:t>excluded</w:t>
      </w:r>
      <w:commentRangeEnd w:id="208"/>
      <w:r w:rsidR="0051099E">
        <w:rPr>
          <w:rStyle w:val="CommentReference"/>
          <w:sz w:val="22"/>
          <w:szCs w:val="24"/>
        </w:rPr>
        <w:commentReference w:id="208"/>
      </w:r>
      <w:commentRangeEnd w:id="209"/>
      <w:r>
        <w:rPr>
          <w:rStyle w:val="CommentReference"/>
          <w:sz w:val="22"/>
          <w:szCs w:val="24"/>
        </w:rPr>
        <w:commentReference w:id="209"/>
      </w:r>
      <w:r>
        <w:t xml:space="preserve"> from this headline because it is a support tier decision, not a platform cost.</w:t>
      </w:r>
    </w:p>
    <w:p w14:paraId="00000401" w14:textId="00000402" w:rsidR="000B0F63" w:rsidRDefault="1BAB210A" w:rsidP="00E40261">
      <w:pPr>
        <w:pStyle w:val="Heading2"/>
        <w:jc w:val="both"/>
      </w:pPr>
      <w:bookmarkStart w:id="212" w:name="_Toc157"/>
      <w:bookmarkStart w:id="213" w:name="_Toc227770940"/>
      <w:r>
        <w:t>Status Quo: On-Premises Baseline</w:t>
      </w:r>
      <w:bookmarkEnd w:id="212"/>
      <w:bookmarkEnd w:id="213"/>
    </w:p>
    <w:p w14:paraId="00000403" w14:textId="692D6CDC" w:rsidR="000B0F63" w:rsidRDefault="00C05D22" w:rsidP="00E40261">
      <w:pPr>
        <w:jc w:val="both"/>
      </w:pPr>
      <w:r>
        <w:t xml:space="preserve">For the business case, the cloud figures </w:t>
      </w:r>
      <w:r w:rsidR="00D44AFA">
        <w:t>must</w:t>
      </w:r>
      <w:r>
        <w:t xml:space="preserve"> be compared to the cost of doing nothing. Your updated IT Costs workbook captures the on-premises annualised cost at </w:t>
      </w:r>
      <w:r w:rsidR="00312BB7">
        <w:t>£</w:t>
      </w:r>
      <w:r>
        <w:t xml:space="preserve">3.64 million per year (approximately </w:t>
      </w:r>
      <w:r w:rsidR="00312BB7">
        <w:t>£</w:t>
      </w:r>
      <w:r>
        <w:t>303,000/</w:t>
      </w:r>
      <w:proofErr w:type="spellStart"/>
      <w:r>
        <w:t>mo</w:t>
      </w:r>
      <w:proofErr w:type="spellEnd"/>
      <w:r>
        <w:t>). This is the first time the hardware and storage capital expenditure has been populated:</w:t>
      </w:r>
    </w:p>
    <w:tbl>
      <w:tblPr>
        <w:tblW w:w="9720" w:type="dxa"/>
        <w:tblCellMar>
          <w:top w:w="100" w:type="dxa"/>
          <w:left w:w="100" w:type="dxa"/>
          <w:bottom w:w="100" w:type="dxa"/>
          <w:right w:w="100" w:type="dxa"/>
        </w:tblCellMar>
        <w:tblLook w:val="04A0" w:firstRow="1" w:lastRow="0" w:firstColumn="1" w:lastColumn="0" w:noHBand="0" w:noVBand="1"/>
      </w:tblPr>
      <w:tblGrid>
        <w:gridCol w:w="3240"/>
        <w:gridCol w:w="2000"/>
        <w:gridCol w:w="4480"/>
      </w:tblGrid>
      <w:tr w:rsidR="00255F15" w14:paraId="7AF3896F" w14:textId="77777777" w:rsidTr="1524DEBB">
        <w:trPr>
          <w:cantSplit/>
        </w:trPr>
        <w:tc>
          <w:tcPr>
            <w:tcW w:w="3240" w:type="dxa"/>
            <w:shd w:val="clear" w:color="auto" w:fill="D9D9D9" w:themeFill="background1" w:themeFillShade="D9"/>
            <w:tcMar>
              <w:top w:w="100" w:type="dxa"/>
              <w:left w:w="100" w:type="dxa"/>
              <w:bottom w:w="100" w:type="dxa"/>
              <w:right w:w="100" w:type="dxa"/>
            </w:tcMar>
          </w:tcPr>
          <w:p w14:paraId="00000405" w14:textId="00000406" w:rsidR="000B0F63" w:rsidRDefault="00C05D22" w:rsidP="00E40261">
            <w:pPr>
              <w:pStyle w:val="TableHeader"/>
              <w:jc w:val="both"/>
            </w:pPr>
            <w:r>
              <w:t>Category</w:t>
            </w:r>
          </w:p>
        </w:tc>
        <w:tc>
          <w:tcPr>
            <w:tcW w:w="2000" w:type="dxa"/>
            <w:shd w:val="clear" w:color="auto" w:fill="D9D9D9" w:themeFill="background1" w:themeFillShade="D9"/>
            <w:tcMar>
              <w:top w:w="100" w:type="dxa"/>
              <w:left w:w="100" w:type="dxa"/>
              <w:bottom w:w="100" w:type="dxa"/>
              <w:right w:w="100" w:type="dxa"/>
            </w:tcMar>
          </w:tcPr>
          <w:p w14:paraId="00000407" w14:textId="78A142E9" w:rsidR="000B0F63" w:rsidRDefault="00C05D22" w:rsidP="00E40261">
            <w:pPr>
              <w:pStyle w:val="TableHeader"/>
              <w:jc w:val="both"/>
            </w:pPr>
            <w:r>
              <w:t xml:space="preserve">Annualised </w:t>
            </w:r>
          </w:p>
        </w:tc>
        <w:tc>
          <w:tcPr>
            <w:tcW w:w="4480" w:type="dxa"/>
            <w:shd w:val="clear" w:color="auto" w:fill="D9D9D9" w:themeFill="background1" w:themeFillShade="D9"/>
            <w:tcMar>
              <w:top w:w="100" w:type="dxa"/>
              <w:left w:w="100" w:type="dxa"/>
              <w:bottom w:w="100" w:type="dxa"/>
              <w:right w:w="100" w:type="dxa"/>
            </w:tcMar>
          </w:tcPr>
          <w:p w14:paraId="00000409" w14:textId="0000040A" w:rsidR="000B0F63" w:rsidRDefault="00C05D22" w:rsidP="00E40261">
            <w:pPr>
              <w:pStyle w:val="TableHeader"/>
              <w:jc w:val="both"/>
            </w:pPr>
            <w:r>
              <w:t>Notes</w:t>
            </w:r>
          </w:p>
        </w:tc>
      </w:tr>
      <w:tr w:rsidR="00F12A44" w14:paraId="117BB3C5" w14:textId="77777777" w:rsidTr="1524DEBB">
        <w:tc>
          <w:tcPr>
            <w:tcW w:w="3240" w:type="dxa"/>
            <w:tcMar>
              <w:top w:w="100" w:type="dxa"/>
              <w:left w:w="100" w:type="dxa"/>
              <w:bottom w:w="100" w:type="dxa"/>
              <w:right w:w="100" w:type="dxa"/>
            </w:tcMar>
          </w:tcPr>
          <w:p w14:paraId="0000040B" w14:textId="0000040C" w:rsidR="000B0F63" w:rsidRDefault="00C05D22" w:rsidP="00E40261">
            <w:pPr>
              <w:pStyle w:val="TableInfo"/>
              <w:jc w:val="both"/>
            </w:pPr>
            <w:r>
              <w:t>Compute and storage (capex depreciated over 5yr + maintenance)</w:t>
            </w:r>
          </w:p>
        </w:tc>
        <w:tc>
          <w:tcPr>
            <w:tcW w:w="2000" w:type="dxa"/>
            <w:tcMar>
              <w:top w:w="100" w:type="dxa"/>
              <w:left w:w="100" w:type="dxa"/>
              <w:bottom w:w="100" w:type="dxa"/>
              <w:right w:w="100" w:type="dxa"/>
            </w:tcMar>
          </w:tcPr>
          <w:p w14:paraId="0000040D" w14:textId="5D90E405" w:rsidR="000B0F63" w:rsidRDefault="00A035A9" w:rsidP="00E40261">
            <w:pPr>
              <w:pStyle w:val="TableInfo"/>
              <w:jc w:val="both"/>
            </w:pPr>
            <w:r>
              <w:t>£</w:t>
            </w:r>
            <w:r w:rsidR="00C05D22">
              <w:t>547,761</w:t>
            </w:r>
          </w:p>
        </w:tc>
        <w:tc>
          <w:tcPr>
            <w:tcW w:w="4480" w:type="dxa"/>
            <w:tcMar>
              <w:top w:w="100" w:type="dxa"/>
              <w:left w:w="100" w:type="dxa"/>
              <w:bottom w:w="100" w:type="dxa"/>
              <w:right w:w="100" w:type="dxa"/>
            </w:tcMar>
          </w:tcPr>
          <w:p w14:paraId="0000040F" w14:textId="66FC3014" w:rsidR="000B0F63" w:rsidRDefault="00C05D22" w:rsidP="00E40261">
            <w:pPr>
              <w:pStyle w:val="TableInfo"/>
              <w:jc w:val="both"/>
            </w:pPr>
            <w:r>
              <w:t xml:space="preserve">Server hardware capex </w:t>
            </w:r>
            <w:r w:rsidR="00312BB7">
              <w:t>£</w:t>
            </w:r>
            <w:r>
              <w:t xml:space="preserve">1.26M, storage capex </w:t>
            </w:r>
            <w:r w:rsidR="00312BB7">
              <w:t>£</w:t>
            </w:r>
            <w:r>
              <w:t>1.45M</w:t>
            </w:r>
          </w:p>
        </w:tc>
      </w:tr>
      <w:tr w:rsidR="00F12A44" w14:paraId="36073068" w14:textId="77777777" w:rsidTr="1524DEBB">
        <w:tc>
          <w:tcPr>
            <w:tcW w:w="3240" w:type="dxa"/>
            <w:tcMar>
              <w:top w:w="100" w:type="dxa"/>
              <w:left w:w="100" w:type="dxa"/>
              <w:bottom w:w="100" w:type="dxa"/>
              <w:right w:w="100" w:type="dxa"/>
            </w:tcMar>
          </w:tcPr>
          <w:p w14:paraId="00000411" w14:textId="00000412" w:rsidR="000B0F63" w:rsidRDefault="00C05D22" w:rsidP="00E40261">
            <w:pPr>
              <w:pStyle w:val="TableInfo"/>
              <w:jc w:val="both"/>
            </w:pPr>
            <w:r>
              <w:t>Software licensing</w:t>
            </w:r>
          </w:p>
        </w:tc>
        <w:tc>
          <w:tcPr>
            <w:tcW w:w="2000" w:type="dxa"/>
            <w:tcMar>
              <w:top w:w="100" w:type="dxa"/>
              <w:left w:w="100" w:type="dxa"/>
              <w:bottom w:w="100" w:type="dxa"/>
              <w:right w:w="100" w:type="dxa"/>
            </w:tcMar>
          </w:tcPr>
          <w:p w14:paraId="00000413" w14:textId="1A888BEE" w:rsidR="000B0F63" w:rsidRDefault="00A035A9" w:rsidP="00E40261">
            <w:pPr>
              <w:pStyle w:val="TableInfo"/>
              <w:jc w:val="both"/>
            </w:pPr>
            <w:r>
              <w:t>£</w:t>
            </w:r>
            <w:r w:rsidR="00C05D22">
              <w:t>1,440,681</w:t>
            </w:r>
          </w:p>
        </w:tc>
        <w:tc>
          <w:tcPr>
            <w:tcW w:w="4480" w:type="dxa"/>
            <w:tcMar>
              <w:top w:w="100" w:type="dxa"/>
              <w:left w:w="100" w:type="dxa"/>
              <w:bottom w:w="100" w:type="dxa"/>
              <w:right w:w="100" w:type="dxa"/>
            </w:tcMar>
          </w:tcPr>
          <w:p w14:paraId="00000415" w14:textId="14938DD9" w:rsidR="000B0F63" w:rsidRDefault="00C05D22" w:rsidP="00E40261">
            <w:pPr>
              <w:pStyle w:val="TableInfo"/>
              <w:jc w:val="both"/>
            </w:pPr>
            <w:r>
              <w:t xml:space="preserve">Includes Oracle support </w:t>
            </w:r>
            <w:r w:rsidR="000C108A">
              <w:t>(</w:t>
            </w:r>
            <w:r w:rsidR="00312BB7">
              <w:t>£</w:t>
            </w:r>
            <w:r>
              <w:t xml:space="preserve">650K), SQL </w:t>
            </w:r>
            <w:r w:rsidR="000C108A">
              <w:t>(</w:t>
            </w:r>
            <w:r w:rsidR="00312BB7">
              <w:t>£</w:t>
            </w:r>
            <w:r>
              <w:t xml:space="preserve">119K), Windows </w:t>
            </w:r>
            <w:r w:rsidR="000C108A">
              <w:t>(</w:t>
            </w:r>
            <w:r w:rsidR="00312BB7">
              <w:t>£</w:t>
            </w:r>
            <w:r>
              <w:t xml:space="preserve">137K), Linux </w:t>
            </w:r>
            <w:r w:rsidR="000C108A">
              <w:t>(</w:t>
            </w:r>
            <w:r w:rsidR="00312BB7">
              <w:t>£</w:t>
            </w:r>
            <w:r>
              <w:t xml:space="preserve">91K), security tooling </w:t>
            </w:r>
            <w:r w:rsidR="000C108A">
              <w:t>(</w:t>
            </w:r>
            <w:r w:rsidR="00312BB7">
              <w:t>£</w:t>
            </w:r>
            <w:r>
              <w:t xml:space="preserve">444K </w:t>
            </w:r>
            <w:commentRangeStart w:id="214"/>
            <w:r>
              <w:t>worst case</w:t>
            </w:r>
            <w:commentRangeEnd w:id="214"/>
            <w:r w:rsidR="006D4A07">
              <w:rPr>
                <w:rStyle w:val="CommentReference"/>
                <w:sz w:val="18"/>
                <w:szCs w:val="15"/>
              </w:rPr>
              <w:commentReference w:id="214"/>
            </w:r>
            <w:r>
              <w:t>)</w:t>
            </w:r>
          </w:p>
        </w:tc>
      </w:tr>
      <w:tr w:rsidR="00F12A44" w14:paraId="061B2477" w14:textId="77777777" w:rsidTr="1524DEBB">
        <w:tc>
          <w:tcPr>
            <w:tcW w:w="3240" w:type="dxa"/>
            <w:tcMar>
              <w:top w:w="100" w:type="dxa"/>
              <w:left w:w="100" w:type="dxa"/>
              <w:bottom w:w="100" w:type="dxa"/>
              <w:right w:w="100" w:type="dxa"/>
            </w:tcMar>
          </w:tcPr>
          <w:p w14:paraId="00000417" w14:textId="00000418" w:rsidR="000B0F63" w:rsidRDefault="00C05D22" w:rsidP="00E40261">
            <w:pPr>
              <w:pStyle w:val="TableInfo"/>
              <w:jc w:val="both"/>
            </w:pPr>
            <w:r>
              <w:t>Facilities and network</w:t>
            </w:r>
          </w:p>
        </w:tc>
        <w:tc>
          <w:tcPr>
            <w:tcW w:w="2000" w:type="dxa"/>
            <w:tcMar>
              <w:top w:w="100" w:type="dxa"/>
              <w:left w:w="100" w:type="dxa"/>
              <w:bottom w:w="100" w:type="dxa"/>
              <w:right w:w="100" w:type="dxa"/>
            </w:tcMar>
          </w:tcPr>
          <w:p w14:paraId="00000419" w14:textId="036CE376" w:rsidR="000B0F63" w:rsidRDefault="00A035A9" w:rsidP="00E40261">
            <w:pPr>
              <w:pStyle w:val="TableInfo"/>
              <w:jc w:val="both"/>
            </w:pPr>
            <w:r>
              <w:t>£</w:t>
            </w:r>
            <w:r w:rsidR="00C05D22">
              <w:t>879,900</w:t>
            </w:r>
          </w:p>
        </w:tc>
        <w:tc>
          <w:tcPr>
            <w:tcW w:w="4480" w:type="dxa"/>
            <w:tcMar>
              <w:top w:w="100" w:type="dxa"/>
              <w:left w:w="100" w:type="dxa"/>
              <w:bottom w:w="100" w:type="dxa"/>
              <w:right w:w="100" w:type="dxa"/>
            </w:tcMar>
          </w:tcPr>
          <w:p w14:paraId="0000041B" w14:textId="0000041C" w:rsidR="000B0F63" w:rsidRDefault="00C05D22" w:rsidP="00E40261">
            <w:pPr>
              <w:pStyle w:val="TableInfo"/>
              <w:jc w:val="both"/>
            </w:pPr>
            <w:r>
              <w:t>Reading, Slough, Sydney, inter-site, internet</w:t>
            </w:r>
          </w:p>
        </w:tc>
      </w:tr>
      <w:tr w:rsidR="00F12A44" w14:paraId="5DE1B60E" w14:textId="77777777" w:rsidTr="1524DEBB">
        <w:tc>
          <w:tcPr>
            <w:tcW w:w="3240" w:type="dxa"/>
            <w:tcMar>
              <w:top w:w="100" w:type="dxa"/>
              <w:left w:w="100" w:type="dxa"/>
              <w:bottom w:w="100" w:type="dxa"/>
              <w:right w:w="100" w:type="dxa"/>
            </w:tcMar>
          </w:tcPr>
          <w:p w14:paraId="0000041D" w14:textId="0000041E" w:rsidR="000B0F63" w:rsidRDefault="00C05D22" w:rsidP="00E40261">
            <w:pPr>
              <w:pStyle w:val="TableInfo"/>
              <w:jc w:val="both"/>
            </w:pPr>
            <w:r>
              <w:t>Operations</w:t>
            </w:r>
          </w:p>
        </w:tc>
        <w:tc>
          <w:tcPr>
            <w:tcW w:w="2000" w:type="dxa"/>
            <w:tcMar>
              <w:top w:w="100" w:type="dxa"/>
              <w:left w:w="100" w:type="dxa"/>
              <w:bottom w:w="100" w:type="dxa"/>
              <w:right w:w="100" w:type="dxa"/>
            </w:tcMar>
          </w:tcPr>
          <w:p w14:paraId="0000041F" w14:textId="035EC99D" w:rsidR="000B0F63" w:rsidRDefault="00A035A9" w:rsidP="00E40261">
            <w:pPr>
              <w:pStyle w:val="TableInfo"/>
              <w:jc w:val="both"/>
            </w:pPr>
            <w:r>
              <w:t>£</w:t>
            </w:r>
            <w:r w:rsidR="00C05D22">
              <w:t>688,000</w:t>
            </w:r>
          </w:p>
        </w:tc>
        <w:tc>
          <w:tcPr>
            <w:tcW w:w="4480" w:type="dxa"/>
            <w:tcMar>
              <w:top w:w="100" w:type="dxa"/>
              <w:left w:w="100" w:type="dxa"/>
              <w:bottom w:w="100" w:type="dxa"/>
              <w:right w:w="100" w:type="dxa"/>
            </w:tcMar>
          </w:tcPr>
          <w:p w14:paraId="00000421" w14:textId="79C04144" w:rsidR="000B0F63" w:rsidRDefault="00C05D22" w:rsidP="00E40261">
            <w:pPr>
              <w:pStyle w:val="TableInfo"/>
              <w:jc w:val="both"/>
            </w:pPr>
            <w:r>
              <w:t xml:space="preserve">NCS database support </w:t>
            </w:r>
            <w:r w:rsidR="000C108A">
              <w:t>(</w:t>
            </w:r>
            <w:r w:rsidR="00312BB7">
              <w:t>£</w:t>
            </w:r>
            <w:r>
              <w:t>568K), vendor support, 1 FTE infra management</w:t>
            </w:r>
          </w:p>
        </w:tc>
      </w:tr>
      <w:tr w:rsidR="00F12A44" w14:paraId="59DC0D5F" w14:textId="77777777" w:rsidTr="1524DEBB">
        <w:tc>
          <w:tcPr>
            <w:tcW w:w="3240" w:type="dxa"/>
            <w:tcMar>
              <w:top w:w="100" w:type="dxa"/>
              <w:left w:w="100" w:type="dxa"/>
              <w:bottom w:w="100" w:type="dxa"/>
              <w:right w:w="100" w:type="dxa"/>
            </w:tcMar>
          </w:tcPr>
          <w:p w14:paraId="00000423" w14:textId="00000424" w:rsidR="000B0F63" w:rsidRDefault="00C05D22" w:rsidP="00E40261">
            <w:pPr>
              <w:pStyle w:val="TableInfo"/>
              <w:jc w:val="both"/>
            </w:pPr>
            <w:r>
              <w:t>Contracts and commitments</w:t>
            </w:r>
          </w:p>
        </w:tc>
        <w:tc>
          <w:tcPr>
            <w:tcW w:w="2000" w:type="dxa"/>
            <w:tcMar>
              <w:top w:w="100" w:type="dxa"/>
              <w:left w:w="100" w:type="dxa"/>
              <w:bottom w:w="100" w:type="dxa"/>
              <w:right w:w="100" w:type="dxa"/>
            </w:tcMar>
          </w:tcPr>
          <w:p w14:paraId="00000425" w14:textId="666931CC" w:rsidR="000B0F63" w:rsidRDefault="00A035A9" w:rsidP="00E40261">
            <w:pPr>
              <w:pStyle w:val="TableInfo"/>
              <w:jc w:val="both"/>
            </w:pPr>
            <w:r>
              <w:t>£</w:t>
            </w:r>
            <w:r w:rsidR="00C05D22">
              <w:t>80,000</w:t>
            </w:r>
          </w:p>
        </w:tc>
        <w:tc>
          <w:tcPr>
            <w:tcW w:w="4480" w:type="dxa"/>
            <w:tcMar>
              <w:top w:w="100" w:type="dxa"/>
              <w:left w:w="100" w:type="dxa"/>
              <w:bottom w:w="100" w:type="dxa"/>
              <w:right w:w="100" w:type="dxa"/>
            </w:tcMar>
          </w:tcPr>
          <w:p w14:paraId="00000427" w14:textId="00000428" w:rsidR="000B0F63" w:rsidRDefault="1BAB210A" w:rsidP="00E40261">
            <w:pPr>
              <w:pStyle w:val="TableInfo"/>
              <w:jc w:val="both"/>
            </w:pPr>
            <w:r w:rsidRPr="1524DEBB">
              <w:rPr>
                <w:lang w:val="en-GB"/>
              </w:rPr>
              <w:t xml:space="preserve">Microsoft </w:t>
            </w:r>
            <w:proofErr w:type="spellStart"/>
            <w:r w:rsidRPr="1524DEBB">
              <w:rPr>
                <w:lang w:val="en-GB"/>
              </w:rPr>
              <w:t>Bluesource</w:t>
            </w:r>
            <w:proofErr w:type="spellEnd"/>
            <w:r w:rsidRPr="1524DEBB">
              <w:rPr>
                <w:lang w:val="en-GB"/>
              </w:rPr>
              <w:t xml:space="preserve"> support</w:t>
            </w:r>
          </w:p>
        </w:tc>
      </w:tr>
      <w:tr w:rsidR="00F12A44" w14:paraId="3E06D1B6" w14:textId="77777777" w:rsidTr="1524DEBB">
        <w:tc>
          <w:tcPr>
            <w:tcW w:w="3240" w:type="dxa"/>
            <w:tcMar>
              <w:top w:w="100" w:type="dxa"/>
              <w:left w:w="100" w:type="dxa"/>
              <w:bottom w:w="100" w:type="dxa"/>
              <w:right w:w="100" w:type="dxa"/>
            </w:tcMar>
          </w:tcPr>
          <w:p w14:paraId="00000429" w14:textId="0000042A" w:rsidR="000B0F63" w:rsidRDefault="00C05D22" w:rsidP="00E40261">
            <w:pPr>
              <w:pStyle w:val="TableInfo"/>
              <w:jc w:val="both"/>
            </w:pPr>
            <w:r>
              <w:t>Grand total</w:t>
            </w:r>
          </w:p>
        </w:tc>
        <w:tc>
          <w:tcPr>
            <w:tcW w:w="2000" w:type="dxa"/>
            <w:tcMar>
              <w:top w:w="100" w:type="dxa"/>
              <w:left w:w="100" w:type="dxa"/>
              <w:bottom w:w="100" w:type="dxa"/>
              <w:right w:w="100" w:type="dxa"/>
            </w:tcMar>
          </w:tcPr>
          <w:p w14:paraId="0000042B" w14:textId="6CA84DED" w:rsidR="000B0F63" w:rsidRDefault="00A035A9" w:rsidP="00E40261">
            <w:pPr>
              <w:pStyle w:val="TableInfo"/>
              <w:jc w:val="both"/>
            </w:pPr>
            <w:r>
              <w:t>£</w:t>
            </w:r>
            <w:r w:rsidR="00C05D22">
              <w:t>3,636,342</w:t>
            </w:r>
          </w:p>
        </w:tc>
        <w:tc>
          <w:tcPr>
            <w:tcW w:w="4480" w:type="dxa"/>
            <w:tcMar>
              <w:top w:w="100" w:type="dxa"/>
              <w:left w:w="100" w:type="dxa"/>
              <w:bottom w:w="100" w:type="dxa"/>
              <w:right w:w="100" w:type="dxa"/>
            </w:tcMar>
          </w:tcPr>
          <w:p w14:paraId="0000042D" w14:textId="0000042E" w:rsidR="000B0F63" w:rsidRDefault="00C05D22" w:rsidP="00E40261">
            <w:pPr>
              <w:pStyle w:val="TableInfo"/>
              <w:jc w:val="both"/>
            </w:pPr>
            <w:r>
              <w:t>Per year</w:t>
            </w:r>
          </w:p>
        </w:tc>
      </w:tr>
    </w:tbl>
    <w:p w14:paraId="10BC1469" w14:textId="77777777" w:rsidR="008D74B0" w:rsidRDefault="008D74B0" w:rsidP="00E40261">
      <w:pPr>
        <w:jc w:val="both"/>
      </w:pPr>
    </w:p>
    <w:p w14:paraId="0000042F" w14:textId="0B1A730B" w:rsidR="000B0F63" w:rsidRDefault="00C05D22" w:rsidP="00E40261">
      <w:pPr>
        <w:jc w:val="both"/>
      </w:pPr>
      <w:r>
        <w:t xml:space="preserve">This figure is the on-premises anchor. It does not include the Broadcom </w:t>
      </w:r>
      <w:commentRangeStart w:id="215"/>
      <w:r>
        <w:t>VCF</w:t>
      </w:r>
      <w:commentRangeEnd w:id="215"/>
      <w:r w:rsidR="006B1F95">
        <w:rPr>
          <w:rStyle w:val="CommentReference"/>
          <w:sz w:val="22"/>
          <w:szCs w:val="22"/>
        </w:rPr>
        <w:commentReference w:id="215"/>
      </w:r>
      <w:r>
        <w:t xml:space="preserve"> subscription cost that will apply when new or expanded VMware hosts are needed. It also does not include hardware refresh beyond the existing 5-year depreciation schedule.</w:t>
      </w:r>
    </w:p>
    <w:p w14:paraId="00000431" w14:textId="446A6654" w:rsidR="000B0F63" w:rsidRDefault="00C05D22" w:rsidP="00E40261">
      <w:pPr>
        <w:jc w:val="both"/>
      </w:pPr>
      <w:r>
        <w:t xml:space="preserve">The Complete View with indicative egress for GCP </w:t>
      </w:r>
      <w:r w:rsidR="000C108A">
        <w:t>(</w:t>
      </w:r>
      <w:r w:rsidR="00312BB7">
        <w:t>£</w:t>
      </w:r>
      <w:r>
        <w:t>264,501/</w:t>
      </w:r>
      <w:proofErr w:type="spellStart"/>
      <w:r>
        <w:t>mo</w:t>
      </w:r>
      <w:proofErr w:type="spellEnd"/>
      <w:r>
        <w:t xml:space="preserve"> = </w:t>
      </w:r>
      <w:r w:rsidR="00312BB7">
        <w:t>£</w:t>
      </w:r>
      <w:r>
        <w:t xml:space="preserve">3.17M/yr) is approximately </w:t>
      </w:r>
      <w:r w:rsidR="00312BB7">
        <w:t>£</w:t>
      </w:r>
      <w:r>
        <w:t xml:space="preserve">462K/yr below this baseline. For AWS, approximately </w:t>
      </w:r>
      <w:r w:rsidR="00312BB7">
        <w:t>£</w:t>
      </w:r>
      <w:r>
        <w:t xml:space="preserve">344K/yr below. Azure is approximately </w:t>
      </w:r>
      <w:r w:rsidR="00312BB7">
        <w:t>£</w:t>
      </w:r>
      <w:r>
        <w:t>555K/yr above the on-premises baseline. These comparisons exclude migration cost (out of scope for Phase 1 per SoW) and exclude optimisation levers that require client confirmation.</w:t>
      </w:r>
    </w:p>
    <w:p w14:paraId="00000433" w14:textId="00000434" w:rsidR="000B0F63" w:rsidRDefault="1BAB210A" w:rsidP="00E40261">
      <w:pPr>
        <w:pStyle w:val="Heading2"/>
        <w:jc w:val="both"/>
      </w:pPr>
      <w:bookmarkStart w:id="216" w:name="_Toc158"/>
      <w:bookmarkStart w:id="217" w:name="_Toc227770941"/>
      <w:r>
        <w:t>Commercial Layer (Partner Discounts and Credits)</w:t>
      </w:r>
      <w:bookmarkEnd w:id="216"/>
      <w:bookmarkEnd w:id="217"/>
    </w:p>
    <w:p w14:paraId="64FF07D2" w14:textId="77777777" w:rsidR="00A90B04" w:rsidRDefault="00C05D22" w:rsidP="007E4A56">
      <w:pPr>
        <w:pStyle w:val="InsetText"/>
        <w:jc w:val="both"/>
      </w:pPr>
      <w:r>
        <w:t xml:space="preserve">[PENDING: partner discount and migration credit proposals from AWS, Azure, and GCP. Sales team is co-ordinating with partner leads. Not included in the figures above. Will be added as a distinct layer once received, </w:t>
      </w:r>
      <w:commentRangeStart w:id="218"/>
      <w:commentRangeStart w:id="219"/>
      <w:r>
        <w:t>labelled</w:t>
      </w:r>
      <w:commentRangeEnd w:id="218"/>
      <w:r w:rsidR="00257357">
        <w:rPr>
          <w:rStyle w:val="CommentReference"/>
          <w:sz w:val="22"/>
          <w:szCs w:val="22"/>
        </w:rPr>
        <w:commentReference w:id="218"/>
      </w:r>
      <w:commentRangeEnd w:id="219"/>
      <w:r>
        <w:rPr>
          <w:rStyle w:val="CommentReference"/>
          <w:sz w:val="22"/>
          <w:szCs w:val="22"/>
        </w:rPr>
        <w:commentReference w:id="219"/>
      </w:r>
      <w:r>
        <w:t xml:space="preserve"> as commercial rather than retail.]</w:t>
      </w:r>
    </w:p>
    <w:tbl>
      <w:tblPr>
        <w:tblW w:w="9992" w:type="dxa"/>
        <w:tblCellMar>
          <w:left w:w="0" w:type="dxa"/>
          <w:right w:w="0" w:type="dxa"/>
        </w:tblCellMar>
        <w:tblLook w:val="0420" w:firstRow="1" w:lastRow="0" w:firstColumn="0" w:lastColumn="0" w:noHBand="0" w:noVBand="1"/>
      </w:tblPr>
      <w:tblGrid>
        <w:gridCol w:w="3033"/>
        <w:gridCol w:w="2344"/>
        <w:gridCol w:w="2280"/>
        <w:gridCol w:w="2335"/>
      </w:tblGrid>
      <w:tr w:rsidR="00D7546B" w:rsidRPr="00D24E77" w14:paraId="54EC324C" w14:textId="77777777" w:rsidTr="00387A14">
        <w:trPr>
          <w:trHeight w:val="584"/>
        </w:trPr>
        <w:tc>
          <w:tcPr>
            <w:tcW w:w="30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2D15B1" w14:textId="77777777" w:rsidR="00D7546B" w:rsidRPr="00D7546B" w:rsidRDefault="00D7546B" w:rsidP="00D7546B">
            <w:pPr>
              <w:pStyle w:val="InsetText"/>
              <w:jc w:val="both"/>
              <w:rPr>
                <w:sz w:val="18"/>
                <w:szCs w:val="18"/>
                <w:lang w:val="en-IN"/>
              </w:rPr>
            </w:pPr>
          </w:p>
        </w:tc>
        <w:tc>
          <w:tcPr>
            <w:tcW w:w="23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6A5FB99" w14:textId="77777777" w:rsidR="00D7546B" w:rsidRPr="00D7546B" w:rsidRDefault="00D7546B" w:rsidP="00D7546B">
            <w:pPr>
              <w:pStyle w:val="InsetText"/>
              <w:jc w:val="both"/>
              <w:rPr>
                <w:sz w:val="18"/>
                <w:szCs w:val="18"/>
                <w:lang w:val="en-IN"/>
              </w:rPr>
            </w:pPr>
            <w:r w:rsidRPr="00D7546B">
              <w:rPr>
                <w:b/>
                <w:sz w:val="18"/>
                <w:szCs w:val="18"/>
                <w:lang w:val="en-US"/>
              </w:rPr>
              <w:t>AWS</w:t>
            </w:r>
          </w:p>
        </w:tc>
        <w:tc>
          <w:tcPr>
            <w:tcW w:w="2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8B1DD52" w14:textId="77777777" w:rsidR="00D7546B" w:rsidRPr="00D7546B" w:rsidRDefault="00D7546B" w:rsidP="00D7546B">
            <w:pPr>
              <w:pStyle w:val="InsetText"/>
              <w:jc w:val="both"/>
              <w:rPr>
                <w:sz w:val="18"/>
                <w:szCs w:val="18"/>
                <w:lang w:val="en-IN"/>
              </w:rPr>
            </w:pPr>
            <w:r w:rsidRPr="00D7546B">
              <w:rPr>
                <w:b/>
                <w:sz w:val="18"/>
                <w:szCs w:val="18"/>
                <w:lang w:val="en-US"/>
              </w:rPr>
              <w:t>GCP</w:t>
            </w:r>
          </w:p>
        </w:tc>
        <w:tc>
          <w:tcPr>
            <w:tcW w:w="2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A846A3B" w14:textId="77777777" w:rsidR="00D7546B" w:rsidRPr="00D7546B" w:rsidRDefault="00D7546B" w:rsidP="00D7546B">
            <w:pPr>
              <w:pStyle w:val="InsetText"/>
              <w:jc w:val="both"/>
              <w:rPr>
                <w:sz w:val="18"/>
                <w:szCs w:val="18"/>
                <w:lang w:val="en-IN"/>
              </w:rPr>
            </w:pPr>
            <w:r w:rsidRPr="00D7546B">
              <w:rPr>
                <w:b/>
                <w:sz w:val="18"/>
                <w:szCs w:val="18"/>
                <w:lang w:val="en-US"/>
              </w:rPr>
              <w:t>Azure</w:t>
            </w:r>
          </w:p>
        </w:tc>
      </w:tr>
      <w:tr w:rsidR="00D7546B" w:rsidRPr="00D24E77" w14:paraId="64144EE5" w14:textId="77777777" w:rsidTr="00387A14">
        <w:trPr>
          <w:trHeight w:val="584"/>
        </w:trPr>
        <w:tc>
          <w:tcPr>
            <w:tcW w:w="30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45277C9" w14:textId="54EE7DBA" w:rsidR="00D7546B" w:rsidRPr="00D7546B" w:rsidRDefault="00D7546B" w:rsidP="00F7600D">
            <w:pPr>
              <w:pStyle w:val="InsetText"/>
              <w:ind w:left="271"/>
              <w:rPr>
                <w:sz w:val="18"/>
                <w:szCs w:val="18"/>
                <w:lang w:val="en-IN"/>
              </w:rPr>
            </w:pPr>
            <w:r w:rsidRPr="00D7546B">
              <w:rPr>
                <w:sz w:val="18"/>
                <w:szCs w:val="18"/>
                <w:lang w:val="en-US"/>
              </w:rPr>
              <w:t xml:space="preserve">Total </w:t>
            </w:r>
            <w:r w:rsidR="000335F2">
              <w:rPr>
                <w:sz w:val="18"/>
                <w:szCs w:val="18"/>
                <w:lang w:val="en-US"/>
              </w:rPr>
              <w:t>C</w:t>
            </w:r>
            <w:r w:rsidRPr="00D7546B">
              <w:rPr>
                <w:sz w:val="18"/>
                <w:szCs w:val="18"/>
                <w:lang w:val="en-US"/>
              </w:rPr>
              <w:t xml:space="preserve">loud </w:t>
            </w:r>
            <w:r w:rsidR="000335F2">
              <w:rPr>
                <w:sz w:val="18"/>
                <w:szCs w:val="18"/>
                <w:lang w:val="en-US"/>
              </w:rPr>
              <w:t>S</w:t>
            </w:r>
            <w:r w:rsidRPr="00D7546B">
              <w:rPr>
                <w:sz w:val="18"/>
                <w:szCs w:val="18"/>
                <w:lang w:val="en-US"/>
              </w:rPr>
              <w:t xml:space="preserve">pend </w:t>
            </w:r>
            <w:r w:rsidR="00F7600D">
              <w:rPr>
                <w:sz w:val="18"/>
                <w:szCs w:val="18"/>
                <w:lang w:val="en-US"/>
              </w:rPr>
              <w:t xml:space="preserve">    </w:t>
            </w:r>
            <w:proofErr w:type="gramStart"/>
            <w:r w:rsidR="00F7600D">
              <w:rPr>
                <w:sz w:val="18"/>
                <w:szCs w:val="18"/>
                <w:lang w:val="en-US"/>
              </w:rPr>
              <w:t xml:space="preserve">   </w:t>
            </w:r>
            <w:r w:rsidRPr="00D7546B">
              <w:rPr>
                <w:sz w:val="18"/>
                <w:szCs w:val="18"/>
                <w:lang w:val="en-US"/>
              </w:rPr>
              <w:t>(</w:t>
            </w:r>
            <w:proofErr w:type="gramEnd"/>
            <w:r w:rsidR="00F7600D">
              <w:rPr>
                <w:sz w:val="18"/>
                <w:szCs w:val="18"/>
                <w:lang w:val="en-US"/>
              </w:rPr>
              <w:t>3-yr Reserved</w:t>
            </w:r>
            <w:r w:rsidRPr="00D7546B">
              <w:rPr>
                <w:sz w:val="18"/>
                <w:szCs w:val="18"/>
                <w:lang w:val="en-US"/>
              </w:rPr>
              <w:t xml:space="preserve"> yearly)</w:t>
            </w:r>
          </w:p>
        </w:tc>
        <w:tc>
          <w:tcPr>
            <w:tcW w:w="23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CA1C41" w14:textId="2635A0C6" w:rsidR="00D7546B" w:rsidRPr="00D7546B" w:rsidRDefault="00F4012D" w:rsidP="00D7546B">
            <w:pPr>
              <w:pStyle w:val="InsetText"/>
              <w:ind w:left="415" w:hanging="267"/>
              <w:jc w:val="center"/>
              <w:rPr>
                <w:sz w:val="18"/>
                <w:szCs w:val="18"/>
                <w:lang w:val="en-IN"/>
              </w:rPr>
            </w:pPr>
            <w:r>
              <w:rPr>
                <w:sz w:val="18"/>
                <w:szCs w:val="18"/>
              </w:rPr>
              <w:t>$</w:t>
            </w:r>
            <w:r w:rsidR="00D24E77">
              <w:rPr>
                <w:sz w:val="18"/>
                <w:szCs w:val="18"/>
              </w:rPr>
              <w:t xml:space="preserve"> </w:t>
            </w:r>
            <w:r w:rsidR="00A16865" w:rsidRPr="00A16865">
              <w:rPr>
                <w:sz w:val="18"/>
                <w:szCs w:val="18"/>
              </w:rPr>
              <w:t>3,024,396</w:t>
            </w:r>
          </w:p>
        </w:tc>
        <w:tc>
          <w:tcPr>
            <w:tcW w:w="2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AAD954" w14:textId="3F089A16" w:rsidR="00D7546B" w:rsidRPr="00D7546B" w:rsidRDefault="00724DCA" w:rsidP="00724DCA">
            <w:pPr>
              <w:pStyle w:val="InsetText"/>
              <w:ind w:left="0"/>
              <w:jc w:val="center"/>
              <w:rPr>
                <w:sz w:val="18"/>
                <w:szCs w:val="18"/>
                <w:lang w:val="en-IN"/>
              </w:rPr>
            </w:pPr>
            <w:r>
              <w:rPr>
                <w:sz w:val="18"/>
                <w:szCs w:val="18"/>
              </w:rPr>
              <w:t xml:space="preserve"> </w:t>
            </w:r>
            <w:r w:rsidR="00F4012D">
              <w:rPr>
                <w:sz w:val="18"/>
                <w:szCs w:val="18"/>
              </w:rPr>
              <w:t>$</w:t>
            </w:r>
            <w:r w:rsidR="00D7546B" w:rsidRPr="00D7546B">
              <w:rPr>
                <w:sz w:val="18"/>
                <w:szCs w:val="18"/>
              </w:rPr>
              <w:t xml:space="preserve"> </w:t>
            </w:r>
            <w:r w:rsidR="008C4EF3" w:rsidRPr="008C4EF3">
              <w:rPr>
                <w:sz w:val="18"/>
                <w:szCs w:val="18"/>
              </w:rPr>
              <w:t>2,243,685</w:t>
            </w:r>
          </w:p>
        </w:tc>
        <w:tc>
          <w:tcPr>
            <w:tcW w:w="2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606520" w14:textId="11E72478" w:rsidR="00D7546B" w:rsidRPr="00D7546B" w:rsidRDefault="00F4012D" w:rsidP="00D24E77">
            <w:pPr>
              <w:pStyle w:val="InsetText"/>
              <w:ind w:hanging="257"/>
              <w:jc w:val="both"/>
              <w:rPr>
                <w:sz w:val="18"/>
                <w:szCs w:val="18"/>
                <w:lang w:val="en-IN"/>
              </w:rPr>
            </w:pPr>
            <w:r>
              <w:rPr>
                <w:sz w:val="18"/>
                <w:szCs w:val="18"/>
              </w:rPr>
              <w:t>$</w:t>
            </w:r>
            <w:r w:rsidR="00D7546B" w:rsidRPr="00D7546B">
              <w:rPr>
                <w:sz w:val="18"/>
                <w:szCs w:val="18"/>
              </w:rPr>
              <w:t xml:space="preserve"> </w:t>
            </w:r>
            <w:r w:rsidR="00B8006D" w:rsidRPr="00B8006D">
              <w:rPr>
                <w:sz w:val="18"/>
                <w:szCs w:val="18"/>
              </w:rPr>
              <w:t>4,368,962</w:t>
            </w:r>
          </w:p>
        </w:tc>
      </w:tr>
      <w:tr w:rsidR="00D7546B" w:rsidRPr="00D24E77" w14:paraId="28B35A45" w14:textId="77777777" w:rsidTr="00387A14">
        <w:trPr>
          <w:trHeight w:val="584"/>
        </w:trPr>
        <w:tc>
          <w:tcPr>
            <w:tcW w:w="30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2391F6" w14:textId="4B719CE3" w:rsidR="007F4BA9" w:rsidRDefault="00D7546B" w:rsidP="007F4BA9">
            <w:pPr>
              <w:pStyle w:val="InsetText"/>
              <w:ind w:left="129"/>
              <w:rPr>
                <w:sz w:val="18"/>
                <w:szCs w:val="18"/>
                <w:lang w:val="en-US"/>
              </w:rPr>
            </w:pPr>
            <w:r w:rsidRPr="00D7546B">
              <w:rPr>
                <w:sz w:val="18"/>
                <w:szCs w:val="18"/>
                <w:lang w:val="en-US"/>
              </w:rPr>
              <w:t>Total Partner</w:t>
            </w:r>
            <w:r w:rsidR="007F4BA9">
              <w:rPr>
                <w:sz w:val="18"/>
                <w:szCs w:val="18"/>
                <w:lang w:val="en-US"/>
              </w:rPr>
              <w:t xml:space="preserve"> </w:t>
            </w:r>
            <w:r w:rsidRPr="00D7546B">
              <w:rPr>
                <w:sz w:val="18"/>
                <w:szCs w:val="18"/>
                <w:lang w:val="en-US"/>
              </w:rPr>
              <w:t>Payment(A)</w:t>
            </w:r>
          </w:p>
          <w:p w14:paraId="41A3845A" w14:textId="0B7D442E" w:rsidR="00D7546B" w:rsidRPr="00D7546B" w:rsidRDefault="00D7546B" w:rsidP="008913D9">
            <w:pPr>
              <w:pStyle w:val="InsetText"/>
              <w:ind w:left="129"/>
              <w:jc w:val="center"/>
              <w:rPr>
                <w:sz w:val="18"/>
                <w:szCs w:val="18"/>
                <w:lang w:val="en-IN"/>
              </w:rPr>
            </w:pPr>
            <w:r w:rsidRPr="00D7546B">
              <w:rPr>
                <w:sz w:val="18"/>
                <w:szCs w:val="18"/>
                <w:lang w:val="en-US"/>
              </w:rPr>
              <w:t>(</w:t>
            </w:r>
            <w:r w:rsidR="005A1022">
              <w:rPr>
                <w:sz w:val="18"/>
                <w:szCs w:val="18"/>
                <w:lang w:val="en-US"/>
              </w:rPr>
              <w:t>discount against</w:t>
            </w:r>
            <w:r w:rsidRPr="00D7546B">
              <w:rPr>
                <w:sz w:val="18"/>
                <w:szCs w:val="18"/>
                <w:lang w:val="en-US"/>
              </w:rPr>
              <w:t xml:space="preserve"> Rackspace Fees)</w:t>
            </w:r>
          </w:p>
        </w:tc>
        <w:tc>
          <w:tcPr>
            <w:tcW w:w="23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9193F72" w14:textId="7E3F5D37" w:rsidR="00D7546B" w:rsidRPr="00D7546B" w:rsidRDefault="00F4012D" w:rsidP="007F4BA9">
            <w:pPr>
              <w:pStyle w:val="InsetText"/>
              <w:ind w:left="415" w:hanging="267"/>
              <w:jc w:val="center"/>
              <w:rPr>
                <w:sz w:val="18"/>
                <w:szCs w:val="18"/>
                <w:lang w:val="en-IN"/>
              </w:rPr>
            </w:pPr>
            <w:r>
              <w:rPr>
                <w:sz w:val="18"/>
                <w:szCs w:val="18"/>
                <w:lang w:val="en-IN"/>
              </w:rPr>
              <w:t>$</w:t>
            </w:r>
            <w:r w:rsidR="00D7546B" w:rsidRPr="00D7546B">
              <w:rPr>
                <w:sz w:val="18"/>
                <w:szCs w:val="18"/>
                <w:lang w:val="en-IN"/>
              </w:rPr>
              <w:t xml:space="preserve"> </w:t>
            </w:r>
            <w:r w:rsidR="00E3710B" w:rsidRPr="00E3710B">
              <w:rPr>
                <w:sz w:val="18"/>
                <w:szCs w:val="18"/>
              </w:rPr>
              <w:t>1,757,600</w:t>
            </w:r>
          </w:p>
        </w:tc>
        <w:tc>
          <w:tcPr>
            <w:tcW w:w="2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F989B74" w14:textId="3099B32C" w:rsidR="003E1920" w:rsidRPr="003E1920" w:rsidRDefault="00F4012D" w:rsidP="00EC10EB">
            <w:pPr>
              <w:pStyle w:val="InsetText"/>
              <w:ind w:left="415" w:hanging="267"/>
              <w:jc w:val="center"/>
              <w:rPr>
                <w:sz w:val="18"/>
                <w:szCs w:val="18"/>
              </w:rPr>
            </w:pPr>
            <w:r>
              <w:rPr>
                <w:sz w:val="18"/>
                <w:szCs w:val="18"/>
                <w:lang w:val="en-IN"/>
              </w:rPr>
              <w:t>$</w:t>
            </w:r>
            <w:r w:rsidR="00D7546B" w:rsidRPr="00D7546B">
              <w:rPr>
                <w:sz w:val="18"/>
                <w:szCs w:val="18"/>
                <w:lang w:val="en-IN"/>
              </w:rPr>
              <w:t xml:space="preserve"> </w:t>
            </w:r>
            <w:r w:rsidR="003E1920" w:rsidRPr="003E1920">
              <w:rPr>
                <w:sz w:val="18"/>
                <w:szCs w:val="18"/>
              </w:rPr>
              <w:t>1,080,498</w:t>
            </w:r>
          </w:p>
          <w:p w14:paraId="18A3CE96" w14:textId="2C908AFB" w:rsidR="00D7546B" w:rsidRPr="00D7546B" w:rsidRDefault="00D7546B" w:rsidP="003E1920">
            <w:pPr>
              <w:pStyle w:val="InsetText"/>
              <w:ind w:left="415" w:hanging="267"/>
              <w:rPr>
                <w:sz w:val="18"/>
                <w:szCs w:val="18"/>
                <w:lang w:val="en-IN"/>
              </w:rPr>
            </w:pPr>
          </w:p>
        </w:tc>
        <w:tc>
          <w:tcPr>
            <w:tcW w:w="2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38FF9F" w14:textId="6B6ECE9B" w:rsidR="00D7546B" w:rsidRPr="00D7546B" w:rsidRDefault="00B230DB" w:rsidP="007F4BA9">
            <w:pPr>
              <w:pStyle w:val="InsetText"/>
              <w:ind w:left="415" w:hanging="267"/>
              <w:jc w:val="center"/>
              <w:rPr>
                <w:sz w:val="18"/>
                <w:szCs w:val="18"/>
                <w:highlight w:val="yellow"/>
                <w:lang w:val="en-IN"/>
              </w:rPr>
            </w:pPr>
            <w:proofErr w:type="spellStart"/>
            <w:r>
              <w:rPr>
                <w:sz w:val="18"/>
                <w:szCs w:val="18"/>
                <w:highlight w:val="yellow"/>
                <w:lang w:val="en-IN"/>
              </w:rPr>
              <w:t>xxxx</w:t>
            </w:r>
            <w:proofErr w:type="spellEnd"/>
          </w:p>
        </w:tc>
      </w:tr>
      <w:tr w:rsidR="00D7546B" w:rsidRPr="00D24E77" w14:paraId="7449DB35" w14:textId="77777777" w:rsidTr="00387A14">
        <w:trPr>
          <w:trHeight w:val="584"/>
        </w:trPr>
        <w:tc>
          <w:tcPr>
            <w:tcW w:w="30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9AC4F0" w14:textId="77777777" w:rsidR="00D7546B" w:rsidRPr="00D7546B" w:rsidRDefault="00D7546B" w:rsidP="008913D9">
            <w:pPr>
              <w:pStyle w:val="InsetText"/>
              <w:ind w:hanging="411"/>
              <w:rPr>
                <w:sz w:val="18"/>
                <w:szCs w:val="18"/>
                <w:lang w:val="en-IN"/>
              </w:rPr>
            </w:pPr>
            <w:r w:rsidRPr="00D7546B">
              <w:rPr>
                <w:sz w:val="18"/>
                <w:szCs w:val="18"/>
                <w:lang w:val="en-US"/>
              </w:rPr>
              <w:t>Total Cloud Credits (B)</w:t>
            </w:r>
          </w:p>
          <w:p w14:paraId="6381E3AE" w14:textId="115CFDC3" w:rsidR="00D7546B" w:rsidRPr="00D7546B" w:rsidRDefault="00D7546B" w:rsidP="008913D9">
            <w:pPr>
              <w:pStyle w:val="InsetText"/>
              <w:ind w:left="0"/>
              <w:jc w:val="center"/>
              <w:rPr>
                <w:sz w:val="18"/>
                <w:szCs w:val="18"/>
                <w:lang w:val="en-IN"/>
              </w:rPr>
            </w:pPr>
            <w:r w:rsidRPr="00D7546B">
              <w:rPr>
                <w:sz w:val="18"/>
                <w:szCs w:val="18"/>
                <w:lang w:val="en-US"/>
              </w:rPr>
              <w:t>(</w:t>
            </w:r>
            <w:r w:rsidR="005A1022">
              <w:rPr>
                <w:sz w:val="18"/>
                <w:szCs w:val="18"/>
                <w:lang w:val="en-US"/>
              </w:rPr>
              <w:t>discount against</w:t>
            </w:r>
            <w:r w:rsidRPr="00D7546B">
              <w:rPr>
                <w:sz w:val="18"/>
                <w:szCs w:val="18"/>
                <w:lang w:val="en-US"/>
              </w:rPr>
              <w:t xml:space="preserve"> </w:t>
            </w:r>
            <w:r w:rsidR="005A1022">
              <w:rPr>
                <w:sz w:val="18"/>
                <w:szCs w:val="18"/>
                <w:lang w:val="en-US"/>
              </w:rPr>
              <w:t>DMG Media</w:t>
            </w:r>
            <w:r w:rsidRPr="00D7546B">
              <w:rPr>
                <w:sz w:val="18"/>
                <w:szCs w:val="18"/>
                <w:lang w:val="en-US"/>
              </w:rPr>
              <w:t>’s consumption)</w:t>
            </w:r>
          </w:p>
        </w:tc>
        <w:tc>
          <w:tcPr>
            <w:tcW w:w="23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0888C5" w14:textId="62F84CCA" w:rsidR="00D7546B" w:rsidRPr="00D7546B" w:rsidRDefault="00F4012D" w:rsidP="007F4BA9">
            <w:pPr>
              <w:pStyle w:val="InsetText"/>
              <w:ind w:left="415" w:hanging="267"/>
              <w:jc w:val="center"/>
              <w:rPr>
                <w:sz w:val="18"/>
                <w:szCs w:val="18"/>
                <w:lang w:val="en-IN"/>
              </w:rPr>
            </w:pPr>
            <w:r>
              <w:rPr>
                <w:sz w:val="18"/>
                <w:szCs w:val="18"/>
                <w:lang w:val="en-IN"/>
              </w:rPr>
              <w:t>$</w:t>
            </w:r>
            <w:r w:rsidR="00D7546B" w:rsidRPr="00D7546B">
              <w:rPr>
                <w:sz w:val="18"/>
                <w:szCs w:val="18"/>
                <w:lang w:val="en-IN"/>
              </w:rPr>
              <w:t xml:space="preserve"> </w:t>
            </w:r>
            <w:r w:rsidR="00A53DCF" w:rsidRPr="00A53DCF">
              <w:rPr>
                <w:sz w:val="18"/>
                <w:szCs w:val="18"/>
              </w:rPr>
              <w:t>756,099</w:t>
            </w:r>
          </w:p>
        </w:tc>
        <w:tc>
          <w:tcPr>
            <w:tcW w:w="2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7739907" w14:textId="1A6EDF9D" w:rsidR="00D7546B" w:rsidRPr="00D7546B" w:rsidRDefault="00F4012D" w:rsidP="007F4BA9">
            <w:pPr>
              <w:pStyle w:val="InsetText"/>
              <w:ind w:left="415" w:hanging="267"/>
              <w:jc w:val="center"/>
              <w:rPr>
                <w:sz w:val="18"/>
                <w:szCs w:val="18"/>
                <w:lang w:val="en-IN"/>
              </w:rPr>
            </w:pPr>
            <w:r>
              <w:rPr>
                <w:sz w:val="18"/>
                <w:szCs w:val="18"/>
                <w:lang w:val="en-IN"/>
              </w:rPr>
              <w:t>$</w:t>
            </w:r>
            <w:r w:rsidR="00D7546B" w:rsidRPr="00D7546B">
              <w:rPr>
                <w:sz w:val="18"/>
                <w:szCs w:val="18"/>
                <w:lang w:val="en-IN"/>
              </w:rPr>
              <w:t xml:space="preserve"> </w:t>
            </w:r>
            <w:r w:rsidR="003E1920" w:rsidRPr="003E1920">
              <w:rPr>
                <w:sz w:val="18"/>
                <w:szCs w:val="18"/>
              </w:rPr>
              <w:t>745,192</w:t>
            </w:r>
          </w:p>
        </w:tc>
        <w:tc>
          <w:tcPr>
            <w:tcW w:w="2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8C26282" w14:textId="77777777" w:rsidR="00D7546B" w:rsidRPr="00D7546B" w:rsidRDefault="00D7546B" w:rsidP="007F4BA9">
            <w:pPr>
              <w:pStyle w:val="InsetText"/>
              <w:ind w:left="415" w:hanging="267"/>
              <w:jc w:val="center"/>
              <w:rPr>
                <w:sz w:val="18"/>
                <w:szCs w:val="18"/>
                <w:highlight w:val="yellow"/>
                <w:lang w:val="en-IN"/>
              </w:rPr>
            </w:pPr>
            <w:r w:rsidRPr="00D7546B">
              <w:rPr>
                <w:sz w:val="18"/>
                <w:szCs w:val="18"/>
                <w:highlight w:val="yellow"/>
                <w:lang w:val="en-IN"/>
              </w:rPr>
              <w:t>-</w:t>
            </w:r>
          </w:p>
        </w:tc>
      </w:tr>
      <w:tr w:rsidR="00D7546B" w:rsidRPr="00D24E77" w14:paraId="315DD1BD" w14:textId="77777777" w:rsidTr="00387A14">
        <w:trPr>
          <w:trHeight w:val="584"/>
        </w:trPr>
        <w:tc>
          <w:tcPr>
            <w:tcW w:w="30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6B731E" w14:textId="00E849A6" w:rsidR="00D7546B" w:rsidRPr="00D7546B" w:rsidRDefault="00D7546B" w:rsidP="008913D9">
            <w:pPr>
              <w:pStyle w:val="InsetText"/>
              <w:ind w:hanging="411"/>
              <w:jc w:val="both"/>
              <w:rPr>
                <w:sz w:val="18"/>
                <w:szCs w:val="18"/>
                <w:lang w:val="en-IN"/>
              </w:rPr>
            </w:pPr>
            <w:r w:rsidRPr="00D7546B">
              <w:rPr>
                <w:sz w:val="18"/>
                <w:szCs w:val="18"/>
                <w:lang w:val="en-IN"/>
              </w:rPr>
              <w:t xml:space="preserve">Total funding </w:t>
            </w:r>
            <w:r w:rsidR="00361B16">
              <w:rPr>
                <w:sz w:val="18"/>
                <w:szCs w:val="18"/>
                <w:lang w:val="en-IN"/>
              </w:rPr>
              <w:t xml:space="preserve">in USD </w:t>
            </w:r>
            <w:r w:rsidRPr="00D7546B">
              <w:rPr>
                <w:sz w:val="18"/>
                <w:szCs w:val="18"/>
                <w:lang w:val="en-IN"/>
              </w:rPr>
              <w:t>(A+B)</w:t>
            </w:r>
          </w:p>
        </w:tc>
        <w:tc>
          <w:tcPr>
            <w:tcW w:w="23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52C3145" w14:textId="55CEEE2A" w:rsidR="00D7546B" w:rsidRPr="00D7546B" w:rsidRDefault="00F4012D" w:rsidP="007F4BA9">
            <w:pPr>
              <w:pStyle w:val="InsetText"/>
              <w:ind w:left="415" w:hanging="267"/>
              <w:jc w:val="center"/>
              <w:rPr>
                <w:sz w:val="18"/>
                <w:szCs w:val="18"/>
                <w:lang w:val="en-IN"/>
              </w:rPr>
            </w:pPr>
            <w:r>
              <w:rPr>
                <w:sz w:val="18"/>
                <w:szCs w:val="18"/>
                <w:lang w:val="en-IN"/>
              </w:rPr>
              <w:t>$</w:t>
            </w:r>
            <w:r w:rsidR="00D7546B" w:rsidRPr="00D7546B">
              <w:rPr>
                <w:sz w:val="18"/>
                <w:szCs w:val="18"/>
                <w:lang w:val="en-IN"/>
              </w:rPr>
              <w:t xml:space="preserve"> </w:t>
            </w:r>
            <w:r w:rsidR="00FB4A1A" w:rsidRPr="00FB4A1A">
              <w:rPr>
                <w:sz w:val="18"/>
                <w:szCs w:val="18"/>
              </w:rPr>
              <w:t>2,513,699</w:t>
            </w:r>
          </w:p>
        </w:tc>
        <w:tc>
          <w:tcPr>
            <w:tcW w:w="2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B6B0912" w14:textId="014CED44" w:rsidR="00D7546B" w:rsidRPr="00D7546B" w:rsidRDefault="00F4012D" w:rsidP="007F4BA9">
            <w:pPr>
              <w:pStyle w:val="InsetText"/>
              <w:ind w:left="415" w:hanging="267"/>
              <w:jc w:val="center"/>
              <w:rPr>
                <w:sz w:val="18"/>
                <w:szCs w:val="18"/>
                <w:lang w:val="en-IN"/>
              </w:rPr>
            </w:pPr>
            <w:r>
              <w:rPr>
                <w:sz w:val="18"/>
                <w:szCs w:val="18"/>
                <w:lang w:val="en-IN"/>
              </w:rPr>
              <w:t>$</w:t>
            </w:r>
            <w:r w:rsidR="00D7546B" w:rsidRPr="00D7546B">
              <w:rPr>
                <w:sz w:val="18"/>
                <w:szCs w:val="18"/>
                <w:lang w:val="en-IN"/>
              </w:rPr>
              <w:t xml:space="preserve"> </w:t>
            </w:r>
            <w:r w:rsidR="00A26F87" w:rsidRPr="00A26F87">
              <w:rPr>
                <w:sz w:val="18"/>
                <w:szCs w:val="18"/>
              </w:rPr>
              <w:t>1,825,690</w:t>
            </w:r>
          </w:p>
        </w:tc>
        <w:tc>
          <w:tcPr>
            <w:tcW w:w="2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447CBAF" w14:textId="0761F591" w:rsidR="00D7546B" w:rsidRPr="00D7546B" w:rsidRDefault="00E13741" w:rsidP="007F4BA9">
            <w:pPr>
              <w:pStyle w:val="InsetText"/>
              <w:ind w:left="415" w:hanging="267"/>
              <w:jc w:val="center"/>
              <w:rPr>
                <w:sz w:val="18"/>
                <w:szCs w:val="18"/>
                <w:highlight w:val="yellow"/>
                <w:lang w:val="en-IN"/>
              </w:rPr>
            </w:pPr>
            <w:r w:rsidRPr="00E13741">
              <w:rPr>
                <w:sz w:val="18"/>
                <w:szCs w:val="18"/>
                <w:highlight w:val="yellow"/>
                <w:lang w:val="en-IN"/>
              </w:rPr>
              <w:t>-</w:t>
            </w:r>
          </w:p>
        </w:tc>
      </w:tr>
      <w:tr w:rsidR="00361B16" w:rsidRPr="00D24E77" w14:paraId="342C45D1" w14:textId="77777777" w:rsidTr="00387A14">
        <w:trPr>
          <w:trHeight w:val="584"/>
        </w:trPr>
        <w:tc>
          <w:tcPr>
            <w:tcW w:w="30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73ABBB" w14:textId="643D8EEF" w:rsidR="00361B16" w:rsidRPr="00D7546B" w:rsidRDefault="009C6C1A" w:rsidP="008913D9">
            <w:pPr>
              <w:pStyle w:val="InsetText"/>
              <w:ind w:hanging="411"/>
              <w:jc w:val="both"/>
              <w:rPr>
                <w:sz w:val="18"/>
                <w:szCs w:val="18"/>
                <w:lang w:val="en-IN"/>
              </w:rPr>
            </w:pPr>
            <w:r w:rsidRPr="009C6C1A">
              <w:rPr>
                <w:sz w:val="18"/>
                <w:szCs w:val="18"/>
                <w:lang w:val="en-IN"/>
              </w:rPr>
              <w:t>Total funding in GBP</w:t>
            </w:r>
          </w:p>
        </w:tc>
        <w:tc>
          <w:tcPr>
            <w:tcW w:w="23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8FED2B" w14:textId="53446E44" w:rsidR="00361B16" w:rsidRDefault="008D7D23" w:rsidP="007F4BA9">
            <w:pPr>
              <w:pStyle w:val="InsetText"/>
              <w:ind w:left="415" w:hanging="267"/>
              <w:jc w:val="center"/>
              <w:rPr>
                <w:sz w:val="18"/>
                <w:szCs w:val="18"/>
                <w:lang w:val="en-IN"/>
              </w:rPr>
            </w:pPr>
            <w:r w:rsidRPr="008D7D23">
              <w:rPr>
                <w:sz w:val="18"/>
                <w:szCs w:val="18"/>
              </w:rPr>
              <w:t>£   1,897,842</w:t>
            </w:r>
          </w:p>
        </w:tc>
        <w:tc>
          <w:tcPr>
            <w:tcW w:w="2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8A41FE" w14:textId="55D0CF3A" w:rsidR="00361B16" w:rsidRDefault="008234BE" w:rsidP="007F4BA9">
            <w:pPr>
              <w:pStyle w:val="InsetText"/>
              <w:ind w:left="415" w:hanging="267"/>
              <w:jc w:val="center"/>
              <w:rPr>
                <w:sz w:val="18"/>
                <w:szCs w:val="18"/>
                <w:lang w:val="en-IN"/>
              </w:rPr>
            </w:pPr>
            <w:r w:rsidRPr="008D7D23">
              <w:rPr>
                <w:sz w:val="18"/>
                <w:szCs w:val="18"/>
              </w:rPr>
              <w:t xml:space="preserve">£  </w:t>
            </w:r>
            <w:r w:rsidRPr="008234BE">
              <w:rPr>
                <w:sz w:val="18"/>
                <w:szCs w:val="18"/>
              </w:rPr>
              <w:t>1,378,396</w:t>
            </w:r>
          </w:p>
        </w:tc>
        <w:tc>
          <w:tcPr>
            <w:tcW w:w="23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129008" w14:textId="77777777" w:rsidR="00361B16" w:rsidRPr="00E13741" w:rsidRDefault="00361B16" w:rsidP="007F4BA9">
            <w:pPr>
              <w:pStyle w:val="InsetText"/>
              <w:ind w:left="415" w:hanging="267"/>
              <w:jc w:val="center"/>
              <w:rPr>
                <w:sz w:val="18"/>
                <w:szCs w:val="18"/>
                <w:highlight w:val="yellow"/>
                <w:lang w:val="en-IN"/>
              </w:rPr>
            </w:pPr>
          </w:p>
        </w:tc>
      </w:tr>
    </w:tbl>
    <w:p w14:paraId="4B20E708" w14:textId="77777777" w:rsidR="001D6D8B" w:rsidRDefault="001D6D8B" w:rsidP="007E4A56">
      <w:pPr>
        <w:pStyle w:val="InsetText"/>
        <w:jc w:val="both"/>
      </w:pPr>
    </w:p>
    <w:p w14:paraId="7A04984F" w14:textId="77777777" w:rsidR="00082310" w:rsidRDefault="004B25BF" w:rsidP="007E4A56">
      <w:pPr>
        <w:pStyle w:val="InsetText"/>
        <w:jc w:val="both"/>
      </w:pPr>
      <w:r>
        <w:t xml:space="preserve">The funding calculations presented in the table above, are based on </w:t>
      </w:r>
      <w:r w:rsidR="00082310">
        <w:t>the following assumptions &amp; considerations</w:t>
      </w:r>
    </w:p>
    <w:p w14:paraId="7C7126BA" w14:textId="6BCBDEAA" w:rsidR="00116A5B" w:rsidRDefault="00FB4A1A" w:rsidP="00EC2FA3">
      <w:pPr>
        <w:pStyle w:val="InsetText"/>
        <w:numPr>
          <w:ilvl w:val="0"/>
          <w:numId w:val="49"/>
        </w:numPr>
        <w:jc w:val="both"/>
      </w:pPr>
      <w:r>
        <w:t>3-yrs Reserved</w:t>
      </w:r>
      <w:r w:rsidR="00EC2FA3" w:rsidRPr="00EC2FA3">
        <w:t xml:space="preserve"> </w:t>
      </w:r>
      <w:r w:rsidR="00EC2FA3">
        <w:t xml:space="preserve">yearly cloud consumption </w:t>
      </w:r>
      <w:r w:rsidR="00EC2FA3" w:rsidRPr="00EC2FA3">
        <w:t xml:space="preserve">in USD for London region </w:t>
      </w:r>
      <w:r w:rsidR="00844885">
        <w:t>is taken as a baseline for this calculation</w:t>
      </w:r>
      <w:r w:rsidR="00407EC0">
        <w:t xml:space="preserve">, </w:t>
      </w:r>
      <w:r w:rsidR="002B75A8">
        <w:t xml:space="preserve">in alignment with the </w:t>
      </w:r>
      <w:r w:rsidR="007B77B1">
        <w:t xml:space="preserve">general funding/incentive program </w:t>
      </w:r>
      <w:r w:rsidR="00815CB0">
        <w:t xml:space="preserve">provided from the </w:t>
      </w:r>
      <w:r w:rsidR="00C82A58">
        <w:t>respective Hyperscalers</w:t>
      </w:r>
      <w:r w:rsidR="0057430B">
        <w:t xml:space="preserve">. </w:t>
      </w:r>
    </w:p>
    <w:p w14:paraId="7185FEF3" w14:textId="7A0770F2" w:rsidR="00EC2FA3" w:rsidRDefault="0057430B" w:rsidP="00EC2FA3">
      <w:pPr>
        <w:pStyle w:val="InsetText"/>
        <w:numPr>
          <w:ilvl w:val="0"/>
          <w:numId w:val="49"/>
        </w:numPr>
        <w:jc w:val="both"/>
      </w:pPr>
      <w:r>
        <w:t xml:space="preserve">The </w:t>
      </w:r>
      <w:r w:rsidR="008A044C">
        <w:t xml:space="preserve">estimated cloud consumption </w:t>
      </w:r>
      <w:r w:rsidR="003D49E1">
        <w:t xml:space="preserve">&amp; the </w:t>
      </w:r>
      <w:r w:rsidR="00844885">
        <w:t>commensurate funding</w:t>
      </w:r>
      <w:r w:rsidR="00E7484F">
        <w:t xml:space="preserve"> provisions</w:t>
      </w:r>
      <w:r w:rsidR="00844885">
        <w:t xml:space="preserve"> thereof, </w:t>
      </w:r>
      <w:r w:rsidR="008A044C">
        <w:t>is likely to change, as per the finding</w:t>
      </w:r>
      <w:r w:rsidR="00844885">
        <w:t>s from the upcoming Phase 2 assessment.</w:t>
      </w:r>
      <w:r w:rsidR="00116A5B">
        <w:t xml:space="preserve"> </w:t>
      </w:r>
    </w:p>
    <w:p w14:paraId="0F63818A" w14:textId="667C215D" w:rsidR="00BC29B4" w:rsidRPr="00BC29B4" w:rsidRDefault="00BC29B4" w:rsidP="00BC29B4">
      <w:pPr>
        <w:pStyle w:val="InsetText"/>
        <w:numPr>
          <w:ilvl w:val="0"/>
          <w:numId w:val="49"/>
        </w:numPr>
        <w:jc w:val="both"/>
        <w:rPr>
          <w:lang w:val="en-IN"/>
        </w:rPr>
      </w:pPr>
      <w:r>
        <w:t xml:space="preserve">Currency conversion at market prevalent rates </w:t>
      </w:r>
      <w:r w:rsidRPr="00BC29B4">
        <w:t>1 USD = 0.755 GBP</w:t>
      </w:r>
    </w:p>
    <w:p w14:paraId="231FAA98" w14:textId="776D37C9" w:rsidR="00BC29B4" w:rsidRDefault="00BC29B4" w:rsidP="00BC29B4">
      <w:pPr>
        <w:pStyle w:val="InsetText"/>
        <w:ind w:left="1260"/>
        <w:jc w:val="both"/>
      </w:pPr>
    </w:p>
    <w:p w14:paraId="00000437" w14:textId="0780FA07" w:rsidR="000B0F63" w:rsidRPr="00EC2FA3" w:rsidRDefault="00C05D22" w:rsidP="00EC2FA3">
      <w:pPr>
        <w:pStyle w:val="InsetText"/>
        <w:numPr>
          <w:ilvl w:val="0"/>
          <w:numId w:val="49"/>
        </w:numPr>
        <w:jc w:val="both"/>
      </w:pPr>
      <w:r w:rsidRPr="00EC2FA3">
        <w:br w:type="page"/>
      </w:r>
    </w:p>
    <w:p w14:paraId="00000439" w14:textId="0000043A" w:rsidR="000B0F63" w:rsidRDefault="1BAB210A" w:rsidP="00E40261">
      <w:pPr>
        <w:pStyle w:val="Heading1"/>
        <w:jc w:val="both"/>
      </w:pPr>
      <w:bookmarkStart w:id="222" w:name="_Toc159"/>
      <w:bookmarkStart w:id="223" w:name="_Toc227770942"/>
      <w:bookmarkStart w:id="224" w:name="_Toc227771410"/>
      <w:r>
        <w:t>Section 6: Business and Application Fit</w:t>
      </w:r>
      <w:bookmarkEnd w:id="222"/>
      <w:bookmarkEnd w:id="223"/>
      <w:bookmarkEnd w:id="224"/>
    </w:p>
    <w:p w14:paraId="0000043B" w14:textId="0000043C" w:rsidR="000B0F63" w:rsidRDefault="1BAB210A" w:rsidP="00E40261">
      <w:pPr>
        <w:pStyle w:val="Heading2"/>
        <w:jc w:val="both"/>
      </w:pPr>
      <w:bookmarkStart w:id="225" w:name="_Toc160"/>
      <w:bookmarkStart w:id="226" w:name="_Toc227770943"/>
      <w:r>
        <w:t>What This Section Does</w:t>
      </w:r>
      <w:bookmarkEnd w:id="225"/>
      <w:bookmarkEnd w:id="226"/>
    </w:p>
    <w:p w14:paraId="0000043D" w14:textId="0000043E" w:rsidR="000B0F63" w:rsidRDefault="00C05D22" w:rsidP="00E40261">
      <w:pPr>
        <w:jc w:val="both"/>
      </w:pPr>
      <w:r>
        <w:t>This section shows how your applications map to cloud. What constraints they carry, how they group for migration, and where the gaps are. It is about the applications themselves, not about which cloud wins. That is Section 7.</w:t>
      </w:r>
    </w:p>
    <w:p w14:paraId="0000043F" w14:textId="00000440" w:rsidR="000B0F63" w:rsidRDefault="1BAB210A" w:rsidP="00E40261">
      <w:pPr>
        <w:pStyle w:val="Heading2"/>
        <w:jc w:val="both"/>
      </w:pPr>
      <w:bookmarkStart w:id="227" w:name="_Toc161"/>
      <w:bookmarkStart w:id="228" w:name="_Toc227770944"/>
      <w:r>
        <w:t>How Applications Were Assessed</w:t>
      </w:r>
      <w:bookmarkEnd w:id="227"/>
      <w:bookmarkEnd w:id="228"/>
    </w:p>
    <w:p w14:paraId="00000441" w14:textId="00000442" w:rsidR="000B0F63" w:rsidRDefault="00C05D22" w:rsidP="00E40261">
      <w:pPr>
        <w:jc w:val="both"/>
      </w:pPr>
      <w:r>
        <w:t>Each of the 39 applications was assessed against four criteria:</w:t>
      </w:r>
    </w:p>
    <w:p w14:paraId="00000443" w14:textId="00000444" w:rsidR="000B0F63" w:rsidRDefault="00C05D22" w:rsidP="00EC2FA3">
      <w:pPr>
        <w:pStyle w:val="ListBullet"/>
        <w:numPr>
          <w:ilvl w:val="0"/>
          <w:numId w:val="21"/>
        </w:numPr>
        <w:jc w:val="both"/>
      </w:pPr>
      <w:r w:rsidRPr="00257357">
        <w:rPr>
          <w:b/>
        </w:rPr>
        <w:t xml:space="preserve">Infrastructure </w:t>
      </w:r>
      <w:proofErr w:type="gramStart"/>
      <w:r w:rsidRPr="00257357">
        <w:rPr>
          <w:b/>
        </w:rPr>
        <w:t>fit</w:t>
      </w:r>
      <w:proofErr w:type="gramEnd"/>
      <w:r>
        <w:t>: the underlying platform (VMware, Proxmox, physical, appliance, cloud) and what each cloud needs to support it</w:t>
      </w:r>
    </w:p>
    <w:p w14:paraId="00000445" w14:textId="00000446" w:rsidR="000B0F63" w:rsidRDefault="00C05D22" w:rsidP="00EC2FA3">
      <w:pPr>
        <w:pStyle w:val="ListBullet"/>
        <w:numPr>
          <w:ilvl w:val="0"/>
          <w:numId w:val="21"/>
        </w:numPr>
        <w:jc w:val="both"/>
      </w:pPr>
      <w:r w:rsidRPr="00257357">
        <w:rPr>
          <w:b/>
        </w:rPr>
        <w:t>Database dependency</w:t>
      </w:r>
      <w:r>
        <w:t>: Oracle RAC, SQL Server edition, MongoDB, MySQL, PostgreSQL, Redis</w:t>
      </w:r>
    </w:p>
    <w:p w14:paraId="00000447" w14:textId="00000448" w:rsidR="000B0F63" w:rsidRDefault="00C05D22" w:rsidP="00EC2FA3">
      <w:pPr>
        <w:pStyle w:val="ListBullet"/>
        <w:numPr>
          <w:ilvl w:val="0"/>
          <w:numId w:val="21"/>
        </w:numPr>
        <w:jc w:val="both"/>
      </w:pPr>
      <w:r w:rsidRPr="00257357">
        <w:rPr>
          <w:b/>
        </w:rPr>
        <w:t>Operating system</w:t>
      </w:r>
      <w:r>
        <w:t>: Linux family and version, Windows version, special cases (Solaris, AIX if any)</w:t>
      </w:r>
    </w:p>
    <w:p w14:paraId="00000449" w14:textId="0000044A" w:rsidR="000B0F63" w:rsidRDefault="00C05D22" w:rsidP="00EC2FA3">
      <w:pPr>
        <w:pStyle w:val="ListBullet"/>
        <w:numPr>
          <w:ilvl w:val="0"/>
          <w:numId w:val="21"/>
        </w:numPr>
        <w:jc w:val="both"/>
      </w:pPr>
      <w:r w:rsidRPr="00257357">
        <w:rPr>
          <w:b/>
        </w:rPr>
        <w:t>Known technical constraints</w:t>
      </w:r>
      <w:r>
        <w:t>: multicast, bare metal, specific licensing requirements, vendor certification of cloud platforms</w:t>
      </w:r>
    </w:p>
    <w:p w14:paraId="0000044B" w14:textId="0000044C" w:rsidR="000B0F63" w:rsidRDefault="00C05D22" w:rsidP="00E40261">
      <w:pPr>
        <w:jc w:val="both"/>
      </w:pPr>
      <w:r>
        <w:t>The 39 applications were then grouped into migration cohorts based on readiness, dependencies, and complexity.</w:t>
      </w:r>
    </w:p>
    <w:p w14:paraId="0000044D" w14:textId="0000044E" w:rsidR="000B0F63" w:rsidRDefault="1BAB210A" w:rsidP="00E40261">
      <w:pPr>
        <w:pStyle w:val="Heading2"/>
        <w:jc w:val="both"/>
      </w:pPr>
      <w:bookmarkStart w:id="229" w:name="_Toc162"/>
      <w:bookmarkStart w:id="230" w:name="_Toc227770945"/>
      <w:r>
        <w:t>Technical Constraints</w:t>
      </w:r>
      <w:bookmarkEnd w:id="229"/>
      <w:bookmarkEnd w:id="230"/>
    </w:p>
    <w:p w14:paraId="0000044F" w14:textId="00000450" w:rsidR="000B0F63" w:rsidRDefault="00C05D22" w:rsidP="00E40261">
      <w:pPr>
        <w:jc w:val="both"/>
      </w:pPr>
      <w:r>
        <w:t>Three constraints shape the migration approach. Each is explained below with what it means for cost and the recommended path.</w:t>
      </w:r>
    </w:p>
    <w:p w14:paraId="00000451" w14:textId="00000452" w:rsidR="000B0F63" w:rsidRDefault="1BAB210A" w:rsidP="00E40261">
      <w:pPr>
        <w:pStyle w:val="Heading3"/>
        <w:jc w:val="both"/>
      </w:pPr>
      <w:bookmarkStart w:id="231" w:name="_Toc163"/>
      <w:bookmarkStart w:id="232" w:name="_Toc227770946"/>
      <w:r>
        <w:t>Multicast (</w:t>
      </w:r>
      <w:proofErr w:type="spellStart"/>
      <w:r>
        <w:t>Atex</w:t>
      </w:r>
      <w:proofErr w:type="spellEnd"/>
      <w:r>
        <w:t xml:space="preserve"> Prestige)</w:t>
      </w:r>
      <w:bookmarkEnd w:id="231"/>
      <w:bookmarkEnd w:id="232"/>
    </w:p>
    <w:p w14:paraId="00000453" w14:textId="00000454" w:rsidR="000B0F63" w:rsidRDefault="00C05D22" w:rsidP="00E40261">
      <w:pPr>
        <w:jc w:val="both"/>
      </w:pPr>
      <w:proofErr w:type="spellStart"/>
      <w:r>
        <w:t>Atex</w:t>
      </w:r>
      <w:proofErr w:type="spellEnd"/>
      <w:r>
        <w:t xml:space="preserve"> Prestige uses multicast for </w:t>
      </w:r>
      <w:proofErr w:type="spellStart"/>
      <w:r>
        <w:t>PrManager</w:t>
      </w:r>
      <w:proofErr w:type="spellEnd"/>
      <w:r>
        <w:t xml:space="preserve"> cluster node discovery. Multicast is a LAN-era pattern. Cloud virtual networks handle it differently:</w:t>
      </w:r>
    </w:p>
    <w:p w14:paraId="00000455" w14:textId="00000456" w:rsidR="000B0F63" w:rsidRDefault="00C05D22" w:rsidP="00E40261">
      <w:pPr>
        <w:pStyle w:val="ListBullet"/>
        <w:jc w:val="both"/>
      </w:pPr>
      <w:r>
        <w:t>AWS supports multicast natively via Transit Gateway (generally available in London).</w:t>
      </w:r>
    </w:p>
    <w:p w14:paraId="00000457" w14:textId="00000458" w:rsidR="000B0F63" w:rsidRDefault="00C05D22" w:rsidP="00E40261">
      <w:pPr>
        <w:pStyle w:val="ListBullet"/>
        <w:jc w:val="both"/>
      </w:pPr>
      <w:r>
        <w:t xml:space="preserve">GCP and Azure do not support multicast natively. VMware-on-cloud (GCVE, AVS) is not a viable workaround for DMG Media, because the VMware exit </w:t>
      </w:r>
      <w:proofErr w:type="gramStart"/>
      <w:r>
        <w:t>is itself</w:t>
      </w:r>
      <w:proofErr w:type="gramEnd"/>
      <w:r>
        <w:t xml:space="preserve"> a driver for this engagement.</w:t>
      </w:r>
    </w:p>
    <w:p w14:paraId="00000459" w14:textId="0000045A" w:rsidR="000B0F63" w:rsidRDefault="00C05D22" w:rsidP="00E40261">
      <w:pPr>
        <w:jc w:val="both"/>
      </w:pPr>
      <w:r>
        <w:t xml:space="preserve">This means </w:t>
      </w:r>
      <w:proofErr w:type="spellStart"/>
      <w:r>
        <w:t>Atex</w:t>
      </w:r>
      <w:proofErr w:type="spellEnd"/>
      <w:r>
        <w:t xml:space="preserve"> has two practical paths on GCP or Azure: refactor to unicast (</w:t>
      </w:r>
      <w:proofErr w:type="spellStart"/>
      <w:r>
        <w:t>Atex</w:t>
      </w:r>
      <w:proofErr w:type="spellEnd"/>
      <w:r>
        <w:t xml:space="preserve"> vendor confirmation required) or stay on AWS. AWS is the default path for </w:t>
      </w:r>
      <w:proofErr w:type="spellStart"/>
      <w:r>
        <w:t>Atex</w:t>
      </w:r>
      <w:proofErr w:type="spellEnd"/>
      <w:r>
        <w:t xml:space="preserve"> unless unicast refactor is confirmed. This is a Phase 2 action with direct architectural consequence.</w:t>
      </w:r>
    </w:p>
    <w:p w14:paraId="0000045B" w14:textId="0000045C" w:rsidR="000B0F63" w:rsidRDefault="1BAB210A" w:rsidP="00E40261">
      <w:pPr>
        <w:pStyle w:val="Heading3"/>
        <w:jc w:val="both"/>
      </w:pPr>
      <w:bookmarkStart w:id="233" w:name="_Toc164"/>
      <w:bookmarkStart w:id="234" w:name="_Toc227770947"/>
      <w:r>
        <w:t>Oracle RAC</w:t>
      </w:r>
      <w:bookmarkEnd w:id="233"/>
      <w:bookmarkEnd w:id="234"/>
    </w:p>
    <w:p w14:paraId="0000045D" w14:textId="0000045E" w:rsidR="000B0F63" w:rsidRDefault="00C05D22" w:rsidP="00E40261">
      <w:pPr>
        <w:jc w:val="both"/>
      </w:pPr>
      <w:r>
        <w:t xml:space="preserve">Six physical Oracle RAC servers across four clusters (MOL A, MOL B, </w:t>
      </w:r>
      <w:proofErr w:type="spellStart"/>
      <w:r>
        <w:t>Atex</w:t>
      </w:r>
      <w:proofErr w:type="spellEnd"/>
      <w:r>
        <w:t xml:space="preserve">, CHP). RAC requires shared storage and specific cluster interconnect features that a general-purpose cloud VM does not provide. All three clouds now offer Oracle </w:t>
      </w:r>
      <w:proofErr w:type="spellStart"/>
      <w:r>
        <w:t>Database@Cloud</w:t>
      </w:r>
      <w:proofErr w:type="spellEnd"/>
      <w:r>
        <w:t xml:space="preserve"> (Exadata) in London: Azure (launched earlier), GCP (launched in 2025), AWS (launched March 2026). Same OCI pricing across all three. Details in Section 5.</w:t>
      </w:r>
    </w:p>
    <w:p w14:paraId="0000045F" w14:textId="00000460" w:rsidR="000B0F63" w:rsidRDefault="1BAB210A" w:rsidP="00E40261">
      <w:pPr>
        <w:pStyle w:val="Heading3"/>
        <w:jc w:val="both"/>
      </w:pPr>
      <w:bookmarkStart w:id="235" w:name="_Toc165"/>
      <w:bookmarkStart w:id="236" w:name="_Toc227770948"/>
      <w:r>
        <w:t xml:space="preserve">SQL Server </w:t>
      </w:r>
      <w:proofErr w:type="spellStart"/>
      <w:r>
        <w:t>Datacenter</w:t>
      </w:r>
      <w:proofErr w:type="spellEnd"/>
      <w:r>
        <w:t xml:space="preserve"> Edition</w:t>
      </w:r>
      <w:bookmarkEnd w:id="235"/>
      <w:bookmarkEnd w:id="236"/>
    </w:p>
    <w:p w14:paraId="00000461" w14:textId="00000462" w:rsidR="000B0F63" w:rsidRDefault="00C05D22" w:rsidP="00E40261">
      <w:pPr>
        <w:jc w:val="both"/>
      </w:pPr>
      <w:r>
        <w:t xml:space="preserve">Reading DC runs </w:t>
      </w:r>
      <w:proofErr w:type="spellStart"/>
      <w:r>
        <w:t>Datacenter</w:t>
      </w:r>
      <w:proofErr w:type="spellEnd"/>
      <w:r>
        <w:t xml:space="preserve"> edition, Slough runs Standard. </w:t>
      </w:r>
      <w:proofErr w:type="spellStart"/>
      <w:r>
        <w:t>Datacenter</w:t>
      </w:r>
      <w:proofErr w:type="spellEnd"/>
      <w:r>
        <w:t xml:space="preserve"> is materially more expensive per core when priced </w:t>
      </w:r>
      <w:proofErr w:type="gramStart"/>
      <w:r>
        <w:t>license-included</w:t>
      </w:r>
      <w:proofErr w:type="gramEnd"/>
      <w:r>
        <w:t>. BYOL with Software Assurance zeroes out this surcharge. Azure AHB is the simplest mechanism. AWS and GCP require Dedicated Hosts or Sole Tenant Nodes respectively. Windows Server 2022 has additional BYOL restrictions on AWS and GCP (see Section 5).</w:t>
      </w:r>
    </w:p>
    <w:p w14:paraId="00000463" w14:textId="00000464" w:rsidR="000B0F63" w:rsidRDefault="1BAB210A" w:rsidP="00E40261">
      <w:pPr>
        <w:pStyle w:val="Heading2"/>
        <w:jc w:val="both"/>
      </w:pPr>
      <w:bookmarkStart w:id="237" w:name="_Toc166"/>
      <w:bookmarkStart w:id="238" w:name="_Toc227770949"/>
      <w:r>
        <w:t>The 7Rs, Explained</w:t>
      </w:r>
      <w:bookmarkEnd w:id="237"/>
      <w:bookmarkEnd w:id="238"/>
    </w:p>
    <w:p w14:paraId="00000465" w14:textId="00000466" w:rsidR="000B0F63" w:rsidRDefault="00C05D22" w:rsidP="00E40261">
      <w:pPr>
        <w:jc w:val="both"/>
      </w:pPr>
      <w:r>
        <w:t>The 7Rs are the standard classifications for what to do with an application when migrating to cloud:</w:t>
      </w:r>
    </w:p>
    <w:p w14:paraId="00000467" w14:textId="321BDF26" w:rsidR="000B0F63" w:rsidRDefault="00C05D22" w:rsidP="00EC2FA3">
      <w:pPr>
        <w:pStyle w:val="ListBullet"/>
        <w:numPr>
          <w:ilvl w:val="0"/>
          <w:numId w:val="22"/>
        </w:numPr>
        <w:jc w:val="both"/>
      </w:pPr>
      <w:r>
        <w:rPr>
          <w:b/>
          <w:bCs/>
        </w:rPr>
        <w:t xml:space="preserve">Retire: </w:t>
      </w:r>
      <w:r w:rsidRPr="002D087E">
        <w:t xml:space="preserve">the application </w:t>
      </w:r>
      <w:r w:rsidR="0099612D">
        <w:t xml:space="preserve">or server </w:t>
      </w:r>
      <w:r w:rsidRPr="002D087E">
        <w:t>is no longer needed, decommission it.</w:t>
      </w:r>
    </w:p>
    <w:p w14:paraId="00000469" w14:textId="0000046A" w:rsidR="000B0F63" w:rsidRDefault="00C05D22" w:rsidP="00EC2FA3">
      <w:pPr>
        <w:pStyle w:val="ListBullet"/>
        <w:numPr>
          <w:ilvl w:val="0"/>
          <w:numId w:val="22"/>
        </w:numPr>
        <w:jc w:val="both"/>
      </w:pPr>
      <w:r>
        <w:rPr>
          <w:b/>
          <w:bCs/>
        </w:rPr>
        <w:t xml:space="preserve">Retain: </w:t>
      </w:r>
      <w:r w:rsidRPr="002D087E">
        <w:t>keep it where it is (on-premises) for now.</w:t>
      </w:r>
    </w:p>
    <w:p w14:paraId="0000046B" w14:textId="0000046C" w:rsidR="000B0F63" w:rsidRDefault="00C05D22" w:rsidP="00EC2FA3">
      <w:pPr>
        <w:pStyle w:val="ListBullet"/>
        <w:numPr>
          <w:ilvl w:val="0"/>
          <w:numId w:val="22"/>
        </w:numPr>
        <w:jc w:val="both"/>
      </w:pPr>
      <w:r>
        <w:rPr>
          <w:b/>
          <w:bCs/>
        </w:rPr>
        <w:t xml:space="preserve">Relocate: </w:t>
      </w:r>
      <w:r w:rsidRPr="002D087E">
        <w:t>move it to a cloud-hosted hypervisor that mirrors the on-premises environment.</w:t>
      </w:r>
    </w:p>
    <w:p w14:paraId="0000046D" w14:textId="0000046E" w:rsidR="000B0F63" w:rsidRDefault="00C05D22" w:rsidP="00EC2FA3">
      <w:pPr>
        <w:pStyle w:val="ListBullet"/>
        <w:numPr>
          <w:ilvl w:val="0"/>
          <w:numId w:val="22"/>
        </w:numPr>
        <w:jc w:val="both"/>
      </w:pPr>
      <w:r>
        <w:rPr>
          <w:b/>
          <w:bCs/>
        </w:rPr>
        <w:t xml:space="preserve">Rehost: </w:t>
      </w:r>
      <w:r w:rsidRPr="002D087E">
        <w:t>lift and shift to cloud VMs. Minimal change.</w:t>
      </w:r>
    </w:p>
    <w:p w14:paraId="0000046F" w14:textId="38A731E2" w:rsidR="000B0F63" w:rsidRDefault="00C05D22" w:rsidP="00EC2FA3">
      <w:pPr>
        <w:pStyle w:val="ListBullet"/>
        <w:numPr>
          <w:ilvl w:val="0"/>
          <w:numId w:val="22"/>
        </w:numPr>
        <w:jc w:val="both"/>
      </w:pPr>
      <w:proofErr w:type="spellStart"/>
      <w:r>
        <w:rPr>
          <w:b/>
          <w:bCs/>
        </w:rPr>
        <w:t>Replatform</w:t>
      </w:r>
      <w:proofErr w:type="spellEnd"/>
      <w:r>
        <w:rPr>
          <w:b/>
          <w:bCs/>
        </w:rPr>
        <w:t xml:space="preserve">: </w:t>
      </w:r>
      <w:r w:rsidRPr="002D087E">
        <w:t>move to cloud with modest changes (for example, managed database instead of self-managed</w:t>
      </w:r>
      <w:r w:rsidR="004120AD">
        <w:t xml:space="preserve">, or </w:t>
      </w:r>
      <w:r w:rsidR="004120AD">
        <w:rPr>
          <w:rFonts w:ascii="Helvetica" w:hAnsi="Helvetica"/>
          <w:color w:val="0F141A"/>
          <w:shd w:val="clear" w:color="auto" w:fill="FFFFFF"/>
        </w:rPr>
        <w:t>upgrading operating system to the latest version</w:t>
      </w:r>
      <w:r w:rsidRPr="002D087E">
        <w:t>.</w:t>
      </w:r>
      <w:r w:rsidR="004120AD">
        <w:t>)</w:t>
      </w:r>
    </w:p>
    <w:p w14:paraId="00000471" w14:textId="00000472" w:rsidR="000B0F63" w:rsidRDefault="00C05D22" w:rsidP="00EC2FA3">
      <w:pPr>
        <w:pStyle w:val="ListBullet"/>
        <w:numPr>
          <w:ilvl w:val="0"/>
          <w:numId w:val="22"/>
        </w:numPr>
        <w:jc w:val="both"/>
      </w:pPr>
      <w:r>
        <w:rPr>
          <w:b/>
          <w:bCs/>
        </w:rPr>
        <w:t xml:space="preserve">Repurchase: </w:t>
      </w:r>
      <w:r w:rsidRPr="002D087E">
        <w:t>replace with a SaaS equivalent.</w:t>
      </w:r>
    </w:p>
    <w:p w14:paraId="00000473" w14:textId="2015C4E6" w:rsidR="000B0F63" w:rsidRDefault="00C05D22" w:rsidP="00EC2FA3">
      <w:pPr>
        <w:pStyle w:val="ListBullet"/>
        <w:numPr>
          <w:ilvl w:val="0"/>
          <w:numId w:val="22"/>
        </w:numPr>
        <w:jc w:val="both"/>
      </w:pPr>
      <w:r>
        <w:rPr>
          <w:b/>
          <w:bCs/>
        </w:rPr>
        <w:t>Rearchitect</w:t>
      </w:r>
      <w:r w:rsidR="00E871AF">
        <w:rPr>
          <w:b/>
          <w:bCs/>
        </w:rPr>
        <w:t>/R</w:t>
      </w:r>
      <w:r>
        <w:rPr>
          <w:b/>
          <w:bCs/>
        </w:rPr>
        <w:t xml:space="preserve">efactor: </w:t>
      </w:r>
      <w:r w:rsidRPr="002D087E">
        <w:t>re-engineer the application to use cloud-native services.</w:t>
      </w:r>
    </w:p>
    <w:p w14:paraId="00000475" w14:textId="00000476" w:rsidR="000B0F63" w:rsidRDefault="00C05D22" w:rsidP="00E40261">
      <w:pPr>
        <w:jc w:val="both"/>
      </w:pPr>
      <w:r>
        <w:t>A per-application 7R classification across the full estate is a Phase 2 activity. What we can do now is highlight areas that stood out during the workshops as candidates for each category.</w:t>
      </w:r>
    </w:p>
    <w:p w14:paraId="00000477" w14:textId="00000478" w:rsidR="000B0F63" w:rsidRDefault="1BAB210A" w:rsidP="00E40261">
      <w:pPr>
        <w:pStyle w:val="Heading2"/>
        <w:jc w:val="both"/>
      </w:pPr>
      <w:bookmarkStart w:id="239" w:name="_Toc167"/>
      <w:bookmarkStart w:id="240" w:name="_Toc227770950"/>
      <w:r>
        <w:t xml:space="preserve">Areas Of Interest </w:t>
      </w:r>
      <w:proofErr w:type="gramStart"/>
      <w:r>
        <w:t>From</w:t>
      </w:r>
      <w:proofErr w:type="gramEnd"/>
      <w:r>
        <w:t xml:space="preserve"> </w:t>
      </w:r>
      <w:proofErr w:type="gramStart"/>
      <w:r>
        <w:t>The</w:t>
      </w:r>
      <w:proofErr w:type="gramEnd"/>
      <w:r>
        <w:t xml:space="preserve"> Workshops</w:t>
      </w:r>
      <w:bookmarkEnd w:id="239"/>
      <w:bookmarkEnd w:id="240"/>
    </w:p>
    <w:p w14:paraId="00000479" w14:textId="0000047A" w:rsidR="000B0F63" w:rsidRDefault="00C05D22" w:rsidP="00E40261">
      <w:pPr>
        <w:jc w:val="both"/>
      </w:pPr>
      <w:r>
        <w:t>The following application-level opportunities emerged during the nine application workshops. They are framed as starting points for Phase 2 discussion, not as finalised 7R decisions.</w:t>
      </w:r>
    </w:p>
    <w:p w14:paraId="0000047B" w14:textId="0000047C" w:rsidR="000B0F63" w:rsidRDefault="00C05D22" w:rsidP="00EC2FA3">
      <w:pPr>
        <w:pStyle w:val="ListBullet"/>
        <w:numPr>
          <w:ilvl w:val="0"/>
          <w:numId w:val="23"/>
        </w:numPr>
      </w:pPr>
      <w:r>
        <w:rPr>
          <w:b/>
          <w:bCs/>
        </w:rPr>
        <w:t xml:space="preserve">Retire candidates: </w:t>
      </w:r>
      <w:r w:rsidRPr="002D087E">
        <w:t xml:space="preserve">IBM Lotus Notes (legacy collaboration, SaaS replacement natural path), </w:t>
      </w:r>
      <w:proofErr w:type="spellStart"/>
      <w:r w:rsidRPr="002D087E">
        <w:t>Atex</w:t>
      </w:r>
      <w:proofErr w:type="spellEnd"/>
      <w:r w:rsidRPr="002D087E">
        <w:t xml:space="preserve"> 5.5 (32-bit, incompatible with modern cloud VMs, retire when </w:t>
      </w:r>
      <w:proofErr w:type="spellStart"/>
      <w:r w:rsidRPr="002D087E">
        <w:t>Atex</w:t>
      </w:r>
      <w:proofErr w:type="spellEnd"/>
      <w:r w:rsidRPr="002D087E">
        <w:t xml:space="preserve"> 6 complete), </w:t>
      </w:r>
      <w:commentRangeStart w:id="241"/>
      <w:r w:rsidRPr="002D087E">
        <w:t xml:space="preserve">Wombat </w:t>
      </w:r>
      <w:commentRangeEnd w:id="241"/>
      <w:r w:rsidR="008670AF" w:rsidRPr="002D087E">
        <w:rPr>
          <w:rStyle w:val="CommentReference"/>
          <w:sz w:val="22"/>
          <w:szCs w:val="24"/>
        </w:rPr>
        <w:commentReference w:id="241"/>
      </w:r>
      <w:r w:rsidRPr="002D087E">
        <w:t xml:space="preserve">(narrow use, owners flagged for review), </w:t>
      </w:r>
      <w:proofErr w:type="spellStart"/>
      <w:r w:rsidRPr="002D087E">
        <w:t>Mediaplanner</w:t>
      </w:r>
      <w:proofErr w:type="spellEnd"/>
      <w:r w:rsidRPr="002D087E">
        <w:t xml:space="preserve"> (aging custom tooling).</w:t>
      </w:r>
    </w:p>
    <w:p w14:paraId="0000047D" w14:textId="0000047E" w:rsidR="000B0F63" w:rsidRDefault="00C05D22" w:rsidP="00EC2FA3">
      <w:pPr>
        <w:pStyle w:val="ListBullet"/>
        <w:numPr>
          <w:ilvl w:val="0"/>
          <w:numId w:val="23"/>
        </w:numPr>
      </w:pPr>
      <w:r>
        <w:rPr>
          <w:b/>
          <w:bCs/>
        </w:rPr>
        <w:t xml:space="preserve">Repurchase candidates: </w:t>
      </w:r>
      <w:r w:rsidRPr="002D087E">
        <w:t>IBM Lotus Notes replacement (Microsoft 365 or Google Workspace). SolarWinds and Zabbix can be replaced by cloud-native monitoring as part of landing zone build.</w:t>
      </w:r>
    </w:p>
    <w:p w14:paraId="0000047F" w14:textId="00000480" w:rsidR="000B0F63" w:rsidRDefault="00C05D22" w:rsidP="00EC2FA3">
      <w:pPr>
        <w:pStyle w:val="ListBullet"/>
        <w:numPr>
          <w:ilvl w:val="0"/>
          <w:numId w:val="23"/>
        </w:numPr>
      </w:pPr>
      <w:proofErr w:type="spellStart"/>
      <w:r>
        <w:rPr>
          <w:b/>
          <w:bCs/>
        </w:rPr>
        <w:t>Replatform</w:t>
      </w:r>
      <w:proofErr w:type="spellEnd"/>
      <w:r>
        <w:rPr>
          <w:b/>
          <w:bCs/>
        </w:rPr>
        <w:t xml:space="preserve"> candidates: </w:t>
      </w:r>
      <w:r w:rsidRPr="002D087E">
        <w:t>the 49 SQL Server instances are candidates for managed SQL (Cloud SQL, RDS, Azure SQL). Oracle is a special case covered in Section 5.</w:t>
      </w:r>
    </w:p>
    <w:p w14:paraId="00000481" w14:textId="00000482" w:rsidR="000B0F63" w:rsidRDefault="00C05D22" w:rsidP="00EC2FA3">
      <w:pPr>
        <w:pStyle w:val="ListBullet"/>
        <w:numPr>
          <w:ilvl w:val="0"/>
          <w:numId w:val="23"/>
        </w:numPr>
      </w:pPr>
      <w:r>
        <w:rPr>
          <w:b/>
          <w:bCs/>
        </w:rPr>
        <w:t xml:space="preserve">Rehost candidates: </w:t>
      </w:r>
      <w:r w:rsidRPr="002D087E">
        <w:t>MOL sub-components without tight Oracle coupling (many of the 91 identified sub-services). Standard business applications with modern OS. Shared services and tooling.</w:t>
      </w:r>
    </w:p>
    <w:p w14:paraId="00000483" w14:textId="00000484" w:rsidR="000B0F63" w:rsidRDefault="00C05D22" w:rsidP="00EC2FA3">
      <w:pPr>
        <w:pStyle w:val="ListBullet"/>
        <w:numPr>
          <w:ilvl w:val="0"/>
          <w:numId w:val="23"/>
        </w:numPr>
      </w:pPr>
      <w:r>
        <w:rPr>
          <w:b/>
          <w:bCs/>
        </w:rPr>
        <w:t xml:space="preserve">Rearchitect candidates: </w:t>
      </w:r>
      <w:r w:rsidRPr="002D087E">
        <w:t>MOL RTA (Real-Time Analytics) significantly overprovisioned. Kubernetes adoption path already started at DMG Media (PoC in flight).</w:t>
      </w:r>
    </w:p>
    <w:p w14:paraId="00000485" w14:textId="00000486" w:rsidR="000B0F63" w:rsidRDefault="00C05D22" w:rsidP="00E40261">
      <w:pPr>
        <w:jc w:val="both"/>
      </w:pPr>
      <w:r>
        <w:t>The list above reflects application owner input captured during workshops and is indicative. Final 7R classification per application is a Phase 2 activity.</w:t>
      </w:r>
    </w:p>
    <w:p w14:paraId="00000487" w14:textId="00000488" w:rsidR="000B0F63" w:rsidRDefault="1BAB210A" w:rsidP="00E40261">
      <w:pPr>
        <w:pStyle w:val="Heading2"/>
        <w:jc w:val="both"/>
      </w:pPr>
      <w:bookmarkStart w:id="242" w:name="_Toc168"/>
      <w:bookmarkStart w:id="243" w:name="_Toc227770951"/>
      <w:r>
        <w:t>Migration Cohorts</w:t>
      </w:r>
      <w:bookmarkEnd w:id="242"/>
      <w:bookmarkEnd w:id="243"/>
    </w:p>
    <w:p w14:paraId="00000489" w14:textId="0000048A" w:rsidR="000B0F63" w:rsidRDefault="00C05D22" w:rsidP="00E40261">
      <w:pPr>
        <w:jc w:val="both"/>
      </w:pPr>
      <w:r>
        <w:t>Applications group into five cohorts based on readiness, complexity, and dependencies. These are indicative at Phase 1 level. Phase 2 refines them into a detailed release plan.</w:t>
      </w:r>
    </w:p>
    <w:tbl>
      <w:tblPr>
        <w:tblW w:w="9720" w:type="dxa"/>
        <w:tblCellMar>
          <w:top w:w="100" w:type="dxa"/>
          <w:left w:w="100" w:type="dxa"/>
          <w:bottom w:w="100" w:type="dxa"/>
          <w:right w:w="100" w:type="dxa"/>
        </w:tblCellMar>
        <w:tblLook w:val="04A0" w:firstRow="1" w:lastRow="0" w:firstColumn="1" w:lastColumn="0" w:noHBand="0" w:noVBand="1"/>
      </w:tblPr>
      <w:tblGrid>
        <w:gridCol w:w="1944"/>
        <w:gridCol w:w="2446"/>
        <w:gridCol w:w="1275"/>
        <w:gridCol w:w="1276"/>
        <w:gridCol w:w="2779"/>
      </w:tblGrid>
      <w:tr w:rsidR="00AB10D7" w14:paraId="3C9B244E" w14:textId="77777777" w:rsidTr="1524DEBB">
        <w:tc>
          <w:tcPr>
            <w:tcW w:w="1944" w:type="dxa"/>
            <w:shd w:val="clear" w:color="auto" w:fill="D9D9D9" w:themeFill="background1" w:themeFillShade="D9"/>
            <w:tcMar>
              <w:top w:w="100" w:type="dxa"/>
              <w:left w:w="100" w:type="dxa"/>
              <w:bottom w:w="100" w:type="dxa"/>
              <w:right w:w="100" w:type="dxa"/>
            </w:tcMar>
            <w:vAlign w:val="center"/>
          </w:tcPr>
          <w:p w14:paraId="0000048B" w14:textId="0000048C" w:rsidR="000B0F63" w:rsidRDefault="00C05D22" w:rsidP="00A34904">
            <w:pPr>
              <w:pStyle w:val="TableHeader"/>
              <w:jc w:val="center"/>
            </w:pPr>
            <w:r>
              <w:t>Cohort</w:t>
            </w:r>
          </w:p>
        </w:tc>
        <w:tc>
          <w:tcPr>
            <w:tcW w:w="2446" w:type="dxa"/>
            <w:shd w:val="clear" w:color="auto" w:fill="D9D9D9" w:themeFill="background1" w:themeFillShade="D9"/>
            <w:tcMar>
              <w:top w:w="100" w:type="dxa"/>
              <w:left w:w="100" w:type="dxa"/>
              <w:bottom w:w="100" w:type="dxa"/>
              <w:right w:w="100" w:type="dxa"/>
            </w:tcMar>
            <w:vAlign w:val="center"/>
          </w:tcPr>
          <w:p w14:paraId="0000048D" w14:textId="0000048E" w:rsidR="000B0F63" w:rsidRDefault="00C05D22" w:rsidP="00A34904">
            <w:pPr>
              <w:pStyle w:val="TableHeader"/>
              <w:jc w:val="center"/>
            </w:pPr>
            <w:commentRangeStart w:id="244"/>
            <w:r>
              <w:t>Description</w:t>
            </w:r>
            <w:commentRangeEnd w:id="244"/>
            <w:r w:rsidR="0076578D">
              <w:rPr>
                <w:rStyle w:val="CommentReference"/>
                <w:sz w:val="18"/>
                <w:szCs w:val="18"/>
              </w:rPr>
              <w:commentReference w:id="244"/>
            </w:r>
          </w:p>
        </w:tc>
        <w:tc>
          <w:tcPr>
            <w:tcW w:w="1275" w:type="dxa"/>
            <w:shd w:val="clear" w:color="auto" w:fill="D9D9D9" w:themeFill="background1" w:themeFillShade="D9"/>
            <w:tcMar>
              <w:top w:w="100" w:type="dxa"/>
              <w:left w:w="100" w:type="dxa"/>
              <w:bottom w:w="100" w:type="dxa"/>
              <w:right w:w="100" w:type="dxa"/>
            </w:tcMar>
            <w:vAlign w:val="center"/>
          </w:tcPr>
          <w:p w14:paraId="0000048F" w14:textId="00000490" w:rsidR="000B0F63" w:rsidRDefault="00C05D22" w:rsidP="00A34904">
            <w:pPr>
              <w:pStyle w:val="TableHeader"/>
              <w:jc w:val="center"/>
            </w:pPr>
            <w:r>
              <w:t>Apps</w:t>
            </w:r>
          </w:p>
        </w:tc>
        <w:tc>
          <w:tcPr>
            <w:tcW w:w="1276" w:type="dxa"/>
            <w:shd w:val="clear" w:color="auto" w:fill="D9D9D9" w:themeFill="background1" w:themeFillShade="D9"/>
            <w:tcMar>
              <w:top w:w="100" w:type="dxa"/>
              <w:left w:w="100" w:type="dxa"/>
              <w:bottom w:w="100" w:type="dxa"/>
              <w:right w:w="100" w:type="dxa"/>
            </w:tcMar>
            <w:vAlign w:val="center"/>
          </w:tcPr>
          <w:p w14:paraId="00000491" w14:textId="00000492" w:rsidR="000B0F63" w:rsidRDefault="00C05D22" w:rsidP="00A34904">
            <w:pPr>
              <w:pStyle w:val="TableHeader"/>
              <w:jc w:val="center"/>
            </w:pPr>
            <w:r>
              <w:t>Servers</w:t>
            </w:r>
          </w:p>
        </w:tc>
        <w:tc>
          <w:tcPr>
            <w:tcW w:w="2779" w:type="dxa"/>
            <w:shd w:val="clear" w:color="auto" w:fill="D9D9D9" w:themeFill="background1" w:themeFillShade="D9"/>
            <w:tcMar>
              <w:top w:w="100" w:type="dxa"/>
              <w:left w:w="100" w:type="dxa"/>
              <w:bottom w:w="100" w:type="dxa"/>
              <w:right w:w="100" w:type="dxa"/>
            </w:tcMar>
            <w:vAlign w:val="center"/>
          </w:tcPr>
          <w:p w14:paraId="00000493" w14:textId="00000494" w:rsidR="000B0F63" w:rsidRDefault="00C05D22" w:rsidP="00A34904">
            <w:pPr>
              <w:pStyle w:val="TableHeader"/>
              <w:jc w:val="center"/>
            </w:pPr>
            <w:r>
              <w:t>Characteristics</w:t>
            </w:r>
          </w:p>
        </w:tc>
      </w:tr>
      <w:tr w:rsidR="006860A9" w14:paraId="33F24E37" w14:textId="77777777" w:rsidTr="1524DEBB">
        <w:tc>
          <w:tcPr>
            <w:tcW w:w="1944" w:type="dxa"/>
            <w:tcMar>
              <w:top w:w="100" w:type="dxa"/>
              <w:left w:w="100" w:type="dxa"/>
              <w:bottom w:w="100" w:type="dxa"/>
              <w:right w:w="100" w:type="dxa"/>
            </w:tcMar>
            <w:vAlign w:val="center"/>
          </w:tcPr>
          <w:p w14:paraId="00000495" w14:textId="00000496" w:rsidR="000B0F63" w:rsidRDefault="00C05D22" w:rsidP="00A34904">
            <w:pPr>
              <w:pStyle w:val="TableInfo"/>
              <w:jc w:val="center"/>
            </w:pPr>
            <w:r>
              <w:t>Cohort 0 - Foundation</w:t>
            </w:r>
          </w:p>
        </w:tc>
        <w:tc>
          <w:tcPr>
            <w:tcW w:w="2446" w:type="dxa"/>
            <w:tcMar>
              <w:top w:w="100" w:type="dxa"/>
              <w:left w:w="100" w:type="dxa"/>
              <w:bottom w:w="100" w:type="dxa"/>
              <w:right w:w="100" w:type="dxa"/>
            </w:tcMar>
            <w:vAlign w:val="center"/>
          </w:tcPr>
          <w:p w14:paraId="00000497" w14:textId="00000498" w:rsidR="000B0F63" w:rsidRDefault="00C05D22" w:rsidP="00A34904">
            <w:pPr>
              <w:pStyle w:val="TableInfo"/>
            </w:pPr>
            <w:r>
              <w:t>Infrastructure services that must exist before application migration</w:t>
            </w:r>
          </w:p>
        </w:tc>
        <w:tc>
          <w:tcPr>
            <w:tcW w:w="1275" w:type="dxa"/>
            <w:tcMar>
              <w:top w:w="100" w:type="dxa"/>
              <w:left w:w="100" w:type="dxa"/>
              <w:bottom w:w="100" w:type="dxa"/>
              <w:right w:w="100" w:type="dxa"/>
            </w:tcMar>
            <w:vAlign w:val="center"/>
          </w:tcPr>
          <w:p w14:paraId="00000499" w14:textId="0000049A" w:rsidR="000B0F63" w:rsidRDefault="00C05D22" w:rsidP="00A34904">
            <w:pPr>
              <w:pStyle w:val="TableInfo"/>
              <w:jc w:val="center"/>
            </w:pPr>
            <w:r>
              <w:t>5</w:t>
            </w:r>
          </w:p>
        </w:tc>
        <w:tc>
          <w:tcPr>
            <w:tcW w:w="1276" w:type="dxa"/>
            <w:tcMar>
              <w:top w:w="100" w:type="dxa"/>
              <w:left w:w="100" w:type="dxa"/>
              <w:bottom w:w="100" w:type="dxa"/>
              <w:right w:w="100" w:type="dxa"/>
            </w:tcMar>
            <w:vAlign w:val="center"/>
          </w:tcPr>
          <w:p w14:paraId="0000049B" w14:textId="0000049C" w:rsidR="000B0F63" w:rsidRDefault="00C05D22" w:rsidP="00A34904">
            <w:pPr>
              <w:pStyle w:val="TableInfo"/>
              <w:jc w:val="center"/>
            </w:pPr>
            <w:r>
              <w:t>95</w:t>
            </w:r>
          </w:p>
        </w:tc>
        <w:tc>
          <w:tcPr>
            <w:tcW w:w="2779" w:type="dxa"/>
            <w:tcMar>
              <w:top w:w="100" w:type="dxa"/>
              <w:left w:w="100" w:type="dxa"/>
              <w:bottom w:w="100" w:type="dxa"/>
              <w:right w:w="100" w:type="dxa"/>
            </w:tcMar>
            <w:vAlign w:val="center"/>
          </w:tcPr>
          <w:p w14:paraId="0000049D" w14:textId="0000049E" w:rsidR="000B0F63" w:rsidRDefault="00C05D22" w:rsidP="00A34904">
            <w:pPr>
              <w:pStyle w:val="TableInfo"/>
            </w:pPr>
            <w:r>
              <w:t>AD, monitoring, security, config management</w:t>
            </w:r>
          </w:p>
        </w:tc>
      </w:tr>
      <w:tr w:rsidR="006860A9" w14:paraId="777C479A" w14:textId="77777777" w:rsidTr="1524DEBB">
        <w:tc>
          <w:tcPr>
            <w:tcW w:w="1944" w:type="dxa"/>
            <w:tcMar>
              <w:top w:w="100" w:type="dxa"/>
              <w:left w:w="100" w:type="dxa"/>
              <w:bottom w:w="100" w:type="dxa"/>
              <w:right w:w="100" w:type="dxa"/>
            </w:tcMar>
            <w:vAlign w:val="center"/>
          </w:tcPr>
          <w:p w14:paraId="0000049F" w14:textId="000004A0" w:rsidR="000B0F63" w:rsidRDefault="00C05D22" w:rsidP="00A34904">
            <w:pPr>
              <w:pStyle w:val="TableInfo"/>
              <w:jc w:val="center"/>
            </w:pPr>
            <w:r>
              <w:t>Cohort 1 - Quick Wins</w:t>
            </w:r>
          </w:p>
        </w:tc>
        <w:tc>
          <w:tcPr>
            <w:tcW w:w="2446" w:type="dxa"/>
            <w:tcMar>
              <w:top w:w="100" w:type="dxa"/>
              <w:left w:w="100" w:type="dxa"/>
              <w:bottom w:w="100" w:type="dxa"/>
              <w:right w:w="100" w:type="dxa"/>
            </w:tcMar>
            <w:vAlign w:val="center"/>
          </w:tcPr>
          <w:p w14:paraId="000004A1" w14:textId="000004A2" w:rsidR="000B0F63" w:rsidRDefault="00C05D22" w:rsidP="00A34904">
            <w:pPr>
              <w:pStyle w:val="TableInfo"/>
            </w:pPr>
            <w:r>
              <w:t>Low-complexity, low-dependency applications</w:t>
            </w:r>
          </w:p>
        </w:tc>
        <w:tc>
          <w:tcPr>
            <w:tcW w:w="1275" w:type="dxa"/>
            <w:tcMar>
              <w:top w:w="100" w:type="dxa"/>
              <w:left w:w="100" w:type="dxa"/>
              <w:bottom w:w="100" w:type="dxa"/>
              <w:right w:w="100" w:type="dxa"/>
            </w:tcMar>
            <w:vAlign w:val="center"/>
          </w:tcPr>
          <w:p w14:paraId="000004A3" w14:textId="000004A4" w:rsidR="000B0F63" w:rsidRDefault="00C05D22" w:rsidP="00A34904">
            <w:pPr>
              <w:pStyle w:val="TableInfo"/>
              <w:jc w:val="center"/>
            </w:pPr>
            <w:r>
              <w:t>13</w:t>
            </w:r>
          </w:p>
        </w:tc>
        <w:tc>
          <w:tcPr>
            <w:tcW w:w="1276" w:type="dxa"/>
            <w:tcMar>
              <w:top w:w="100" w:type="dxa"/>
              <w:left w:w="100" w:type="dxa"/>
              <w:bottom w:w="100" w:type="dxa"/>
              <w:right w:w="100" w:type="dxa"/>
            </w:tcMar>
            <w:vAlign w:val="center"/>
          </w:tcPr>
          <w:p w14:paraId="000004A5" w14:textId="000004A6" w:rsidR="000B0F63" w:rsidRDefault="00C05D22" w:rsidP="00A34904">
            <w:pPr>
              <w:pStyle w:val="TableInfo"/>
              <w:jc w:val="center"/>
            </w:pPr>
            <w:r>
              <w:t>63</w:t>
            </w:r>
          </w:p>
        </w:tc>
        <w:tc>
          <w:tcPr>
            <w:tcW w:w="2779" w:type="dxa"/>
            <w:tcMar>
              <w:top w:w="100" w:type="dxa"/>
              <w:left w:w="100" w:type="dxa"/>
              <w:bottom w:w="100" w:type="dxa"/>
              <w:right w:w="100" w:type="dxa"/>
            </w:tcMar>
            <w:vAlign w:val="center"/>
          </w:tcPr>
          <w:p w14:paraId="000004A7" w14:textId="000004A8" w:rsidR="000B0F63" w:rsidRDefault="00C05D22" w:rsidP="00A34904">
            <w:pPr>
              <w:pStyle w:val="TableInfo"/>
            </w:pPr>
            <w:r>
              <w:t>Independent apps, well-discovered, clear cloud fit</w:t>
            </w:r>
          </w:p>
        </w:tc>
      </w:tr>
      <w:tr w:rsidR="006860A9" w14:paraId="7AAC6ADC" w14:textId="77777777" w:rsidTr="1524DEBB">
        <w:tc>
          <w:tcPr>
            <w:tcW w:w="1944" w:type="dxa"/>
            <w:tcMar>
              <w:top w:w="100" w:type="dxa"/>
              <w:left w:w="100" w:type="dxa"/>
              <w:bottom w:w="100" w:type="dxa"/>
              <w:right w:w="100" w:type="dxa"/>
            </w:tcMar>
            <w:vAlign w:val="center"/>
          </w:tcPr>
          <w:p w14:paraId="000004A9" w14:textId="000004AA" w:rsidR="000B0F63" w:rsidRDefault="00C05D22" w:rsidP="00A34904">
            <w:pPr>
              <w:pStyle w:val="TableInfo"/>
              <w:jc w:val="center"/>
            </w:pPr>
            <w:r>
              <w:t>Cohort 2 - Planned Migration</w:t>
            </w:r>
          </w:p>
        </w:tc>
        <w:tc>
          <w:tcPr>
            <w:tcW w:w="2446" w:type="dxa"/>
            <w:tcMar>
              <w:top w:w="100" w:type="dxa"/>
              <w:left w:w="100" w:type="dxa"/>
              <w:bottom w:w="100" w:type="dxa"/>
              <w:right w:w="100" w:type="dxa"/>
            </w:tcMar>
            <w:vAlign w:val="center"/>
          </w:tcPr>
          <w:p w14:paraId="000004AB" w14:textId="000004AC" w:rsidR="000B0F63" w:rsidRDefault="00C05D22" w:rsidP="00A34904">
            <w:pPr>
              <w:pStyle w:val="TableInfo"/>
            </w:pPr>
            <w:r>
              <w:t>Moderate complexity with manageable dependencies</w:t>
            </w:r>
          </w:p>
        </w:tc>
        <w:tc>
          <w:tcPr>
            <w:tcW w:w="1275" w:type="dxa"/>
            <w:tcMar>
              <w:top w:w="100" w:type="dxa"/>
              <w:left w:w="100" w:type="dxa"/>
              <w:bottom w:w="100" w:type="dxa"/>
              <w:right w:w="100" w:type="dxa"/>
            </w:tcMar>
            <w:vAlign w:val="center"/>
          </w:tcPr>
          <w:p w14:paraId="000004AD" w14:textId="000004AE" w:rsidR="000B0F63" w:rsidRDefault="00C05D22" w:rsidP="00A34904">
            <w:pPr>
              <w:pStyle w:val="TableInfo"/>
              <w:jc w:val="center"/>
            </w:pPr>
            <w:r>
              <w:t>17</w:t>
            </w:r>
          </w:p>
        </w:tc>
        <w:tc>
          <w:tcPr>
            <w:tcW w:w="1276" w:type="dxa"/>
            <w:tcMar>
              <w:top w:w="100" w:type="dxa"/>
              <w:left w:w="100" w:type="dxa"/>
              <w:bottom w:w="100" w:type="dxa"/>
              <w:right w:w="100" w:type="dxa"/>
            </w:tcMar>
            <w:vAlign w:val="center"/>
          </w:tcPr>
          <w:p w14:paraId="000004AF" w14:textId="000004B0" w:rsidR="000B0F63" w:rsidRDefault="00C05D22" w:rsidP="00A34904">
            <w:pPr>
              <w:pStyle w:val="TableInfo"/>
              <w:jc w:val="center"/>
            </w:pPr>
            <w:r>
              <w:t>425</w:t>
            </w:r>
          </w:p>
        </w:tc>
        <w:tc>
          <w:tcPr>
            <w:tcW w:w="2779" w:type="dxa"/>
            <w:tcMar>
              <w:top w:w="100" w:type="dxa"/>
              <w:left w:w="100" w:type="dxa"/>
              <w:bottom w:w="100" w:type="dxa"/>
              <w:right w:w="100" w:type="dxa"/>
            </w:tcMar>
            <w:vAlign w:val="center"/>
          </w:tcPr>
          <w:p w14:paraId="000004B1" w14:textId="000004B2" w:rsidR="000B0F63" w:rsidRDefault="00C05D22" w:rsidP="00A34904">
            <w:pPr>
              <w:pStyle w:val="TableInfo"/>
            </w:pPr>
            <w:r>
              <w:t>Some database dependencies, cross-app connections, mixed infrastructure</w:t>
            </w:r>
          </w:p>
        </w:tc>
      </w:tr>
      <w:tr w:rsidR="006860A9" w14:paraId="64DE5C2A" w14:textId="77777777" w:rsidTr="1524DEBB">
        <w:tc>
          <w:tcPr>
            <w:tcW w:w="1944" w:type="dxa"/>
            <w:tcMar>
              <w:top w:w="100" w:type="dxa"/>
              <w:left w:w="100" w:type="dxa"/>
              <w:bottom w:w="100" w:type="dxa"/>
              <w:right w:w="100" w:type="dxa"/>
            </w:tcMar>
            <w:vAlign w:val="center"/>
          </w:tcPr>
          <w:p w14:paraId="000004B3" w14:textId="000004B4" w:rsidR="000B0F63" w:rsidRDefault="00C05D22" w:rsidP="00A34904">
            <w:pPr>
              <w:pStyle w:val="TableInfo"/>
              <w:jc w:val="center"/>
            </w:pPr>
            <w:r>
              <w:t>Cohort 3 - Complex Migration</w:t>
            </w:r>
          </w:p>
        </w:tc>
        <w:tc>
          <w:tcPr>
            <w:tcW w:w="2446" w:type="dxa"/>
            <w:tcMar>
              <w:top w:w="100" w:type="dxa"/>
              <w:left w:w="100" w:type="dxa"/>
              <w:bottom w:w="100" w:type="dxa"/>
              <w:right w:w="100" w:type="dxa"/>
            </w:tcMar>
            <w:vAlign w:val="center"/>
          </w:tcPr>
          <w:p w14:paraId="000004B5" w14:textId="000004B6" w:rsidR="000B0F63" w:rsidRDefault="00C05D22" w:rsidP="00A34904">
            <w:pPr>
              <w:pStyle w:val="TableInfo"/>
            </w:pPr>
            <w:r>
              <w:t>High-complexity applications needing detailed planning</w:t>
            </w:r>
          </w:p>
        </w:tc>
        <w:tc>
          <w:tcPr>
            <w:tcW w:w="1275" w:type="dxa"/>
            <w:tcMar>
              <w:top w:w="100" w:type="dxa"/>
              <w:left w:w="100" w:type="dxa"/>
              <w:bottom w:w="100" w:type="dxa"/>
              <w:right w:w="100" w:type="dxa"/>
            </w:tcMar>
            <w:vAlign w:val="center"/>
          </w:tcPr>
          <w:p w14:paraId="000004B7" w14:textId="000004B8" w:rsidR="000B0F63" w:rsidRDefault="00C05D22" w:rsidP="00A34904">
            <w:pPr>
              <w:pStyle w:val="TableInfo"/>
              <w:jc w:val="center"/>
            </w:pPr>
            <w:r>
              <w:t>2</w:t>
            </w:r>
          </w:p>
        </w:tc>
        <w:tc>
          <w:tcPr>
            <w:tcW w:w="1276" w:type="dxa"/>
            <w:tcMar>
              <w:top w:w="100" w:type="dxa"/>
              <w:left w:w="100" w:type="dxa"/>
              <w:bottom w:w="100" w:type="dxa"/>
              <w:right w:w="100" w:type="dxa"/>
            </w:tcMar>
            <w:vAlign w:val="center"/>
          </w:tcPr>
          <w:p w14:paraId="000004B9" w14:textId="000004BA" w:rsidR="000B0F63" w:rsidRDefault="00C05D22" w:rsidP="00A34904">
            <w:pPr>
              <w:pStyle w:val="TableInfo"/>
              <w:jc w:val="center"/>
            </w:pPr>
            <w:r>
              <w:t>2,342</w:t>
            </w:r>
          </w:p>
        </w:tc>
        <w:tc>
          <w:tcPr>
            <w:tcW w:w="2779" w:type="dxa"/>
            <w:tcMar>
              <w:top w:w="100" w:type="dxa"/>
              <w:left w:w="100" w:type="dxa"/>
              <w:bottom w:w="100" w:type="dxa"/>
              <w:right w:w="100" w:type="dxa"/>
            </w:tcMar>
            <w:vAlign w:val="center"/>
          </w:tcPr>
          <w:p w14:paraId="000004BB" w14:textId="000004BC" w:rsidR="000B0F63" w:rsidRDefault="00C05D22" w:rsidP="00A34904">
            <w:pPr>
              <w:pStyle w:val="TableInfo"/>
            </w:pPr>
            <w:r>
              <w:t>MOL (2,206) + WPS (136). Oracle dependency, 91 sub-services</w:t>
            </w:r>
          </w:p>
        </w:tc>
      </w:tr>
      <w:tr w:rsidR="006860A9" w14:paraId="5983B61F" w14:textId="77777777" w:rsidTr="1524DEBB">
        <w:tc>
          <w:tcPr>
            <w:tcW w:w="1944" w:type="dxa"/>
            <w:tcMar>
              <w:top w:w="100" w:type="dxa"/>
              <w:left w:w="100" w:type="dxa"/>
              <w:bottom w:w="100" w:type="dxa"/>
              <w:right w:w="100" w:type="dxa"/>
            </w:tcMar>
            <w:vAlign w:val="center"/>
          </w:tcPr>
          <w:p w14:paraId="000004BD" w14:textId="000004BE" w:rsidR="000B0F63" w:rsidRDefault="00C05D22" w:rsidP="00A34904">
            <w:pPr>
              <w:pStyle w:val="TableInfo"/>
              <w:jc w:val="center"/>
            </w:pPr>
            <w:r>
              <w:t>Cohort 4 - Business Decision Required</w:t>
            </w:r>
          </w:p>
        </w:tc>
        <w:tc>
          <w:tcPr>
            <w:tcW w:w="2446" w:type="dxa"/>
            <w:tcMar>
              <w:top w:w="100" w:type="dxa"/>
              <w:left w:w="100" w:type="dxa"/>
              <w:bottom w:w="100" w:type="dxa"/>
              <w:right w:w="100" w:type="dxa"/>
            </w:tcMar>
            <w:vAlign w:val="center"/>
          </w:tcPr>
          <w:p w14:paraId="000004BF" w14:textId="000004C0" w:rsidR="000B0F63" w:rsidRDefault="00C05D22" w:rsidP="00A34904">
            <w:pPr>
              <w:pStyle w:val="TableInfo"/>
            </w:pPr>
            <w:r>
              <w:t>Applications where a strategic decision is needed first</w:t>
            </w:r>
          </w:p>
        </w:tc>
        <w:tc>
          <w:tcPr>
            <w:tcW w:w="1275" w:type="dxa"/>
            <w:tcMar>
              <w:top w:w="100" w:type="dxa"/>
              <w:left w:w="100" w:type="dxa"/>
              <w:bottom w:w="100" w:type="dxa"/>
              <w:right w:w="100" w:type="dxa"/>
            </w:tcMar>
            <w:vAlign w:val="center"/>
          </w:tcPr>
          <w:p w14:paraId="000004C1" w14:textId="000004C2" w:rsidR="000B0F63" w:rsidRDefault="00C05D22" w:rsidP="00A34904">
            <w:pPr>
              <w:pStyle w:val="TableInfo"/>
              <w:jc w:val="center"/>
            </w:pPr>
            <w:r>
              <w:t>2</w:t>
            </w:r>
          </w:p>
        </w:tc>
        <w:tc>
          <w:tcPr>
            <w:tcW w:w="1276" w:type="dxa"/>
            <w:tcMar>
              <w:top w:w="100" w:type="dxa"/>
              <w:left w:w="100" w:type="dxa"/>
              <w:bottom w:w="100" w:type="dxa"/>
              <w:right w:w="100" w:type="dxa"/>
            </w:tcMar>
            <w:vAlign w:val="center"/>
          </w:tcPr>
          <w:p w14:paraId="000004C3" w14:textId="000004C4" w:rsidR="000B0F63" w:rsidRDefault="00C05D22" w:rsidP="00A34904">
            <w:pPr>
              <w:pStyle w:val="TableInfo"/>
              <w:jc w:val="center"/>
            </w:pPr>
            <w:r>
              <w:t>113</w:t>
            </w:r>
          </w:p>
        </w:tc>
        <w:tc>
          <w:tcPr>
            <w:tcW w:w="2779" w:type="dxa"/>
            <w:tcMar>
              <w:top w:w="100" w:type="dxa"/>
              <w:left w:w="100" w:type="dxa"/>
              <w:bottom w:w="100" w:type="dxa"/>
              <w:right w:w="100" w:type="dxa"/>
            </w:tcMar>
            <w:vAlign w:val="center"/>
          </w:tcPr>
          <w:p w14:paraId="000004C5" w14:textId="000004C6" w:rsidR="000B0F63" w:rsidRDefault="00C05D22" w:rsidP="00A34904">
            <w:pPr>
              <w:pStyle w:val="TableInfo"/>
            </w:pPr>
            <w:proofErr w:type="spellStart"/>
            <w:r w:rsidRPr="1524DEBB">
              <w:rPr>
                <w:lang w:val="en-GB"/>
              </w:rPr>
              <w:t>Atex</w:t>
            </w:r>
            <w:proofErr w:type="spellEnd"/>
            <w:r w:rsidRPr="1524DEBB">
              <w:rPr>
                <w:lang w:val="en-GB"/>
              </w:rPr>
              <w:t xml:space="preserve"> (109) + </w:t>
            </w:r>
            <w:proofErr w:type="spellStart"/>
            <w:r w:rsidRPr="1524DEBB">
              <w:rPr>
                <w:lang w:val="en-GB"/>
              </w:rPr>
              <w:t>InstantPress</w:t>
            </w:r>
            <w:proofErr w:type="spellEnd"/>
            <w:r w:rsidRPr="1524DEBB">
              <w:rPr>
                <w:lang w:val="en-GB"/>
              </w:rPr>
              <w:t xml:space="preserve"> (4). Multicast, Oracle, vendor dependency</w:t>
            </w:r>
          </w:p>
        </w:tc>
      </w:tr>
    </w:tbl>
    <w:p w14:paraId="000004C7" w14:textId="000004C8" w:rsidR="000B0F63" w:rsidRDefault="1BAB210A" w:rsidP="00E40261">
      <w:pPr>
        <w:pStyle w:val="Heading2"/>
        <w:jc w:val="both"/>
      </w:pPr>
      <w:bookmarkStart w:id="245" w:name="_Toc169"/>
      <w:bookmarkStart w:id="246" w:name="_Toc227770952"/>
      <w:r>
        <w:t>Co-Migration Groups</w:t>
      </w:r>
      <w:bookmarkEnd w:id="245"/>
      <w:bookmarkEnd w:id="246"/>
    </w:p>
    <w:p w14:paraId="000004C9" w14:textId="000004CA" w:rsidR="000B0F63" w:rsidRDefault="00C05D22" w:rsidP="00E40261">
      <w:pPr>
        <w:jc w:val="both"/>
      </w:pPr>
      <w:r>
        <w:t>Discovery and workshops identified applications that must migrate together. Splitting them breaks data paths or operational coupling.</w:t>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CF5E89" w14:paraId="72540133" w14:textId="77777777" w:rsidTr="1524DEBB">
        <w:tc>
          <w:tcPr>
            <w:tcW w:w="2430" w:type="dxa"/>
            <w:shd w:val="clear" w:color="auto" w:fill="D9D9D9" w:themeFill="background1" w:themeFillShade="D9"/>
            <w:tcMar>
              <w:top w:w="100" w:type="dxa"/>
              <w:left w:w="100" w:type="dxa"/>
              <w:bottom w:w="100" w:type="dxa"/>
              <w:right w:w="100" w:type="dxa"/>
            </w:tcMar>
            <w:vAlign w:val="center"/>
          </w:tcPr>
          <w:p w14:paraId="000004CB" w14:textId="000004CC" w:rsidR="000B0F63" w:rsidRDefault="00C05D22" w:rsidP="00A34904">
            <w:pPr>
              <w:pStyle w:val="TableHeader"/>
              <w:jc w:val="center"/>
            </w:pPr>
            <w:r>
              <w:t>Group</w:t>
            </w:r>
          </w:p>
        </w:tc>
        <w:tc>
          <w:tcPr>
            <w:tcW w:w="2430" w:type="dxa"/>
            <w:shd w:val="clear" w:color="auto" w:fill="D9D9D9" w:themeFill="background1" w:themeFillShade="D9"/>
            <w:tcMar>
              <w:top w:w="100" w:type="dxa"/>
              <w:left w:w="100" w:type="dxa"/>
              <w:bottom w:w="100" w:type="dxa"/>
              <w:right w:w="100" w:type="dxa"/>
            </w:tcMar>
            <w:vAlign w:val="center"/>
          </w:tcPr>
          <w:p w14:paraId="000004CD" w14:textId="000004CE" w:rsidR="000B0F63" w:rsidRDefault="00C05D22" w:rsidP="00A34904">
            <w:pPr>
              <w:pStyle w:val="TableHeader"/>
              <w:jc w:val="center"/>
            </w:pPr>
            <w:r>
              <w:t>Applications</w:t>
            </w:r>
          </w:p>
        </w:tc>
        <w:tc>
          <w:tcPr>
            <w:tcW w:w="2430" w:type="dxa"/>
            <w:shd w:val="clear" w:color="auto" w:fill="D9D9D9" w:themeFill="background1" w:themeFillShade="D9"/>
            <w:tcMar>
              <w:top w:w="100" w:type="dxa"/>
              <w:left w:w="100" w:type="dxa"/>
              <w:bottom w:w="100" w:type="dxa"/>
              <w:right w:w="100" w:type="dxa"/>
            </w:tcMar>
            <w:vAlign w:val="center"/>
          </w:tcPr>
          <w:p w14:paraId="000004CF" w14:textId="000004D0" w:rsidR="000B0F63" w:rsidRDefault="00C05D22" w:rsidP="00A34904">
            <w:pPr>
              <w:pStyle w:val="TableHeader"/>
              <w:jc w:val="center"/>
            </w:pPr>
            <w:r>
              <w:t>Reason</w:t>
            </w:r>
          </w:p>
        </w:tc>
        <w:tc>
          <w:tcPr>
            <w:tcW w:w="2430" w:type="dxa"/>
            <w:shd w:val="clear" w:color="auto" w:fill="D9D9D9" w:themeFill="background1" w:themeFillShade="D9"/>
            <w:tcMar>
              <w:top w:w="100" w:type="dxa"/>
              <w:left w:w="100" w:type="dxa"/>
              <w:bottom w:w="100" w:type="dxa"/>
              <w:right w:w="100" w:type="dxa"/>
            </w:tcMar>
            <w:vAlign w:val="center"/>
          </w:tcPr>
          <w:p w14:paraId="000004D1" w14:textId="000004D2" w:rsidR="000B0F63" w:rsidRDefault="00C05D22" w:rsidP="00A34904">
            <w:pPr>
              <w:pStyle w:val="TableHeader"/>
              <w:jc w:val="center"/>
            </w:pPr>
            <w:r>
              <w:t>Cohort</w:t>
            </w:r>
          </w:p>
        </w:tc>
      </w:tr>
      <w:tr w:rsidR="00150F98" w14:paraId="797CA8F0" w14:textId="77777777" w:rsidTr="1524DEBB">
        <w:tc>
          <w:tcPr>
            <w:tcW w:w="2430" w:type="dxa"/>
            <w:tcMar>
              <w:top w:w="100" w:type="dxa"/>
              <w:left w:w="100" w:type="dxa"/>
              <w:bottom w:w="100" w:type="dxa"/>
              <w:right w:w="100" w:type="dxa"/>
            </w:tcMar>
            <w:vAlign w:val="center"/>
          </w:tcPr>
          <w:p w14:paraId="000004D3" w14:textId="000004D4" w:rsidR="000B0F63" w:rsidRDefault="00C05D22" w:rsidP="00A34904">
            <w:pPr>
              <w:pStyle w:val="TableInfo"/>
              <w:jc w:val="center"/>
            </w:pPr>
            <w:r>
              <w:t>MOL Core</w:t>
            </w:r>
          </w:p>
        </w:tc>
        <w:tc>
          <w:tcPr>
            <w:tcW w:w="2430" w:type="dxa"/>
            <w:tcMar>
              <w:top w:w="100" w:type="dxa"/>
              <w:left w:w="100" w:type="dxa"/>
              <w:bottom w:w="100" w:type="dxa"/>
              <w:right w:w="100" w:type="dxa"/>
            </w:tcMar>
            <w:vAlign w:val="center"/>
          </w:tcPr>
          <w:p w14:paraId="000004D5" w14:textId="000004D6" w:rsidR="000B0F63" w:rsidRDefault="00C05D22" w:rsidP="00A34904">
            <w:pPr>
              <w:pStyle w:val="TableInfo"/>
              <w:jc w:val="center"/>
            </w:pPr>
            <w:r>
              <w:t>MOL + WPS</w:t>
            </w:r>
          </w:p>
        </w:tc>
        <w:tc>
          <w:tcPr>
            <w:tcW w:w="2430" w:type="dxa"/>
            <w:tcMar>
              <w:top w:w="100" w:type="dxa"/>
              <w:left w:w="100" w:type="dxa"/>
              <w:bottom w:w="100" w:type="dxa"/>
              <w:right w:w="100" w:type="dxa"/>
            </w:tcMar>
            <w:vAlign w:val="center"/>
          </w:tcPr>
          <w:p w14:paraId="000004D7" w14:textId="000004D8" w:rsidR="000B0F63" w:rsidRDefault="00C05D22" w:rsidP="00A34904">
            <w:pPr>
              <w:pStyle w:val="TableInfo"/>
            </w:pPr>
            <w:r>
              <w:t xml:space="preserve">WPS maintains sustained </w:t>
            </w:r>
            <w:commentRangeStart w:id="247"/>
            <w:r>
              <w:t>Oracle</w:t>
            </w:r>
            <w:commentRangeEnd w:id="247"/>
            <w:r w:rsidR="00E2705F">
              <w:rPr>
                <w:rStyle w:val="CommentReference"/>
                <w:sz w:val="18"/>
                <w:szCs w:val="15"/>
              </w:rPr>
              <w:commentReference w:id="247"/>
            </w:r>
            <w:r>
              <w:t xml:space="preserve"> connections to MOL B-cluster</w:t>
            </w:r>
          </w:p>
        </w:tc>
        <w:tc>
          <w:tcPr>
            <w:tcW w:w="2430" w:type="dxa"/>
            <w:tcMar>
              <w:top w:w="100" w:type="dxa"/>
              <w:left w:w="100" w:type="dxa"/>
              <w:bottom w:w="100" w:type="dxa"/>
              <w:right w:w="100" w:type="dxa"/>
            </w:tcMar>
            <w:vAlign w:val="center"/>
          </w:tcPr>
          <w:p w14:paraId="000004D9" w14:textId="000004DA" w:rsidR="000B0F63" w:rsidRDefault="00C05D22" w:rsidP="00A34904">
            <w:pPr>
              <w:pStyle w:val="TableInfo"/>
              <w:jc w:val="center"/>
            </w:pPr>
            <w:r>
              <w:t>3</w:t>
            </w:r>
          </w:p>
        </w:tc>
      </w:tr>
      <w:tr w:rsidR="00150F98" w14:paraId="5A8CFCF9" w14:textId="77777777" w:rsidTr="1524DEBB">
        <w:tc>
          <w:tcPr>
            <w:tcW w:w="2430" w:type="dxa"/>
            <w:tcMar>
              <w:top w:w="100" w:type="dxa"/>
              <w:left w:w="100" w:type="dxa"/>
              <w:bottom w:w="100" w:type="dxa"/>
              <w:right w:w="100" w:type="dxa"/>
            </w:tcMar>
            <w:vAlign w:val="center"/>
          </w:tcPr>
          <w:p w14:paraId="000004DB" w14:textId="000004DC" w:rsidR="000B0F63" w:rsidRDefault="00C05D22" w:rsidP="00A34904">
            <w:pPr>
              <w:pStyle w:val="TableInfo"/>
              <w:jc w:val="center"/>
            </w:pPr>
            <w:r w:rsidRPr="1524DEBB">
              <w:rPr>
                <w:lang w:val="en-GB"/>
              </w:rPr>
              <w:t xml:space="preserve">ECO3 and </w:t>
            </w:r>
            <w:proofErr w:type="spellStart"/>
            <w:r w:rsidRPr="1524DEBB">
              <w:rPr>
                <w:lang w:val="en-GB"/>
              </w:rPr>
              <w:t>OneVision</w:t>
            </w:r>
            <w:proofErr w:type="spellEnd"/>
          </w:p>
        </w:tc>
        <w:tc>
          <w:tcPr>
            <w:tcW w:w="2430" w:type="dxa"/>
            <w:tcMar>
              <w:top w:w="100" w:type="dxa"/>
              <w:left w:w="100" w:type="dxa"/>
              <w:bottom w:w="100" w:type="dxa"/>
              <w:right w:w="100" w:type="dxa"/>
            </w:tcMar>
            <w:vAlign w:val="center"/>
          </w:tcPr>
          <w:p w14:paraId="000004DD" w14:textId="000004DE" w:rsidR="000B0F63" w:rsidRDefault="00C05D22" w:rsidP="00A34904">
            <w:pPr>
              <w:pStyle w:val="TableInfo"/>
              <w:jc w:val="center"/>
            </w:pPr>
            <w:r w:rsidRPr="1524DEBB">
              <w:rPr>
                <w:lang w:val="en-GB"/>
              </w:rPr>
              <w:t xml:space="preserve">ECO3 + </w:t>
            </w:r>
            <w:proofErr w:type="spellStart"/>
            <w:r w:rsidRPr="1524DEBB">
              <w:rPr>
                <w:lang w:val="en-GB"/>
              </w:rPr>
              <w:t>OneVision</w:t>
            </w:r>
            <w:proofErr w:type="spellEnd"/>
            <w:r w:rsidRPr="1524DEBB">
              <w:rPr>
                <w:lang w:val="en-GB"/>
              </w:rPr>
              <w:t xml:space="preserve"> Suite</w:t>
            </w:r>
          </w:p>
        </w:tc>
        <w:tc>
          <w:tcPr>
            <w:tcW w:w="2430" w:type="dxa"/>
            <w:tcMar>
              <w:top w:w="100" w:type="dxa"/>
              <w:left w:w="100" w:type="dxa"/>
              <w:bottom w:w="100" w:type="dxa"/>
              <w:right w:w="100" w:type="dxa"/>
            </w:tcMar>
            <w:vAlign w:val="center"/>
          </w:tcPr>
          <w:p w14:paraId="000004DF" w14:textId="000004E0" w:rsidR="000B0F63" w:rsidRDefault="00C05D22" w:rsidP="00A34904">
            <w:pPr>
              <w:pStyle w:val="TableInfo"/>
            </w:pPr>
            <w:proofErr w:type="spellStart"/>
            <w:r w:rsidRPr="1524DEBB">
              <w:rPr>
                <w:lang w:val="en-GB"/>
              </w:rPr>
              <w:t>OneVision</w:t>
            </w:r>
            <w:proofErr w:type="spellEnd"/>
            <w:r w:rsidRPr="1524DEBB">
              <w:rPr>
                <w:lang w:val="en-GB"/>
              </w:rPr>
              <w:t xml:space="preserve"> reads from ECO3 courier database (SMB, port 445, network-confirmed)</w:t>
            </w:r>
          </w:p>
        </w:tc>
        <w:tc>
          <w:tcPr>
            <w:tcW w:w="2430" w:type="dxa"/>
            <w:tcMar>
              <w:top w:w="100" w:type="dxa"/>
              <w:left w:w="100" w:type="dxa"/>
              <w:bottom w:w="100" w:type="dxa"/>
              <w:right w:w="100" w:type="dxa"/>
            </w:tcMar>
            <w:vAlign w:val="center"/>
          </w:tcPr>
          <w:p w14:paraId="000004E1" w14:textId="000004E2" w:rsidR="000B0F63" w:rsidRDefault="00C05D22" w:rsidP="00A34904">
            <w:pPr>
              <w:pStyle w:val="TableInfo"/>
              <w:jc w:val="center"/>
            </w:pPr>
            <w:r>
              <w:t>2</w:t>
            </w:r>
          </w:p>
        </w:tc>
      </w:tr>
      <w:tr w:rsidR="00150F98" w14:paraId="70A17CF6" w14:textId="77777777" w:rsidTr="1524DEBB">
        <w:tc>
          <w:tcPr>
            <w:tcW w:w="2430" w:type="dxa"/>
            <w:tcMar>
              <w:top w:w="100" w:type="dxa"/>
              <w:left w:w="100" w:type="dxa"/>
              <w:bottom w:w="100" w:type="dxa"/>
              <w:right w:w="100" w:type="dxa"/>
            </w:tcMar>
            <w:vAlign w:val="center"/>
          </w:tcPr>
          <w:p w14:paraId="000004E3" w14:textId="000004E4" w:rsidR="000B0F63" w:rsidRDefault="00C05D22" w:rsidP="00A34904">
            <w:pPr>
              <w:pStyle w:val="TableInfo"/>
              <w:jc w:val="center"/>
            </w:pPr>
            <w:proofErr w:type="spellStart"/>
            <w:r w:rsidRPr="1524DEBB">
              <w:rPr>
                <w:lang w:val="en-GB"/>
              </w:rPr>
              <w:t>Atex</w:t>
            </w:r>
            <w:proofErr w:type="spellEnd"/>
            <w:r w:rsidRPr="1524DEBB">
              <w:rPr>
                <w:lang w:val="en-GB"/>
              </w:rPr>
              <w:t xml:space="preserve"> Publishing</w:t>
            </w:r>
          </w:p>
        </w:tc>
        <w:tc>
          <w:tcPr>
            <w:tcW w:w="2430" w:type="dxa"/>
            <w:tcMar>
              <w:top w:w="100" w:type="dxa"/>
              <w:left w:w="100" w:type="dxa"/>
              <w:bottom w:w="100" w:type="dxa"/>
              <w:right w:w="100" w:type="dxa"/>
            </w:tcMar>
            <w:vAlign w:val="center"/>
          </w:tcPr>
          <w:p w14:paraId="000004E5" w14:textId="000004E6" w:rsidR="000B0F63" w:rsidRDefault="00C05D22" w:rsidP="00A34904">
            <w:pPr>
              <w:pStyle w:val="TableInfo"/>
              <w:jc w:val="center"/>
            </w:pPr>
            <w:proofErr w:type="spellStart"/>
            <w:r w:rsidRPr="1524DEBB">
              <w:rPr>
                <w:lang w:val="en-GB"/>
              </w:rPr>
              <w:t>Atex</w:t>
            </w:r>
            <w:proofErr w:type="spellEnd"/>
            <w:r w:rsidRPr="1524DEBB">
              <w:rPr>
                <w:lang w:val="en-GB"/>
              </w:rPr>
              <w:t xml:space="preserve"> + </w:t>
            </w:r>
            <w:proofErr w:type="spellStart"/>
            <w:r w:rsidRPr="1524DEBB">
              <w:rPr>
                <w:lang w:val="en-GB"/>
              </w:rPr>
              <w:t>InstantPress</w:t>
            </w:r>
            <w:proofErr w:type="spellEnd"/>
          </w:p>
        </w:tc>
        <w:tc>
          <w:tcPr>
            <w:tcW w:w="2430" w:type="dxa"/>
            <w:tcMar>
              <w:top w:w="100" w:type="dxa"/>
              <w:left w:w="100" w:type="dxa"/>
              <w:bottom w:w="100" w:type="dxa"/>
              <w:right w:w="100" w:type="dxa"/>
            </w:tcMar>
            <w:vAlign w:val="center"/>
          </w:tcPr>
          <w:p w14:paraId="000004E7" w14:textId="000004E8" w:rsidR="000B0F63" w:rsidRDefault="00C05D22" w:rsidP="00A34904">
            <w:pPr>
              <w:pStyle w:val="TableInfo"/>
            </w:pPr>
            <w:proofErr w:type="spellStart"/>
            <w:r w:rsidRPr="1524DEBB">
              <w:rPr>
                <w:lang w:val="en-GB"/>
              </w:rPr>
              <w:t>InstantPress</w:t>
            </w:r>
            <w:proofErr w:type="spellEnd"/>
            <w:r w:rsidRPr="1524DEBB">
              <w:rPr>
                <w:lang w:val="en-GB"/>
              </w:rPr>
              <w:t xml:space="preserve"> produces PDF output from </w:t>
            </w:r>
            <w:proofErr w:type="spellStart"/>
            <w:r w:rsidRPr="1524DEBB">
              <w:rPr>
                <w:lang w:val="en-GB"/>
              </w:rPr>
              <w:t>Atex</w:t>
            </w:r>
            <w:proofErr w:type="spellEnd"/>
            <w:r w:rsidRPr="1524DEBB">
              <w:rPr>
                <w:lang w:val="en-GB"/>
              </w:rPr>
              <w:t xml:space="preserve"> content</w:t>
            </w:r>
          </w:p>
        </w:tc>
        <w:tc>
          <w:tcPr>
            <w:tcW w:w="2430" w:type="dxa"/>
            <w:tcMar>
              <w:top w:w="100" w:type="dxa"/>
              <w:left w:w="100" w:type="dxa"/>
              <w:bottom w:w="100" w:type="dxa"/>
              <w:right w:w="100" w:type="dxa"/>
            </w:tcMar>
            <w:vAlign w:val="center"/>
          </w:tcPr>
          <w:p w14:paraId="000004E9" w14:textId="000004EA" w:rsidR="000B0F63" w:rsidRDefault="00C05D22" w:rsidP="00A34904">
            <w:pPr>
              <w:pStyle w:val="TableInfo"/>
              <w:jc w:val="center"/>
            </w:pPr>
            <w:r>
              <w:t>4</w:t>
            </w:r>
          </w:p>
        </w:tc>
      </w:tr>
    </w:tbl>
    <w:p w14:paraId="000004EB" w14:textId="000004EC" w:rsidR="000B0F63" w:rsidRDefault="1BAB210A" w:rsidP="00E40261">
      <w:pPr>
        <w:pStyle w:val="Heading2"/>
        <w:jc w:val="both"/>
      </w:pPr>
      <w:bookmarkStart w:id="248" w:name="_Toc170"/>
      <w:bookmarkStart w:id="249" w:name="_Toc227770953"/>
      <w:r>
        <w:t xml:space="preserve">What This Means </w:t>
      </w:r>
      <w:proofErr w:type="gramStart"/>
      <w:r>
        <w:t>In</w:t>
      </w:r>
      <w:proofErr w:type="gramEnd"/>
      <w:r>
        <w:t xml:space="preserve"> Practice</w:t>
      </w:r>
      <w:bookmarkEnd w:id="248"/>
      <w:bookmarkEnd w:id="249"/>
    </w:p>
    <w:p w14:paraId="000004ED" w14:textId="000004EE" w:rsidR="000B0F63" w:rsidRDefault="00C05D22" w:rsidP="00EC2FA3">
      <w:pPr>
        <w:pStyle w:val="ListBullet"/>
        <w:numPr>
          <w:ilvl w:val="0"/>
          <w:numId w:val="24"/>
        </w:numPr>
        <w:jc w:val="both"/>
      </w:pPr>
      <w:r>
        <w:t xml:space="preserve">Mail Online defines the </w:t>
      </w:r>
      <w:proofErr w:type="spellStart"/>
      <w:r>
        <w:t>programme</w:t>
      </w:r>
      <w:proofErr w:type="spellEnd"/>
      <w:r>
        <w:t xml:space="preserve"> timeline. Any Phase 2 plan that does not address MOL is incomplete.</w:t>
      </w:r>
    </w:p>
    <w:p w14:paraId="000004EF" w14:textId="000004F0" w:rsidR="000B0F63" w:rsidRDefault="00C05D22" w:rsidP="00EC2FA3">
      <w:pPr>
        <w:pStyle w:val="ListBullet"/>
        <w:numPr>
          <w:ilvl w:val="0"/>
          <w:numId w:val="24"/>
        </w:numPr>
        <w:jc w:val="both"/>
      </w:pPr>
      <w:r>
        <w:t>Cohort 4 (</w:t>
      </w:r>
      <w:proofErr w:type="spellStart"/>
      <w:r>
        <w:t>Atex</w:t>
      </w:r>
      <w:proofErr w:type="spellEnd"/>
      <w:r>
        <w:t xml:space="preserve">, </w:t>
      </w:r>
      <w:proofErr w:type="spellStart"/>
      <w:r>
        <w:t>InstantPress</w:t>
      </w:r>
      <w:proofErr w:type="spellEnd"/>
      <w:r>
        <w:t xml:space="preserve">) requires a decision before it can progress: unicast support on </w:t>
      </w:r>
      <w:proofErr w:type="spellStart"/>
      <w:proofErr w:type="gramStart"/>
      <w:r>
        <w:t>Atex</w:t>
      </w:r>
      <w:proofErr w:type="spellEnd"/>
      <w:r>
        <w:t>, or</w:t>
      </w:r>
      <w:proofErr w:type="gramEnd"/>
      <w:r>
        <w:t xml:space="preserve"> accept the VMware-on-cloud cost. This is a small </w:t>
      </w:r>
      <w:proofErr w:type="gramStart"/>
      <w:r>
        <w:t>cohort</w:t>
      </w:r>
      <w:proofErr w:type="gramEnd"/>
      <w:r>
        <w:t xml:space="preserve"> but it blocks </w:t>
      </w:r>
      <w:proofErr w:type="spellStart"/>
      <w:r>
        <w:t>Atex</w:t>
      </w:r>
      <w:proofErr w:type="spellEnd"/>
      <w:r>
        <w:t xml:space="preserve"> migration entirely until resolved.</w:t>
      </w:r>
    </w:p>
    <w:p w14:paraId="000004F1" w14:textId="000004F2" w:rsidR="000B0F63" w:rsidRDefault="00C05D22" w:rsidP="00EC2FA3">
      <w:pPr>
        <w:pStyle w:val="ListBullet"/>
        <w:numPr>
          <w:ilvl w:val="0"/>
          <w:numId w:val="24"/>
        </w:numPr>
        <w:jc w:val="both"/>
      </w:pPr>
      <w:r>
        <w:t xml:space="preserve">Quick wins exist. Cohort 1 </w:t>
      </w:r>
      <w:proofErr w:type="gramStart"/>
      <w:r>
        <w:t>is</w:t>
      </w:r>
      <w:proofErr w:type="gramEnd"/>
      <w:r>
        <w:t xml:space="preserve"> 13 applications, 63 servers</w:t>
      </w:r>
      <w:proofErr w:type="gramStart"/>
      <w:r>
        <w:t>, deliverable</w:t>
      </w:r>
      <w:proofErr w:type="gramEnd"/>
      <w:r>
        <w:t xml:space="preserve"> early. These give you measurable cloud cost savings and operational experience before the complex work begins.</w:t>
      </w:r>
    </w:p>
    <w:p w14:paraId="000004F3" w14:textId="000004F4" w:rsidR="000B0F63" w:rsidRDefault="00C05D22" w:rsidP="00EC2FA3">
      <w:pPr>
        <w:pStyle w:val="ListBullet"/>
        <w:numPr>
          <w:ilvl w:val="0"/>
          <w:numId w:val="24"/>
        </w:numPr>
        <w:jc w:val="both"/>
      </w:pPr>
      <w:r>
        <w:t xml:space="preserve">Sydney </w:t>
      </w:r>
      <w:proofErr w:type="spellStart"/>
      <w:r>
        <w:t>datacentre</w:t>
      </w:r>
      <w:proofErr w:type="spellEnd"/>
      <w:r>
        <w:t xml:space="preserve"> is the smallest and most independent workload, with a flexible contract. It is a natural early-migration candidate and provides a DC cost offset proof point.</w:t>
      </w:r>
    </w:p>
    <w:p w14:paraId="000004F5" w14:textId="000004F6" w:rsidR="000B0F63" w:rsidRDefault="1BAB210A" w:rsidP="00E40261">
      <w:pPr>
        <w:pStyle w:val="Heading2"/>
        <w:jc w:val="both"/>
      </w:pPr>
      <w:bookmarkStart w:id="250" w:name="_Toc171"/>
      <w:bookmarkStart w:id="251" w:name="_Toc227770954"/>
      <w:commentRangeStart w:id="252"/>
      <w:r>
        <w:t xml:space="preserve">Gaps In </w:t>
      </w:r>
      <w:proofErr w:type="gramStart"/>
      <w:r>
        <w:t>The</w:t>
      </w:r>
      <w:proofErr w:type="gramEnd"/>
      <w:r>
        <w:t xml:space="preserve"> Application</w:t>
      </w:r>
      <w:commentRangeEnd w:id="252"/>
      <w:r w:rsidR="002E08E7">
        <w:rPr>
          <w:rStyle w:val="CommentReference"/>
          <w:sz w:val="32"/>
          <w:szCs w:val="32"/>
        </w:rPr>
        <w:commentReference w:id="252"/>
      </w:r>
      <w:r>
        <w:t xml:space="preserve"> </w:t>
      </w:r>
      <w:commentRangeStart w:id="253"/>
      <w:r>
        <w:t>Assessment</w:t>
      </w:r>
      <w:bookmarkEnd w:id="250"/>
      <w:bookmarkEnd w:id="251"/>
      <w:commentRangeEnd w:id="253"/>
      <w:r w:rsidR="00934503">
        <w:rPr>
          <w:rStyle w:val="CommentReference"/>
          <w:sz w:val="32"/>
          <w:szCs w:val="32"/>
        </w:rPr>
        <w:commentReference w:id="253"/>
      </w:r>
    </w:p>
    <w:p w14:paraId="000004F7" w14:textId="000004F8" w:rsidR="000B0F63" w:rsidRDefault="00C05D22" w:rsidP="00EC2FA3">
      <w:pPr>
        <w:pStyle w:val="ListBullet"/>
        <w:numPr>
          <w:ilvl w:val="0"/>
          <w:numId w:val="25"/>
        </w:numPr>
        <w:jc w:val="both"/>
      </w:pPr>
      <w:r>
        <w:t>Per-application 7R classification across the full estate: Phase 2 scope.</w:t>
      </w:r>
    </w:p>
    <w:p w14:paraId="000004F9" w14:textId="000004FA" w:rsidR="000B0F63" w:rsidRDefault="00C05D22" w:rsidP="00EC2FA3">
      <w:pPr>
        <w:pStyle w:val="ListBullet"/>
        <w:numPr>
          <w:ilvl w:val="0"/>
          <w:numId w:val="25"/>
        </w:numPr>
        <w:jc w:val="both"/>
      </w:pPr>
      <w:r>
        <w:t xml:space="preserve">Detailed PL/SQL conversion scoping for Oracle </w:t>
      </w:r>
      <w:proofErr w:type="spellStart"/>
      <w:r>
        <w:t>modernisation</w:t>
      </w:r>
      <w:proofErr w:type="spellEnd"/>
      <w:r>
        <w:t xml:space="preserve">: Phase 2 scope, </w:t>
      </w:r>
      <w:proofErr w:type="gramStart"/>
      <w:r>
        <w:t>highest-value</w:t>
      </w:r>
      <w:proofErr w:type="gramEnd"/>
      <w:r>
        <w:t xml:space="preserve"> workstream.</w:t>
      </w:r>
    </w:p>
    <w:p w14:paraId="000004FB" w14:textId="000004FC" w:rsidR="000B0F63" w:rsidRDefault="00C05D22" w:rsidP="00EC2FA3">
      <w:pPr>
        <w:pStyle w:val="ListBullet"/>
        <w:numPr>
          <w:ilvl w:val="0"/>
          <w:numId w:val="25"/>
        </w:numPr>
        <w:jc w:val="both"/>
      </w:pPr>
      <w:r>
        <w:t>Deep dependency mapping for MOL's 91 sub-components: Phase 2 scope.</w:t>
      </w:r>
    </w:p>
    <w:p w14:paraId="000004FD" w14:textId="000004FE" w:rsidR="000B0F63" w:rsidRDefault="00C05D22" w:rsidP="00EC2FA3">
      <w:pPr>
        <w:pStyle w:val="ListBullet"/>
        <w:numPr>
          <w:ilvl w:val="0"/>
          <w:numId w:val="25"/>
        </w:numPr>
        <w:jc w:val="both"/>
      </w:pPr>
      <w:r>
        <w:t>Validation of workshop findings with application owners who were not available during Phase 1: Phase 2 scope.</w:t>
      </w:r>
    </w:p>
    <w:p w14:paraId="000004FF" w14:textId="00000500" w:rsidR="000B0F63" w:rsidRDefault="00C05D22" w:rsidP="00EC2FA3">
      <w:pPr>
        <w:pStyle w:val="ListBullet"/>
        <w:numPr>
          <w:ilvl w:val="0"/>
          <w:numId w:val="25"/>
        </w:numPr>
        <w:jc w:val="both"/>
      </w:pPr>
      <w:proofErr w:type="spellStart"/>
      <w:r>
        <w:t>Atex</w:t>
      </w:r>
      <w:proofErr w:type="spellEnd"/>
      <w:r>
        <w:t xml:space="preserve"> vendor engagement on unicast support: Phase 2 action with direct cost impact.</w:t>
      </w:r>
    </w:p>
    <w:p w14:paraId="00000501" w14:textId="00000502" w:rsidR="000B0F63" w:rsidRDefault="00C05D22" w:rsidP="00E40261">
      <w:pPr>
        <w:jc w:val="both"/>
      </w:pPr>
      <w:r>
        <w:br w:type="page"/>
      </w:r>
    </w:p>
    <w:p w14:paraId="00000503" w14:textId="00000504" w:rsidR="000B0F63" w:rsidRDefault="1BAB210A" w:rsidP="00E40261">
      <w:pPr>
        <w:pStyle w:val="Heading1"/>
        <w:jc w:val="both"/>
      </w:pPr>
      <w:bookmarkStart w:id="254" w:name="_Toc172"/>
      <w:bookmarkStart w:id="255" w:name="_Toc227770955"/>
      <w:bookmarkStart w:id="256" w:name="_Toc227771411"/>
      <w:r>
        <w:t>Section 7: Hyperscaler Recommendation</w:t>
      </w:r>
      <w:bookmarkEnd w:id="254"/>
      <w:bookmarkEnd w:id="255"/>
      <w:bookmarkEnd w:id="256"/>
    </w:p>
    <w:p w14:paraId="00000505" w14:textId="00000506" w:rsidR="000B0F63" w:rsidRDefault="1BAB210A" w:rsidP="00E40261">
      <w:pPr>
        <w:pStyle w:val="Heading2"/>
        <w:jc w:val="both"/>
      </w:pPr>
      <w:bookmarkStart w:id="257" w:name="_Toc173"/>
      <w:bookmarkStart w:id="258" w:name="_Toc227770956"/>
      <w:r>
        <w:t>What This Section Does</w:t>
      </w:r>
      <w:bookmarkEnd w:id="257"/>
      <w:bookmarkEnd w:id="258"/>
    </w:p>
    <w:p w14:paraId="00000507" w14:textId="00000508" w:rsidR="000B0F63" w:rsidRDefault="00C05D22" w:rsidP="00E40261">
      <w:pPr>
        <w:jc w:val="both"/>
      </w:pPr>
      <w:r>
        <w:t>This section reaches the conclusion. It draws on the cost evidence in Section 5 and the application fit evidence in Section 6 to make a clear platform recommendation for DMG Media. The scoring summary below shows how each cloud performed across the weighted evaluation criteria. The recommendation that follows is the one Rackspace believes best fits DMG Media's situation, and why.</w:t>
      </w:r>
    </w:p>
    <w:p w14:paraId="00000509" w14:textId="0000050A" w:rsidR="000B0F63" w:rsidRDefault="1BAB210A" w:rsidP="00E40261">
      <w:pPr>
        <w:pStyle w:val="Heading2"/>
        <w:jc w:val="both"/>
      </w:pPr>
      <w:bookmarkStart w:id="259" w:name="_Toc174"/>
      <w:bookmarkStart w:id="260" w:name="_Toc227770957"/>
      <w:r>
        <w:t>Weighted Scoring Summary</w:t>
      </w:r>
      <w:bookmarkEnd w:id="259"/>
      <w:bookmarkEnd w:id="260"/>
    </w:p>
    <w:p w14:paraId="0000050B" w14:textId="0000050C" w:rsidR="000B0F63" w:rsidRDefault="00C05D22" w:rsidP="00E40261">
      <w:pPr>
        <w:jc w:val="both"/>
      </w:pPr>
      <w:commentRangeStart w:id="261"/>
      <w:r>
        <w:t xml:space="preserve">The weighted </w:t>
      </w:r>
      <w:proofErr w:type="spellStart"/>
      <w:r>
        <w:t>hyperscaler</w:t>
      </w:r>
      <w:proofErr w:type="spellEnd"/>
      <w:r>
        <w:t xml:space="preserve"> scoring was applied across thirteen strategic goals</w:t>
      </w:r>
      <w:commentRangeEnd w:id="261"/>
      <w:r w:rsidR="0080544C">
        <w:rPr>
          <w:rStyle w:val="CommentReference"/>
          <w:sz w:val="22"/>
          <w:szCs w:val="22"/>
        </w:rPr>
        <w:commentReference w:id="261"/>
      </w:r>
      <w:r>
        <w:t xml:space="preserve">, with weightings DMG Media signed off at the start of the engagement. Scoring was refined during Phase 1 as commercial data </w:t>
      </w:r>
      <w:proofErr w:type="gramStart"/>
      <w:r>
        <w:t>arrived</w:t>
      </w:r>
      <w:proofErr w:type="gramEnd"/>
      <w:r>
        <w:t xml:space="preserve"> and practical constraints were validated.</w:t>
      </w:r>
    </w:p>
    <w:tbl>
      <w:tblPr>
        <w:tblW w:w="9720" w:type="dxa"/>
        <w:tblCellMar>
          <w:top w:w="100" w:type="dxa"/>
          <w:left w:w="100" w:type="dxa"/>
          <w:bottom w:w="100" w:type="dxa"/>
          <w:right w:w="100" w:type="dxa"/>
        </w:tblCellMar>
        <w:tblLook w:val="04A0" w:firstRow="1" w:lastRow="0" w:firstColumn="1" w:lastColumn="0" w:noHBand="0" w:noVBand="1"/>
      </w:tblPr>
      <w:tblGrid>
        <w:gridCol w:w="1620"/>
        <w:gridCol w:w="1210"/>
        <w:gridCol w:w="1134"/>
        <w:gridCol w:w="1276"/>
        <w:gridCol w:w="1276"/>
        <w:gridCol w:w="3204"/>
      </w:tblGrid>
      <w:tr w:rsidR="00723435" w14:paraId="64F0B063" w14:textId="77777777" w:rsidTr="1524DEBB">
        <w:tc>
          <w:tcPr>
            <w:tcW w:w="1620" w:type="dxa"/>
            <w:shd w:val="clear" w:color="auto" w:fill="D9D9D9" w:themeFill="background1" w:themeFillShade="D9"/>
            <w:tcMar>
              <w:top w:w="100" w:type="dxa"/>
              <w:left w:w="100" w:type="dxa"/>
              <w:bottom w:w="100" w:type="dxa"/>
              <w:right w:w="100" w:type="dxa"/>
            </w:tcMar>
            <w:vAlign w:val="center"/>
          </w:tcPr>
          <w:p w14:paraId="0000050D" w14:textId="0000050E" w:rsidR="000B0F63" w:rsidRDefault="00C05D22" w:rsidP="001C77FC">
            <w:pPr>
              <w:pStyle w:val="TableHeader"/>
              <w:jc w:val="center"/>
            </w:pPr>
            <w:r>
              <w:t>Strategic goal</w:t>
            </w:r>
          </w:p>
        </w:tc>
        <w:tc>
          <w:tcPr>
            <w:tcW w:w="1210" w:type="dxa"/>
            <w:shd w:val="clear" w:color="auto" w:fill="D9D9D9" w:themeFill="background1" w:themeFillShade="D9"/>
            <w:tcMar>
              <w:top w:w="100" w:type="dxa"/>
              <w:left w:w="100" w:type="dxa"/>
              <w:bottom w:w="100" w:type="dxa"/>
              <w:right w:w="100" w:type="dxa"/>
            </w:tcMar>
            <w:vAlign w:val="center"/>
          </w:tcPr>
          <w:p w14:paraId="0000050F" w14:textId="00000510" w:rsidR="000B0F63" w:rsidRDefault="00C05D22" w:rsidP="001C77FC">
            <w:pPr>
              <w:pStyle w:val="TableHeader"/>
              <w:jc w:val="center"/>
            </w:pPr>
            <w:r>
              <w:t>AWS</w:t>
            </w:r>
          </w:p>
        </w:tc>
        <w:tc>
          <w:tcPr>
            <w:tcW w:w="1134" w:type="dxa"/>
            <w:shd w:val="clear" w:color="auto" w:fill="D9D9D9" w:themeFill="background1" w:themeFillShade="D9"/>
            <w:tcMar>
              <w:top w:w="100" w:type="dxa"/>
              <w:left w:w="100" w:type="dxa"/>
              <w:bottom w:w="100" w:type="dxa"/>
              <w:right w:w="100" w:type="dxa"/>
            </w:tcMar>
            <w:vAlign w:val="center"/>
          </w:tcPr>
          <w:p w14:paraId="00000511" w14:textId="00000512" w:rsidR="000B0F63" w:rsidRDefault="00C05D22" w:rsidP="001C77FC">
            <w:pPr>
              <w:pStyle w:val="TableHeader"/>
              <w:jc w:val="center"/>
            </w:pPr>
            <w:r>
              <w:t>Azure</w:t>
            </w:r>
          </w:p>
        </w:tc>
        <w:tc>
          <w:tcPr>
            <w:tcW w:w="1276" w:type="dxa"/>
            <w:shd w:val="clear" w:color="auto" w:fill="D9D9D9" w:themeFill="background1" w:themeFillShade="D9"/>
            <w:tcMar>
              <w:top w:w="100" w:type="dxa"/>
              <w:left w:w="100" w:type="dxa"/>
              <w:bottom w:w="100" w:type="dxa"/>
              <w:right w:w="100" w:type="dxa"/>
            </w:tcMar>
            <w:vAlign w:val="center"/>
          </w:tcPr>
          <w:p w14:paraId="00000513" w14:textId="00000514" w:rsidR="000B0F63" w:rsidRDefault="00C05D22" w:rsidP="001C77FC">
            <w:pPr>
              <w:pStyle w:val="TableHeader"/>
              <w:jc w:val="center"/>
            </w:pPr>
            <w:r>
              <w:t>GCP</w:t>
            </w:r>
          </w:p>
        </w:tc>
        <w:tc>
          <w:tcPr>
            <w:tcW w:w="1276" w:type="dxa"/>
            <w:shd w:val="clear" w:color="auto" w:fill="D9D9D9" w:themeFill="background1" w:themeFillShade="D9"/>
            <w:tcMar>
              <w:top w:w="100" w:type="dxa"/>
              <w:left w:w="100" w:type="dxa"/>
              <w:bottom w:w="100" w:type="dxa"/>
              <w:right w:w="100" w:type="dxa"/>
            </w:tcMar>
            <w:vAlign w:val="center"/>
          </w:tcPr>
          <w:p w14:paraId="00000515" w14:textId="00000516" w:rsidR="000B0F63" w:rsidRDefault="00C05D22" w:rsidP="001C77FC">
            <w:pPr>
              <w:pStyle w:val="TableHeader"/>
              <w:jc w:val="center"/>
            </w:pPr>
            <w:r>
              <w:t>Winner</w:t>
            </w:r>
          </w:p>
        </w:tc>
        <w:tc>
          <w:tcPr>
            <w:tcW w:w="3204" w:type="dxa"/>
            <w:shd w:val="clear" w:color="auto" w:fill="D9D9D9" w:themeFill="background1" w:themeFillShade="D9"/>
            <w:tcMar>
              <w:top w:w="100" w:type="dxa"/>
              <w:left w:w="100" w:type="dxa"/>
              <w:bottom w:w="100" w:type="dxa"/>
              <w:right w:w="100" w:type="dxa"/>
            </w:tcMar>
            <w:vAlign w:val="center"/>
          </w:tcPr>
          <w:p w14:paraId="00000517" w14:textId="00000518" w:rsidR="000B0F63" w:rsidRDefault="00C05D22" w:rsidP="001C77FC">
            <w:pPr>
              <w:pStyle w:val="TableHeader"/>
              <w:jc w:val="center"/>
            </w:pPr>
            <w:r>
              <w:t>Notes</w:t>
            </w:r>
          </w:p>
        </w:tc>
      </w:tr>
      <w:tr w:rsidR="006860A9" w14:paraId="76506BB3" w14:textId="77777777" w:rsidTr="1524DEBB">
        <w:tc>
          <w:tcPr>
            <w:tcW w:w="1620" w:type="dxa"/>
            <w:tcMar>
              <w:top w:w="100" w:type="dxa"/>
              <w:left w:w="100" w:type="dxa"/>
              <w:bottom w:w="100" w:type="dxa"/>
              <w:right w:w="100" w:type="dxa"/>
            </w:tcMar>
            <w:vAlign w:val="center"/>
          </w:tcPr>
          <w:p w14:paraId="00000519" w14:textId="0000051A" w:rsidR="000B0F63" w:rsidRDefault="00C05D22" w:rsidP="001C77FC">
            <w:pPr>
              <w:pStyle w:val="TableInfo"/>
              <w:jc w:val="center"/>
            </w:pPr>
            <w:r>
              <w:t>Uptime</w:t>
            </w:r>
          </w:p>
        </w:tc>
        <w:tc>
          <w:tcPr>
            <w:tcW w:w="1210" w:type="dxa"/>
            <w:tcMar>
              <w:top w:w="100" w:type="dxa"/>
              <w:left w:w="100" w:type="dxa"/>
              <w:bottom w:w="100" w:type="dxa"/>
              <w:right w:w="100" w:type="dxa"/>
            </w:tcMar>
            <w:vAlign w:val="center"/>
          </w:tcPr>
          <w:p w14:paraId="0000051B" w14:textId="0000051C" w:rsidR="000B0F63" w:rsidRDefault="00C05D22" w:rsidP="001C77FC">
            <w:pPr>
              <w:pStyle w:val="TableInfo"/>
              <w:jc w:val="center"/>
            </w:pPr>
            <w:r>
              <w:t>4.2</w:t>
            </w:r>
          </w:p>
        </w:tc>
        <w:tc>
          <w:tcPr>
            <w:tcW w:w="1134" w:type="dxa"/>
            <w:tcMar>
              <w:top w:w="100" w:type="dxa"/>
              <w:left w:w="100" w:type="dxa"/>
              <w:bottom w:w="100" w:type="dxa"/>
              <w:right w:w="100" w:type="dxa"/>
            </w:tcMar>
            <w:vAlign w:val="center"/>
          </w:tcPr>
          <w:p w14:paraId="0000051D" w14:textId="0000051E" w:rsidR="000B0F63" w:rsidRDefault="00C05D22" w:rsidP="001C77FC">
            <w:pPr>
              <w:pStyle w:val="TableInfo"/>
              <w:jc w:val="center"/>
            </w:pPr>
            <w:r>
              <w:t>4.2</w:t>
            </w:r>
          </w:p>
        </w:tc>
        <w:tc>
          <w:tcPr>
            <w:tcW w:w="1276" w:type="dxa"/>
            <w:tcMar>
              <w:top w:w="100" w:type="dxa"/>
              <w:left w:w="100" w:type="dxa"/>
              <w:bottom w:w="100" w:type="dxa"/>
              <w:right w:w="100" w:type="dxa"/>
            </w:tcMar>
            <w:vAlign w:val="center"/>
          </w:tcPr>
          <w:p w14:paraId="0000051F" w14:textId="00000520" w:rsidR="000B0F63" w:rsidRDefault="00C05D22" w:rsidP="001C77FC">
            <w:pPr>
              <w:pStyle w:val="TableInfo"/>
              <w:jc w:val="center"/>
            </w:pPr>
            <w:r>
              <w:t>4.2</w:t>
            </w:r>
          </w:p>
        </w:tc>
        <w:tc>
          <w:tcPr>
            <w:tcW w:w="1276" w:type="dxa"/>
            <w:tcMar>
              <w:top w:w="100" w:type="dxa"/>
              <w:left w:w="100" w:type="dxa"/>
              <w:bottom w:w="100" w:type="dxa"/>
              <w:right w:w="100" w:type="dxa"/>
            </w:tcMar>
            <w:vAlign w:val="center"/>
          </w:tcPr>
          <w:p w14:paraId="00000521" w14:textId="00000522" w:rsidR="000B0F63" w:rsidRDefault="00C05D22" w:rsidP="001C77FC">
            <w:pPr>
              <w:pStyle w:val="TableInfo"/>
              <w:jc w:val="center"/>
            </w:pPr>
            <w:r>
              <w:t>Tied</w:t>
            </w:r>
          </w:p>
        </w:tc>
        <w:tc>
          <w:tcPr>
            <w:tcW w:w="3204" w:type="dxa"/>
            <w:tcMar>
              <w:top w:w="100" w:type="dxa"/>
              <w:left w:w="100" w:type="dxa"/>
              <w:bottom w:w="100" w:type="dxa"/>
              <w:right w:w="100" w:type="dxa"/>
            </w:tcMar>
            <w:vAlign w:val="center"/>
          </w:tcPr>
          <w:p w14:paraId="00000523" w14:textId="00000524" w:rsidR="000B0F63" w:rsidRDefault="00C05D22" w:rsidP="001C77FC">
            <w:pPr>
              <w:pStyle w:val="TableInfo"/>
            </w:pPr>
            <w:r>
              <w:t>All three offer 99.99% SLA at multi-zone deployment.</w:t>
            </w:r>
          </w:p>
        </w:tc>
      </w:tr>
      <w:tr w:rsidR="006860A9" w14:paraId="010650CA" w14:textId="77777777" w:rsidTr="1524DEBB">
        <w:tc>
          <w:tcPr>
            <w:tcW w:w="1620" w:type="dxa"/>
            <w:tcMar>
              <w:top w:w="100" w:type="dxa"/>
              <w:left w:w="100" w:type="dxa"/>
              <w:bottom w:w="100" w:type="dxa"/>
              <w:right w:w="100" w:type="dxa"/>
            </w:tcMar>
            <w:vAlign w:val="center"/>
          </w:tcPr>
          <w:p w14:paraId="00000525" w14:textId="00000526" w:rsidR="000B0F63" w:rsidRDefault="00C05D22" w:rsidP="001C77FC">
            <w:pPr>
              <w:pStyle w:val="TableInfo"/>
              <w:jc w:val="center"/>
            </w:pPr>
            <w:r>
              <w:t>Reliability</w:t>
            </w:r>
          </w:p>
        </w:tc>
        <w:tc>
          <w:tcPr>
            <w:tcW w:w="1210" w:type="dxa"/>
            <w:tcMar>
              <w:top w:w="100" w:type="dxa"/>
              <w:left w:w="100" w:type="dxa"/>
              <w:bottom w:w="100" w:type="dxa"/>
              <w:right w:w="100" w:type="dxa"/>
            </w:tcMar>
            <w:vAlign w:val="center"/>
          </w:tcPr>
          <w:p w14:paraId="00000527" w14:textId="00000528" w:rsidR="000B0F63" w:rsidRDefault="00C05D22" w:rsidP="001C77FC">
            <w:pPr>
              <w:pStyle w:val="TableInfo"/>
              <w:jc w:val="center"/>
            </w:pPr>
            <w:r>
              <w:t>4.8</w:t>
            </w:r>
          </w:p>
        </w:tc>
        <w:tc>
          <w:tcPr>
            <w:tcW w:w="1134" w:type="dxa"/>
            <w:tcMar>
              <w:top w:w="100" w:type="dxa"/>
              <w:left w:w="100" w:type="dxa"/>
              <w:bottom w:w="100" w:type="dxa"/>
              <w:right w:w="100" w:type="dxa"/>
            </w:tcMar>
            <w:vAlign w:val="center"/>
          </w:tcPr>
          <w:p w14:paraId="00000529" w14:textId="0000052A" w:rsidR="000B0F63" w:rsidRDefault="00C05D22" w:rsidP="001C77FC">
            <w:pPr>
              <w:pStyle w:val="TableInfo"/>
              <w:jc w:val="center"/>
            </w:pPr>
            <w:r>
              <w:t>4.6</w:t>
            </w:r>
          </w:p>
        </w:tc>
        <w:tc>
          <w:tcPr>
            <w:tcW w:w="1276" w:type="dxa"/>
            <w:tcMar>
              <w:top w:w="100" w:type="dxa"/>
              <w:left w:w="100" w:type="dxa"/>
              <w:bottom w:w="100" w:type="dxa"/>
              <w:right w:w="100" w:type="dxa"/>
            </w:tcMar>
            <w:vAlign w:val="center"/>
          </w:tcPr>
          <w:p w14:paraId="0000052B" w14:textId="0000052C" w:rsidR="000B0F63" w:rsidRDefault="00C05D22" w:rsidP="001C77FC">
            <w:pPr>
              <w:pStyle w:val="TableInfo"/>
              <w:jc w:val="center"/>
            </w:pPr>
            <w:r>
              <w:t>4.4</w:t>
            </w:r>
          </w:p>
        </w:tc>
        <w:tc>
          <w:tcPr>
            <w:tcW w:w="1276" w:type="dxa"/>
            <w:tcMar>
              <w:top w:w="100" w:type="dxa"/>
              <w:left w:w="100" w:type="dxa"/>
              <w:bottom w:w="100" w:type="dxa"/>
              <w:right w:w="100" w:type="dxa"/>
            </w:tcMar>
            <w:vAlign w:val="center"/>
          </w:tcPr>
          <w:p w14:paraId="0000052D" w14:textId="0000052E" w:rsidR="000B0F63" w:rsidRDefault="00C05D22" w:rsidP="001C77FC">
            <w:pPr>
              <w:pStyle w:val="TableInfo"/>
              <w:jc w:val="center"/>
            </w:pPr>
            <w:r>
              <w:t>AWS</w:t>
            </w:r>
          </w:p>
        </w:tc>
        <w:tc>
          <w:tcPr>
            <w:tcW w:w="3204" w:type="dxa"/>
            <w:tcMar>
              <w:top w:w="100" w:type="dxa"/>
              <w:left w:w="100" w:type="dxa"/>
              <w:bottom w:w="100" w:type="dxa"/>
              <w:right w:w="100" w:type="dxa"/>
            </w:tcMar>
            <w:vAlign w:val="center"/>
          </w:tcPr>
          <w:p w14:paraId="0000052F" w14:textId="00000530" w:rsidR="000B0F63" w:rsidRDefault="00C05D22" w:rsidP="001C77FC">
            <w:pPr>
              <w:pStyle w:val="TableInfo"/>
            </w:pPr>
            <w:r w:rsidRPr="1524DEBB">
              <w:rPr>
                <w:lang w:val="en-GB"/>
              </w:rPr>
              <w:t>Longest operational track record, broadest service catalogue.</w:t>
            </w:r>
          </w:p>
        </w:tc>
      </w:tr>
      <w:tr w:rsidR="006860A9" w14:paraId="29E7225F" w14:textId="77777777" w:rsidTr="1524DEBB">
        <w:tc>
          <w:tcPr>
            <w:tcW w:w="1620" w:type="dxa"/>
            <w:tcMar>
              <w:top w:w="100" w:type="dxa"/>
              <w:left w:w="100" w:type="dxa"/>
              <w:bottom w:w="100" w:type="dxa"/>
              <w:right w:w="100" w:type="dxa"/>
            </w:tcMar>
            <w:vAlign w:val="center"/>
          </w:tcPr>
          <w:p w14:paraId="00000531" w14:textId="00000532" w:rsidR="000B0F63" w:rsidRDefault="00C05D22" w:rsidP="001C77FC">
            <w:pPr>
              <w:pStyle w:val="TableInfo"/>
              <w:jc w:val="center"/>
            </w:pPr>
            <w:r>
              <w:t>Scalability</w:t>
            </w:r>
          </w:p>
        </w:tc>
        <w:tc>
          <w:tcPr>
            <w:tcW w:w="1210" w:type="dxa"/>
            <w:tcMar>
              <w:top w:w="100" w:type="dxa"/>
              <w:left w:w="100" w:type="dxa"/>
              <w:bottom w:w="100" w:type="dxa"/>
              <w:right w:w="100" w:type="dxa"/>
            </w:tcMar>
            <w:vAlign w:val="center"/>
          </w:tcPr>
          <w:p w14:paraId="00000533" w14:textId="00000534" w:rsidR="000B0F63" w:rsidRDefault="00C05D22" w:rsidP="001C77FC">
            <w:pPr>
              <w:pStyle w:val="TableInfo"/>
              <w:jc w:val="center"/>
            </w:pPr>
            <w:r>
              <w:t>4.8</w:t>
            </w:r>
          </w:p>
        </w:tc>
        <w:tc>
          <w:tcPr>
            <w:tcW w:w="1134" w:type="dxa"/>
            <w:tcMar>
              <w:top w:w="100" w:type="dxa"/>
              <w:left w:w="100" w:type="dxa"/>
              <w:bottom w:w="100" w:type="dxa"/>
              <w:right w:w="100" w:type="dxa"/>
            </w:tcMar>
            <w:vAlign w:val="center"/>
          </w:tcPr>
          <w:p w14:paraId="00000535" w14:textId="00000536" w:rsidR="000B0F63" w:rsidRDefault="00C05D22" w:rsidP="001C77FC">
            <w:pPr>
              <w:pStyle w:val="TableInfo"/>
              <w:jc w:val="center"/>
            </w:pPr>
            <w:r>
              <w:t>4.5</w:t>
            </w:r>
          </w:p>
        </w:tc>
        <w:tc>
          <w:tcPr>
            <w:tcW w:w="1276" w:type="dxa"/>
            <w:tcMar>
              <w:top w:w="100" w:type="dxa"/>
              <w:left w:w="100" w:type="dxa"/>
              <w:bottom w:w="100" w:type="dxa"/>
              <w:right w:w="100" w:type="dxa"/>
            </w:tcMar>
            <w:vAlign w:val="center"/>
          </w:tcPr>
          <w:p w14:paraId="00000537" w14:textId="00000538" w:rsidR="000B0F63" w:rsidRDefault="00C05D22" w:rsidP="001C77FC">
            <w:pPr>
              <w:pStyle w:val="TableInfo"/>
              <w:jc w:val="center"/>
            </w:pPr>
            <w:r>
              <w:t>4.8</w:t>
            </w:r>
          </w:p>
        </w:tc>
        <w:tc>
          <w:tcPr>
            <w:tcW w:w="1276" w:type="dxa"/>
            <w:tcMar>
              <w:top w:w="100" w:type="dxa"/>
              <w:left w:w="100" w:type="dxa"/>
              <w:bottom w:w="100" w:type="dxa"/>
              <w:right w:w="100" w:type="dxa"/>
            </w:tcMar>
            <w:vAlign w:val="center"/>
          </w:tcPr>
          <w:p w14:paraId="00000539" w14:textId="0000053A" w:rsidR="000B0F63" w:rsidRDefault="00C05D22" w:rsidP="001C77FC">
            <w:pPr>
              <w:pStyle w:val="TableInfo"/>
              <w:jc w:val="center"/>
            </w:pPr>
            <w:r>
              <w:t>AWS / GCP</w:t>
            </w:r>
          </w:p>
        </w:tc>
        <w:tc>
          <w:tcPr>
            <w:tcW w:w="3204" w:type="dxa"/>
            <w:tcMar>
              <w:top w:w="100" w:type="dxa"/>
              <w:left w:w="100" w:type="dxa"/>
              <w:bottom w:w="100" w:type="dxa"/>
              <w:right w:w="100" w:type="dxa"/>
            </w:tcMar>
            <w:vAlign w:val="center"/>
          </w:tcPr>
          <w:p w14:paraId="0000053B" w14:textId="0000053C" w:rsidR="000B0F63" w:rsidRDefault="00C05D22" w:rsidP="001C77FC">
            <w:pPr>
              <w:pStyle w:val="TableInfo"/>
            </w:pPr>
            <w:r>
              <w:t>Both offer strong elastic demand handling.</w:t>
            </w:r>
          </w:p>
        </w:tc>
      </w:tr>
      <w:tr w:rsidR="006860A9" w14:paraId="38A2FE8E" w14:textId="77777777" w:rsidTr="1524DEBB">
        <w:tc>
          <w:tcPr>
            <w:tcW w:w="1620" w:type="dxa"/>
            <w:tcMar>
              <w:top w:w="100" w:type="dxa"/>
              <w:left w:w="100" w:type="dxa"/>
              <w:bottom w:w="100" w:type="dxa"/>
              <w:right w:w="100" w:type="dxa"/>
            </w:tcMar>
            <w:vAlign w:val="center"/>
          </w:tcPr>
          <w:p w14:paraId="0000053D" w14:textId="0000053E" w:rsidR="000B0F63" w:rsidRDefault="00C05D22" w:rsidP="001C77FC">
            <w:pPr>
              <w:pStyle w:val="TableInfo"/>
              <w:jc w:val="center"/>
            </w:pPr>
            <w:r>
              <w:t>Security</w:t>
            </w:r>
          </w:p>
        </w:tc>
        <w:tc>
          <w:tcPr>
            <w:tcW w:w="1210" w:type="dxa"/>
            <w:tcMar>
              <w:top w:w="100" w:type="dxa"/>
              <w:left w:w="100" w:type="dxa"/>
              <w:bottom w:w="100" w:type="dxa"/>
              <w:right w:w="100" w:type="dxa"/>
            </w:tcMar>
            <w:vAlign w:val="center"/>
          </w:tcPr>
          <w:p w14:paraId="0000053F" w14:textId="00000540" w:rsidR="000B0F63" w:rsidRDefault="00C05D22" w:rsidP="001C77FC">
            <w:pPr>
              <w:pStyle w:val="TableInfo"/>
              <w:jc w:val="center"/>
            </w:pPr>
            <w:r>
              <w:t>4.1</w:t>
            </w:r>
          </w:p>
        </w:tc>
        <w:tc>
          <w:tcPr>
            <w:tcW w:w="1134" w:type="dxa"/>
            <w:tcMar>
              <w:top w:w="100" w:type="dxa"/>
              <w:left w:w="100" w:type="dxa"/>
              <w:bottom w:w="100" w:type="dxa"/>
              <w:right w:w="100" w:type="dxa"/>
            </w:tcMar>
            <w:vAlign w:val="center"/>
          </w:tcPr>
          <w:p w14:paraId="00000541" w14:textId="00000542" w:rsidR="000B0F63" w:rsidRDefault="00C05D22" w:rsidP="001C77FC">
            <w:pPr>
              <w:pStyle w:val="TableInfo"/>
              <w:jc w:val="center"/>
            </w:pPr>
            <w:r>
              <w:t>4.8</w:t>
            </w:r>
          </w:p>
        </w:tc>
        <w:tc>
          <w:tcPr>
            <w:tcW w:w="1276" w:type="dxa"/>
            <w:tcMar>
              <w:top w:w="100" w:type="dxa"/>
              <w:left w:w="100" w:type="dxa"/>
              <w:bottom w:w="100" w:type="dxa"/>
              <w:right w:w="100" w:type="dxa"/>
            </w:tcMar>
            <w:vAlign w:val="center"/>
          </w:tcPr>
          <w:p w14:paraId="00000543" w14:textId="00000544" w:rsidR="000B0F63" w:rsidRDefault="00C05D22" w:rsidP="001C77FC">
            <w:pPr>
              <w:pStyle w:val="TableInfo"/>
              <w:jc w:val="center"/>
            </w:pPr>
            <w:r>
              <w:t>4.6</w:t>
            </w:r>
          </w:p>
        </w:tc>
        <w:tc>
          <w:tcPr>
            <w:tcW w:w="1276" w:type="dxa"/>
            <w:tcMar>
              <w:top w:w="100" w:type="dxa"/>
              <w:left w:w="100" w:type="dxa"/>
              <w:bottom w:w="100" w:type="dxa"/>
              <w:right w:w="100" w:type="dxa"/>
            </w:tcMar>
            <w:vAlign w:val="center"/>
          </w:tcPr>
          <w:p w14:paraId="00000545" w14:textId="00000546" w:rsidR="000B0F63" w:rsidRDefault="00C05D22" w:rsidP="001C77FC">
            <w:pPr>
              <w:pStyle w:val="TableInfo"/>
              <w:jc w:val="center"/>
            </w:pPr>
            <w:r>
              <w:t>Azure</w:t>
            </w:r>
          </w:p>
        </w:tc>
        <w:tc>
          <w:tcPr>
            <w:tcW w:w="3204" w:type="dxa"/>
            <w:tcMar>
              <w:top w:w="100" w:type="dxa"/>
              <w:left w:w="100" w:type="dxa"/>
              <w:bottom w:w="100" w:type="dxa"/>
              <w:right w:w="100" w:type="dxa"/>
            </w:tcMar>
            <w:vAlign w:val="center"/>
          </w:tcPr>
          <w:p w14:paraId="00000547" w14:textId="00000548" w:rsidR="000B0F63" w:rsidRDefault="00C05D22" w:rsidP="001C77FC">
            <w:pPr>
              <w:pStyle w:val="TableInfo"/>
            </w:pPr>
            <w:r>
              <w:t>Azure Entra ID and Sentinel strongest.</w:t>
            </w:r>
          </w:p>
        </w:tc>
      </w:tr>
      <w:tr w:rsidR="006860A9" w14:paraId="32AC3D27" w14:textId="77777777" w:rsidTr="1524DEBB">
        <w:tc>
          <w:tcPr>
            <w:tcW w:w="1620" w:type="dxa"/>
            <w:tcMar>
              <w:top w:w="100" w:type="dxa"/>
              <w:left w:w="100" w:type="dxa"/>
              <w:bottom w:w="100" w:type="dxa"/>
              <w:right w:w="100" w:type="dxa"/>
            </w:tcMar>
            <w:vAlign w:val="center"/>
          </w:tcPr>
          <w:p w14:paraId="00000549" w14:textId="0000054A" w:rsidR="000B0F63" w:rsidRDefault="00C05D22" w:rsidP="001C77FC">
            <w:pPr>
              <w:pStyle w:val="TableInfo"/>
              <w:jc w:val="center"/>
            </w:pPr>
            <w:r>
              <w:t>Performance</w:t>
            </w:r>
          </w:p>
        </w:tc>
        <w:tc>
          <w:tcPr>
            <w:tcW w:w="1210" w:type="dxa"/>
            <w:tcMar>
              <w:top w:w="100" w:type="dxa"/>
              <w:left w:w="100" w:type="dxa"/>
              <w:bottom w:w="100" w:type="dxa"/>
              <w:right w:w="100" w:type="dxa"/>
            </w:tcMar>
            <w:vAlign w:val="center"/>
          </w:tcPr>
          <w:p w14:paraId="0000054B" w14:textId="0000054C" w:rsidR="000B0F63" w:rsidRDefault="00C05D22" w:rsidP="001C77FC">
            <w:pPr>
              <w:pStyle w:val="TableInfo"/>
              <w:jc w:val="center"/>
            </w:pPr>
            <w:r>
              <w:t>4.7</w:t>
            </w:r>
          </w:p>
        </w:tc>
        <w:tc>
          <w:tcPr>
            <w:tcW w:w="1134" w:type="dxa"/>
            <w:tcMar>
              <w:top w:w="100" w:type="dxa"/>
              <w:left w:w="100" w:type="dxa"/>
              <w:bottom w:w="100" w:type="dxa"/>
              <w:right w:w="100" w:type="dxa"/>
            </w:tcMar>
            <w:vAlign w:val="center"/>
          </w:tcPr>
          <w:p w14:paraId="0000054D" w14:textId="0000054E" w:rsidR="000B0F63" w:rsidRDefault="00C05D22" w:rsidP="001C77FC">
            <w:pPr>
              <w:pStyle w:val="TableInfo"/>
              <w:jc w:val="center"/>
            </w:pPr>
            <w:r>
              <w:t>4.3</w:t>
            </w:r>
          </w:p>
        </w:tc>
        <w:tc>
          <w:tcPr>
            <w:tcW w:w="1276" w:type="dxa"/>
            <w:tcMar>
              <w:top w:w="100" w:type="dxa"/>
              <w:left w:w="100" w:type="dxa"/>
              <w:bottom w:w="100" w:type="dxa"/>
              <w:right w:w="100" w:type="dxa"/>
            </w:tcMar>
            <w:vAlign w:val="center"/>
          </w:tcPr>
          <w:p w14:paraId="0000054F" w14:textId="00000550" w:rsidR="000B0F63" w:rsidRDefault="00C05D22" w:rsidP="001C77FC">
            <w:pPr>
              <w:pStyle w:val="TableInfo"/>
              <w:jc w:val="center"/>
            </w:pPr>
            <w:r>
              <w:t>4.3</w:t>
            </w:r>
          </w:p>
        </w:tc>
        <w:tc>
          <w:tcPr>
            <w:tcW w:w="1276" w:type="dxa"/>
            <w:tcMar>
              <w:top w:w="100" w:type="dxa"/>
              <w:left w:w="100" w:type="dxa"/>
              <w:bottom w:w="100" w:type="dxa"/>
              <w:right w:w="100" w:type="dxa"/>
            </w:tcMar>
            <w:vAlign w:val="center"/>
          </w:tcPr>
          <w:p w14:paraId="00000551" w14:textId="00000552" w:rsidR="000B0F63" w:rsidRDefault="00C05D22" w:rsidP="001C77FC">
            <w:pPr>
              <w:pStyle w:val="TableInfo"/>
              <w:jc w:val="center"/>
            </w:pPr>
            <w:r>
              <w:t>AWS</w:t>
            </w:r>
          </w:p>
        </w:tc>
        <w:tc>
          <w:tcPr>
            <w:tcW w:w="3204" w:type="dxa"/>
            <w:tcMar>
              <w:top w:w="100" w:type="dxa"/>
              <w:left w:w="100" w:type="dxa"/>
              <w:bottom w:w="100" w:type="dxa"/>
              <w:right w:w="100" w:type="dxa"/>
            </w:tcMar>
            <w:vAlign w:val="center"/>
          </w:tcPr>
          <w:p w14:paraId="00000553" w14:textId="00000554" w:rsidR="000B0F63" w:rsidRDefault="00C05D22" w:rsidP="001C77FC">
            <w:pPr>
              <w:pStyle w:val="TableInfo"/>
            </w:pPr>
            <w:r>
              <w:t xml:space="preserve">Best for HPC and specialist </w:t>
            </w:r>
            <w:proofErr w:type="gramStart"/>
            <w:r>
              <w:t>compute</w:t>
            </w:r>
            <w:proofErr w:type="gramEnd"/>
            <w:r>
              <w:t xml:space="preserve"> workloads.</w:t>
            </w:r>
          </w:p>
        </w:tc>
      </w:tr>
      <w:tr w:rsidR="006860A9" w14:paraId="2762FBE7" w14:textId="77777777" w:rsidTr="1524DEBB">
        <w:tc>
          <w:tcPr>
            <w:tcW w:w="1620" w:type="dxa"/>
            <w:tcMar>
              <w:top w:w="100" w:type="dxa"/>
              <w:left w:w="100" w:type="dxa"/>
              <w:bottom w:w="100" w:type="dxa"/>
              <w:right w:w="100" w:type="dxa"/>
            </w:tcMar>
            <w:vAlign w:val="center"/>
          </w:tcPr>
          <w:p w14:paraId="00000555" w14:textId="00000556" w:rsidR="000B0F63" w:rsidRDefault="00C05D22" w:rsidP="001C77FC">
            <w:pPr>
              <w:pStyle w:val="TableInfo"/>
              <w:jc w:val="center"/>
            </w:pPr>
            <w:r>
              <w:t>Business Analytics</w:t>
            </w:r>
          </w:p>
        </w:tc>
        <w:tc>
          <w:tcPr>
            <w:tcW w:w="1210" w:type="dxa"/>
            <w:tcMar>
              <w:top w:w="100" w:type="dxa"/>
              <w:left w:w="100" w:type="dxa"/>
              <w:bottom w:w="100" w:type="dxa"/>
              <w:right w:w="100" w:type="dxa"/>
            </w:tcMar>
            <w:vAlign w:val="center"/>
          </w:tcPr>
          <w:p w14:paraId="00000557" w14:textId="00000558" w:rsidR="000B0F63" w:rsidRDefault="00C05D22" w:rsidP="001C77FC">
            <w:pPr>
              <w:pStyle w:val="TableInfo"/>
              <w:jc w:val="center"/>
            </w:pPr>
            <w:r>
              <w:t>4.3</w:t>
            </w:r>
          </w:p>
        </w:tc>
        <w:tc>
          <w:tcPr>
            <w:tcW w:w="1134" w:type="dxa"/>
            <w:tcMar>
              <w:top w:w="100" w:type="dxa"/>
              <w:left w:w="100" w:type="dxa"/>
              <w:bottom w:w="100" w:type="dxa"/>
              <w:right w:w="100" w:type="dxa"/>
            </w:tcMar>
            <w:vAlign w:val="center"/>
          </w:tcPr>
          <w:p w14:paraId="00000559" w14:textId="0000055A" w:rsidR="000B0F63" w:rsidRDefault="00C05D22" w:rsidP="001C77FC">
            <w:pPr>
              <w:pStyle w:val="TableInfo"/>
              <w:jc w:val="center"/>
            </w:pPr>
            <w:r>
              <w:t>4.0</w:t>
            </w:r>
          </w:p>
        </w:tc>
        <w:tc>
          <w:tcPr>
            <w:tcW w:w="1276" w:type="dxa"/>
            <w:tcMar>
              <w:top w:w="100" w:type="dxa"/>
              <w:left w:w="100" w:type="dxa"/>
              <w:bottom w:w="100" w:type="dxa"/>
              <w:right w:w="100" w:type="dxa"/>
            </w:tcMar>
            <w:vAlign w:val="center"/>
          </w:tcPr>
          <w:p w14:paraId="0000055B" w14:textId="0000055C" w:rsidR="000B0F63" w:rsidRDefault="00C05D22" w:rsidP="001C77FC">
            <w:pPr>
              <w:pStyle w:val="TableInfo"/>
              <w:jc w:val="center"/>
            </w:pPr>
            <w:r>
              <w:t>4.6</w:t>
            </w:r>
          </w:p>
        </w:tc>
        <w:tc>
          <w:tcPr>
            <w:tcW w:w="1276" w:type="dxa"/>
            <w:tcMar>
              <w:top w:w="100" w:type="dxa"/>
              <w:left w:w="100" w:type="dxa"/>
              <w:bottom w:w="100" w:type="dxa"/>
              <w:right w:w="100" w:type="dxa"/>
            </w:tcMar>
            <w:vAlign w:val="center"/>
          </w:tcPr>
          <w:p w14:paraId="0000055D" w14:textId="0000055E" w:rsidR="000B0F63" w:rsidRDefault="00C05D22" w:rsidP="001C77FC">
            <w:pPr>
              <w:pStyle w:val="TableInfo"/>
              <w:jc w:val="center"/>
            </w:pPr>
            <w:r>
              <w:t>GCP</w:t>
            </w:r>
          </w:p>
        </w:tc>
        <w:tc>
          <w:tcPr>
            <w:tcW w:w="3204" w:type="dxa"/>
            <w:tcMar>
              <w:top w:w="100" w:type="dxa"/>
              <w:left w:w="100" w:type="dxa"/>
              <w:bottom w:w="100" w:type="dxa"/>
              <w:right w:w="100" w:type="dxa"/>
            </w:tcMar>
            <w:vAlign w:val="center"/>
          </w:tcPr>
          <w:p w14:paraId="0000055F" w14:textId="00000560" w:rsidR="000B0F63" w:rsidRDefault="1BAB210A" w:rsidP="001C77FC">
            <w:pPr>
              <w:pStyle w:val="TableInfo"/>
            </w:pPr>
            <w:proofErr w:type="spellStart"/>
            <w:r w:rsidRPr="1524DEBB">
              <w:rPr>
                <w:lang w:val="en-GB"/>
              </w:rPr>
              <w:t>BigQuery</w:t>
            </w:r>
            <w:proofErr w:type="spellEnd"/>
            <w:r w:rsidRPr="1524DEBB">
              <w:rPr>
                <w:lang w:val="en-GB"/>
              </w:rPr>
              <w:t xml:space="preserve"> is the clearest native advantage.</w:t>
            </w:r>
          </w:p>
        </w:tc>
      </w:tr>
      <w:tr w:rsidR="006860A9" w14:paraId="1E166DC6" w14:textId="77777777" w:rsidTr="1524DEBB">
        <w:tc>
          <w:tcPr>
            <w:tcW w:w="1620" w:type="dxa"/>
            <w:tcMar>
              <w:top w:w="100" w:type="dxa"/>
              <w:left w:w="100" w:type="dxa"/>
              <w:bottom w:w="100" w:type="dxa"/>
              <w:right w:w="100" w:type="dxa"/>
            </w:tcMar>
            <w:vAlign w:val="center"/>
          </w:tcPr>
          <w:p w14:paraId="00000561" w14:textId="00000562" w:rsidR="000B0F63" w:rsidRDefault="00C05D22" w:rsidP="001C77FC">
            <w:pPr>
              <w:pStyle w:val="TableInfo"/>
              <w:jc w:val="center"/>
            </w:pPr>
            <w:r>
              <w:t>Transparency</w:t>
            </w:r>
          </w:p>
        </w:tc>
        <w:tc>
          <w:tcPr>
            <w:tcW w:w="1210" w:type="dxa"/>
            <w:tcMar>
              <w:top w:w="100" w:type="dxa"/>
              <w:left w:w="100" w:type="dxa"/>
              <w:bottom w:w="100" w:type="dxa"/>
              <w:right w:w="100" w:type="dxa"/>
            </w:tcMar>
            <w:vAlign w:val="center"/>
          </w:tcPr>
          <w:p w14:paraId="00000563" w14:textId="00000564" w:rsidR="000B0F63" w:rsidRDefault="00C05D22" w:rsidP="001C77FC">
            <w:pPr>
              <w:pStyle w:val="TableInfo"/>
              <w:jc w:val="center"/>
            </w:pPr>
            <w:r>
              <w:t>4.0</w:t>
            </w:r>
          </w:p>
        </w:tc>
        <w:tc>
          <w:tcPr>
            <w:tcW w:w="1134" w:type="dxa"/>
            <w:tcMar>
              <w:top w:w="100" w:type="dxa"/>
              <w:left w:w="100" w:type="dxa"/>
              <w:bottom w:w="100" w:type="dxa"/>
              <w:right w:w="100" w:type="dxa"/>
            </w:tcMar>
            <w:vAlign w:val="center"/>
          </w:tcPr>
          <w:p w14:paraId="00000565" w14:textId="00000566" w:rsidR="000B0F63" w:rsidRDefault="00C05D22" w:rsidP="001C77FC">
            <w:pPr>
              <w:pStyle w:val="TableInfo"/>
              <w:jc w:val="center"/>
            </w:pPr>
            <w:r>
              <w:t>4.0</w:t>
            </w:r>
          </w:p>
        </w:tc>
        <w:tc>
          <w:tcPr>
            <w:tcW w:w="1276" w:type="dxa"/>
            <w:tcMar>
              <w:top w:w="100" w:type="dxa"/>
              <w:left w:w="100" w:type="dxa"/>
              <w:bottom w:w="100" w:type="dxa"/>
              <w:right w:w="100" w:type="dxa"/>
            </w:tcMar>
            <w:vAlign w:val="center"/>
          </w:tcPr>
          <w:p w14:paraId="00000567" w14:textId="00000568" w:rsidR="000B0F63" w:rsidRDefault="00C05D22" w:rsidP="001C77FC">
            <w:pPr>
              <w:pStyle w:val="TableInfo"/>
              <w:jc w:val="center"/>
            </w:pPr>
            <w:r>
              <w:t>4.2</w:t>
            </w:r>
          </w:p>
        </w:tc>
        <w:tc>
          <w:tcPr>
            <w:tcW w:w="1276" w:type="dxa"/>
            <w:tcMar>
              <w:top w:w="100" w:type="dxa"/>
              <w:left w:w="100" w:type="dxa"/>
              <w:bottom w:w="100" w:type="dxa"/>
              <w:right w:w="100" w:type="dxa"/>
            </w:tcMar>
            <w:vAlign w:val="center"/>
          </w:tcPr>
          <w:p w14:paraId="00000569" w14:textId="0000056A" w:rsidR="000B0F63" w:rsidRDefault="00C05D22" w:rsidP="001C77FC">
            <w:pPr>
              <w:pStyle w:val="TableInfo"/>
              <w:jc w:val="center"/>
            </w:pPr>
            <w:r>
              <w:t>GCP</w:t>
            </w:r>
          </w:p>
        </w:tc>
        <w:tc>
          <w:tcPr>
            <w:tcW w:w="3204" w:type="dxa"/>
            <w:tcMar>
              <w:top w:w="100" w:type="dxa"/>
              <w:left w:w="100" w:type="dxa"/>
              <w:bottom w:w="100" w:type="dxa"/>
              <w:right w:w="100" w:type="dxa"/>
            </w:tcMar>
            <w:vAlign w:val="center"/>
          </w:tcPr>
          <w:p w14:paraId="0000056B" w14:textId="0000056C" w:rsidR="000B0F63" w:rsidRDefault="00C05D22" w:rsidP="001C77FC">
            <w:pPr>
              <w:pStyle w:val="TableInfo"/>
            </w:pPr>
            <w:r>
              <w:t>Marginal advantage, not decisive.</w:t>
            </w:r>
          </w:p>
        </w:tc>
      </w:tr>
      <w:tr w:rsidR="006860A9" w14:paraId="6FBA726B" w14:textId="77777777" w:rsidTr="1524DEBB">
        <w:tc>
          <w:tcPr>
            <w:tcW w:w="1620" w:type="dxa"/>
            <w:tcMar>
              <w:top w:w="100" w:type="dxa"/>
              <w:left w:w="100" w:type="dxa"/>
              <w:bottom w:w="100" w:type="dxa"/>
              <w:right w:w="100" w:type="dxa"/>
            </w:tcMar>
            <w:vAlign w:val="center"/>
          </w:tcPr>
          <w:p w14:paraId="0000056D" w14:textId="0000056E" w:rsidR="000B0F63" w:rsidRDefault="00C05D22" w:rsidP="001C77FC">
            <w:pPr>
              <w:pStyle w:val="TableInfo"/>
              <w:jc w:val="center"/>
            </w:pPr>
            <w:commentRangeStart w:id="262"/>
            <w:r>
              <w:t>Cost</w:t>
            </w:r>
          </w:p>
        </w:tc>
        <w:tc>
          <w:tcPr>
            <w:tcW w:w="1210" w:type="dxa"/>
            <w:tcMar>
              <w:top w:w="100" w:type="dxa"/>
              <w:left w:w="100" w:type="dxa"/>
              <w:bottom w:w="100" w:type="dxa"/>
              <w:right w:w="100" w:type="dxa"/>
            </w:tcMar>
            <w:vAlign w:val="center"/>
          </w:tcPr>
          <w:p w14:paraId="0000056F" w14:textId="00000570" w:rsidR="000B0F63" w:rsidRDefault="00C05D22" w:rsidP="001C77FC">
            <w:pPr>
              <w:pStyle w:val="TableInfo"/>
              <w:jc w:val="center"/>
            </w:pPr>
            <w:r>
              <w:t>4.7</w:t>
            </w:r>
          </w:p>
        </w:tc>
        <w:tc>
          <w:tcPr>
            <w:tcW w:w="1134" w:type="dxa"/>
            <w:tcMar>
              <w:top w:w="100" w:type="dxa"/>
              <w:left w:w="100" w:type="dxa"/>
              <w:bottom w:w="100" w:type="dxa"/>
              <w:right w:w="100" w:type="dxa"/>
            </w:tcMar>
            <w:vAlign w:val="center"/>
          </w:tcPr>
          <w:p w14:paraId="00000571" w14:textId="00000572" w:rsidR="000B0F63" w:rsidRDefault="00C05D22" w:rsidP="001C77FC">
            <w:pPr>
              <w:pStyle w:val="TableInfo"/>
              <w:jc w:val="center"/>
            </w:pPr>
            <w:r>
              <w:t>4.1</w:t>
            </w:r>
          </w:p>
        </w:tc>
        <w:tc>
          <w:tcPr>
            <w:tcW w:w="1276" w:type="dxa"/>
            <w:tcMar>
              <w:top w:w="100" w:type="dxa"/>
              <w:left w:w="100" w:type="dxa"/>
              <w:bottom w:w="100" w:type="dxa"/>
              <w:right w:w="100" w:type="dxa"/>
            </w:tcMar>
            <w:vAlign w:val="center"/>
          </w:tcPr>
          <w:p w14:paraId="00000573" w14:textId="00000574" w:rsidR="000B0F63" w:rsidRDefault="00C05D22" w:rsidP="001C77FC">
            <w:pPr>
              <w:pStyle w:val="TableInfo"/>
              <w:jc w:val="center"/>
            </w:pPr>
            <w:r>
              <w:t>4.2</w:t>
            </w:r>
          </w:p>
        </w:tc>
        <w:tc>
          <w:tcPr>
            <w:tcW w:w="1276" w:type="dxa"/>
            <w:tcMar>
              <w:top w:w="100" w:type="dxa"/>
              <w:left w:w="100" w:type="dxa"/>
              <w:bottom w:w="100" w:type="dxa"/>
              <w:right w:w="100" w:type="dxa"/>
            </w:tcMar>
            <w:vAlign w:val="center"/>
          </w:tcPr>
          <w:p w14:paraId="00000575" w14:textId="00000576" w:rsidR="000B0F63" w:rsidRDefault="00C05D22" w:rsidP="001C77FC">
            <w:pPr>
              <w:pStyle w:val="TableInfo"/>
              <w:jc w:val="center"/>
            </w:pPr>
            <w:r>
              <w:t>AWS</w:t>
            </w:r>
          </w:p>
        </w:tc>
        <w:tc>
          <w:tcPr>
            <w:tcW w:w="3204" w:type="dxa"/>
            <w:tcMar>
              <w:top w:w="100" w:type="dxa"/>
              <w:left w:w="100" w:type="dxa"/>
              <w:bottom w:w="100" w:type="dxa"/>
              <w:right w:w="100" w:type="dxa"/>
            </w:tcMar>
            <w:vAlign w:val="center"/>
          </w:tcPr>
          <w:p w14:paraId="00000577" w14:textId="00000578" w:rsidR="000B0F63" w:rsidRDefault="00C05D22" w:rsidP="001C77FC">
            <w:pPr>
              <w:pStyle w:val="TableInfo"/>
            </w:pPr>
            <w:r>
              <w:t>TCO dial reflects Complete View.</w:t>
            </w:r>
            <w:commentRangeEnd w:id="262"/>
            <w:r w:rsidR="00EA6DE2">
              <w:rPr>
                <w:rStyle w:val="CommentReference"/>
                <w:sz w:val="18"/>
                <w:szCs w:val="15"/>
              </w:rPr>
              <w:commentReference w:id="262"/>
            </w:r>
          </w:p>
        </w:tc>
      </w:tr>
      <w:tr w:rsidR="006860A9" w14:paraId="0949CC4A" w14:textId="77777777" w:rsidTr="1524DEBB">
        <w:tc>
          <w:tcPr>
            <w:tcW w:w="1620" w:type="dxa"/>
            <w:tcMar>
              <w:top w:w="100" w:type="dxa"/>
              <w:left w:w="100" w:type="dxa"/>
              <w:bottom w:w="100" w:type="dxa"/>
              <w:right w:w="100" w:type="dxa"/>
            </w:tcMar>
            <w:vAlign w:val="center"/>
          </w:tcPr>
          <w:p w14:paraId="00000579" w14:textId="0000057A" w:rsidR="000B0F63" w:rsidRDefault="00C05D22" w:rsidP="001C77FC">
            <w:pPr>
              <w:pStyle w:val="TableInfo"/>
              <w:jc w:val="center"/>
            </w:pPr>
            <w:r>
              <w:t>Sovereignty</w:t>
            </w:r>
          </w:p>
        </w:tc>
        <w:tc>
          <w:tcPr>
            <w:tcW w:w="1210" w:type="dxa"/>
            <w:tcMar>
              <w:top w:w="100" w:type="dxa"/>
              <w:left w:w="100" w:type="dxa"/>
              <w:bottom w:w="100" w:type="dxa"/>
              <w:right w:w="100" w:type="dxa"/>
            </w:tcMar>
            <w:vAlign w:val="center"/>
          </w:tcPr>
          <w:p w14:paraId="0000057B" w14:textId="0000057C" w:rsidR="000B0F63" w:rsidRDefault="00C05D22" w:rsidP="001C77FC">
            <w:pPr>
              <w:pStyle w:val="TableInfo"/>
              <w:jc w:val="center"/>
            </w:pPr>
            <w:r>
              <w:t>3.7</w:t>
            </w:r>
          </w:p>
        </w:tc>
        <w:tc>
          <w:tcPr>
            <w:tcW w:w="1134" w:type="dxa"/>
            <w:tcMar>
              <w:top w:w="100" w:type="dxa"/>
              <w:left w:w="100" w:type="dxa"/>
              <w:bottom w:w="100" w:type="dxa"/>
              <w:right w:w="100" w:type="dxa"/>
            </w:tcMar>
            <w:vAlign w:val="center"/>
          </w:tcPr>
          <w:p w14:paraId="0000057D" w14:textId="0000057E" w:rsidR="000B0F63" w:rsidRDefault="00C05D22" w:rsidP="001C77FC">
            <w:pPr>
              <w:pStyle w:val="TableInfo"/>
              <w:jc w:val="center"/>
            </w:pPr>
            <w:r>
              <w:t>3.7</w:t>
            </w:r>
          </w:p>
        </w:tc>
        <w:tc>
          <w:tcPr>
            <w:tcW w:w="1276" w:type="dxa"/>
            <w:tcMar>
              <w:top w:w="100" w:type="dxa"/>
              <w:left w:w="100" w:type="dxa"/>
              <w:bottom w:w="100" w:type="dxa"/>
              <w:right w:w="100" w:type="dxa"/>
            </w:tcMar>
            <w:vAlign w:val="center"/>
          </w:tcPr>
          <w:p w14:paraId="0000057F" w14:textId="00000580" w:rsidR="000B0F63" w:rsidRDefault="00C05D22" w:rsidP="001C77FC">
            <w:pPr>
              <w:pStyle w:val="TableInfo"/>
              <w:jc w:val="center"/>
            </w:pPr>
            <w:r>
              <w:t>3.4</w:t>
            </w:r>
          </w:p>
        </w:tc>
        <w:tc>
          <w:tcPr>
            <w:tcW w:w="1276" w:type="dxa"/>
            <w:tcMar>
              <w:top w:w="100" w:type="dxa"/>
              <w:left w:w="100" w:type="dxa"/>
              <w:bottom w:w="100" w:type="dxa"/>
              <w:right w:w="100" w:type="dxa"/>
            </w:tcMar>
            <w:vAlign w:val="center"/>
          </w:tcPr>
          <w:p w14:paraId="00000581" w14:textId="00000582" w:rsidR="000B0F63" w:rsidRDefault="00C05D22" w:rsidP="001C77FC">
            <w:pPr>
              <w:pStyle w:val="TableInfo"/>
              <w:jc w:val="center"/>
            </w:pPr>
            <w:r>
              <w:t>AWS / Azure</w:t>
            </w:r>
          </w:p>
        </w:tc>
        <w:tc>
          <w:tcPr>
            <w:tcW w:w="3204" w:type="dxa"/>
            <w:tcMar>
              <w:top w:w="100" w:type="dxa"/>
              <w:left w:w="100" w:type="dxa"/>
              <w:bottom w:w="100" w:type="dxa"/>
              <w:right w:w="100" w:type="dxa"/>
            </w:tcMar>
            <w:vAlign w:val="center"/>
          </w:tcPr>
          <w:p w14:paraId="00000583" w14:textId="00000584" w:rsidR="000B0F63" w:rsidRDefault="00C05D22" w:rsidP="001C77FC">
            <w:pPr>
              <w:pStyle w:val="TableInfo"/>
            </w:pPr>
            <w:commentRangeStart w:id="263"/>
            <w:r>
              <w:t>Same jurisdictional exposure across all three</w:t>
            </w:r>
            <w:commentRangeEnd w:id="263"/>
            <w:r w:rsidR="00E772A0">
              <w:rPr>
                <w:rStyle w:val="CommentReference"/>
                <w:sz w:val="18"/>
                <w:szCs w:val="15"/>
              </w:rPr>
              <w:commentReference w:id="263"/>
            </w:r>
            <w:r>
              <w:t>.</w:t>
            </w:r>
          </w:p>
        </w:tc>
      </w:tr>
      <w:tr w:rsidR="006860A9" w14:paraId="7FF5807B" w14:textId="77777777" w:rsidTr="1524DEBB">
        <w:tc>
          <w:tcPr>
            <w:tcW w:w="1620" w:type="dxa"/>
            <w:tcMar>
              <w:top w:w="100" w:type="dxa"/>
              <w:left w:w="100" w:type="dxa"/>
              <w:bottom w:w="100" w:type="dxa"/>
              <w:right w:w="100" w:type="dxa"/>
            </w:tcMar>
            <w:vAlign w:val="center"/>
          </w:tcPr>
          <w:p w14:paraId="00000585" w14:textId="00000586" w:rsidR="000B0F63" w:rsidRDefault="00C05D22" w:rsidP="001C77FC">
            <w:pPr>
              <w:pStyle w:val="TableInfo"/>
              <w:jc w:val="center"/>
            </w:pPr>
            <w:r>
              <w:t>Business Fit</w:t>
            </w:r>
          </w:p>
        </w:tc>
        <w:tc>
          <w:tcPr>
            <w:tcW w:w="1210" w:type="dxa"/>
            <w:tcMar>
              <w:top w:w="100" w:type="dxa"/>
              <w:left w:w="100" w:type="dxa"/>
              <w:bottom w:w="100" w:type="dxa"/>
              <w:right w:w="100" w:type="dxa"/>
            </w:tcMar>
            <w:vAlign w:val="center"/>
          </w:tcPr>
          <w:p w14:paraId="00000587" w14:textId="00000588" w:rsidR="000B0F63" w:rsidRDefault="00C05D22" w:rsidP="001C77FC">
            <w:pPr>
              <w:pStyle w:val="TableInfo"/>
              <w:jc w:val="center"/>
            </w:pPr>
            <w:r>
              <w:t>4.5</w:t>
            </w:r>
          </w:p>
        </w:tc>
        <w:tc>
          <w:tcPr>
            <w:tcW w:w="1134" w:type="dxa"/>
            <w:tcMar>
              <w:top w:w="100" w:type="dxa"/>
              <w:left w:w="100" w:type="dxa"/>
              <w:bottom w:w="100" w:type="dxa"/>
              <w:right w:w="100" w:type="dxa"/>
            </w:tcMar>
            <w:vAlign w:val="center"/>
          </w:tcPr>
          <w:p w14:paraId="00000589" w14:textId="0000058A" w:rsidR="000B0F63" w:rsidRDefault="00C05D22" w:rsidP="001C77FC">
            <w:pPr>
              <w:pStyle w:val="TableInfo"/>
              <w:jc w:val="center"/>
            </w:pPr>
            <w:r>
              <w:t>4.5</w:t>
            </w:r>
          </w:p>
        </w:tc>
        <w:tc>
          <w:tcPr>
            <w:tcW w:w="1276" w:type="dxa"/>
            <w:tcMar>
              <w:top w:w="100" w:type="dxa"/>
              <w:left w:w="100" w:type="dxa"/>
              <w:bottom w:w="100" w:type="dxa"/>
              <w:right w:w="100" w:type="dxa"/>
            </w:tcMar>
            <w:vAlign w:val="center"/>
          </w:tcPr>
          <w:p w14:paraId="0000058B" w14:textId="0000058C" w:rsidR="000B0F63" w:rsidRDefault="00C05D22" w:rsidP="001C77FC">
            <w:pPr>
              <w:pStyle w:val="TableInfo"/>
              <w:jc w:val="center"/>
            </w:pPr>
            <w:r>
              <w:t>3.7</w:t>
            </w:r>
          </w:p>
        </w:tc>
        <w:tc>
          <w:tcPr>
            <w:tcW w:w="1276" w:type="dxa"/>
            <w:tcMar>
              <w:top w:w="100" w:type="dxa"/>
              <w:left w:w="100" w:type="dxa"/>
              <w:bottom w:w="100" w:type="dxa"/>
              <w:right w:w="100" w:type="dxa"/>
            </w:tcMar>
            <w:vAlign w:val="center"/>
          </w:tcPr>
          <w:p w14:paraId="0000058D" w14:textId="0000058E" w:rsidR="000B0F63" w:rsidRDefault="00C05D22" w:rsidP="001C77FC">
            <w:pPr>
              <w:pStyle w:val="TableInfo"/>
              <w:jc w:val="center"/>
            </w:pPr>
            <w:r>
              <w:t>AWS</w:t>
            </w:r>
          </w:p>
        </w:tc>
        <w:tc>
          <w:tcPr>
            <w:tcW w:w="3204" w:type="dxa"/>
            <w:tcMar>
              <w:top w:w="100" w:type="dxa"/>
              <w:left w:w="100" w:type="dxa"/>
              <w:bottom w:w="100" w:type="dxa"/>
              <w:right w:w="100" w:type="dxa"/>
            </w:tcMar>
            <w:vAlign w:val="center"/>
          </w:tcPr>
          <w:p w14:paraId="0000058F" w14:textId="00000590" w:rsidR="000B0F63" w:rsidRDefault="00C05D22" w:rsidP="001C77FC">
            <w:pPr>
              <w:pStyle w:val="TableInfo"/>
            </w:pPr>
            <w:r>
              <w:t>Partner ecosystem, enterprise relationships, skills market.</w:t>
            </w:r>
          </w:p>
        </w:tc>
      </w:tr>
      <w:tr w:rsidR="006860A9" w14:paraId="135AD6E2" w14:textId="77777777" w:rsidTr="1524DEBB">
        <w:tc>
          <w:tcPr>
            <w:tcW w:w="1620" w:type="dxa"/>
            <w:tcMar>
              <w:top w:w="100" w:type="dxa"/>
              <w:left w:w="100" w:type="dxa"/>
              <w:bottom w:w="100" w:type="dxa"/>
              <w:right w:w="100" w:type="dxa"/>
            </w:tcMar>
            <w:vAlign w:val="center"/>
          </w:tcPr>
          <w:p w14:paraId="00000591" w14:textId="00000592" w:rsidR="000B0F63" w:rsidRDefault="00C05D22" w:rsidP="001C77FC">
            <w:pPr>
              <w:pStyle w:val="TableInfo"/>
              <w:jc w:val="center"/>
            </w:pPr>
            <w:r>
              <w:t>Sustainability</w:t>
            </w:r>
          </w:p>
        </w:tc>
        <w:tc>
          <w:tcPr>
            <w:tcW w:w="1210" w:type="dxa"/>
            <w:tcMar>
              <w:top w:w="100" w:type="dxa"/>
              <w:left w:w="100" w:type="dxa"/>
              <w:bottom w:w="100" w:type="dxa"/>
              <w:right w:w="100" w:type="dxa"/>
            </w:tcMar>
            <w:vAlign w:val="center"/>
          </w:tcPr>
          <w:p w14:paraId="00000593" w14:textId="00000594" w:rsidR="000B0F63" w:rsidRDefault="00C05D22" w:rsidP="001C77FC">
            <w:pPr>
              <w:pStyle w:val="TableInfo"/>
              <w:jc w:val="center"/>
            </w:pPr>
            <w:r>
              <w:t>3.3</w:t>
            </w:r>
          </w:p>
        </w:tc>
        <w:tc>
          <w:tcPr>
            <w:tcW w:w="1134" w:type="dxa"/>
            <w:tcMar>
              <w:top w:w="100" w:type="dxa"/>
              <w:left w:w="100" w:type="dxa"/>
              <w:bottom w:w="100" w:type="dxa"/>
              <w:right w:w="100" w:type="dxa"/>
            </w:tcMar>
            <w:vAlign w:val="center"/>
          </w:tcPr>
          <w:p w14:paraId="00000595" w14:textId="00000596" w:rsidR="000B0F63" w:rsidRDefault="00C05D22" w:rsidP="001C77FC">
            <w:pPr>
              <w:pStyle w:val="TableInfo"/>
              <w:jc w:val="center"/>
            </w:pPr>
            <w:r>
              <w:t>4.0</w:t>
            </w:r>
          </w:p>
        </w:tc>
        <w:tc>
          <w:tcPr>
            <w:tcW w:w="1276" w:type="dxa"/>
            <w:tcMar>
              <w:top w:w="100" w:type="dxa"/>
              <w:left w:w="100" w:type="dxa"/>
              <w:bottom w:w="100" w:type="dxa"/>
              <w:right w:w="100" w:type="dxa"/>
            </w:tcMar>
            <w:vAlign w:val="center"/>
          </w:tcPr>
          <w:p w14:paraId="00000597" w14:textId="00000598" w:rsidR="000B0F63" w:rsidRDefault="00C05D22" w:rsidP="001C77FC">
            <w:pPr>
              <w:pStyle w:val="TableInfo"/>
              <w:jc w:val="center"/>
            </w:pPr>
            <w:r>
              <w:t>5.0</w:t>
            </w:r>
          </w:p>
        </w:tc>
        <w:tc>
          <w:tcPr>
            <w:tcW w:w="1276" w:type="dxa"/>
            <w:tcMar>
              <w:top w:w="100" w:type="dxa"/>
              <w:left w:w="100" w:type="dxa"/>
              <w:bottom w:w="100" w:type="dxa"/>
              <w:right w:w="100" w:type="dxa"/>
            </w:tcMar>
            <w:vAlign w:val="center"/>
          </w:tcPr>
          <w:p w14:paraId="00000599" w14:textId="0000059A" w:rsidR="000B0F63" w:rsidRDefault="00C05D22" w:rsidP="001C77FC">
            <w:pPr>
              <w:pStyle w:val="TableInfo"/>
              <w:jc w:val="center"/>
            </w:pPr>
            <w:r>
              <w:t>GCP</w:t>
            </w:r>
          </w:p>
        </w:tc>
        <w:tc>
          <w:tcPr>
            <w:tcW w:w="3204" w:type="dxa"/>
            <w:tcMar>
              <w:top w:w="100" w:type="dxa"/>
              <w:left w:w="100" w:type="dxa"/>
              <w:bottom w:w="100" w:type="dxa"/>
              <w:right w:w="100" w:type="dxa"/>
            </w:tcMar>
            <w:vAlign w:val="center"/>
          </w:tcPr>
          <w:p w14:paraId="0000059B" w14:textId="0000059C" w:rsidR="000B0F63" w:rsidRDefault="1BAB210A" w:rsidP="001C77FC">
            <w:pPr>
              <w:pStyle w:val="TableInfo"/>
            </w:pPr>
            <w:r w:rsidRPr="1524DEBB">
              <w:rPr>
                <w:lang w:val="en-GB"/>
              </w:rPr>
              <w:t xml:space="preserve">Genuine differentiator but </w:t>
            </w:r>
            <w:proofErr w:type="gramStart"/>
            <w:r w:rsidRPr="1524DEBB">
              <w:rPr>
                <w:lang w:val="en-GB"/>
              </w:rPr>
              <w:t>low-weight</w:t>
            </w:r>
            <w:proofErr w:type="gramEnd"/>
            <w:r w:rsidRPr="1524DEBB">
              <w:rPr>
                <w:lang w:val="en-GB"/>
              </w:rPr>
              <w:t>.</w:t>
            </w:r>
          </w:p>
        </w:tc>
      </w:tr>
      <w:tr w:rsidR="006860A9" w14:paraId="22F7D6DA" w14:textId="77777777" w:rsidTr="1524DEBB">
        <w:tc>
          <w:tcPr>
            <w:tcW w:w="1620" w:type="dxa"/>
            <w:tcMar>
              <w:top w:w="100" w:type="dxa"/>
              <w:left w:w="100" w:type="dxa"/>
              <w:bottom w:w="100" w:type="dxa"/>
              <w:right w:w="100" w:type="dxa"/>
            </w:tcMar>
            <w:vAlign w:val="center"/>
          </w:tcPr>
          <w:p w14:paraId="0000059D" w14:textId="0000059E" w:rsidR="000B0F63" w:rsidRDefault="00C05D22" w:rsidP="001C77FC">
            <w:pPr>
              <w:pStyle w:val="TableInfo"/>
              <w:jc w:val="center"/>
            </w:pPr>
            <w:r>
              <w:t>Licensing</w:t>
            </w:r>
          </w:p>
        </w:tc>
        <w:tc>
          <w:tcPr>
            <w:tcW w:w="1210" w:type="dxa"/>
            <w:tcMar>
              <w:top w:w="100" w:type="dxa"/>
              <w:left w:w="100" w:type="dxa"/>
              <w:bottom w:w="100" w:type="dxa"/>
              <w:right w:w="100" w:type="dxa"/>
            </w:tcMar>
            <w:vAlign w:val="center"/>
          </w:tcPr>
          <w:p w14:paraId="0000059F" w14:textId="000005A0" w:rsidR="000B0F63" w:rsidRDefault="00C05D22" w:rsidP="001C77FC">
            <w:pPr>
              <w:pStyle w:val="TableInfo"/>
              <w:jc w:val="center"/>
            </w:pPr>
            <w:r>
              <w:t>3.5</w:t>
            </w:r>
          </w:p>
        </w:tc>
        <w:tc>
          <w:tcPr>
            <w:tcW w:w="1134" w:type="dxa"/>
            <w:tcMar>
              <w:top w:w="100" w:type="dxa"/>
              <w:left w:w="100" w:type="dxa"/>
              <w:bottom w:w="100" w:type="dxa"/>
              <w:right w:w="100" w:type="dxa"/>
            </w:tcMar>
            <w:vAlign w:val="center"/>
          </w:tcPr>
          <w:p w14:paraId="000005A1" w14:textId="000005A2" w:rsidR="000B0F63" w:rsidRDefault="00C05D22" w:rsidP="001C77FC">
            <w:pPr>
              <w:pStyle w:val="TableInfo"/>
              <w:jc w:val="center"/>
            </w:pPr>
            <w:r>
              <w:t>4.3</w:t>
            </w:r>
          </w:p>
        </w:tc>
        <w:tc>
          <w:tcPr>
            <w:tcW w:w="1276" w:type="dxa"/>
            <w:tcMar>
              <w:top w:w="100" w:type="dxa"/>
              <w:left w:w="100" w:type="dxa"/>
              <w:bottom w:w="100" w:type="dxa"/>
              <w:right w:w="100" w:type="dxa"/>
            </w:tcMar>
            <w:vAlign w:val="center"/>
          </w:tcPr>
          <w:p w14:paraId="000005A3" w14:textId="000005A4" w:rsidR="000B0F63" w:rsidRDefault="00C05D22" w:rsidP="001C77FC">
            <w:pPr>
              <w:pStyle w:val="TableInfo"/>
              <w:jc w:val="center"/>
            </w:pPr>
            <w:r>
              <w:t>3.0</w:t>
            </w:r>
          </w:p>
        </w:tc>
        <w:tc>
          <w:tcPr>
            <w:tcW w:w="1276" w:type="dxa"/>
            <w:tcMar>
              <w:top w:w="100" w:type="dxa"/>
              <w:left w:w="100" w:type="dxa"/>
              <w:bottom w:w="100" w:type="dxa"/>
              <w:right w:w="100" w:type="dxa"/>
            </w:tcMar>
            <w:vAlign w:val="center"/>
          </w:tcPr>
          <w:p w14:paraId="000005A5" w14:textId="000005A6" w:rsidR="000B0F63" w:rsidRDefault="00C05D22" w:rsidP="001C77FC">
            <w:pPr>
              <w:pStyle w:val="TableInfo"/>
              <w:jc w:val="center"/>
            </w:pPr>
            <w:r>
              <w:t>Azure</w:t>
            </w:r>
          </w:p>
        </w:tc>
        <w:tc>
          <w:tcPr>
            <w:tcW w:w="3204" w:type="dxa"/>
            <w:tcMar>
              <w:top w:w="100" w:type="dxa"/>
              <w:left w:w="100" w:type="dxa"/>
              <w:bottom w:w="100" w:type="dxa"/>
              <w:right w:w="100" w:type="dxa"/>
            </w:tcMar>
            <w:vAlign w:val="center"/>
          </w:tcPr>
          <w:p w14:paraId="000005A7" w14:textId="368696C0" w:rsidR="000B0F63" w:rsidRDefault="1BAB210A" w:rsidP="001C77FC">
            <w:pPr>
              <w:pStyle w:val="TableInfo"/>
            </w:pPr>
            <w:r w:rsidRPr="1524DEBB">
              <w:rPr>
                <w:lang w:val="en-GB"/>
              </w:rPr>
              <w:t>AHB remains Azure's strength on paper</w:t>
            </w:r>
            <w:r w:rsidR="000214C6" w:rsidRPr="1524DEBB">
              <w:rPr>
                <w:lang w:val="en-GB"/>
              </w:rPr>
              <w:t>, but limited value to DMG</w:t>
            </w:r>
            <w:r w:rsidRPr="1524DEBB">
              <w:rPr>
                <w:lang w:val="en-GB"/>
              </w:rPr>
              <w:t>.</w:t>
            </w:r>
          </w:p>
        </w:tc>
      </w:tr>
      <w:tr w:rsidR="006860A9" w14:paraId="286781FA" w14:textId="77777777" w:rsidTr="1524DEBB">
        <w:tc>
          <w:tcPr>
            <w:tcW w:w="1620" w:type="dxa"/>
            <w:tcMar>
              <w:top w:w="100" w:type="dxa"/>
              <w:left w:w="100" w:type="dxa"/>
              <w:bottom w:w="100" w:type="dxa"/>
              <w:right w:w="100" w:type="dxa"/>
            </w:tcMar>
            <w:vAlign w:val="center"/>
          </w:tcPr>
          <w:p w14:paraId="000005A9" w14:textId="000005AA" w:rsidR="000B0F63" w:rsidRDefault="00C05D22" w:rsidP="001C77FC">
            <w:pPr>
              <w:pStyle w:val="TableInfo"/>
              <w:jc w:val="center"/>
            </w:pPr>
            <w:r>
              <w:t>Velocity</w:t>
            </w:r>
          </w:p>
        </w:tc>
        <w:tc>
          <w:tcPr>
            <w:tcW w:w="1210" w:type="dxa"/>
            <w:tcMar>
              <w:top w:w="100" w:type="dxa"/>
              <w:left w:w="100" w:type="dxa"/>
              <w:bottom w:w="100" w:type="dxa"/>
              <w:right w:w="100" w:type="dxa"/>
            </w:tcMar>
            <w:vAlign w:val="center"/>
          </w:tcPr>
          <w:p w14:paraId="000005AB" w14:textId="000005AC" w:rsidR="000B0F63" w:rsidRDefault="00C05D22" w:rsidP="001C77FC">
            <w:pPr>
              <w:pStyle w:val="TableInfo"/>
              <w:jc w:val="center"/>
            </w:pPr>
            <w:r>
              <w:t>4.4</w:t>
            </w:r>
          </w:p>
        </w:tc>
        <w:tc>
          <w:tcPr>
            <w:tcW w:w="1134" w:type="dxa"/>
            <w:tcMar>
              <w:top w:w="100" w:type="dxa"/>
              <w:left w:w="100" w:type="dxa"/>
              <w:bottom w:w="100" w:type="dxa"/>
              <w:right w:w="100" w:type="dxa"/>
            </w:tcMar>
            <w:vAlign w:val="center"/>
          </w:tcPr>
          <w:p w14:paraId="000005AD" w14:textId="000005AE" w:rsidR="000B0F63" w:rsidRDefault="00C05D22" w:rsidP="001C77FC">
            <w:pPr>
              <w:pStyle w:val="TableInfo"/>
              <w:jc w:val="center"/>
            </w:pPr>
            <w:r>
              <w:t>4.6</w:t>
            </w:r>
          </w:p>
        </w:tc>
        <w:tc>
          <w:tcPr>
            <w:tcW w:w="1276" w:type="dxa"/>
            <w:tcMar>
              <w:top w:w="100" w:type="dxa"/>
              <w:left w:w="100" w:type="dxa"/>
              <w:bottom w:w="100" w:type="dxa"/>
              <w:right w:w="100" w:type="dxa"/>
            </w:tcMar>
            <w:vAlign w:val="center"/>
          </w:tcPr>
          <w:p w14:paraId="000005AF" w14:textId="000005B0" w:rsidR="000B0F63" w:rsidRDefault="00C05D22" w:rsidP="001C77FC">
            <w:pPr>
              <w:pStyle w:val="TableInfo"/>
              <w:jc w:val="center"/>
            </w:pPr>
            <w:r>
              <w:t>4.6</w:t>
            </w:r>
          </w:p>
        </w:tc>
        <w:tc>
          <w:tcPr>
            <w:tcW w:w="1276" w:type="dxa"/>
            <w:tcMar>
              <w:top w:w="100" w:type="dxa"/>
              <w:left w:w="100" w:type="dxa"/>
              <w:bottom w:w="100" w:type="dxa"/>
              <w:right w:w="100" w:type="dxa"/>
            </w:tcMar>
            <w:vAlign w:val="center"/>
          </w:tcPr>
          <w:p w14:paraId="000005B1" w14:textId="000005B2" w:rsidR="000B0F63" w:rsidRDefault="00C05D22" w:rsidP="001C77FC">
            <w:pPr>
              <w:pStyle w:val="TableInfo"/>
              <w:jc w:val="center"/>
            </w:pPr>
            <w:r>
              <w:t>Azure / GCP</w:t>
            </w:r>
          </w:p>
        </w:tc>
        <w:tc>
          <w:tcPr>
            <w:tcW w:w="3204" w:type="dxa"/>
            <w:tcMar>
              <w:top w:w="100" w:type="dxa"/>
              <w:left w:w="100" w:type="dxa"/>
              <w:bottom w:w="100" w:type="dxa"/>
              <w:right w:w="100" w:type="dxa"/>
            </w:tcMar>
            <w:vAlign w:val="center"/>
          </w:tcPr>
          <w:p w14:paraId="000005B3" w14:textId="000005B4" w:rsidR="000B0F63" w:rsidRDefault="1BAB210A" w:rsidP="001C77FC">
            <w:pPr>
              <w:pStyle w:val="TableInfo"/>
            </w:pPr>
            <w:r w:rsidRPr="1524DEBB">
              <w:rPr>
                <w:lang w:val="en-GB"/>
              </w:rPr>
              <w:t xml:space="preserve">DevOps tooling, </w:t>
            </w:r>
            <w:proofErr w:type="spellStart"/>
            <w:r w:rsidRPr="1524DEBB">
              <w:rPr>
                <w:lang w:val="en-GB"/>
              </w:rPr>
              <w:t>IaC</w:t>
            </w:r>
            <w:proofErr w:type="spellEnd"/>
            <w:r w:rsidRPr="1524DEBB">
              <w:rPr>
                <w:lang w:val="en-GB"/>
              </w:rPr>
              <w:t xml:space="preserve"> maturity, managed service abstraction.</w:t>
            </w:r>
          </w:p>
        </w:tc>
      </w:tr>
      <w:tr w:rsidR="006860A9" w14:paraId="3217FC5D" w14:textId="77777777" w:rsidTr="1524DEBB">
        <w:tc>
          <w:tcPr>
            <w:tcW w:w="1620" w:type="dxa"/>
            <w:tcMar>
              <w:top w:w="100" w:type="dxa"/>
              <w:left w:w="100" w:type="dxa"/>
              <w:bottom w:w="100" w:type="dxa"/>
              <w:right w:w="100" w:type="dxa"/>
            </w:tcMar>
            <w:vAlign w:val="center"/>
          </w:tcPr>
          <w:p w14:paraId="000005B5" w14:textId="000005B6" w:rsidR="000B0F63" w:rsidRPr="001C77FC" w:rsidRDefault="00C05D22" w:rsidP="001C77FC">
            <w:pPr>
              <w:pStyle w:val="TableInfo"/>
              <w:jc w:val="center"/>
              <w:rPr>
                <w:b/>
              </w:rPr>
            </w:pPr>
            <w:r w:rsidRPr="001C77FC">
              <w:rPr>
                <w:b/>
              </w:rPr>
              <w:t>Weighted score</w:t>
            </w:r>
          </w:p>
        </w:tc>
        <w:tc>
          <w:tcPr>
            <w:tcW w:w="1210" w:type="dxa"/>
            <w:tcMar>
              <w:top w:w="100" w:type="dxa"/>
              <w:left w:w="100" w:type="dxa"/>
              <w:bottom w:w="100" w:type="dxa"/>
              <w:right w:w="100" w:type="dxa"/>
            </w:tcMar>
            <w:vAlign w:val="center"/>
          </w:tcPr>
          <w:p w14:paraId="000005B7" w14:textId="000005B8" w:rsidR="000B0F63" w:rsidRPr="001C77FC" w:rsidRDefault="00C05D22" w:rsidP="001C77FC">
            <w:pPr>
              <w:pStyle w:val="TableInfo"/>
              <w:jc w:val="center"/>
              <w:rPr>
                <w:b/>
              </w:rPr>
            </w:pPr>
            <w:r w:rsidRPr="001C77FC">
              <w:rPr>
                <w:b/>
              </w:rPr>
              <w:t>4.3</w:t>
            </w:r>
          </w:p>
        </w:tc>
        <w:tc>
          <w:tcPr>
            <w:tcW w:w="1134" w:type="dxa"/>
            <w:tcMar>
              <w:top w:w="100" w:type="dxa"/>
              <w:left w:w="100" w:type="dxa"/>
              <w:bottom w:w="100" w:type="dxa"/>
              <w:right w:w="100" w:type="dxa"/>
            </w:tcMar>
            <w:vAlign w:val="center"/>
          </w:tcPr>
          <w:p w14:paraId="000005B9" w14:textId="000005BA" w:rsidR="000B0F63" w:rsidRPr="001C77FC" w:rsidRDefault="00C05D22" w:rsidP="001C77FC">
            <w:pPr>
              <w:pStyle w:val="TableInfo"/>
              <w:jc w:val="center"/>
              <w:rPr>
                <w:b/>
              </w:rPr>
            </w:pPr>
            <w:r w:rsidRPr="001C77FC">
              <w:rPr>
                <w:b/>
              </w:rPr>
              <w:t>4.3</w:t>
            </w:r>
          </w:p>
        </w:tc>
        <w:tc>
          <w:tcPr>
            <w:tcW w:w="1276" w:type="dxa"/>
            <w:tcMar>
              <w:top w:w="100" w:type="dxa"/>
              <w:left w:w="100" w:type="dxa"/>
              <w:bottom w:w="100" w:type="dxa"/>
              <w:right w:w="100" w:type="dxa"/>
            </w:tcMar>
            <w:vAlign w:val="center"/>
          </w:tcPr>
          <w:p w14:paraId="000005BB" w14:textId="000005BC" w:rsidR="000B0F63" w:rsidRPr="001C77FC" w:rsidRDefault="00C05D22" w:rsidP="001C77FC">
            <w:pPr>
              <w:pStyle w:val="TableInfo"/>
              <w:jc w:val="center"/>
              <w:rPr>
                <w:b/>
              </w:rPr>
            </w:pPr>
            <w:r w:rsidRPr="001C77FC">
              <w:rPr>
                <w:b/>
              </w:rPr>
              <w:t>4.</w:t>
            </w:r>
            <w:commentRangeStart w:id="264"/>
            <w:r w:rsidRPr="001C77FC">
              <w:rPr>
                <w:b/>
              </w:rPr>
              <w:t>2</w:t>
            </w:r>
            <w:commentRangeEnd w:id="264"/>
            <w:r w:rsidR="001C77FC" w:rsidRPr="001C77FC">
              <w:rPr>
                <w:rStyle w:val="CommentReference"/>
                <w:b/>
                <w:sz w:val="18"/>
                <w:szCs w:val="15"/>
              </w:rPr>
              <w:commentReference w:id="264"/>
            </w:r>
          </w:p>
        </w:tc>
        <w:tc>
          <w:tcPr>
            <w:tcW w:w="1276" w:type="dxa"/>
            <w:tcMar>
              <w:top w:w="100" w:type="dxa"/>
              <w:left w:w="100" w:type="dxa"/>
              <w:bottom w:w="100" w:type="dxa"/>
              <w:right w:w="100" w:type="dxa"/>
            </w:tcMar>
            <w:vAlign w:val="center"/>
          </w:tcPr>
          <w:p w14:paraId="000005BD" w14:textId="000005BE" w:rsidR="000B0F63" w:rsidRPr="001C77FC" w:rsidRDefault="000B0F63" w:rsidP="001C77FC">
            <w:pPr>
              <w:pStyle w:val="TableInfo"/>
              <w:jc w:val="center"/>
              <w:rPr>
                <w:b/>
              </w:rPr>
            </w:pPr>
          </w:p>
        </w:tc>
        <w:tc>
          <w:tcPr>
            <w:tcW w:w="3204" w:type="dxa"/>
            <w:tcMar>
              <w:top w:w="100" w:type="dxa"/>
              <w:left w:w="100" w:type="dxa"/>
              <w:bottom w:w="100" w:type="dxa"/>
              <w:right w:w="100" w:type="dxa"/>
            </w:tcMar>
            <w:vAlign w:val="center"/>
          </w:tcPr>
          <w:p w14:paraId="000005BF" w14:textId="000005C0" w:rsidR="000B0F63" w:rsidRPr="001C77FC" w:rsidRDefault="000B0F63" w:rsidP="001C77FC">
            <w:pPr>
              <w:pStyle w:val="TableInfo"/>
              <w:jc w:val="center"/>
              <w:rPr>
                <w:b/>
              </w:rPr>
            </w:pPr>
          </w:p>
        </w:tc>
      </w:tr>
    </w:tbl>
    <w:p w14:paraId="000005C1" w14:textId="000005C2" w:rsidR="000B0F63" w:rsidRDefault="00C05D22" w:rsidP="00E40261">
      <w:pPr>
        <w:jc w:val="both"/>
      </w:pPr>
      <w:commentRangeStart w:id="265"/>
      <w:r>
        <w:rPr>
          <w:b/>
          <w:bCs/>
        </w:rPr>
        <w:t xml:space="preserve">Overall fit against </w:t>
      </w:r>
      <w:commentRangeStart w:id="266"/>
      <w:r>
        <w:rPr>
          <w:b/>
          <w:bCs/>
        </w:rPr>
        <w:t xml:space="preserve">DMG Media's weightings </w:t>
      </w:r>
      <w:commentRangeEnd w:id="266"/>
      <w:r w:rsidR="005632FF">
        <w:rPr>
          <w:rStyle w:val="CommentReference"/>
          <w:b/>
          <w:bCs/>
          <w:sz w:val="22"/>
          <w:szCs w:val="22"/>
        </w:rPr>
        <w:commentReference w:id="266"/>
      </w:r>
      <w:r>
        <w:rPr>
          <w:b/>
          <w:bCs/>
        </w:rPr>
        <w:t xml:space="preserve">(% of maximum possible): </w:t>
      </w:r>
      <w:r>
        <w:t>AWS 85.0%, Azure 85.6%, GCP 83.4%. Azure narrowly leads by 0.6 percentage points over AWS; GCP sits 2.2 points behind Azure. No cloud is decisively ahead.</w:t>
      </w:r>
    </w:p>
    <w:p w14:paraId="000005C3" w14:textId="000005C4" w:rsidR="000B0F63" w:rsidRDefault="00C05D22" w:rsidP="00E40261">
      <w:pPr>
        <w:jc w:val="both"/>
      </w:pPr>
      <w:r>
        <w:t>Three observations on the matrix:</w:t>
      </w:r>
    </w:p>
    <w:p w14:paraId="000005C5" w14:textId="47EEDE9E" w:rsidR="000B0F63" w:rsidRDefault="00C05D22" w:rsidP="00EC2FA3">
      <w:pPr>
        <w:pStyle w:val="ListBullet"/>
        <w:numPr>
          <w:ilvl w:val="0"/>
          <w:numId w:val="26"/>
        </w:numPr>
        <w:jc w:val="both"/>
      </w:pPr>
      <w:r>
        <w:t xml:space="preserve">Azure narrowly leads </w:t>
      </w:r>
      <w:r w:rsidR="2308ECB0">
        <w:t>to an</w:t>
      </w:r>
      <w:r>
        <w:t xml:space="preserve"> overall weighted score. AWS is within 0.6 percentage points. GCP sits 2.2 percentage points behind. No cloud is decisively ahead on scoring alone.</w:t>
      </w:r>
    </w:p>
    <w:p w14:paraId="000005C7" w14:textId="000005C8" w:rsidR="000B0F63" w:rsidRDefault="00C05D22" w:rsidP="00EC2FA3">
      <w:pPr>
        <w:pStyle w:val="ListBullet"/>
        <w:numPr>
          <w:ilvl w:val="0"/>
          <w:numId w:val="26"/>
        </w:numPr>
        <w:jc w:val="both"/>
      </w:pPr>
      <w:r>
        <w:t xml:space="preserve">Scoring refinements applied during Phase 1 include: Uptime parity confirmed across all three, TCO dial updated to reflect actual Complete View numbers, Windows Server 2022 BYOL restrictions on AWS and GCP captured in BYOL Flexibility, AHB practical benefit to DMG Media's use case scored as low in Hybrid Licensing Benefits (Azure </w:t>
      </w:r>
      <w:proofErr w:type="spellStart"/>
      <w:r>
        <w:t>Migrate's</w:t>
      </w:r>
      <w:proofErr w:type="spellEnd"/>
      <w:r>
        <w:t xml:space="preserve"> own recommended SKUs are almost all below the AHB 8-core minimum, with only 9 of 234 Windows servers at 8 vCPU or above).</w:t>
      </w:r>
    </w:p>
    <w:p w14:paraId="000005C9" w14:textId="000005CA" w:rsidR="000B0F63" w:rsidRDefault="00C05D22" w:rsidP="00EC2FA3">
      <w:pPr>
        <w:pStyle w:val="ListBullet"/>
        <w:numPr>
          <w:ilvl w:val="0"/>
          <w:numId w:val="26"/>
        </w:numPr>
        <w:jc w:val="both"/>
      </w:pPr>
      <w:r>
        <w:t>Each cloud has genuine strengths: Azure on Security and Licensing mechanism, AWS on Reliability, Performance, Cost, and Business Fit, GCP on Business Analytics, Transparency, and Sustainability.</w:t>
      </w:r>
    </w:p>
    <w:p w14:paraId="000005CB" w14:textId="000005CC" w:rsidR="000B0F63" w:rsidRDefault="00C05D22" w:rsidP="00E40261">
      <w:pPr>
        <w:jc w:val="both"/>
      </w:pPr>
      <w:r>
        <w:t>The matrix tells DMG Media none of the three clouds is technically unfit. It does not decide the platform on scoring alone. Three factors outside the weighted scoring tip the recommendation.</w:t>
      </w:r>
      <w:commentRangeEnd w:id="265"/>
      <w:r w:rsidR="00F74A11">
        <w:rPr>
          <w:rStyle w:val="CommentReference"/>
          <w:sz w:val="22"/>
          <w:szCs w:val="22"/>
        </w:rPr>
        <w:commentReference w:id="265"/>
      </w:r>
    </w:p>
    <w:p w14:paraId="000005CD" w14:textId="000005CE" w:rsidR="000B0F63" w:rsidRDefault="1BAB210A" w:rsidP="00E40261">
      <w:pPr>
        <w:pStyle w:val="Heading2"/>
        <w:jc w:val="both"/>
      </w:pPr>
      <w:bookmarkStart w:id="267" w:name="_Toc175"/>
      <w:bookmarkStart w:id="268" w:name="_Toc227770958"/>
      <w:r>
        <w:t>The Recommendation</w:t>
      </w:r>
      <w:bookmarkEnd w:id="267"/>
      <w:bookmarkEnd w:id="268"/>
    </w:p>
    <w:p w14:paraId="000005CF" w14:textId="000005D0" w:rsidR="000B0F63" w:rsidRDefault="1BAB210A" w:rsidP="00E40261">
      <w:pPr>
        <w:pStyle w:val="Heading3"/>
        <w:jc w:val="both"/>
      </w:pPr>
      <w:bookmarkStart w:id="269" w:name="_Toc176"/>
      <w:bookmarkStart w:id="270" w:name="_Toc227770959"/>
      <w:commentRangeStart w:id="271"/>
      <w:r>
        <w:t>Primary</w:t>
      </w:r>
      <w:commentRangeEnd w:id="271"/>
      <w:r w:rsidR="00730B95">
        <w:rPr>
          <w:rStyle w:val="CommentReference"/>
          <w:sz w:val="28"/>
          <w:szCs w:val="28"/>
        </w:rPr>
        <w:commentReference w:id="271"/>
      </w:r>
      <w:r>
        <w:t xml:space="preserve"> platform: AWS.</w:t>
      </w:r>
      <w:bookmarkEnd w:id="269"/>
      <w:bookmarkEnd w:id="270"/>
    </w:p>
    <w:p w14:paraId="000005D1" w14:textId="000005D2" w:rsidR="000B0F63" w:rsidRDefault="00C05D22" w:rsidP="00E40261">
      <w:pPr>
        <w:jc w:val="both"/>
      </w:pPr>
      <w:r>
        <w:t>AWS is the path of least resistance for the specific challenges DMG Media has in its estate. The rationale:</w:t>
      </w:r>
    </w:p>
    <w:p w14:paraId="000005D3" w14:textId="000005D4" w:rsidR="000B0F63" w:rsidRDefault="00C05D22" w:rsidP="00EC2FA3">
      <w:pPr>
        <w:pStyle w:val="ListBullet"/>
        <w:numPr>
          <w:ilvl w:val="0"/>
          <w:numId w:val="27"/>
        </w:numPr>
        <w:jc w:val="both"/>
      </w:pPr>
      <w:proofErr w:type="spellStart"/>
      <w:r>
        <w:rPr>
          <w:b/>
          <w:bCs/>
        </w:rPr>
        <w:t>Atex</w:t>
      </w:r>
      <w:proofErr w:type="spellEnd"/>
      <w:r>
        <w:rPr>
          <w:b/>
          <w:bCs/>
        </w:rPr>
        <w:t xml:space="preserve"> multicast is a capability gap on GCP and Azure. </w:t>
      </w:r>
      <w:r w:rsidRPr="00182533">
        <w:t xml:space="preserve">AWS supports multicast natively via Transit Gateway. GCP and Azure do not. The workaround (VMware-on-cloud overlays: GCVE on GCP, AVS on Azure) contradicts DMG Media's VMware exit strategy. That leaves GCP and Azure with two options for </w:t>
      </w:r>
      <w:proofErr w:type="spellStart"/>
      <w:r w:rsidRPr="00182533">
        <w:t>Atex</w:t>
      </w:r>
      <w:proofErr w:type="spellEnd"/>
      <w:r w:rsidRPr="00182533">
        <w:t>: vendor-dependent</w:t>
      </w:r>
      <w:r>
        <w:rPr>
          <w:b/>
          <w:bCs/>
        </w:rPr>
        <w:t xml:space="preserve"> unicast </w:t>
      </w:r>
      <w:proofErr w:type="gramStart"/>
      <w:r>
        <w:rPr>
          <w:b/>
          <w:bCs/>
        </w:rPr>
        <w:t>refactor, or</w:t>
      </w:r>
      <w:proofErr w:type="gramEnd"/>
      <w:r>
        <w:rPr>
          <w:b/>
          <w:bCs/>
        </w:rPr>
        <w:t xml:space="preserve"> accept </w:t>
      </w:r>
      <w:proofErr w:type="spellStart"/>
      <w:r>
        <w:rPr>
          <w:b/>
          <w:bCs/>
        </w:rPr>
        <w:t>Atex</w:t>
      </w:r>
      <w:proofErr w:type="spellEnd"/>
      <w:r>
        <w:rPr>
          <w:b/>
          <w:bCs/>
        </w:rPr>
        <w:t xml:space="preserve"> cannot migrate as-is. AWS sidesteps this entirely.</w:t>
      </w:r>
    </w:p>
    <w:p w14:paraId="000005D5" w14:textId="000005D6" w:rsidR="000B0F63" w:rsidRDefault="00C05D22" w:rsidP="00EC2FA3">
      <w:pPr>
        <w:pStyle w:val="ListBullet"/>
        <w:numPr>
          <w:ilvl w:val="0"/>
          <w:numId w:val="27"/>
        </w:numPr>
        <w:jc w:val="both"/>
      </w:pPr>
      <w:r>
        <w:rPr>
          <w:b/>
          <w:bCs/>
        </w:rPr>
        <w:t xml:space="preserve">Video streaming is already on AWS. </w:t>
      </w:r>
      <w:r w:rsidRPr="00182533">
        <w:t>AWS Elemental is in live production for Mail Online. Moving it creates cost and risk without benefit.</w:t>
      </w:r>
    </w:p>
    <w:p w14:paraId="000005D7" w14:textId="000005D8" w:rsidR="000B0F63" w:rsidRDefault="00C05D22" w:rsidP="00EC2FA3">
      <w:pPr>
        <w:pStyle w:val="ListBullet"/>
        <w:numPr>
          <w:ilvl w:val="0"/>
          <w:numId w:val="27"/>
        </w:numPr>
        <w:jc w:val="both"/>
      </w:pPr>
      <w:commentRangeStart w:id="272"/>
      <w:r>
        <w:rPr>
          <w:b/>
          <w:bCs/>
        </w:rPr>
        <w:t>Cost position is competitive with GCP (see Section 5 Complete View). AWS is +3.7% over GCP, within the range hard constraints can offset. Azure sits at +32.1%.</w:t>
      </w:r>
      <w:commentRangeEnd w:id="272"/>
      <w:r w:rsidR="004C440B">
        <w:rPr>
          <w:rStyle w:val="CommentReference"/>
          <w:sz w:val="22"/>
          <w:szCs w:val="24"/>
        </w:rPr>
        <w:commentReference w:id="272"/>
      </w:r>
    </w:p>
    <w:p w14:paraId="000005D9" w14:textId="000005DA" w:rsidR="000B0F63" w:rsidRDefault="00C05D22" w:rsidP="00EC2FA3">
      <w:pPr>
        <w:pStyle w:val="ListBullet"/>
        <w:numPr>
          <w:ilvl w:val="0"/>
          <w:numId w:val="27"/>
        </w:numPr>
        <w:jc w:val="both"/>
      </w:pPr>
      <w:r>
        <w:rPr>
          <w:b/>
          <w:bCs/>
        </w:rPr>
        <w:t xml:space="preserve">Windows Server 2022 BYOL trade-off is manageable. </w:t>
      </w:r>
      <w:r w:rsidRPr="00182533">
        <w:t xml:space="preserve">Microsoft's Listed Provider rules block Server 2022 BYOL on AWS and GCP; Azure AHB accepts Server 2022. But Azure </w:t>
      </w:r>
      <w:proofErr w:type="spellStart"/>
      <w:r w:rsidRPr="00182533">
        <w:t>Migrate's</w:t>
      </w:r>
      <w:proofErr w:type="spellEnd"/>
      <w:r w:rsidRPr="00182533">
        <w:t xml:space="preserve"> own recommended SKUs for DMG Media's Windows estate are almost all 2 </w:t>
      </w:r>
      <w:proofErr w:type="gramStart"/>
      <w:r w:rsidRPr="00182533">
        <w:t>vCPU</w:t>
      </w:r>
      <w:proofErr w:type="gramEnd"/>
      <w:r w:rsidRPr="00182533">
        <w:t xml:space="preserve">. Only 9 of the 234 Windows servers have Azure-recommended SKUs at 8 vCPU or above. Under AHB's eight-core minimum rule, the other 225 servers would consume eight </w:t>
      </w:r>
      <w:proofErr w:type="spellStart"/>
      <w:r w:rsidRPr="00182533">
        <w:t>licence</w:t>
      </w:r>
      <w:proofErr w:type="spellEnd"/>
      <w:r w:rsidRPr="00182533">
        <w:t xml:space="preserve"> cores each to cover a one or two vCPU workload, wasting </w:t>
      </w:r>
      <w:proofErr w:type="spellStart"/>
      <w:r w:rsidRPr="00182533">
        <w:t>licence</w:t>
      </w:r>
      <w:proofErr w:type="spellEnd"/>
      <w:r w:rsidRPr="00182533">
        <w:t xml:space="preserve"> capacity. Azure's AHB advantage at DMG Media's actual Azure sizing is close to nil in</w:t>
      </w:r>
      <w:r>
        <w:rPr>
          <w:b/>
          <w:bCs/>
        </w:rPr>
        <w:t xml:space="preserve"> </w:t>
      </w:r>
      <w:r w:rsidRPr="00182533">
        <w:t>practice.</w:t>
      </w:r>
    </w:p>
    <w:p w14:paraId="000005DB" w14:textId="000005DC" w:rsidR="000B0F63" w:rsidRDefault="00C05D22" w:rsidP="00EC2FA3">
      <w:pPr>
        <w:pStyle w:val="ListBullet"/>
        <w:numPr>
          <w:ilvl w:val="0"/>
          <w:numId w:val="27"/>
        </w:numPr>
        <w:jc w:val="both"/>
      </w:pPr>
      <w:r>
        <w:rPr>
          <w:b/>
          <w:bCs/>
        </w:rPr>
        <w:t xml:space="preserve">Largest partner ecosystem and skills market. </w:t>
      </w:r>
      <w:r w:rsidRPr="00182533">
        <w:t>This matters for Day 2 operations and for the upskilling-with-partner-assistance model that fits DMG Media's cost target (10% reduction, no headcount cuts).</w:t>
      </w:r>
    </w:p>
    <w:p w14:paraId="000005DD" w14:textId="000005DE" w:rsidR="000B0F63" w:rsidRDefault="00C05D22" w:rsidP="00EC2FA3">
      <w:pPr>
        <w:pStyle w:val="ListBullet"/>
        <w:numPr>
          <w:ilvl w:val="0"/>
          <w:numId w:val="27"/>
        </w:numPr>
        <w:jc w:val="both"/>
      </w:pPr>
      <w:r>
        <w:rPr>
          <w:b/>
          <w:bCs/>
        </w:rPr>
        <w:t xml:space="preserve">Scoring is a near-tie. </w:t>
      </w:r>
      <w:r w:rsidRPr="00182533">
        <w:t>Weighted scores (1-5 scale): Azure 4.3, AWS 4.3, GCP 4.2. Azure narrowly leads by 0.6 percentage points. Second on scoring, second on cost, first on constraints: AWS is the best overall balance.</w:t>
      </w:r>
    </w:p>
    <w:p w14:paraId="000005DF" w14:textId="000005E0" w:rsidR="000B0F63" w:rsidRDefault="1BAB210A" w:rsidP="00E40261">
      <w:pPr>
        <w:pStyle w:val="Heading2"/>
        <w:jc w:val="both"/>
      </w:pPr>
      <w:bookmarkStart w:id="273" w:name="_Toc177"/>
      <w:bookmarkStart w:id="274" w:name="_Toc227770960"/>
      <w:r>
        <w:t>Exceptions and Retained Placements</w:t>
      </w:r>
      <w:bookmarkEnd w:id="273"/>
      <w:bookmarkEnd w:id="274"/>
    </w:p>
    <w:p w14:paraId="000005E1" w14:textId="000005E2" w:rsidR="000B0F63" w:rsidRDefault="00C05D22" w:rsidP="00E40261">
      <w:pPr>
        <w:jc w:val="both"/>
      </w:pPr>
      <w:r>
        <w:t>A single-platform recommendation does not mean a single-platform estate. Two specific exceptions are validated by evidence:</w:t>
      </w:r>
    </w:p>
    <w:p w14:paraId="000005E3" w14:textId="000005E4" w:rsidR="000B0F63" w:rsidRDefault="00C05D22" w:rsidP="00EC2FA3">
      <w:pPr>
        <w:pStyle w:val="ListBullet"/>
        <w:numPr>
          <w:ilvl w:val="0"/>
          <w:numId w:val="28"/>
        </w:numPr>
        <w:jc w:val="both"/>
      </w:pPr>
      <w:r>
        <w:rPr>
          <w:b/>
          <w:bCs/>
        </w:rPr>
        <w:t>Commercial data analytics stays on GCP.</w:t>
      </w:r>
      <w:r w:rsidRPr="00182533">
        <w:t xml:space="preserve"> You already run this on GCP. </w:t>
      </w:r>
      <w:proofErr w:type="spellStart"/>
      <w:r w:rsidRPr="00182533">
        <w:t>BigQuery's</w:t>
      </w:r>
      <w:proofErr w:type="spellEnd"/>
      <w:r w:rsidRPr="00182533">
        <w:t xml:space="preserve"> serverless analytics, tight integration with your existing data pipelines, and the operational knowledge your team has built are genuine assets. Moving this to AWS creates cost and disruption for no benefit. Retain.</w:t>
      </w:r>
    </w:p>
    <w:p w14:paraId="000005E5" w14:textId="000005E6" w:rsidR="000B0F63" w:rsidRDefault="00C05D22" w:rsidP="00EC2FA3">
      <w:pPr>
        <w:pStyle w:val="ListBullet"/>
        <w:numPr>
          <w:ilvl w:val="0"/>
          <w:numId w:val="28"/>
        </w:numPr>
        <w:jc w:val="both"/>
      </w:pPr>
      <w:r>
        <w:rPr>
          <w:b/>
          <w:bCs/>
        </w:rPr>
        <w:t>Video streaming stays on AWS.</w:t>
      </w:r>
      <w:r w:rsidRPr="00182533">
        <w:t xml:space="preserve"> Mail </w:t>
      </w:r>
      <w:proofErr w:type="spellStart"/>
      <w:r w:rsidRPr="00182533">
        <w:t>Online's</w:t>
      </w:r>
      <w:proofErr w:type="spellEnd"/>
      <w:r w:rsidRPr="00182533">
        <w:t xml:space="preserve"> video workflows use AWS Elemental today. This is a working service, not a future decision. Retain.</w:t>
      </w:r>
    </w:p>
    <w:p w14:paraId="000005E7" w14:textId="000005E8" w:rsidR="000B0F63" w:rsidRDefault="00C05D22" w:rsidP="00E40261">
      <w:pPr>
        <w:jc w:val="both"/>
      </w:pPr>
      <w:r>
        <w:t xml:space="preserve">This is 'primary platform with </w:t>
      </w:r>
      <w:commentRangeStart w:id="275"/>
      <w:r>
        <w:t>validated exceptions'</w:t>
      </w:r>
      <w:commentRangeEnd w:id="275"/>
      <w:r w:rsidR="005B0C15">
        <w:rPr>
          <w:rStyle w:val="CommentReference"/>
          <w:sz w:val="22"/>
          <w:szCs w:val="22"/>
        </w:rPr>
        <w:commentReference w:id="275"/>
      </w:r>
      <w:r>
        <w:t xml:space="preserve">, not </w:t>
      </w:r>
      <w:proofErr w:type="spellStart"/>
      <w:r>
        <w:t>multi-cloud</w:t>
      </w:r>
      <w:proofErr w:type="spellEnd"/>
      <w:r>
        <w:t xml:space="preserve"> strategy. The test for an exception is: does a specific workload have a material technical or operational advantage on another cloud, and is that advantage persistent? For the two above, yes. </w:t>
      </w:r>
      <w:commentRangeStart w:id="276"/>
      <w:r>
        <w:t>For everything else, AWS.</w:t>
      </w:r>
      <w:commentRangeEnd w:id="276"/>
      <w:r w:rsidR="00182533">
        <w:rPr>
          <w:rStyle w:val="CommentReference"/>
          <w:sz w:val="22"/>
          <w:szCs w:val="22"/>
        </w:rPr>
        <w:commentReference w:id="276"/>
      </w:r>
    </w:p>
    <w:p w14:paraId="000005E9" w14:textId="000005EA" w:rsidR="000B0F63" w:rsidRDefault="1BAB210A" w:rsidP="00E40261">
      <w:pPr>
        <w:pStyle w:val="Heading2"/>
        <w:jc w:val="both"/>
      </w:pPr>
      <w:bookmarkStart w:id="277" w:name="_Toc178"/>
      <w:bookmarkStart w:id="278" w:name="_Toc227770961"/>
      <w:r>
        <w:t xml:space="preserve">What The Recommendation Means </w:t>
      </w:r>
      <w:proofErr w:type="gramStart"/>
      <w:r>
        <w:t>In</w:t>
      </w:r>
      <w:proofErr w:type="gramEnd"/>
      <w:r>
        <w:t xml:space="preserve"> Practice</w:t>
      </w:r>
      <w:bookmarkEnd w:id="277"/>
      <w:bookmarkEnd w:id="278"/>
    </w:p>
    <w:p w14:paraId="000005EB" w14:textId="000005EC" w:rsidR="000B0F63" w:rsidRDefault="00C05D22" w:rsidP="00EC2FA3">
      <w:pPr>
        <w:pStyle w:val="ListBullet"/>
        <w:numPr>
          <w:ilvl w:val="0"/>
          <w:numId w:val="29"/>
        </w:numPr>
        <w:jc w:val="both"/>
      </w:pPr>
      <w:r>
        <w:t>Primary cloud for new workloads: AWS</w:t>
      </w:r>
    </w:p>
    <w:p w14:paraId="000005ED" w14:textId="000005EE" w:rsidR="000B0F63" w:rsidRDefault="00C05D22" w:rsidP="00EC2FA3">
      <w:pPr>
        <w:pStyle w:val="ListBullet"/>
        <w:numPr>
          <w:ilvl w:val="0"/>
          <w:numId w:val="29"/>
        </w:numPr>
        <w:jc w:val="both"/>
      </w:pPr>
      <w:r>
        <w:t>Target for migration of the 3,038 in-scope servers: AWS (except retained items)</w:t>
      </w:r>
    </w:p>
    <w:p w14:paraId="000005EF" w14:textId="000005F0" w:rsidR="000B0F63" w:rsidRDefault="00C05D22" w:rsidP="00EC2FA3">
      <w:pPr>
        <w:pStyle w:val="ListBullet"/>
        <w:numPr>
          <w:ilvl w:val="0"/>
          <w:numId w:val="29"/>
        </w:numPr>
        <w:jc w:val="both"/>
      </w:pPr>
      <w:r>
        <w:t xml:space="preserve">Commercial data </w:t>
      </w:r>
      <w:proofErr w:type="gramStart"/>
      <w:r>
        <w:t>analytics:</w:t>
      </w:r>
      <w:proofErr w:type="gramEnd"/>
      <w:r>
        <w:t xml:space="preserve"> </w:t>
      </w:r>
      <w:proofErr w:type="gramStart"/>
      <w:r>
        <w:t>continues on</w:t>
      </w:r>
      <w:proofErr w:type="gramEnd"/>
      <w:r>
        <w:t xml:space="preserve"> GCP</w:t>
      </w:r>
    </w:p>
    <w:p w14:paraId="000005F1" w14:textId="000005F2" w:rsidR="000B0F63" w:rsidRDefault="00C05D22" w:rsidP="00EC2FA3">
      <w:pPr>
        <w:pStyle w:val="ListBullet"/>
        <w:numPr>
          <w:ilvl w:val="0"/>
          <w:numId w:val="29"/>
        </w:numPr>
        <w:jc w:val="both"/>
      </w:pPr>
      <w:r>
        <w:t xml:space="preserve">Video streaming: </w:t>
      </w:r>
      <w:proofErr w:type="gramStart"/>
      <w:r>
        <w:t>continues on</w:t>
      </w:r>
      <w:proofErr w:type="gramEnd"/>
      <w:r>
        <w:t xml:space="preserve"> AWS (already there)</w:t>
      </w:r>
    </w:p>
    <w:p w14:paraId="000005F3" w14:textId="000005F4" w:rsidR="000B0F63" w:rsidRDefault="00C05D22" w:rsidP="00EC2FA3">
      <w:pPr>
        <w:pStyle w:val="ListBullet"/>
        <w:numPr>
          <w:ilvl w:val="0"/>
          <w:numId w:val="29"/>
        </w:numPr>
        <w:jc w:val="both"/>
      </w:pPr>
      <w:r>
        <w:t xml:space="preserve">No wholesale </w:t>
      </w:r>
      <w:proofErr w:type="spellStart"/>
      <w:r>
        <w:t>multi-cloud</w:t>
      </w:r>
      <w:proofErr w:type="spellEnd"/>
      <w:r>
        <w:t xml:space="preserve"> operation. The Cloud Platform Team builds one landing zone (AWS), operates one primary cloud, and manages the GCP analytics environment as a secondary estate.</w:t>
      </w:r>
    </w:p>
    <w:p w14:paraId="000005F5" w14:textId="000005F6" w:rsidR="000B0F63" w:rsidRDefault="1BAB210A" w:rsidP="00E40261">
      <w:pPr>
        <w:pStyle w:val="Heading2"/>
        <w:jc w:val="both"/>
      </w:pPr>
      <w:bookmarkStart w:id="279" w:name="_Toc179"/>
      <w:bookmarkStart w:id="280" w:name="_Toc227770962"/>
      <w:r>
        <w:t>Mail Online Needs Joint CPO and CTO Sponsorship</w:t>
      </w:r>
      <w:bookmarkEnd w:id="279"/>
      <w:bookmarkEnd w:id="280"/>
    </w:p>
    <w:p w14:paraId="000005F7" w14:textId="000005F8" w:rsidR="000B0F63" w:rsidRDefault="00C05D22" w:rsidP="00E40261">
      <w:pPr>
        <w:jc w:val="both"/>
      </w:pPr>
      <w:r>
        <w:t>Mail Online is the largest application in scope and the commercial centrepiece. Because its product decisions sit with the CPO and its infrastructure sits with the CTO, the MOL migration path touches both executive domains. Specific decisions that benefit from dual endorsement: the Oracle modernisation path, sub-component sequencing, and any re-architecture choices.</w:t>
      </w:r>
    </w:p>
    <w:p w14:paraId="000005F9" w14:textId="000005FA" w:rsidR="000B0F63" w:rsidRDefault="00C05D22" w:rsidP="00E40261">
      <w:pPr>
        <w:jc w:val="both"/>
      </w:pPr>
      <w:r>
        <w:t>Structuring programme governance with both sponsors visible from the start reduces the risk of mid-programme misalignment.</w:t>
      </w:r>
    </w:p>
    <w:p w14:paraId="000005FB" w14:textId="000005FC" w:rsidR="000B0F63" w:rsidRDefault="1BAB210A" w:rsidP="00E40261">
      <w:pPr>
        <w:pStyle w:val="Heading2"/>
        <w:jc w:val="both"/>
      </w:pPr>
      <w:bookmarkStart w:id="281" w:name="_Toc180"/>
      <w:bookmarkStart w:id="282" w:name="_Toc227770963"/>
      <w:r>
        <w:t xml:space="preserve">A Note </w:t>
      </w:r>
      <w:proofErr w:type="gramStart"/>
      <w:r>
        <w:t>On</w:t>
      </w:r>
      <w:proofErr w:type="gramEnd"/>
      <w:r>
        <w:t xml:space="preserve"> Confidence Level</w:t>
      </w:r>
      <w:bookmarkEnd w:id="281"/>
      <w:bookmarkEnd w:id="282"/>
    </w:p>
    <w:p w14:paraId="2833D7BE" w14:textId="77777777" w:rsidR="00163C36" w:rsidRDefault="00C05D22" w:rsidP="00E40261">
      <w:pPr>
        <w:jc w:val="both"/>
      </w:pPr>
      <w:r>
        <w:t xml:space="preserve">The scoring spread is very narrow. </w:t>
      </w:r>
    </w:p>
    <w:p w14:paraId="5B6A92C8" w14:textId="77777777" w:rsidR="00163C36" w:rsidRDefault="00C05D22" w:rsidP="00163C36">
      <w:pPr>
        <w:spacing w:after="0"/>
        <w:jc w:val="both"/>
      </w:pPr>
      <w:r>
        <w:t xml:space="preserve">On a 1-5 scale: </w:t>
      </w:r>
    </w:p>
    <w:p w14:paraId="5E0A2A78" w14:textId="77777777" w:rsidR="00163C36" w:rsidRDefault="00C05D22" w:rsidP="00EC2FA3">
      <w:pPr>
        <w:pStyle w:val="ListParagraph"/>
        <w:numPr>
          <w:ilvl w:val="0"/>
          <w:numId w:val="29"/>
        </w:numPr>
        <w:spacing w:after="0"/>
        <w:jc w:val="both"/>
      </w:pPr>
      <w:r>
        <w:t>Azure 4.3</w:t>
      </w:r>
    </w:p>
    <w:p w14:paraId="33F6B837" w14:textId="77777777" w:rsidR="00163C36" w:rsidRDefault="00C05D22" w:rsidP="00EC2FA3">
      <w:pPr>
        <w:pStyle w:val="ListParagraph"/>
        <w:numPr>
          <w:ilvl w:val="0"/>
          <w:numId w:val="29"/>
        </w:numPr>
        <w:jc w:val="both"/>
      </w:pPr>
      <w:r>
        <w:t>AWS 4.3</w:t>
      </w:r>
    </w:p>
    <w:p w14:paraId="56F19551" w14:textId="7ECDB070" w:rsidR="00163C36" w:rsidRDefault="00C05D22" w:rsidP="00EC2FA3">
      <w:pPr>
        <w:pStyle w:val="ListParagraph"/>
        <w:numPr>
          <w:ilvl w:val="0"/>
          <w:numId w:val="29"/>
        </w:numPr>
        <w:jc w:val="both"/>
      </w:pPr>
      <w:r>
        <w:t xml:space="preserve">GCP 4.2. </w:t>
      </w:r>
    </w:p>
    <w:p w14:paraId="7173935D" w14:textId="77777777" w:rsidR="00163C36" w:rsidRDefault="00C05D22" w:rsidP="00163C36">
      <w:pPr>
        <w:spacing w:after="0"/>
        <w:jc w:val="both"/>
      </w:pPr>
      <w:r>
        <w:t xml:space="preserve">Expressed as fit against DMG Media's weightings: </w:t>
      </w:r>
    </w:p>
    <w:p w14:paraId="03FD6A85" w14:textId="77777777" w:rsidR="00163C36" w:rsidRDefault="00C05D22" w:rsidP="00EC2FA3">
      <w:pPr>
        <w:pStyle w:val="ListParagraph"/>
        <w:numPr>
          <w:ilvl w:val="0"/>
          <w:numId w:val="48"/>
        </w:numPr>
        <w:spacing w:after="0"/>
        <w:jc w:val="both"/>
      </w:pPr>
      <w:r>
        <w:t>Azure 85.6%</w:t>
      </w:r>
    </w:p>
    <w:p w14:paraId="503557A2" w14:textId="77777777" w:rsidR="00163C36" w:rsidRDefault="00C05D22" w:rsidP="00EC2FA3">
      <w:pPr>
        <w:pStyle w:val="ListParagraph"/>
        <w:numPr>
          <w:ilvl w:val="0"/>
          <w:numId w:val="48"/>
        </w:numPr>
        <w:jc w:val="both"/>
      </w:pPr>
      <w:r>
        <w:t>AWS 85.0%</w:t>
      </w:r>
    </w:p>
    <w:p w14:paraId="086A51B2" w14:textId="40E76B4C" w:rsidR="00163C36" w:rsidRDefault="00C05D22" w:rsidP="00EC2FA3">
      <w:pPr>
        <w:pStyle w:val="ListParagraph"/>
        <w:numPr>
          <w:ilvl w:val="0"/>
          <w:numId w:val="48"/>
        </w:numPr>
        <w:jc w:val="both"/>
      </w:pPr>
      <w:r>
        <w:t>GCP 83.4%</w:t>
      </w:r>
    </w:p>
    <w:p w14:paraId="2999C6BD" w14:textId="77777777" w:rsidR="00163C36" w:rsidRDefault="00C05D22" w:rsidP="00E40261">
      <w:pPr>
        <w:jc w:val="both"/>
      </w:pPr>
      <w:r>
        <w:t xml:space="preserve">The total spread from highest to lowest is 2.2 percentage points. </w:t>
      </w:r>
    </w:p>
    <w:p w14:paraId="7BB369C7" w14:textId="77777777" w:rsidR="00163C36" w:rsidRDefault="00C05D22" w:rsidP="00E40261">
      <w:pPr>
        <w:jc w:val="both"/>
      </w:pPr>
      <w:r>
        <w:t xml:space="preserve">Cost positions GCP cheapest, AWS close to GCP, Azure materially higher. </w:t>
      </w:r>
    </w:p>
    <w:p w14:paraId="414508FC" w14:textId="77777777" w:rsidR="00163C36" w:rsidRDefault="00C05D22" w:rsidP="00E40261">
      <w:pPr>
        <w:jc w:val="both"/>
      </w:pPr>
      <w:r>
        <w:t>The hard constraints (</w:t>
      </w:r>
      <w:proofErr w:type="spellStart"/>
      <w:r>
        <w:t>Atex</w:t>
      </w:r>
      <w:proofErr w:type="spellEnd"/>
      <w:r>
        <w:t xml:space="preserve"> multicast, video streaming continuity) point to AWS, and the Windows Server 2022 BYOL trade-off on Azure is narrowed in practice by AHB's 8-core minimum against DMG Media's SKU profile. </w:t>
      </w:r>
    </w:p>
    <w:p w14:paraId="2F8E85A1" w14:textId="77777777" w:rsidR="00163C36" w:rsidRDefault="00C05D22" w:rsidP="00E40261">
      <w:pPr>
        <w:jc w:val="both"/>
      </w:pPr>
      <w:r>
        <w:t xml:space="preserve">Rackspace is confident on AWS primary because the constraints and ecosystem fit break the </w:t>
      </w:r>
      <w:proofErr w:type="gramStart"/>
      <w:r>
        <w:t>near-tie</w:t>
      </w:r>
      <w:proofErr w:type="gramEnd"/>
      <w:r>
        <w:t xml:space="preserve"> on scoring. </w:t>
      </w:r>
    </w:p>
    <w:p w14:paraId="000005FD" w14:textId="10769067" w:rsidR="000B0F63" w:rsidRDefault="00C05D22" w:rsidP="00E40261">
      <w:pPr>
        <w:jc w:val="both"/>
      </w:pPr>
      <w:r>
        <w:t xml:space="preserve">Even if </w:t>
      </w:r>
      <w:proofErr w:type="spellStart"/>
      <w:r>
        <w:t>Atex</w:t>
      </w:r>
      <w:proofErr w:type="spellEnd"/>
      <w:r>
        <w:t xml:space="preserve"> confirms unicast support for Prestige 6X, moving </w:t>
      </w:r>
      <w:proofErr w:type="spellStart"/>
      <w:r>
        <w:t>Atex</w:t>
      </w:r>
      <w:proofErr w:type="spellEnd"/>
      <w:r>
        <w:t xml:space="preserve"> to unicast is itself a workstream with its own configuration, testing, and cutover cost. On AWS, </w:t>
      </w:r>
      <w:proofErr w:type="spellStart"/>
      <w:r>
        <w:t>Atex</w:t>
      </w:r>
      <w:proofErr w:type="spellEnd"/>
      <w:r>
        <w:t xml:space="preserve"> migrates without that rework because multicast is supported natively. The recommendation is therefore resilient rather than fragile.</w:t>
      </w:r>
    </w:p>
    <w:p w14:paraId="000005FF" w14:textId="00000600" w:rsidR="000B0F63" w:rsidRDefault="00C05D22" w:rsidP="00E40261">
      <w:pPr>
        <w:jc w:val="both"/>
      </w:pPr>
      <w:r>
        <w:br w:type="page"/>
      </w:r>
    </w:p>
    <w:p w14:paraId="00000601" w14:textId="00000602" w:rsidR="000B0F63" w:rsidRDefault="1BAB210A" w:rsidP="00E40261">
      <w:pPr>
        <w:pStyle w:val="Heading1"/>
        <w:jc w:val="both"/>
      </w:pPr>
      <w:bookmarkStart w:id="283" w:name="_Toc181"/>
      <w:bookmarkStart w:id="284" w:name="_Toc227770964"/>
      <w:bookmarkStart w:id="285" w:name="_Toc227771412"/>
      <w:r>
        <w:t>Section 8: How Ready Is DMG Media</w:t>
      </w:r>
      <w:bookmarkEnd w:id="283"/>
      <w:bookmarkEnd w:id="284"/>
      <w:bookmarkEnd w:id="285"/>
    </w:p>
    <w:p w14:paraId="00000603" w14:textId="00000604" w:rsidR="000B0F63" w:rsidRDefault="1BAB210A" w:rsidP="00E40261">
      <w:pPr>
        <w:pStyle w:val="Heading2"/>
        <w:jc w:val="both"/>
      </w:pPr>
      <w:bookmarkStart w:id="286" w:name="_Toc182"/>
      <w:bookmarkStart w:id="287" w:name="_Toc227770965"/>
      <w:r>
        <w:t>What This Section Does</w:t>
      </w:r>
      <w:bookmarkEnd w:id="286"/>
      <w:bookmarkEnd w:id="287"/>
    </w:p>
    <w:p w14:paraId="00000605" w14:textId="00000606" w:rsidR="000B0F63" w:rsidRDefault="00C05D22" w:rsidP="00E40261">
      <w:pPr>
        <w:jc w:val="both"/>
      </w:pPr>
      <w:commentRangeStart w:id="288"/>
      <w:r>
        <w:t>Readiness is about whether DMG Media can execute a cloud migration</w:t>
      </w:r>
      <w:commentRangeEnd w:id="288"/>
      <w:r w:rsidR="00F16B50">
        <w:rPr>
          <w:rStyle w:val="CommentReference"/>
          <w:sz w:val="22"/>
          <w:szCs w:val="22"/>
        </w:rPr>
        <w:commentReference w:id="288"/>
      </w:r>
      <w:r>
        <w:t>, not whether cloud is the right choice. This section assesses your current state across five dimensions, describes the target, and lists the gaps that Phase 2 and the early programme need to address.</w:t>
      </w:r>
    </w:p>
    <w:p w14:paraId="00000607" w14:textId="00000608" w:rsidR="000B0F63" w:rsidRDefault="1BAB210A" w:rsidP="00E40261">
      <w:pPr>
        <w:pStyle w:val="Heading2"/>
        <w:jc w:val="both"/>
      </w:pPr>
      <w:bookmarkStart w:id="289" w:name="_Toc183"/>
      <w:bookmarkStart w:id="290" w:name="_Toc227770966"/>
      <w:r>
        <w:t>The Readiness Scale</w:t>
      </w:r>
      <w:bookmarkEnd w:id="289"/>
      <w:bookmarkEnd w:id="290"/>
    </w:p>
    <w:p w14:paraId="00000609" w14:textId="0000060A" w:rsidR="000B0F63" w:rsidRDefault="00C05D22" w:rsidP="00E40261">
      <w:pPr>
        <w:jc w:val="both"/>
      </w:pPr>
      <w:r>
        <w:t xml:space="preserve">Each dimension is scored from </w:t>
      </w:r>
      <w:commentRangeStart w:id="291"/>
      <w:r>
        <w:t>1</w:t>
      </w:r>
      <w:commentRangeEnd w:id="291"/>
      <w:r w:rsidR="00895020">
        <w:rPr>
          <w:rStyle w:val="CommentReference"/>
          <w:sz w:val="22"/>
          <w:szCs w:val="22"/>
        </w:rPr>
        <w:commentReference w:id="291"/>
      </w:r>
      <w:r>
        <w:t xml:space="preserve"> to 5:</w:t>
      </w:r>
    </w:p>
    <w:p w14:paraId="0000060B" w14:textId="322A5506" w:rsidR="000B0F63" w:rsidRDefault="00C05D22" w:rsidP="00E40261">
      <w:pPr>
        <w:pStyle w:val="ListBullet"/>
        <w:jc w:val="both"/>
      </w:pPr>
      <w:r>
        <w:t xml:space="preserve">1: </w:t>
      </w:r>
      <w:r w:rsidR="00F16B50">
        <w:t>N</w:t>
      </w:r>
      <w:r>
        <w:t>o activity or planning in place</w:t>
      </w:r>
    </w:p>
    <w:p w14:paraId="0000060D" w14:textId="07539C76" w:rsidR="000B0F63" w:rsidRDefault="00C05D22" w:rsidP="00E40261">
      <w:pPr>
        <w:pStyle w:val="ListBullet"/>
        <w:jc w:val="both"/>
      </w:pPr>
      <w:r>
        <w:t xml:space="preserve">2: </w:t>
      </w:r>
      <w:r w:rsidR="00F16B50">
        <w:t>E</w:t>
      </w:r>
      <w:r>
        <w:t>arly awareness, some informal activity</w:t>
      </w:r>
    </w:p>
    <w:p w14:paraId="0000060F" w14:textId="542572CC" w:rsidR="000B0F63" w:rsidRDefault="00C05D22" w:rsidP="00E40261">
      <w:pPr>
        <w:pStyle w:val="ListBullet"/>
        <w:jc w:val="both"/>
      </w:pPr>
      <w:r>
        <w:t xml:space="preserve">3: </w:t>
      </w:r>
      <w:r w:rsidR="00F16B50">
        <w:t>D</w:t>
      </w:r>
      <w:r>
        <w:t>ocumented approach, not consistently applied</w:t>
      </w:r>
    </w:p>
    <w:p w14:paraId="00000611" w14:textId="338E78BD" w:rsidR="000B0F63" w:rsidRDefault="00C05D22" w:rsidP="00E40261">
      <w:pPr>
        <w:pStyle w:val="ListBullet"/>
        <w:jc w:val="both"/>
      </w:pPr>
      <w:r>
        <w:t xml:space="preserve">4: </w:t>
      </w:r>
      <w:r w:rsidR="00F16B50">
        <w:t>C</w:t>
      </w:r>
      <w:r>
        <w:t>onsistent practice, actively managed</w:t>
      </w:r>
    </w:p>
    <w:p w14:paraId="00000613" w14:textId="468CFA1F" w:rsidR="000B0F63" w:rsidRDefault="00C05D22" w:rsidP="00E40261">
      <w:pPr>
        <w:pStyle w:val="ListBullet"/>
        <w:jc w:val="both"/>
      </w:pPr>
      <w:r>
        <w:t xml:space="preserve">5: </w:t>
      </w:r>
      <w:proofErr w:type="spellStart"/>
      <w:r w:rsidR="00F16B50">
        <w:t>O</w:t>
      </w:r>
      <w:r>
        <w:t>ptimised</w:t>
      </w:r>
      <w:proofErr w:type="spellEnd"/>
      <w:r>
        <w:t>, measured, continuously improved</w:t>
      </w:r>
    </w:p>
    <w:p w14:paraId="00000615" w14:textId="00000616" w:rsidR="000B0F63" w:rsidRDefault="00C05D22" w:rsidP="00E40261">
      <w:pPr>
        <w:jc w:val="both"/>
      </w:pPr>
      <w:r>
        <w:t>The scale measures cloud-adoption readiness specifically. It does not capture overall team capability or enterprise domain expertise. DMG Media's infrastructure organisation has deep experience in VMware, Oracle, physical networking, F5 load balancing, and on-premises Windows/Linux operations. Those strengths are not what this assessment scores.</w:t>
      </w:r>
    </w:p>
    <w:p w14:paraId="00000617" w14:textId="00000618" w:rsidR="000B0F63" w:rsidRDefault="00C05D22" w:rsidP="00E40261">
      <w:pPr>
        <w:jc w:val="both"/>
      </w:pPr>
      <w:r>
        <w:t>The scale is a maturity indicator, not a grade. Organisations running on-premises enterprise estates typically sit between 1 and 3 on this scale before a cloud transformation. Getting to 4 across the board is the outcome of the first phase of transformation, not a precondition.</w:t>
      </w:r>
    </w:p>
    <w:p w14:paraId="00000619" w14:textId="0000061A" w:rsidR="000B0F63" w:rsidRDefault="1BAB210A" w:rsidP="00E40261">
      <w:pPr>
        <w:pStyle w:val="Heading2"/>
        <w:jc w:val="both"/>
      </w:pPr>
      <w:bookmarkStart w:id="292" w:name="_Toc184"/>
      <w:bookmarkStart w:id="293" w:name="_Toc227770967"/>
      <w:r>
        <w:t>Current State</w:t>
      </w:r>
      <w:bookmarkEnd w:id="292"/>
      <w:bookmarkEnd w:id="293"/>
    </w:p>
    <w:tbl>
      <w:tblPr>
        <w:tblW w:w="9720" w:type="dxa"/>
        <w:tblCellMar>
          <w:top w:w="100" w:type="dxa"/>
          <w:left w:w="100" w:type="dxa"/>
          <w:bottom w:w="100" w:type="dxa"/>
          <w:right w:w="100" w:type="dxa"/>
        </w:tblCellMar>
        <w:tblLook w:val="04A0" w:firstRow="1" w:lastRow="0" w:firstColumn="1" w:lastColumn="0" w:noHBand="0" w:noVBand="1"/>
      </w:tblPr>
      <w:tblGrid>
        <w:gridCol w:w="1843"/>
        <w:gridCol w:w="1843"/>
        <w:gridCol w:w="1843"/>
        <w:gridCol w:w="4191"/>
      </w:tblGrid>
      <w:tr w:rsidR="007E4C3F" w14:paraId="2E6F3BD4" w14:textId="77777777" w:rsidTr="1524DEBB">
        <w:tc>
          <w:tcPr>
            <w:tcW w:w="1843" w:type="dxa"/>
            <w:shd w:val="clear" w:color="auto" w:fill="D9D9D9" w:themeFill="background1" w:themeFillShade="D9"/>
            <w:tcMar>
              <w:top w:w="100" w:type="dxa"/>
              <w:left w:w="100" w:type="dxa"/>
              <w:bottom w:w="100" w:type="dxa"/>
              <w:right w:w="100" w:type="dxa"/>
            </w:tcMar>
            <w:vAlign w:val="center"/>
          </w:tcPr>
          <w:p w14:paraId="0000061B" w14:textId="0000061C" w:rsidR="000B0F63" w:rsidRDefault="00C05D22" w:rsidP="00F16B50">
            <w:pPr>
              <w:pStyle w:val="TableHeader"/>
              <w:jc w:val="center"/>
            </w:pPr>
            <w:r>
              <w:t>Dimension</w:t>
            </w:r>
          </w:p>
        </w:tc>
        <w:tc>
          <w:tcPr>
            <w:tcW w:w="1843" w:type="dxa"/>
            <w:shd w:val="clear" w:color="auto" w:fill="D9D9D9" w:themeFill="background1" w:themeFillShade="D9"/>
            <w:tcMar>
              <w:top w:w="100" w:type="dxa"/>
              <w:left w:w="100" w:type="dxa"/>
              <w:bottom w:w="100" w:type="dxa"/>
              <w:right w:w="100" w:type="dxa"/>
            </w:tcMar>
            <w:vAlign w:val="center"/>
          </w:tcPr>
          <w:p w14:paraId="0000061D" w14:textId="0000061E" w:rsidR="000B0F63" w:rsidRDefault="00C05D22" w:rsidP="00F16B50">
            <w:pPr>
              <w:pStyle w:val="TableHeader"/>
              <w:jc w:val="center"/>
            </w:pPr>
            <w:r>
              <w:t>Areas assessed</w:t>
            </w:r>
          </w:p>
        </w:tc>
        <w:tc>
          <w:tcPr>
            <w:tcW w:w="1843" w:type="dxa"/>
            <w:shd w:val="clear" w:color="auto" w:fill="D9D9D9" w:themeFill="background1" w:themeFillShade="D9"/>
            <w:tcMar>
              <w:top w:w="100" w:type="dxa"/>
              <w:left w:w="100" w:type="dxa"/>
              <w:bottom w:w="100" w:type="dxa"/>
              <w:right w:w="100" w:type="dxa"/>
            </w:tcMar>
            <w:vAlign w:val="center"/>
          </w:tcPr>
          <w:p w14:paraId="0000061F" w14:textId="00000620" w:rsidR="000B0F63" w:rsidRDefault="00C05D22" w:rsidP="00F16B50">
            <w:pPr>
              <w:pStyle w:val="TableHeader"/>
              <w:jc w:val="center"/>
            </w:pPr>
            <w:commentRangeStart w:id="294"/>
            <w:r>
              <w:t>Average score</w:t>
            </w:r>
            <w:commentRangeEnd w:id="294"/>
            <w:r w:rsidR="00F717F5">
              <w:rPr>
                <w:rStyle w:val="CommentReference"/>
                <w:sz w:val="18"/>
                <w:szCs w:val="18"/>
              </w:rPr>
              <w:commentReference w:id="294"/>
            </w:r>
          </w:p>
        </w:tc>
        <w:tc>
          <w:tcPr>
            <w:tcW w:w="4191" w:type="dxa"/>
            <w:shd w:val="clear" w:color="auto" w:fill="D9D9D9" w:themeFill="background1" w:themeFillShade="D9"/>
            <w:tcMar>
              <w:top w:w="100" w:type="dxa"/>
              <w:left w:w="100" w:type="dxa"/>
              <w:bottom w:w="100" w:type="dxa"/>
              <w:right w:w="100" w:type="dxa"/>
            </w:tcMar>
            <w:vAlign w:val="center"/>
          </w:tcPr>
          <w:p w14:paraId="00000621" w14:textId="00000622" w:rsidR="000B0F63" w:rsidRDefault="00C05D22" w:rsidP="00F16B50">
            <w:pPr>
              <w:pStyle w:val="TableHeader"/>
              <w:jc w:val="center"/>
            </w:pPr>
            <w:r>
              <w:t>Current state summary</w:t>
            </w:r>
          </w:p>
        </w:tc>
      </w:tr>
      <w:tr w:rsidR="00194173" w14:paraId="0F99E0C6" w14:textId="77777777" w:rsidTr="1524DEBB">
        <w:tc>
          <w:tcPr>
            <w:tcW w:w="1843" w:type="dxa"/>
            <w:tcMar>
              <w:top w:w="100" w:type="dxa"/>
              <w:left w:w="100" w:type="dxa"/>
              <w:bottom w:w="100" w:type="dxa"/>
              <w:right w:w="100" w:type="dxa"/>
            </w:tcMar>
            <w:vAlign w:val="center"/>
          </w:tcPr>
          <w:p w14:paraId="00000623" w14:textId="00000624" w:rsidR="000B0F63" w:rsidRDefault="00C05D22" w:rsidP="00F16B50">
            <w:pPr>
              <w:pStyle w:val="TableInfo"/>
              <w:jc w:val="center"/>
            </w:pPr>
            <w:r>
              <w:t>Business</w:t>
            </w:r>
          </w:p>
        </w:tc>
        <w:tc>
          <w:tcPr>
            <w:tcW w:w="1843" w:type="dxa"/>
            <w:tcMar>
              <w:top w:w="100" w:type="dxa"/>
              <w:left w:w="100" w:type="dxa"/>
              <w:bottom w:w="100" w:type="dxa"/>
              <w:right w:w="100" w:type="dxa"/>
            </w:tcMar>
            <w:vAlign w:val="center"/>
          </w:tcPr>
          <w:p w14:paraId="00000625" w14:textId="00000626" w:rsidR="000B0F63" w:rsidRDefault="00C05D22" w:rsidP="00F16B50">
            <w:pPr>
              <w:pStyle w:val="TableInfo"/>
              <w:jc w:val="center"/>
            </w:pPr>
            <w:r>
              <w:t>10</w:t>
            </w:r>
          </w:p>
        </w:tc>
        <w:tc>
          <w:tcPr>
            <w:tcW w:w="1843" w:type="dxa"/>
            <w:tcMar>
              <w:top w:w="100" w:type="dxa"/>
              <w:left w:w="100" w:type="dxa"/>
              <w:bottom w:w="100" w:type="dxa"/>
              <w:right w:w="100" w:type="dxa"/>
            </w:tcMar>
            <w:vAlign w:val="center"/>
          </w:tcPr>
          <w:p w14:paraId="00000627" w14:textId="00000628" w:rsidR="000B0F63" w:rsidRDefault="00C05D22" w:rsidP="00F16B50">
            <w:pPr>
              <w:pStyle w:val="TableInfo"/>
              <w:jc w:val="center"/>
            </w:pPr>
            <w:r>
              <w:t>2.5</w:t>
            </w:r>
          </w:p>
        </w:tc>
        <w:tc>
          <w:tcPr>
            <w:tcW w:w="4191" w:type="dxa"/>
            <w:tcMar>
              <w:top w:w="100" w:type="dxa"/>
              <w:left w:w="100" w:type="dxa"/>
              <w:bottom w:w="100" w:type="dxa"/>
              <w:right w:w="100" w:type="dxa"/>
            </w:tcMar>
            <w:vAlign w:val="center"/>
          </w:tcPr>
          <w:p w14:paraId="00000629" w14:textId="0000062A" w:rsidR="000B0F63" w:rsidRDefault="1BAB210A" w:rsidP="00F16B50">
            <w:pPr>
              <w:pStyle w:val="TableInfo"/>
            </w:pPr>
            <w:r w:rsidRPr="1524DEBB">
              <w:rPr>
                <w:lang w:val="en-GB"/>
              </w:rPr>
              <w:t xml:space="preserve">Business objectives clarity is </w:t>
            </w:r>
            <w:proofErr w:type="gramStart"/>
            <w:r w:rsidRPr="1524DEBB">
              <w:rPr>
                <w:lang w:val="en-GB"/>
              </w:rPr>
              <w:t>strong</w:t>
            </w:r>
            <w:proofErr w:type="gramEnd"/>
            <w:r w:rsidRPr="1524DEBB">
              <w:rPr>
                <w:lang w:val="en-GB"/>
              </w:rPr>
              <w:t xml:space="preserve"> and cloud/hypervisor strategy is in flight (this engagement). Weaker on operating model definition and value management.</w:t>
            </w:r>
          </w:p>
        </w:tc>
      </w:tr>
      <w:tr w:rsidR="00194173" w14:paraId="36F66513" w14:textId="77777777" w:rsidTr="1524DEBB">
        <w:tc>
          <w:tcPr>
            <w:tcW w:w="1843" w:type="dxa"/>
            <w:tcMar>
              <w:top w:w="100" w:type="dxa"/>
              <w:left w:w="100" w:type="dxa"/>
              <w:bottom w:w="100" w:type="dxa"/>
              <w:right w:w="100" w:type="dxa"/>
            </w:tcMar>
            <w:vAlign w:val="center"/>
          </w:tcPr>
          <w:p w14:paraId="0000062B" w14:textId="0000062C" w:rsidR="000B0F63" w:rsidRDefault="00C05D22" w:rsidP="00F16B50">
            <w:pPr>
              <w:pStyle w:val="TableInfo"/>
              <w:jc w:val="center"/>
            </w:pPr>
            <w:r>
              <w:t>Governance</w:t>
            </w:r>
          </w:p>
        </w:tc>
        <w:tc>
          <w:tcPr>
            <w:tcW w:w="1843" w:type="dxa"/>
            <w:tcMar>
              <w:top w:w="100" w:type="dxa"/>
              <w:left w:w="100" w:type="dxa"/>
              <w:bottom w:w="100" w:type="dxa"/>
              <w:right w:w="100" w:type="dxa"/>
            </w:tcMar>
            <w:vAlign w:val="center"/>
          </w:tcPr>
          <w:p w14:paraId="0000062D" w14:textId="0000062E" w:rsidR="000B0F63" w:rsidRDefault="00C05D22" w:rsidP="00F16B50">
            <w:pPr>
              <w:pStyle w:val="TableInfo"/>
              <w:jc w:val="center"/>
            </w:pPr>
            <w:r>
              <w:t>3</w:t>
            </w:r>
          </w:p>
        </w:tc>
        <w:tc>
          <w:tcPr>
            <w:tcW w:w="1843" w:type="dxa"/>
            <w:tcMar>
              <w:top w:w="100" w:type="dxa"/>
              <w:left w:w="100" w:type="dxa"/>
              <w:bottom w:w="100" w:type="dxa"/>
              <w:right w:w="100" w:type="dxa"/>
            </w:tcMar>
            <w:vAlign w:val="center"/>
          </w:tcPr>
          <w:p w14:paraId="0000062F" w14:textId="00000630" w:rsidR="000B0F63" w:rsidRDefault="00C05D22" w:rsidP="00F16B50">
            <w:pPr>
              <w:pStyle w:val="TableInfo"/>
              <w:jc w:val="center"/>
            </w:pPr>
            <w:r>
              <w:t>3.0</w:t>
            </w:r>
          </w:p>
        </w:tc>
        <w:tc>
          <w:tcPr>
            <w:tcW w:w="4191" w:type="dxa"/>
            <w:tcMar>
              <w:top w:w="100" w:type="dxa"/>
              <w:left w:w="100" w:type="dxa"/>
              <w:bottom w:w="100" w:type="dxa"/>
              <w:right w:w="100" w:type="dxa"/>
            </w:tcMar>
            <w:vAlign w:val="center"/>
          </w:tcPr>
          <w:p w14:paraId="00000631" w14:textId="00000632" w:rsidR="000B0F63" w:rsidRDefault="1BAB210A" w:rsidP="00F16B50">
            <w:pPr>
              <w:pStyle w:val="TableInfo"/>
            </w:pPr>
            <w:r w:rsidRPr="1524DEBB">
              <w:rPr>
                <w:lang w:val="en-GB"/>
              </w:rPr>
              <w:t>CMDB is reasonably maintained; service delivery management is documented; supplier management is mature. Highest-scoring dimension.</w:t>
            </w:r>
          </w:p>
        </w:tc>
      </w:tr>
      <w:tr w:rsidR="00194173" w14:paraId="5463212E" w14:textId="77777777" w:rsidTr="1524DEBB">
        <w:tc>
          <w:tcPr>
            <w:tcW w:w="1843" w:type="dxa"/>
            <w:tcMar>
              <w:top w:w="100" w:type="dxa"/>
              <w:left w:w="100" w:type="dxa"/>
              <w:bottom w:w="100" w:type="dxa"/>
              <w:right w:w="100" w:type="dxa"/>
            </w:tcMar>
            <w:vAlign w:val="center"/>
          </w:tcPr>
          <w:p w14:paraId="00000633" w14:textId="00000634" w:rsidR="000B0F63" w:rsidRDefault="00C05D22" w:rsidP="00F16B50">
            <w:pPr>
              <w:pStyle w:val="TableInfo"/>
              <w:jc w:val="center"/>
            </w:pPr>
            <w:r>
              <w:t>Operations</w:t>
            </w:r>
          </w:p>
        </w:tc>
        <w:tc>
          <w:tcPr>
            <w:tcW w:w="1843" w:type="dxa"/>
            <w:tcMar>
              <w:top w:w="100" w:type="dxa"/>
              <w:left w:w="100" w:type="dxa"/>
              <w:bottom w:w="100" w:type="dxa"/>
              <w:right w:w="100" w:type="dxa"/>
            </w:tcMar>
            <w:vAlign w:val="center"/>
          </w:tcPr>
          <w:p w14:paraId="00000635" w14:textId="00000636" w:rsidR="000B0F63" w:rsidRDefault="00C05D22" w:rsidP="00F16B50">
            <w:pPr>
              <w:pStyle w:val="TableInfo"/>
              <w:jc w:val="center"/>
            </w:pPr>
            <w:r>
              <w:t>4</w:t>
            </w:r>
          </w:p>
        </w:tc>
        <w:tc>
          <w:tcPr>
            <w:tcW w:w="1843" w:type="dxa"/>
            <w:tcMar>
              <w:top w:w="100" w:type="dxa"/>
              <w:left w:w="100" w:type="dxa"/>
              <w:bottom w:w="100" w:type="dxa"/>
              <w:right w:w="100" w:type="dxa"/>
            </w:tcMar>
            <w:vAlign w:val="center"/>
          </w:tcPr>
          <w:p w14:paraId="00000637" w14:textId="00000638" w:rsidR="000B0F63" w:rsidRDefault="00C05D22" w:rsidP="00F16B50">
            <w:pPr>
              <w:pStyle w:val="TableInfo"/>
              <w:jc w:val="center"/>
            </w:pPr>
            <w:r>
              <w:t>1.8</w:t>
            </w:r>
          </w:p>
        </w:tc>
        <w:tc>
          <w:tcPr>
            <w:tcW w:w="4191" w:type="dxa"/>
            <w:tcMar>
              <w:top w:w="100" w:type="dxa"/>
              <w:left w:w="100" w:type="dxa"/>
              <w:bottom w:w="100" w:type="dxa"/>
              <w:right w:w="100" w:type="dxa"/>
            </w:tcMar>
            <w:vAlign w:val="center"/>
          </w:tcPr>
          <w:p w14:paraId="00000639" w14:textId="0000063A" w:rsidR="000B0F63" w:rsidRDefault="00C05D22" w:rsidP="00F16B50">
            <w:pPr>
              <w:pStyle w:val="TableInfo"/>
            </w:pPr>
            <w:r>
              <w:t>Disaster recovery planning and cross-brand monitoring consistency are the main gaps.</w:t>
            </w:r>
          </w:p>
        </w:tc>
      </w:tr>
      <w:tr w:rsidR="00194173" w14:paraId="1DD92865" w14:textId="77777777" w:rsidTr="1524DEBB">
        <w:tc>
          <w:tcPr>
            <w:tcW w:w="1843" w:type="dxa"/>
            <w:tcMar>
              <w:top w:w="100" w:type="dxa"/>
              <w:left w:w="100" w:type="dxa"/>
              <w:bottom w:w="100" w:type="dxa"/>
              <w:right w:w="100" w:type="dxa"/>
            </w:tcMar>
            <w:vAlign w:val="center"/>
          </w:tcPr>
          <w:p w14:paraId="0000063B" w14:textId="0000063C" w:rsidR="000B0F63" w:rsidRDefault="00C05D22" w:rsidP="00F16B50">
            <w:pPr>
              <w:pStyle w:val="TableInfo"/>
              <w:jc w:val="center"/>
            </w:pPr>
            <w:r>
              <w:t>People</w:t>
            </w:r>
          </w:p>
        </w:tc>
        <w:tc>
          <w:tcPr>
            <w:tcW w:w="1843" w:type="dxa"/>
            <w:tcMar>
              <w:top w:w="100" w:type="dxa"/>
              <w:left w:w="100" w:type="dxa"/>
              <w:bottom w:w="100" w:type="dxa"/>
              <w:right w:w="100" w:type="dxa"/>
            </w:tcMar>
            <w:vAlign w:val="center"/>
          </w:tcPr>
          <w:p w14:paraId="0000063D" w14:textId="0000063E" w:rsidR="000B0F63" w:rsidRDefault="00C05D22" w:rsidP="00F16B50">
            <w:pPr>
              <w:pStyle w:val="TableInfo"/>
              <w:jc w:val="center"/>
            </w:pPr>
            <w:r>
              <w:t>4</w:t>
            </w:r>
          </w:p>
        </w:tc>
        <w:tc>
          <w:tcPr>
            <w:tcW w:w="1843" w:type="dxa"/>
            <w:tcMar>
              <w:top w:w="100" w:type="dxa"/>
              <w:left w:w="100" w:type="dxa"/>
              <w:bottom w:w="100" w:type="dxa"/>
              <w:right w:w="100" w:type="dxa"/>
            </w:tcMar>
            <w:vAlign w:val="center"/>
          </w:tcPr>
          <w:p w14:paraId="0000063F" w14:textId="00000640" w:rsidR="000B0F63" w:rsidRDefault="00C05D22" w:rsidP="00F16B50">
            <w:pPr>
              <w:pStyle w:val="TableInfo"/>
              <w:jc w:val="center"/>
            </w:pPr>
            <w:r>
              <w:t>1.</w:t>
            </w:r>
            <w:commentRangeStart w:id="295"/>
            <w:r>
              <w:t>2</w:t>
            </w:r>
            <w:commentRangeEnd w:id="295"/>
            <w:r w:rsidR="00F717F5">
              <w:rPr>
                <w:rStyle w:val="CommentReference"/>
                <w:sz w:val="18"/>
                <w:szCs w:val="15"/>
              </w:rPr>
              <w:commentReference w:id="295"/>
            </w:r>
          </w:p>
        </w:tc>
        <w:tc>
          <w:tcPr>
            <w:tcW w:w="4191" w:type="dxa"/>
            <w:tcMar>
              <w:top w:w="100" w:type="dxa"/>
              <w:left w:w="100" w:type="dxa"/>
              <w:bottom w:w="100" w:type="dxa"/>
              <w:right w:w="100" w:type="dxa"/>
            </w:tcMar>
            <w:vAlign w:val="center"/>
          </w:tcPr>
          <w:p w14:paraId="00000641" w14:textId="00000642" w:rsidR="000B0F63" w:rsidRDefault="00C05D22" w:rsidP="00F16B50">
            <w:pPr>
              <w:pStyle w:val="TableInfo"/>
            </w:pPr>
            <w:r>
              <w:t>Cloud-specific skills and training are at the earliest stage: no formal cloud training plan yet, Cloud Centre of Excellence boundaries still forming.</w:t>
            </w:r>
          </w:p>
        </w:tc>
      </w:tr>
      <w:tr w:rsidR="00194173" w14:paraId="48FFFC41" w14:textId="77777777" w:rsidTr="1524DEBB">
        <w:tc>
          <w:tcPr>
            <w:tcW w:w="1843" w:type="dxa"/>
            <w:tcMar>
              <w:top w:w="100" w:type="dxa"/>
              <w:left w:w="100" w:type="dxa"/>
              <w:bottom w:w="100" w:type="dxa"/>
              <w:right w:w="100" w:type="dxa"/>
            </w:tcMar>
            <w:vAlign w:val="center"/>
          </w:tcPr>
          <w:p w14:paraId="00000643" w14:textId="00000644" w:rsidR="000B0F63" w:rsidRDefault="00C05D22" w:rsidP="00F16B50">
            <w:pPr>
              <w:pStyle w:val="TableInfo"/>
              <w:jc w:val="center"/>
            </w:pPr>
            <w:r>
              <w:t>Security</w:t>
            </w:r>
          </w:p>
        </w:tc>
        <w:tc>
          <w:tcPr>
            <w:tcW w:w="1843" w:type="dxa"/>
            <w:tcMar>
              <w:top w:w="100" w:type="dxa"/>
              <w:left w:w="100" w:type="dxa"/>
              <w:bottom w:w="100" w:type="dxa"/>
              <w:right w:w="100" w:type="dxa"/>
            </w:tcMar>
            <w:vAlign w:val="center"/>
          </w:tcPr>
          <w:p w14:paraId="00000645" w14:textId="00000646" w:rsidR="000B0F63" w:rsidRDefault="00C05D22" w:rsidP="00F16B50">
            <w:pPr>
              <w:pStyle w:val="TableInfo"/>
              <w:jc w:val="center"/>
            </w:pPr>
            <w:r>
              <w:t>3</w:t>
            </w:r>
          </w:p>
        </w:tc>
        <w:tc>
          <w:tcPr>
            <w:tcW w:w="1843" w:type="dxa"/>
            <w:tcMar>
              <w:top w:w="100" w:type="dxa"/>
              <w:left w:w="100" w:type="dxa"/>
              <w:bottom w:w="100" w:type="dxa"/>
              <w:right w:w="100" w:type="dxa"/>
            </w:tcMar>
            <w:vAlign w:val="center"/>
          </w:tcPr>
          <w:p w14:paraId="00000647" w14:textId="00000648" w:rsidR="000B0F63" w:rsidRDefault="00C05D22" w:rsidP="00F16B50">
            <w:pPr>
              <w:pStyle w:val="TableInfo"/>
              <w:jc w:val="center"/>
            </w:pPr>
            <w:r>
              <w:t>2.0</w:t>
            </w:r>
          </w:p>
        </w:tc>
        <w:tc>
          <w:tcPr>
            <w:tcW w:w="4191" w:type="dxa"/>
            <w:tcMar>
              <w:top w:w="100" w:type="dxa"/>
              <w:left w:w="100" w:type="dxa"/>
              <w:bottom w:w="100" w:type="dxa"/>
              <w:right w:w="100" w:type="dxa"/>
            </w:tcMar>
            <w:vAlign w:val="center"/>
          </w:tcPr>
          <w:p w14:paraId="00000649" w14:textId="0000064A" w:rsidR="000B0F63" w:rsidRDefault="00C05D22" w:rsidP="00F16B50">
            <w:pPr>
              <w:pStyle w:val="TableInfo"/>
            </w:pPr>
            <w:r>
              <w:t>CISO is engaged in cloud decisions. Shared responsibility model and cloud-native GRC practice are early-stage.</w:t>
            </w:r>
          </w:p>
        </w:tc>
      </w:tr>
    </w:tbl>
    <w:p w14:paraId="0000064B" w14:textId="0000064C" w:rsidR="000B0F63" w:rsidRDefault="00C05D22" w:rsidP="00E40261">
      <w:pPr>
        <w:jc w:val="both"/>
      </w:pPr>
      <w:commentRangeStart w:id="296"/>
      <w:r>
        <w:rPr>
          <w:b/>
          <w:bCs/>
        </w:rPr>
        <w:t xml:space="preserve">Overall readiness: approximately 2.1 of 5. </w:t>
      </w:r>
      <w:r>
        <w:t>Consistent with an organisation at the start of its cloud journey.</w:t>
      </w:r>
      <w:commentRangeEnd w:id="296"/>
      <w:r w:rsidR="00202F55">
        <w:rPr>
          <w:rStyle w:val="CommentReference"/>
          <w:sz w:val="22"/>
          <w:szCs w:val="22"/>
        </w:rPr>
        <w:commentReference w:id="296"/>
      </w:r>
    </w:p>
    <w:p w14:paraId="0000064D" w14:textId="0000064E" w:rsidR="000B0F63" w:rsidRDefault="1BAB210A" w:rsidP="00E40261">
      <w:pPr>
        <w:pStyle w:val="Heading2"/>
        <w:jc w:val="both"/>
      </w:pPr>
      <w:bookmarkStart w:id="297" w:name="_Toc185"/>
      <w:bookmarkStart w:id="298" w:name="_Toc227770968"/>
      <w:r>
        <w:t xml:space="preserve">What Each Dimension Means </w:t>
      </w:r>
      <w:proofErr w:type="gramStart"/>
      <w:r>
        <w:t>In</w:t>
      </w:r>
      <w:proofErr w:type="gramEnd"/>
      <w:r>
        <w:t xml:space="preserve"> Practice</w:t>
      </w:r>
      <w:bookmarkEnd w:id="297"/>
      <w:bookmarkEnd w:id="298"/>
    </w:p>
    <w:p w14:paraId="0000064F" w14:textId="00000650" w:rsidR="000B0F63" w:rsidRDefault="1BAB210A" w:rsidP="00E40261">
      <w:pPr>
        <w:pStyle w:val="Heading3"/>
        <w:jc w:val="both"/>
      </w:pPr>
      <w:bookmarkStart w:id="299" w:name="_Toc186"/>
      <w:bookmarkStart w:id="300" w:name="_Toc227770969"/>
      <w:r>
        <w:t>Business (2.5)</w:t>
      </w:r>
      <w:bookmarkEnd w:id="299"/>
      <w:bookmarkEnd w:id="300"/>
    </w:p>
    <w:p w14:paraId="735C0E6C" w14:textId="77777777" w:rsidR="000478E8" w:rsidRDefault="00C05D22" w:rsidP="00E40261">
      <w:pPr>
        <w:jc w:val="both"/>
      </w:pPr>
      <w:r>
        <w:t xml:space="preserve">Your business objectives are clear: one million MOL subscribers, tech stack standardisation, operational refreshes, consolidation onto virtual platforms, flexibility for projects with partner support, </w:t>
      </w:r>
      <w:proofErr w:type="spellStart"/>
      <w:r>
        <w:t>CapEx</w:t>
      </w:r>
      <w:proofErr w:type="spellEnd"/>
      <w:r>
        <w:t xml:space="preserve"> to </w:t>
      </w:r>
      <w:proofErr w:type="spellStart"/>
      <w:r>
        <w:t>OpEx</w:t>
      </w:r>
      <w:proofErr w:type="spellEnd"/>
      <w:r>
        <w:t xml:space="preserve">. You have hypervisor and cloud strategy assessment in flight (this engagement). </w:t>
      </w:r>
    </w:p>
    <w:p w14:paraId="00000651" w14:textId="16CDE1CC" w:rsidR="000B0F63" w:rsidRDefault="00C05D22" w:rsidP="00E40261">
      <w:pPr>
        <w:jc w:val="both"/>
      </w:pPr>
      <w:r>
        <w:t>The gaps: cloud objectives commitment (specific workloads, committed timelines), value management (CFO, COO, CISO buy-in beyond the CTO), IT strategy explicitly linking cloud to business outcomes.</w:t>
      </w:r>
    </w:p>
    <w:p w14:paraId="00000653" w14:textId="00000654" w:rsidR="000B0F63" w:rsidRDefault="00C05D22" w:rsidP="00E40261">
      <w:pPr>
        <w:jc w:val="both"/>
      </w:pPr>
      <w:r>
        <w:t>The CTO is making the case across the business. The gap is translating that into a documented IT strategy with signed-off investment and capability-building plan.</w:t>
      </w:r>
    </w:p>
    <w:p w14:paraId="00000655" w14:textId="00000656" w:rsidR="000B0F63" w:rsidRDefault="1BAB210A" w:rsidP="00E40261">
      <w:pPr>
        <w:pStyle w:val="Heading3"/>
        <w:jc w:val="both"/>
      </w:pPr>
      <w:bookmarkStart w:id="301" w:name="_Toc187"/>
      <w:bookmarkStart w:id="302" w:name="_Toc227770970"/>
      <w:r>
        <w:t>Governance (3.0)</w:t>
      </w:r>
      <w:bookmarkEnd w:id="301"/>
      <w:bookmarkEnd w:id="302"/>
    </w:p>
    <w:p w14:paraId="00000657" w14:textId="00000658" w:rsidR="000B0F63" w:rsidRDefault="00C05D22" w:rsidP="00E40261">
      <w:pPr>
        <w:jc w:val="both"/>
      </w:pPr>
      <w:r>
        <w:t>Your strongest area. You have a reasonably maintained CMDB, documented service delivery management, and mature supplier relationships with AWS, Azure, and GCP (though the AWS relationship follows a 'cloud island' model rather than a governed landing zone). Portfolio management and application inventory practices exist. Update cadence could be tighter.</w:t>
      </w:r>
    </w:p>
    <w:p w14:paraId="00000659" w14:textId="0000065A" w:rsidR="000B0F63" w:rsidRDefault="1BAB210A" w:rsidP="00E40261">
      <w:pPr>
        <w:pStyle w:val="Heading3"/>
        <w:jc w:val="both"/>
      </w:pPr>
      <w:bookmarkStart w:id="303" w:name="_Toc188"/>
      <w:bookmarkStart w:id="304" w:name="_Toc227770971"/>
      <w:r>
        <w:t>Operations (1.8)</w:t>
      </w:r>
      <w:bookmarkEnd w:id="303"/>
      <w:bookmarkEnd w:id="304"/>
    </w:p>
    <w:p w14:paraId="0000065B" w14:textId="0000065C" w:rsidR="000B0F63" w:rsidRDefault="00C05D22" w:rsidP="00E40261">
      <w:pPr>
        <w:jc w:val="both"/>
      </w:pPr>
      <w:r>
        <w:t>This is where the fragmentation described in Section 3 shows up operationally:</w:t>
      </w:r>
    </w:p>
    <w:p w14:paraId="0000065D" w14:textId="0000065E" w:rsidR="000B0F63" w:rsidRDefault="00C05D22" w:rsidP="00EC2FA3">
      <w:pPr>
        <w:pStyle w:val="ListBullet"/>
        <w:numPr>
          <w:ilvl w:val="0"/>
          <w:numId w:val="30"/>
        </w:numPr>
        <w:jc w:val="both"/>
      </w:pPr>
      <w:r w:rsidRPr="006849BD">
        <w:rPr>
          <w:b/>
        </w:rPr>
        <w:t>Disaster recovery planning</w:t>
      </w:r>
      <w:r>
        <w:t>: captured in the Cloud Readiness Assessment questionnaire (ranked 1/5), where application owners noted they often cannot clearly distinguish high availability, backup, and business continuity in their DR planning.</w:t>
      </w:r>
    </w:p>
    <w:p w14:paraId="0000065F" w14:textId="00000660" w:rsidR="000B0F63" w:rsidRDefault="00C05D22" w:rsidP="00EC2FA3">
      <w:pPr>
        <w:pStyle w:val="ListBullet"/>
        <w:numPr>
          <w:ilvl w:val="0"/>
          <w:numId w:val="30"/>
        </w:numPr>
        <w:jc w:val="both"/>
      </w:pPr>
      <w:r w:rsidRPr="006849BD">
        <w:rPr>
          <w:b/>
        </w:rPr>
        <w:t>Operating model</w:t>
      </w:r>
      <w:r>
        <w:t>: multiple third parties operate across the estate (NCS for databases, outsourced SOC for security monitoring, web caching vendor support, COTS vendor dependencies). Each adds coordination overhead.</w:t>
      </w:r>
    </w:p>
    <w:p w14:paraId="00000661" w14:textId="00000662" w:rsidR="000B0F63" w:rsidRDefault="00C05D22" w:rsidP="00EC2FA3">
      <w:pPr>
        <w:pStyle w:val="ListBullet"/>
        <w:numPr>
          <w:ilvl w:val="0"/>
          <w:numId w:val="30"/>
        </w:numPr>
        <w:jc w:val="both"/>
      </w:pPr>
      <w:r w:rsidRPr="006849BD">
        <w:rPr>
          <w:b/>
        </w:rPr>
        <w:t>Monitoring</w:t>
      </w:r>
      <w:r>
        <w:t xml:space="preserve">: not consistent across brands. </w:t>
      </w:r>
      <w:commentRangeStart w:id="305"/>
      <w:r>
        <w:t>SolarWinds</w:t>
      </w:r>
      <w:commentRangeEnd w:id="305"/>
      <w:r w:rsidR="009C661C">
        <w:rPr>
          <w:rStyle w:val="CommentReference"/>
          <w:sz w:val="22"/>
          <w:szCs w:val="24"/>
        </w:rPr>
        <w:commentReference w:id="305"/>
      </w:r>
      <w:r>
        <w:t>, Zabbix, application-specific tooling.</w:t>
      </w:r>
    </w:p>
    <w:p w14:paraId="00000663" w14:textId="00000664" w:rsidR="000B0F63" w:rsidRDefault="00C05D22" w:rsidP="00EC2FA3">
      <w:pPr>
        <w:pStyle w:val="ListBullet"/>
        <w:numPr>
          <w:ilvl w:val="0"/>
          <w:numId w:val="30"/>
        </w:numPr>
        <w:jc w:val="both"/>
      </w:pPr>
      <w:r w:rsidRPr="006849BD">
        <w:rPr>
          <w:b/>
        </w:rPr>
        <w:t>Change management</w:t>
      </w:r>
      <w:r>
        <w:t xml:space="preserve">: workshops and stakeholder interviews confirmed that formal change process exists but is applied </w:t>
      </w:r>
      <w:commentRangeStart w:id="306"/>
      <w:r>
        <w:t xml:space="preserve">inconsistently </w:t>
      </w:r>
      <w:commentRangeEnd w:id="306"/>
      <w:r w:rsidR="00EA10F7">
        <w:rPr>
          <w:rStyle w:val="CommentReference"/>
          <w:sz w:val="22"/>
          <w:szCs w:val="24"/>
        </w:rPr>
        <w:commentReference w:id="306"/>
      </w:r>
      <w:r>
        <w:t>across business areas.</w:t>
      </w:r>
    </w:p>
    <w:p w14:paraId="00000665" w14:textId="00000666" w:rsidR="000B0F63" w:rsidRDefault="1BAB210A" w:rsidP="00E40261">
      <w:pPr>
        <w:pStyle w:val="Heading3"/>
        <w:jc w:val="both"/>
      </w:pPr>
      <w:bookmarkStart w:id="307" w:name="_Toc189"/>
      <w:bookmarkStart w:id="308" w:name="_Toc227770972"/>
      <w:r>
        <w:t>People (1.2)</w:t>
      </w:r>
      <w:bookmarkEnd w:id="307"/>
      <w:bookmarkEnd w:id="308"/>
    </w:p>
    <w:p w14:paraId="00000667" w14:textId="00000668" w:rsidR="000B0F63" w:rsidRDefault="00C05D22" w:rsidP="00E40261">
      <w:pPr>
        <w:jc w:val="both"/>
      </w:pPr>
      <w:r>
        <w:t>Lowest score. No formal cloud training plan. A Cloud Centre of Excellence has not been formed, though the infrastructure team manages cloud accounts today with boundaries and processes that need development. Roles and job descriptions have not been adapted for cloud delivery. The implication: even if infrastructure moves to cloud, the operating model for running it is not yet in place.</w:t>
      </w:r>
    </w:p>
    <w:p w14:paraId="00000669" w14:textId="0000066A" w:rsidR="000B0F63" w:rsidRDefault="00C05D22" w:rsidP="00E40261">
      <w:pPr>
        <w:jc w:val="both"/>
      </w:pPr>
      <w:r>
        <w:t>This is addressable but requires time and investment. Partner-assisted during transition, progressively upskilling your own teams, is the typical path.</w:t>
      </w:r>
    </w:p>
    <w:p w14:paraId="0000066B" w14:textId="0000066C" w:rsidR="000B0F63" w:rsidRDefault="1BAB210A" w:rsidP="00E40261">
      <w:pPr>
        <w:pStyle w:val="Heading3"/>
        <w:jc w:val="both"/>
      </w:pPr>
      <w:bookmarkStart w:id="309" w:name="_Toc190"/>
      <w:bookmarkStart w:id="310" w:name="_Toc227770973"/>
      <w:r>
        <w:t>Security (2.0)</w:t>
      </w:r>
      <w:bookmarkEnd w:id="309"/>
      <w:bookmarkEnd w:id="310"/>
    </w:p>
    <w:p w14:paraId="0000066D" w14:textId="0000066E" w:rsidR="000B0F63" w:rsidRDefault="00C05D22" w:rsidP="00E40261">
      <w:pPr>
        <w:jc w:val="both"/>
      </w:pPr>
      <w:r>
        <w:t xml:space="preserve">The CISO is engaged in cloud decisions. Shared responsibility in cloud is not yet well understood within the teams who will operate workloads. Governance, risk, and compliance practice is </w:t>
      </w:r>
      <w:proofErr w:type="gramStart"/>
      <w:r>
        <w:t>early-stage</w:t>
      </w:r>
      <w:proofErr w:type="gramEnd"/>
      <w:r>
        <w:t>. Packet inspection exists on internet-facing traffic but not internally. Privileged Access Management (PAM) tooling is not standardised.</w:t>
      </w:r>
    </w:p>
    <w:p w14:paraId="0000066F" w14:textId="00000670" w:rsidR="000B0F63" w:rsidRDefault="00C05D22" w:rsidP="00E40261">
      <w:pPr>
        <w:jc w:val="both"/>
      </w:pPr>
      <w:r>
        <w:t>A focused security assessment is recommended for Phase 2 rather than inferring security posture from the current five-dimension questionnaire.</w:t>
      </w:r>
    </w:p>
    <w:p w14:paraId="00000671" w14:textId="00000672" w:rsidR="000B0F63" w:rsidRDefault="1BAB210A" w:rsidP="00E40261">
      <w:pPr>
        <w:pStyle w:val="Heading2"/>
        <w:jc w:val="both"/>
      </w:pPr>
      <w:bookmarkStart w:id="311" w:name="_Toc191"/>
      <w:bookmarkStart w:id="312" w:name="_Toc227770974"/>
      <w:commentRangeStart w:id="313"/>
      <w:r>
        <w:t xml:space="preserve">Network and Connectivity </w:t>
      </w:r>
      <w:commentRangeEnd w:id="313"/>
      <w:r w:rsidR="00F26E48">
        <w:rPr>
          <w:rStyle w:val="CommentReference"/>
          <w:sz w:val="32"/>
          <w:szCs w:val="32"/>
        </w:rPr>
        <w:commentReference w:id="313"/>
      </w:r>
      <w:r>
        <w:t>(Additional Dimension)</w:t>
      </w:r>
      <w:bookmarkEnd w:id="311"/>
      <w:bookmarkEnd w:id="312"/>
    </w:p>
    <w:p w14:paraId="00000673" w14:textId="00000674" w:rsidR="000B0F63" w:rsidRDefault="00C05D22" w:rsidP="00E40261">
      <w:pPr>
        <w:jc w:val="both"/>
      </w:pPr>
      <w:r>
        <w:t xml:space="preserve">The five dimensions above are the standard readiness framework. For DMG specifically, network and connectivity </w:t>
      </w:r>
      <w:proofErr w:type="gramStart"/>
      <w:r>
        <w:t>warrants</w:t>
      </w:r>
      <w:proofErr w:type="gramEnd"/>
      <w:r>
        <w:t xml:space="preserve"> explicit attention:</w:t>
      </w:r>
    </w:p>
    <w:p w14:paraId="00000675" w14:textId="00000676" w:rsidR="000B0F63" w:rsidRDefault="00C05D22" w:rsidP="00EC2FA3">
      <w:pPr>
        <w:pStyle w:val="ListBullet"/>
        <w:numPr>
          <w:ilvl w:val="0"/>
          <w:numId w:val="31"/>
        </w:numPr>
        <w:jc w:val="both"/>
      </w:pPr>
      <w:r w:rsidRPr="000C37B5">
        <w:rPr>
          <w:b/>
        </w:rPr>
        <w:t>Multi-site connectivity</w:t>
      </w:r>
      <w:r>
        <w:t xml:space="preserve">: two UK </w:t>
      </w:r>
      <w:proofErr w:type="spellStart"/>
      <w:r>
        <w:t>datacentres</w:t>
      </w:r>
      <w:proofErr w:type="spellEnd"/>
      <w:r>
        <w:t xml:space="preserve"> plus Sydney, with inter-site links. Cloud landing zone design </w:t>
      </w:r>
      <w:proofErr w:type="gramStart"/>
      <w:r>
        <w:t>has to</w:t>
      </w:r>
      <w:proofErr w:type="gramEnd"/>
      <w:r>
        <w:t xml:space="preserve"> accommodate these and the eventual interconnect to cloud regions.</w:t>
      </w:r>
    </w:p>
    <w:p w14:paraId="00000677" w14:textId="00000678" w:rsidR="000B0F63" w:rsidRDefault="00C05D22" w:rsidP="00EC2FA3">
      <w:pPr>
        <w:pStyle w:val="ListBullet"/>
        <w:numPr>
          <w:ilvl w:val="0"/>
          <w:numId w:val="31"/>
        </w:numPr>
        <w:jc w:val="both"/>
      </w:pPr>
      <w:r w:rsidRPr="000C37B5">
        <w:rPr>
          <w:b/>
        </w:rPr>
        <w:t>CDN integration</w:t>
      </w:r>
      <w:r>
        <w:t>: Akamai handles presentation layer caching today. How it integrates with cloud origins is a Phase 2 design question with cost implications.</w:t>
      </w:r>
    </w:p>
    <w:p w14:paraId="00000679" w14:textId="0000067A" w:rsidR="000B0F63" w:rsidRDefault="00C05D22" w:rsidP="00EC2FA3">
      <w:pPr>
        <w:pStyle w:val="ListBullet"/>
        <w:numPr>
          <w:ilvl w:val="0"/>
          <w:numId w:val="31"/>
        </w:numPr>
        <w:jc w:val="both"/>
      </w:pPr>
      <w:r w:rsidRPr="000C37B5">
        <w:rPr>
          <w:b/>
        </w:rPr>
        <w:t>DNS migration</w:t>
      </w:r>
      <w:r>
        <w:t xml:space="preserve">: same physical servers are registered under both .int </w:t>
      </w:r>
      <w:proofErr w:type="gramStart"/>
      <w:r>
        <w:t>and .</w:t>
      </w:r>
      <w:proofErr w:type="spellStart"/>
      <w:r>
        <w:t>hsk</w:t>
      </w:r>
      <w:proofErr w:type="spellEnd"/>
      <w:proofErr w:type="gramEnd"/>
      <w:r>
        <w:t xml:space="preserve"> zones, which means two DNS records per server.</w:t>
      </w:r>
    </w:p>
    <w:p w14:paraId="0000067B" w14:textId="0000067C" w:rsidR="000B0F63" w:rsidRDefault="00C05D22" w:rsidP="00EC2FA3">
      <w:pPr>
        <w:pStyle w:val="ListBullet"/>
        <w:numPr>
          <w:ilvl w:val="0"/>
          <w:numId w:val="31"/>
        </w:numPr>
        <w:jc w:val="both"/>
      </w:pPr>
      <w:r w:rsidRPr="000C37B5">
        <w:rPr>
          <w:b/>
        </w:rPr>
        <w:t xml:space="preserve">Load balancer </w:t>
      </w:r>
      <w:proofErr w:type="spellStart"/>
      <w:r w:rsidRPr="000C37B5">
        <w:rPr>
          <w:b/>
        </w:rPr>
        <w:t>modernisation</w:t>
      </w:r>
      <w:proofErr w:type="spellEnd"/>
      <w:r>
        <w:t xml:space="preserve">: F5 (corporate) and Zeus/Ivanti </w:t>
      </w:r>
      <w:proofErr w:type="spellStart"/>
      <w:r>
        <w:t>vTM</w:t>
      </w:r>
      <w:proofErr w:type="spellEnd"/>
      <w:r>
        <w:t xml:space="preserve"> (MOL) are hardware load balancers today. Replacing with cloud-native is a significant </w:t>
      </w:r>
      <w:proofErr w:type="spellStart"/>
      <w:r>
        <w:t>modernisation</w:t>
      </w:r>
      <w:proofErr w:type="spellEnd"/>
      <w:r>
        <w:t xml:space="preserve"> opportunity.</w:t>
      </w:r>
    </w:p>
    <w:p w14:paraId="0000067D" w14:textId="0000067E" w:rsidR="000B0F63" w:rsidRDefault="1BAB210A" w:rsidP="00E40261">
      <w:pPr>
        <w:pStyle w:val="Heading2"/>
        <w:jc w:val="both"/>
      </w:pPr>
      <w:bookmarkStart w:id="314" w:name="_Toc192"/>
      <w:bookmarkStart w:id="315" w:name="_Toc227770975"/>
      <w:r>
        <w:t>Target State and The Gap</w:t>
      </w:r>
      <w:bookmarkEnd w:id="314"/>
      <w:bookmarkEnd w:id="315"/>
    </w:p>
    <w:tbl>
      <w:tblPr>
        <w:tblW w:w="9720" w:type="dxa"/>
        <w:tblCellMar>
          <w:top w:w="100" w:type="dxa"/>
          <w:left w:w="100" w:type="dxa"/>
          <w:bottom w:w="100" w:type="dxa"/>
          <w:right w:w="100" w:type="dxa"/>
        </w:tblCellMar>
        <w:tblLook w:val="04A0" w:firstRow="1" w:lastRow="0" w:firstColumn="1" w:lastColumn="0" w:noHBand="0" w:noVBand="1"/>
      </w:tblPr>
      <w:tblGrid>
        <w:gridCol w:w="3240"/>
        <w:gridCol w:w="3240"/>
        <w:gridCol w:w="3240"/>
      </w:tblGrid>
      <w:tr w:rsidR="00933254" w14:paraId="7FE76E1F" w14:textId="77777777" w:rsidTr="005E394B">
        <w:tc>
          <w:tcPr>
            <w:tcW w:w="3240" w:type="dxa"/>
            <w:shd w:val="clear" w:color="auto" w:fill="D9D9D9"/>
            <w:tcMar>
              <w:top w:w="100" w:type="dxa"/>
              <w:left w:w="100" w:type="dxa"/>
              <w:bottom w:w="100" w:type="dxa"/>
              <w:right w:w="100" w:type="dxa"/>
            </w:tcMar>
            <w:vAlign w:val="center"/>
          </w:tcPr>
          <w:p w14:paraId="0000067F" w14:textId="00000680" w:rsidR="000B0F63" w:rsidRDefault="00C05D22" w:rsidP="005E394B">
            <w:pPr>
              <w:pStyle w:val="TableHeader"/>
              <w:jc w:val="center"/>
            </w:pPr>
            <w:r>
              <w:t>Dimension</w:t>
            </w:r>
          </w:p>
        </w:tc>
        <w:tc>
          <w:tcPr>
            <w:tcW w:w="3240" w:type="dxa"/>
            <w:shd w:val="clear" w:color="auto" w:fill="D9D9D9"/>
            <w:tcMar>
              <w:top w:w="100" w:type="dxa"/>
              <w:left w:w="100" w:type="dxa"/>
              <w:bottom w:w="100" w:type="dxa"/>
              <w:right w:w="100" w:type="dxa"/>
            </w:tcMar>
            <w:vAlign w:val="center"/>
          </w:tcPr>
          <w:p w14:paraId="00000681" w14:textId="00000682" w:rsidR="000B0F63" w:rsidRDefault="00C05D22" w:rsidP="005E394B">
            <w:pPr>
              <w:pStyle w:val="TableHeader"/>
              <w:jc w:val="center"/>
            </w:pPr>
            <w:r>
              <w:t>Current</w:t>
            </w:r>
          </w:p>
        </w:tc>
        <w:tc>
          <w:tcPr>
            <w:tcW w:w="3240" w:type="dxa"/>
            <w:shd w:val="clear" w:color="auto" w:fill="D9D9D9"/>
            <w:tcMar>
              <w:top w:w="100" w:type="dxa"/>
              <w:left w:w="100" w:type="dxa"/>
              <w:bottom w:w="100" w:type="dxa"/>
              <w:right w:w="100" w:type="dxa"/>
            </w:tcMar>
            <w:vAlign w:val="center"/>
          </w:tcPr>
          <w:p w14:paraId="00000683" w14:textId="00000684" w:rsidR="000B0F63" w:rsidRDefault="00C05D22" w:rsidP="005E394B">
            <w:pPr>
              <w:pStyle w:val="TableHeader"/>
              <w:jc w:val="center"/>
            </w:pPr>
            <w:r>
              <w:t>Target (12-month)</w:t>
            </w:r>
          </w:p>
        </w:tc>
      </w:tr>
      <w:tr w:rsidR="003C45B5" w14:paraId="7480255C" w14:textId="77777777" w:rsidTr="005E394B">
        <w:tc>
          <w:tcPr>
            <w:tcW w:w="3240" w:type="dxa"/>
            <w:tcMar>
              <w:top w:w="100" w:type="dxa"/>
              <w:left w:w="100" w:type="dxa"/>
              <w:bottom w:w="100" w:type="dxa"/>
              <w:right w:w="100" w:type="dxa"/>
            </w:tcMar>
            <w:vAlign w:val="center"/>
          </w:tcPr>
          <w:p w14:paraId="00000685" w14:textId="00000686" w:rsidR="000B0F63" w:rsidRDefault="00C05D22" w:rsidP="005E394B">
            <w:pPr>
              <w:pStyle w:val="TableInfo"/>
              <w:jc w:val="center"/>
            </w:pPr>
            <w:r>
              <w:t>Business</w:t>
            </w:r>
          </w:p>
        </w:tc>
        <w:tc>
          <w:tcPr>
            <w:tcW w:w="3240" w:type="dxa"/>
            <w:tcMar>
              <w:top w:w="100" w:type="dxa"/>
              <w:left w:w="100" w:type="dxa"/>
              <w:bottom w:w="100" w:type="dxa"/>
              <w:right w:w="100" w:type="dxa"/>
            </w:tcMar>
            <w:vAlign w:val="center"/>
          </w:tcPr>
          <w:p w14:paraId="00000687" w14:textId="00000688" w:rsidR="000B0F63" w:rsidRDefault="00C05D22" w:rsidP="005E394B">
            <w:pPr>
              <w:pStyle w:val="TableInfo"/>
              <w:jc w:val="center"/>
            </w:pPr>
            <w:r>
              <w:t>2.5</w:t>
            </w:r>
          </w:p>
        </w:tc>
        <w:tc>
          <w:tcPr>
            <w:tcW w:w="3240" w:type="dxa"/>
            <w:tcMar>
              <w:top w:w="100" w:type="dxa"/>
              <w:left w:w="100" w:type="dxa"/>
              <w:bottom w:w="100" w:type="dxa"/>
              <w:right w:w="100" w:type="dxa"/>
            </w:tcMar>
            <w:vAlign w:val="center"/>
          </w:tcPr>
          <w:p w14:paraId="00000689" w14:textId="0000068A" w:rsidR="000B0F63" w:rsidRDefault="00C05D22" w:rsidP="005E394B">
            <w:pPr>
              <w:pStyle w:val="TableInfo"/>
              <w:jc w:val="center"/>
            </w:pPr>
            <w:commentRangeStart w:id="316"/>
            <w:r>
              <w:t>4.0</w:t>
            </w:r>
            <w:commentRangeEnd w:id="316"/>
            <w:r w:rsidR="00C61F7C">
              <w:rPr>
                <w:rStyle w:val="CommentReference"/>
                <w:sz w:val="18"/>
                <w:szCs w:val="15"/>
              </w:rPr>
              <w:commentReference w:id="316"/>
            </w:r>
          </w:p>
        </w:tc>
      </w:tr>
      <w:tr w:rsidR="003C45B5" w14:paraId="5B36E0B4" w14:textId="77777777" w:rsidTr="005E394B">
        <w:tc>
          <w:tcPr>
            <w:tcW w:w="3240" w:type="dxa"/>
            <w:tcMar>
              <w:top w:w="100" w:type="dxa"/>
              <w:left w:w="100" w:type="dxa"/>
              <w:bottom w:w="100" w:type="dxa"/>
              <w:right w:w="100" w:type="dxa"/>
            </w:tcMar>
            <w:vAlign w:val="center"/>
          </w:tcPr>
          <w:p w14:paraId="0000068B" w14:textId="0000068C" w:rsidR="000B0F63" w:rsidRDefault="00C05D22" w:rsidP="005E394B">
            <w:pPr>
              <w:pStyle w:val="TableInfo"/>
              <w:jc w:val="center"/>
            </w:pPr>
            <w:r>
              <w:t>Governance</w:t>
            </w:r>
          </w:p>
        </w:tc>
        <w:tc>
          <w:tcPr>
            <w:tcW w:w="3240" w:type="dxa"/>
            <w:tcMar>
              <w:top w:w="100" w:type="dxa"/>
              <w:left w:w="100" w:type="dxa"/>
              <w:bottom w:w="100" w:type="dxa"/>
              <w:right w:w="100" w:type="dxa"/>
            </w:tcMar>
            <w:vAlign w:val="center"/>
          </w:tcPr>
          <w:p w14:paraId="0000068D" w14:textId="0000068E" w:rsidR="000B0F63" w:rsidRDefault="00C05D22" w:rsidP="005E394B">
            <w:pPr>
              <w:pStyle w:val="TableInfo"/>
              <w:jc w:val="center"/>
            </w:pPr>
            <w:r>
              <w:t>3.0</w:t>
            </w:r>
          </w:p>
        </w:tc>
        <w:tc>
          <w:tcPr>
            <w:tcW w:w="3240" w:type="dxa"/>
            <w:tcMar>
              <w:top w:w="100" w:type="dxa"/>
              <w:left w:w="100" w:type="dxa"/>
              <w:bottom w:w="100" w:type="dxa"/>
              <w:right w:w="100" w:type="dxa"/>
            </w:tcMar>
            <w:vAlign w:val="center"/>
          </w:tcPr>
          <w:p w14:paraId="0000068F" w14:textId="00000690" w:rsidR="000B0F63" w:rsidRDefault="00C05D22" w:rsidP="005E394B">
            <w:pPr>
              <w:pStyle w:val="TableInfo"/>
              <w:jc w:val="center"/>
            </w:pPr>
            <w:r>
              <w:t>4.0</w:t>
            </w:r>
          </w:p>
        </w:tc>
      </w:tr>
      <w:tr w:rsidR="003C45B5" w14:paraId="50CD9B59" w14:textId="77777777" w:rsidTr="005E394B">
        <w:tc>
          <w:tcPr>
            <w:tcW w:w="3240" w:type="dxa"/>
            <w:tcMar>
              <w:top w:w="100" w:type="dxa"/>
              <w:left w:w="100" w:type="dxa"/>
              <w:bottom w:w="100" w:type="dxa"/>
              <w:right w:w="100" w:type="dxa"/>
            </w:tcMar>
            <w:vAlign w:val="center"/>
          </w:tcPr>
          <w:p w14:paraId="00000691" w14:textId="00000692" w:rsidR="000B0F63" w:rsidRDefault="00C05D22" w:rsidP="005E394B">
            <w:pPr>
              <w:pStyle w:val="TableInfo"/>
              <w:jc w:val="center"/>
            </w:pPr>
            <w:r>
              <w:t>Operations</w:t>
            </w:r>
          </w:p>
        </w:tc>
        <w:tc>
          <w:tcPr>
            <w:tcW w:w="3240" w:type="dxa"/>
            <w:tcMar>
              <w:top w:w="100" w:type="dxa"/>
              <w:left w:w="100" w:type="dxa"/>
              <w:bottom w:w="100" w:type="dxa"/>
              <w:right w:w="100" w:type="dxa"/>
            </w:tcMar>
            <w:vAlign w:val="center"/>
          </w:tcPr>
          <w:p w14:paraId="00000693" w14:textId="00000694" w:rsidR="000B0F63" w:rsidRDefault="00C05D22" w:rsidP="005E394B">
            <w:pPr>
              <w:pStyle w:val="TableInfo"/>
              <w:jc w:val="center"/>
            </w:pPr>
            <w:r>
              <w:t>1.8</w:t>
            </w:r>
          </w:p>
        </w:tc>
        <w:tc>
          <w:tcPr>
            <w:tcW w:w="3240" w:type="dxa"/>
            <w:tcMar>
              <w:top w:w="100" w:type="dxa"/>
              <w:left w:w="100" w:type="dxa"/>
              <w:bottom w:w="100" w:type="dxa"/>
              <w:right w:w="100" w:type="dxa"/>
            </w:tcMar>
            <w:vAlign w:val="center"/>
          </w:tcPr>
          <w:p w14:paraId="00000695" w14:textId="00000696" w:rsidR="000B0F63" w:rsidRDefault="00C05D22" w:rsidP="005E394B">
            <w:pPr>
              <w:pStyle w:val="TableInfo"/>
              <w:jc w:val="center"/>
            </w:pPr>
            <w:r>
              <w:t>3.0</w:t>
            </w:r>
          </w:p>
        </w:tc>
      </w:tr>
      <w:tr w:rsidR="003C45B5" w14:paraId="59393D71" w14:textId="77777777" w:rsidTr="005E394B">
        <w:tc>
          <w:tcPr>
            <w:tcW w:w="3240" w:type="dxa"/>
            <w:tcMar>
              <w:top w:w="100" w:type="dxa"/>
              <w:left w:w="100" w:type="dxa"/>
              <w:bottom w:w="100" w:type="dxa"/>
              <w:right w:w="100" w:type="dxa"/>
            </w:tcMar>
            <w:vAlign w:val="center"/>
          </w:tcPr>
          <w:p w14:paraId="00000697" w14:textId="00000698" w:rsidR="000B0F63" w:rsidRDefault="00C05D22" w:rsidP="005E394B">
            <w:pPr>
              <w:pStyle w:val="TableInfo"/>
              <w:jc w:val="center"/>
            </w:pPr>
            <w:r>
              <w:t>People</w:t>
            </w:r>
          </w:p>
        </w:tc>
        <w:tc>
          <w:tcPr>
            <w:tcW w:w="3240" w:type="dxa"/>
            <w:tcMar>
              <w:top w:w="100" w:type="dxa"/>
              <w:left w:w="100" w:type="dxa"/>
              <w:bottom w:w="100" w:type="dxa"/>
              <w:right w:w="100" w:type="dxa"/>
            </w:tcMar>
            <w:vAlign w:val="center"/>
          </w:tcPr>
          <w:p w14:paraId="00000699" w14:textId="0000069A" w:rsidR="000B0F63" w:rsidRDefault="00C05D22" w:rsidP="005E394B">
            <w:pPr>
              <w:pStyle w:val="TableInfo"/>
              <w:jc w:val="center"/>
            </w:pPr>
            <w:r>
              <w:t>1.2</w:t>
            </w:r>
          </w:p>
        </w:tc>
        <w:tc>
          <w:tcPr>
            <w:tcW w:w="3240" w:type="dxa"/>
            <w:tcMar>
              <w:top w:w="100" w:type="dxa"/>
              <w:left w:w="100" w:type="dxa"/>
              <w:bottom w:w="100" w:type="dxa"/>
              <w:right w:w="100" w:type="dxa"/>
            </w:tcMar>
            <w:vAlign w:val="center"/>
          </w:tcPr>
          <w:p w14:paraId="0000069B" w14:textId="0000069C" w:rsidR="000B0F63" w:rsidRDefault="00C05D22" w:rsidP="005E394B">
            <w:pPr>
              <w:pStyle w:val="TableInfo"/>
              <w:jc w:val="center"/>
            </w:pPr>
            <w:r>
              <w:t>3.0</w:t>
            </w:r>
          </w:p>
        </w:tc>
      </w:tr>
      <w:tr w:rsidR="003C45B5" w14:paraId="1F9119C9" w14:textId="77777777" w:rsidTr="005E394B">
        <w:tc>
          <w:tcPr>
            <w:tcW w:w="3240" w:type="dxa"/>
            <w:tcMar>
              <w:top w:w="100" w:type="dxa"/>
              <w:left w:w="100" w:type="dxa"/>
              <w:bottom w:w="100" w:type="dxa"/>
              <w:right w:w="100" w:type="dxa"/>
            </w:tcMar>
            <w:vAlign w:val="center"/>
          </w:tcPr>
          <w:p w14:paraId="0000069D" w14:textId="0000069E" w:rsidR="000B0F63" w:rsidRDefault="00C05D22" w:rsidP="005E394B">
            <w:pPr>
              <w:pStyle w:val="TableInfo"/>
              <w:jc w:val="center"/>
            </w:pPr>
            <w:r>
              <w:t>Security</w:t>
            </w:r>
          </w:p>
        </w:tc>
        <w:tc>
          <w:tcPr>
            <w:tcW w:w="3240" w:type="dxa"/>
            <w:tcMar>
              <w:top w:w="100" w:type="dxa"/>
              <w:left w:w="100" w:type="dxa"/>
              <w:bottom w:w="100" w:type="dxa"/>
              <w:right w:w="100" w:type="dxa"/>
            </w:tcMar>
            <w:vAlign w:val="center"/>
          </w:tcPr>
          <w:p w14:paraId="0000069F" w14:textId="000006A0" w:rsidR="000B0F63" w:rsidRDefault="00C05D22" w:rsidP="005E394B">
            <w:pPr>
              <w:pStyle w:val="TableInfo"/>
              <w:jc w:val="center"/>
            </w:pPr>
            <w:r>
              <w:t>2.0</w:t>
            </w:r>
          </w:p>
        </w:tc>
        <w:tc>
          <w:tcPr>
            <w:tcW w:w="3240" w:type="dxa"/>
            <w:tcMar>
              <w:top w:w="100" w:type="dxa"/>
              <w:left w:w="100" w:type="dxa"/>
              <w:bottom w:w="100" w:type="dxa"/>
              <w:right w:w="100" w:type="dxa"/>
            </w:tcMar>
            <w:vAlign w:val="center"/>
          </w:tcPr>
          <w:p w14:paraId="000006A1" w14:textId="000006A2" w:rsidR="000B0F63" w:rsidRDefault="00C05D22" w:rsidP="005E394B">
            <w:pPr>
              <w:pStyle w:val="TableInfo"/>
              <w:jc w:val="center"/>
            </w:pPr>
            <w:r>
              <w:t>4.0</w:t>
            </w:r>
          </w:p>
        </w:tc>
      </w:tr>
    </w:tbl>
    <w:p w14:paraId="000006A3" w14:textId="000006A4" w:rsidR="000B0F63" w:rsidRDefault="00C05D22" w:rsidP="00E40261">
      <w:pPr>
        <w:jc w:val="both"/>
      </w:pPr>
      <w:r>
        <w:t>Current state average is approximately 2.1. Target average approximately 3.6. The gap is what Phase 2 and the early programme phases address.</w:t>
      </w:r>
    </w:p>
    <w:p w14:paraId="000006A5" w14:textId="000006A6" w:rsidR="000B0F63" w:rsidRDefault="1BAB210A" w:rsidP="00E40261">
      <w:pPr>
        <w:pStyle w:val="Heading2"/>
        <w:jc w:val="both"/>
      </w:pPr>
      <w:bookmarkStart w:id="317" w:name="_Toc193"/>
      <w:bookmarkStart w:id="318" w:name="_Toc227770976"/>
      <w:r>
        <w:t>Practical Readiness Issues</w:t>
      </w:r>
      <w:bookmarkEnd w:id="317"/>
      <w:bookmarkEnd w:id="318"/>
    </w:p>
    <w:p w14:paraId="000006A7" w14:textId="000006A8" w:rsidR="000B0F63" w:rsidRDefault="00C05D22" w:rsidP="00EC2FA3">
      <w:pPr>
        <w:pStyle w:val="ListBullet"/>
        <w:numPr>
          <w:ilvl w:val="0"/>
          <w:numId w:val="32"/>
        </w:numPr>
        <w:jc w:val="both"/>
      </w:pPr>
      <w:r w:rsidRPr="005E394B">
        <w:rPr>
          <w:b/>
        </w:rPr>
        <w:t>Legacy operating systems</w:t>
      </w:r>
      <w:r>
        <w:t xml:space="preserve">: </w:t>
      </w:r>
      <w:commentRangeStart w:id="319"/>
      <w:r>
        <w:t>approximately 1,960 servers</w:t>
      </w:r>
      <w:commentRangeEnd w:id="319"/>
      <w:r w:rsidR="00812DC2">
        <w:rPr>
          <w:rStyle w:val="CommentReference"/>
          <w:sz w:val="22"/>
          <w:szCs w:val="24"/>
        </w:rPr>
        <w:commentReference w:id="319"/>
      </w:r>
      <w:r>
        <w:t xml:space="preserve"> (roughly two-thirds of the in-scope estate) run OS versions past standard end-of-life.</w:t>
      </w:r>
    </w:p>
    <w:p w14:paraId="000006A9" w14:textId="000006AA" w:rsidR="000B0F63" w:rsidRDefault="00C05D22" w:rsidP="00EC2FA3">
      <w:pPr>
        <w:pStyle w:val="ListBullet"/>
        <w:numPr>
          <w:ilvl w:val="0"/>
          <w:numId w:val="32"/>
        </w:numPr>
        <w:jc w:val="both"/>
      </w:pPr>
      <w:r w:rsidRPr="005E394B">
        <w:rPr>
          <w:b/>
        </w:rPr>
        <w:t>Servers without VMware Tools</w:t>
      </w:r>
      <w:r>
        <w:t>: 1,227 servers without guest-level data collection.</w:t>
      </w:r>
    </w:p>
    <w:p w14:paraId="000006AB" w14:textId="000006AC" w:rsidR="000B0F63" w:rsidRDefault="00C05D22" w:rsidP="00EC2FA3">
      <w:pPr>
        <w:pStyle w:val="ListBullet"/>
        <w:numPr>
          <w:ilvl w:val="0"/>
          <w:numId w:val="32"/>
        </w:numPr>
        <w:jc w:val="both"/>
      </w:pPr>
      <w:proofErr w:type="gramStart"/>
      <w:r w:rsidRPr="005E394B">
        <w:rPr>
          <w:b/>
        </w:rPr>
        <w:t>Dual-zone</w:t>
      </w:r>
      <w:proofErr w:type="gramEnd"/>
      <w:r w:rsidRPr="005E394B">
        <w:rPr>
          <w:b/>
        </w:rPr>
        <w:t xml:space="preserve"> naming convention</w:t>
      </w:r>
      <w:r>
        <w:t xml:space="preserve">: .int </w:t>
      </w:r>
      <w:proofErr w:type="gramStart"/>
      <w:r>
        <w:t>and .</w:t>
      </w:r>
      <w:proofErr w:type="spellStart"/>
      <w:r>
        <w:t>hsk</w:t>
      </w:r>
      <w:proofErr w:type="spellEnd"/>
      <w:proofErr w:type="gramEnd"/>
      <w:r>
        <w:t xml:space="preserve"> domains creating DNS planning complexity.</w:t>
      </w:r>
    </w:p>
    <w:p w14:paraId="000006AD" w14:textId="000006AE" w:rsidR="000B0F63" w:rsidRDefault="00C05D22" w:rsidP="00EC2FA3">
      <w:pPr>
        <w:pStyle w:val="ListBullet"/>
        <w:numPr>
          <w:ilvl w:val="0"/>
          <w:numId w:val="32"/>
        </w:numPr>
        <w:jc w:val="both"/>
      </w:pPr>
      <w:proofErr w:type="spellStart"/>
      <w:r w:rsidRPr="005E394B">
        <w:rPr>
          <w:b/>
        </w:rPr>
        <w:t>Standardised</w:t>
      </w:r>
      <w:proofErr w:type="spellEnd"/>
      <w:r w:rsidRPr="005E394B">
        <w:rPr>
          <w:b/>
        </w:rPr>
        <w:t xml:space="preserve"> access</w:t>
      </w:r>
      <w:r>
        <w:t>: different credential stores and access patterns per business area.</w:t>
      </w:r>
    </w:p>
    <w:p w14:paraId="000006AF" w14:textId="000006B0" w:rsidR="000B0F63" w:rsidRDefault="1BAB210A" w:rsidP="00E40261">
      <w:pPr>
        <w:pStyle w:val="Heading2"/>
        <w:jc w:val="both"/>
      </w:pPr>
      <w:bookmarkStart w:id="320" w:name="_Toc194"/>
      <w:bookmarkStart w:id="321" w:name="_Toc227770977"/>
      <w:r>
        <w:t xml:space="preserve">Risks Specific </w:t>
      </w:r>
      <w:proofErr w:type="gramStart"/>
      <w:r>
        <w:t>To</w:t>
      </w:r>
      <w:proofErr w:type="gramEnd"/>
      <w:r>
        <w:t xml:space="preserve"> Migration</w:t>
      </w:r>
      <w:bookmarkEnd w:id="320"/>
      <w:bookmarkEnd w:id="321"/>
    </w:p>
    <w:p w14:paraId="000006B1" w14:textId="000006B2" w:rsidR="000B0F63" w:rsidRDefault="00C05D22" w:rsidP="00EC2FA3">
      <w:pPr>
        <w:pStyle w:val="ListBullet"/>
        <w:numPr>
          <w:ilvl w:val="0"/>
          <w:numId w:val="33"/>
        </w:numPr>
        <w:jc w:val="both"/>
      </w:pPr>
      <w:r w:rsidRPr="005E394B">
        <w:rPr>
          <w:b/>
        </w:rPr>
        <w:t>Oracle knowledge dependency</w:t>
      </w:r>
      <w:r>
        <w:t>: MOL Oracle database team owns significant operational knowledge. Any migration path requires their active engagement. Key-person risk applies.</w:t>
      </w:r>
    </w:p>
    <w:p w14:paraId="000006B3" w14:textId="000006B4" w:rsidR="000B0F63" w:rsidRDefault="00C05D22" w:rsidP="00EC2FA3">
      <w:pPr>
        <w:pStyle w:val="ListBullet"/>
        <w:numPr>
          <w:ilvl w:val="0"/>
          <w:numId w:val="33"/>
        </w:numPr>
        <w:jc w:val="both"/>
      </w:pPr>
      <w:r w:rsidRPr="005E394B">
        <w:rPr>
          <w:b/>
        </w:rPr>
        <w:t>Third-party dependencies</w:t>
      </w:r>
      <w:r>
        <w:t xml:space="preserve">: NCS manages SQL Server and Oracle for CHP, </w:t>
      </w:r>
      <w:proofErr w:type="spellStart"/>
      <w:r>
        <w:t>Atex</w:t>
      </w:r>
      <w:proofErr w:type="spellEnd"/>
      <w:r>
        <w:t xml:space="preserve">, and </w:t>
      </w:r>
      <w:proofErr w:type="spellStart"/>
      <w:r>
        <w:t>Circnet</w:t>
      </w:r>
      <w:proofErr w:type="spellEnd"/>
      <w:r>
        <w:t>. Migration coordination with NCS is a governance item that affects timeline.</w:t>
      </w:r>
    </w:p>
    <w:p w14:paraId="000006B5" w14:textId="000006B6" w:rsidR="000B0F63" w:rsidRDefault="00C05D22" w:rsidP="00EC2FA3">
      <w:pPr>
        <w:pStyle w:val="ListBullet"/>
        <w:numPr>
          <w:ilvl w:val="0"/>
          <w:numId w:val="33"/>
        </w:numPr>
        <w:jc w:val="both"/>
      </w:pPr>
      <w:r w:rsidRPr="005E394B">
        <w:rPr>
          <w:b/>
        </w:rPr>
        <w:t>Application ownership across executives</w:t>
      </w:r>
      <w:r>
        <w:t>: MOL migration decisions span two executive domains (see Section 7).</w:t>
      </w:r>
    </w:p>
    <w:p w14:paraId="000006B7" w14:textId="000006B8" w:rsidR="000B0F63" w:rsidRDefault="00C05D22" w:rsidP="00EC2FA3">
      <w:pPr>
        <w:pStyle w:val="ListBullet"/>
        <w:numPr>
          <w:ilvl w:val="0"/>
          <w:numId w:val="33"/>
        </w:numPr>
        <w:jc w:val="both"/>
      </w:pPr>
      <w:r w:rsidRPr="005E394B">
        <w:rPr>
          <w:b/>
        </w:rPr>
        <w:t>Operating model during transition</w:t>
      </w:r>
      <w:r>
        <w:t xml:space="preserve">: </w:t>
      </w:r>
      <w:commentRangeStart w:id="322"/>
      <w:commentRangeStart w:id="323"/>
      <w:r>
        <w:t xml:space="preserve">the seven-area operating model </w:t>
      </w:r>
      <w:commentRangeEnd w:id="322"/>
      <w:r w:rsidR="001C4AD0">
        <w:rPr>
          <w:rStyle w:val="CommentReference"/>
          <w:sz w:val="22"/>
          <w:szCs w:val="24"/>
        </w:rPr>
        <w:commentReference w:id="322"/>
      </w:r>
      <w:commentRangeEnd w:id="323"/>
      <w:r>
        <w:rPr>
          <w:rStyle w:val="CommentReference"/>
          <w:sz w:val="22"/>
          <w:szCs w:val="24"/>
        </w:rPr>
        <w:commentReference w:id="323"/>
      </w:r>
      <w:r>
        <w:t>will continue running alongside the new cloud landing zone during migration.</w:t>
      </w:r>
    </w:p>
    <w:p w14:paraId="000006B9" w14:textId="000006BA" w:rsidR="000B0F63" w:rsidRDefault="00C05D22" w:rsidP="00EC2FA3">
      <w:pPr>
        <w:pStyle w:val="ListParagraph"/>
        <w:numPr>
          <w:ilvl w:val="0"/>
          <w:numId w:val="33"/>
        </w:numPr>
        <w:jc w:val="both"/>
      </w:pPr>
      <w:r>
        <w:br w:type="page"/>
      </w:r>
    </w:p>
    <w:p w14:paraId="000006BB" w14:textId="000006BC" w:rsidR="000B0F63" w:rsidRDefault="1BAB210A" w:rsidP="00E40261">
      <w:pPr>
        <w:pStyle w:val="Heading1"/>
        <w:jc w:val="both"/>
      </w:pPr>
      <w:bookmarkStart w:id="325" w:name="_Toc195"/>
      <w:bookmarkStart w:id="326" w:name="_Toc227770978"/>
      <w:bookmarkStart w:id="327" w:name="_Toc227771413"/>
      <w:r>
        <w:t>Section 9: Challenges</w:t>
      </w:r>
      <w:bookmarkEnd w:id="325"/>
      <w:bookmarkEnd w:id="326"/>
      <w:bookmarkEnd w:id="327"/>
    </w:p>
    <w:p w14:paraId="000006BD" w14:textId="000006BE" w:rsidR="000B0F63" w:rsidRDefault="1BAB210A" w:rsidP="00E40261">
      <w:pPr>
        <w:pStyle w:val="Heading2"/>
        <w:jc w:val="both"/>
      </w:pPr>
      <w:bookmarkStart w:id="328" w:name="_Toc196"/>
      <w:bookmarkStart w:id="329" w:name="_Toc227770979"/>
      <w:r>
        <w:t>What This Section Does</w:t>
      </w:r>
      <w:bookmarkEnd w:id="328"/>
      <w:bookmarkEnd w:id="329"/>
    </w:p>
    <w:p w14:paraId="000006BF" w14:textId="000006C0" w:rsidR="000B0F63" w:rsidRDefault="00C05D22" w:rsidP="00E40261">
      <w:pPr>
        <w:jc w:val="both"/>
      </w:pPr>
      <w:r>
        <w:t>Each challenge below is what we found during discovery and workshops. Each item says what it is, why it matters for DMG Media, and what to do about it. Where we can quantify the scale or effort, we do. Where we cannot, we flag the gap honestly.</w:t>
      </w:r>
    </w:p>
    <w:p w14:paraId="000006C1" w14:textId="000006C2" w:rsidR="000B0F63" w:rsidRDefault="1BAB210A" w:rsidP="00E40261">
      <w:pPr>
        <w:pStyle w:val="Heading2"/>
        <w:jc w:val="both"/>
      </w:pPr>
      <w:bookmarkStart w:id="330" w:name="_Toc197"/>
      <w:bookmarkStart w:id="331" w:name="_Toc227770980"/>
      <w:r>
        <w:t>Estate Complexity</w:t>
      </w:r>
      <w:bookmarkEnd w:id="330"/>
      <w:bookmarkEnd w:id="331"/>
    </w:p>
    <w:p w14:paraId="000006C3" w14:textId="000006C4" w:rsidR="000B0F63" w:rsidRDefault="00C05D22" w:rsidP="00E40261">
      <w:pPr>
        <w:jc w:val="both"/>
      </w:pPr>
      <w:r>
        <w:rPr>
          <w:b/>
          <w:bCs/>
        </w:rPr>
        <w:t xml:space="preserve">What we found: </w:t>
      </w:r>
      <w:r>
        <w:t>the estate is more varied than the SoW scoped. The SoW assumed 2,300 servers across VMware. Actual discovery found 4,500+ servers across five infrastructure types (VMware, Proxmox, physical bare metal, appliance, cloud</w:t>
      </w:r>
      <w:commentRangeStart w:id="332"/>
      <w:r>
        <w:t>). Mail Online alone has 40+ interdependent sub-services</w:t>
      </w:r>
      <w:commentRangeEnd w:id="332"/>
      <w:r w:rsidR="00174DCD">
        <w:rPr>
          <w:rStyle w:val="CommentReference"/>
          <w:sz w:val="22"/>
          <w:szCs w:val="22"/>
        </w:rPr>
        <w:commentReference w:id="332"/>
      </w:r>
      <w:r>
        <w:t xml:space="preserve">. Oracle RAC clusters span multiple physical nodes. </w:t>
      </w:r>
      <w:proofErr w:type="spellStart"/>
      <w:r>
        <w:t>Atex</w:t>
      </w:r>
      <w:proofErr w:type="spellEnd"/>
      <w:r>
        <w:t xml:space="preserve"> uses multicast for cluster discovery, a protocol that cloud virtual networks do not natively support. Database management is split between your internal team (MOL Oracle) and a third-party provider (NCS for CHP, </w:t>
      </w:r>
      <w:proofErr w:type="spellStart"/>
      <w:r>
        <w:t>Atex</w:t>
      </w:r>
      <w:proofErr w:type="spellEnd"/>
      <w:r>
        <w:t xml:space="preserve">, </w:t>
      </w:r>
      <w:proofErr w:type="spellStart"/>
      <w:r>
        <w:t>Circnet</w:t>
      </w:r>
      <w:proofErr w:type="spellEnd"/>
      <w:r>
        <w:t xml:space="preserve">, SQL Server). Mail </w:t>
      </w:r>
      <w:proofErr w:type="spellStart"/>
      <w:r>
        <w:t>Online's</w:t>
      </w:r>
      <w:proofErr w:type="spellEnd"/>
      <w:r>
        <w:t xml:space="preserve"> dual executive ownership is covered in Section 7.</w:t>
      </w:r>
    </w:p>
    <w:p w14:paraId="000006C5" w14:textId="19B1E888" w:rsidR="000B0F63" w:rsidRDefault="00C05D22" w:rsidP="00E40261">
      <w:pPr>
        <w:jc w:val="both"/>
      </w:pPr>
      <w:r>
        <w:rPr>
          <w:b/>
          <w:bCs/>
        </w:rPr>
        <w:t xml:space="preserve">Why it matters: </w:t>
      </w:r>
      <w:r>
        <w:t xml:space="preserve">complexity affects timeline, cost, and risk. Each infrastructure type needs a different discovery, assessment, and migration approach. The dual-ownership flagged for MOL (Section 7) </w:t>
      </w:r>
      <w:r w:rsidR="00564C76">
        <w:t>must</w:t>
      </w:r>
      <w:r>
        <w:t xml:space="preserve"> be reflected in programme governance from day one, not resolved mid-programme.</w:t>
      </w:r>
    </w:p>
    <w:p w14:paraId="000006C7" w14:textId="7DA34A71" w:rsidR="000B0F63" w:rsidRDefault="00C05D22" w:rsidP="00E40261">
      <w:pPr>
        <w:jc w:val="both"/>
      </w:pPr>
      <w:r>
        <w:rPr>
          <w:b/>
          <w:bCs/>
        </w:rPr>
        <w:t xml:space="preserve">What to do about it: </w:t>
      </w:r>
      <w:r>
        <w:t xml:space="preserve">Phase 2 </w:t>
      </w:r>
      <w:r w:rsidR="00564C76">
        <w:t>must</w:t>
      </w:r>
      <w:r>
        <w:t xml:space="preserve"> be multi-workstream, not a single sequential plan. The dependency map across applications, data, and business ownership is the input to the release plan.</w:t>
      </w:r>
    </w:p>
    <w:p w14:paraId="000006C9" w14:textId="000006CA" w:rsidR="000B0F63" w:rsidRDefault="1BAB210A" w:rsidP="00E40261">
      <w:pPr>
        <w:pStyle w:val="Heading2"/>
        <w:jc w:val="both"/>
      </w:pPr>
      <w:bookmarkStart w:id="333" w:name="_Toc198"/>
      <w:bookmarkStart w:id="334" w:name="_Toc227770981"/>
      <w:r>
        <w:t>Legacy Operating Systems</w:t>
      </w:r>
      <w:bookmarkEnd w:id="333"/>
      <w:bookmarkEnd w:id="334"/>
    </w:p>
    <w:p w14:paraId="000006CB" w14:textId="2E397EE8" w:rsidR="000B0F63" w:rsidRDefault="00C05D22" w:rsidP="00E40261">
      <w:pPr>
        <w:jc w:val="both"/>
      </w:pPr>
      <w:r>
        <w:rPr>
          <w:b/>
          <w:bCs/>
        </w:rPr>
        <w:t xml:space="preserve">What we found: </w:t>
      </w:r>
      <w:r>
        <w:t>approximately 1,</w:t>
      </w:r>
      <w:commentRangeStart w:id="335"/>
      <w:r>
        <w:t>960</w:t>
      </w:r>
      <w:commentRangeEnd w:id="335"/>
      <w:r w:rsidR="00415A38">
        <w:rPr>
          <w:rStyle w:val="CommentReference"/>
          <w:sz w:val="22"/>
          <w:szCs w:val="22"/>
        </w:rPr>
        <w:commentReference w:id="335"/>
      </w:r>
      <w:r>
        <w:t xml:space="preserve"> servers (roughly two-thirds of the in-scope estate) run operating system versions past their standard end-of-life dates. The largest groups are Ubuntu 14.04 (~1,120 servers, EOL 2019), Ubuntu 16.04 (~604, EOL 2021), and Ubuntu 18.04 (~75, EOL April 2023). Smaller groups include RHEL 6 (~140, EOL 2020), RHEL 5 (~8), and Solaris 10 (15). The Ubuntu versions may be receiving security patches via Ubuntu Pro / Extended Security Maintenance (the </w:t>
      </w:r>
      <w:r w:rsidR="00312BB7">
        <w:t>£</w:t>
      </w:r>
      <w:r>
        <w:t>20K/yr Ubuntu patching line in IT Costs may cover this). Most of the Ubuntu legacy sits inside Mail Online given its Ubuntu base. Solaris is called out separately below.</w:t>
      </w:r>
    </w:p>
    <w:p w14:paraId="000006CD" w14:textId="6738670A" w:rsidR="000B0F63" w:rsidRDefault="00C05D22" w:rsidP="00E40261">
      <w:pPr>
        <w:jc w:val="both"/>
      </w:pPr>
      <w:r>
        <w:rPr>
          <w:b/>
          <w:bCs/>
        </w:rPr>
        <w:t xml:space="preserve">Why it matters: </w:t>
      </w:r>
      <w:r>
        <w:t xml:space="preserve">legacy OS servers cannot be lifted directly to cloud. They </w:t>
      </w:r>
      <w:r w:rsidR="00A21455">
        <w:t>must</w:t>
      </w:r>
      <w:r>
        <w:t xml:space="preserve"> be </w:t>
      </w:r>
      <w:proofErr w:type="spellStart"/>
      <w:r>
        <w:t>replatformed</w:t>
      </w:r>
      <w:proofErr w:type="spellEnd"/>
      <w:r>
        <w:t xml:space="preserve"> to a supported version first. This is a per-server activity, not a batch operation, and adds to the migration timeline and effort. At roughly two-thirds of the in-scope estate, this is a material scope item for Phase 2 sequencing.</w:t>
      </w:r>
    </w:p>
    <w:p w14:paraId="000006CF" w14:textId="000006D0" w:rsidR="000B0F63" w:rsidRDefault="00C05D22" w:rsidP="00E40261">
      <w:pPr>
        <w:jc w:val="both"/>
      </w:pPr>
      <w:r>
        <w:rPr>
          <w:b/>
          <w:bCs/>
        </w:rPr>
        <w:t xml:space="preserve">What to do about it: </w:t>
      </w:r>
      <w:r>
        <w:t xml:space="preserve">Phase 2 quantifies the exact per-application impact and the indicative effort per server. </w:t>
      </w:r>
      <w:proofErr w:type="spellStart"/>
      <w:r>
        <w:t>Replatforming</w:t>
      </w:r>
      <w:proofErr w:type="spellEnd"/>
      <w:r>
        <w:t xml:space="preserve"> happens during migration or as a pre-migration activity, depending on the cohort. Ubuntu Pro / ESM status should be confirmed formally as part of the Phase 2 intake.</w:t>
      </w:r>
    </w:p>
    <w:p w14:paraId="000006D1" w14:textId="000006D2" w:rsidR="000B0F63" w:rsidRDefault="1BAB210A" w:rsidP="00E40261">
      <w:pPr>
        <w:pStyle w:val="Heading2"/>
        <w:jc w:val="both"/>
      </w:pPr>
      <w:bookmarkStart w:id="336" w:name="_Toc199"/>
      <w:bookmarkStart w:id="337" w:name="_Toc227770982"/>
      <w:r>
        <w:t>Standardised Access</w:t>
      </w:r>
      <w:bookmarkEnd w:id="336"/>
      <w:bookmarkEnd w:id="337"/>
    </w:p>
    <w:p w14:paraId="000006D3" w14:textId="000006D4" w:rsidR="000B0F63" w:rsidRDefault="00C05D22" w:rsidP="00E40261">
      <w:pPr>
        <w:jc w:val="both"/>
      </w:pPr>
      <w:r>
        <w:rPr>
          <w:b/>
          <w:bCs/>
        </w:rPr>
        <w:t xml:space="preserve">What we found: </w:t>
      </w:r>
      <w:r>
        <w:t xml:space="preserve">different credential stores, different access patterns per business area. During discovery, WMI was blocked on the ANL Windows estate, so collection ran through VMware Tools guest operations via vCenter. The initial run used a domain admin account, which caused </w:t>
      </w:r>
      <w:proofErr w:type="spellStart"/>
      <w:r>
        <w:t>VGAuth</w:t>
      </w:r>
      <w:proofErr w:type="spellEnd"/>
      <w:r>
        <w:t xml:space="preserve"> (VMware Tools' guest authentication) to round-trip to the domain controller every minute per VM, producing CPU spikes on target VMs. Switching to a </w:t>
      </w:r>
      <w:proofErr w:type="gramStart"/>
      <w:r>
        <w:t>locally-provisioned</w:t>
      </w:r>
      <w:proofErr w:type="gramEnd"/>
      <w:r>
        <w:t xml:space="preserve"> admin account on each VM removed the DC round-trip and stabilised collection.</w:t>
      </w:r>
    </w:p>
    <w:p w14:paraId="000006D5" w14:textId="000006D6" w:rsidR="000B0F63" w:rsidRDefault="00C05D22" w:rsidP="00E40261">
      <w:pPr>
        <w:jc w:val="both"/>
      </w:pPr>
      <w:r>
        <w:rPr>
          <w:b/>
          <w:bCs/>
        </w:rPr>
        <w:t xml:space="preserve">Why it matters: </w:t>
      </w:r>
      <w:r>
        <w:t xml:space="preserve">cloud access control depends on federated identity and privileged access management. Multiple credential stores </w:t>
      </w:r>
      <w:proofErr w:type="gramStart"/>
      <w:r>
        <w:t>means</w:t>
      </w:r>
      <w:proofErr w:type="gramEnd"/>
      <w:r>
        <w:t xml:space="preserve"> multiple places to federate from, multiple places where access drift can occur, and higher audit overhead.</w:t>
      </w:r>
    </w:p>
    <w:p w14:paraId="000006D7" w14:textId="000006D8" w:rsidR="000B0F63" w:rsidRDefault="00C05D22" w:rsidP="00E40261">
      <w:pPr>
        <w:jc w:val="both"/>
      </w:pPr>
      <w:r>
        <w:rPr>
          <w:b/>
          <w:bCs/>
        </w:rPr>
        <w:t xml:space="preserve">What to do about it: </w:t>
      </w:r>
      <w:r>
        <w:t>PAM tooling (CyberArk or equivalent) evaluation and landing zone IAM design are early programme activities. Consistent administrator access patterns should be a landing zone decision, not a per-application decision.</w:t>
      </w:r>
    </w:p>
    <w:p w14:paraId="000006D9" w14:textId="000006DA" w:rsidR="000B0F63" w:rsidRDefault="1BAB210A" w:rsidP="00E40261">
      <w:pPr>
        <w:pStyle w:val="Heading2"/>
        <w:jc w:val="both"/>
      </w:pPr>
      <w:bookmarkStart w:id="338" w:name="_Toc200"/>
      <w:bookmarkStart w:id="339" w:name="_Toc227770983"/>
      <w:r>
        <w:t>VMware Tools Coverage</w:t>
      </w:r>
      <w:bookmarkEnd w:id="338"/>
      <w:bookmarkEnd w:id="339"/>
    </w:p>
    <w:p w14:paraId="000006DB" w14:textId="000006DC" w:rsidR="000B0F63" w:rsidRDefault="00C05D22" w:rsidP="00E40261">
      <w:pPr>
        <w:jc w:val="both"/>
      </w:pPr>
      <w:r>
        <w:rPr>
          <w:b/>
          <w:bCs/>
        </w:rPr>
        <w:t xml:space="preserve">What we found: </w:t>
      </w:r>
      <w:r>
        <w:t>1,227 of 3,038 servers do not have VMware Tools installed or have outdated versions. Guest-level performance and dependency data is unavailable for these servers.</w:t>
      </w:r>
    </w:p>
    <w:p w14:paraId="000006DD" w14:textId="000006DE" w:rsidR="000B0F63" w:rsidRDefault="00C05D22" w:rsidP="00E40261">
      <w:pPr>
        <w:jc w:val="both"/>
      </w:pPr>
      <w:r>
        <w:rPr>
          <w:b/>
          <w:bCs/>
        </w:rPr>
        <w:t xml:space="preserve">Why it matters: </w:t>
      </w:r>
      <w:r>
        <w:t>sizing and dependency mapping rely on guest-level data. Where it is missing, pricing uses provisioned specifications (slightly conservative for VMs, accurate for bare metal) and dependency maps cannot see out-bound connections.</w:t>
      </w:r>
    </w:p>
    <w:p w14:paraId="000006DF" w14:textId="000006E0" w:rsidR="000B0F63" w:rsidRDefault="00C05D22" w:rsidP="00E40261">
      <w:pPr>
        <w:jc w:val="both"/>
      </w:pPr>
      <w:r>
        <w:rPr>
          <w:b/>
          <w:bCs/>
        </w:rPr>
        <w:t xml:space="preserve">What to do about it: </w:t>
      </w:r>
      <w:r>
        <w:t xml:space="preserve">update VMware Tools </w:t>
      </w:r>
      <w:commentRangeStart w:id="340"/>
      <w:r>
        <w:t>where possible</w:t>
      </w:r>
      <w:commentRangeEnd w:id="340"/>
      <w:r w:rsidR="00776302">
        <w:rPr>
          <w:rStyle w:val="CommentReference"/>
          <w:sz w:val="22"/>
          <w:szCs w:val="22"/>
        </w:rPr>
        <w:commentReference w:id="340"/>
      </w:r>
      <w:r>
        <w:t>. This is a low-risk, high-value action that improves the data foundation for Phase 2.</w:t>
      </w:r>
    </w:p>
    <w:p w14:paraId="000006E1" w14:textId="000006E2" w:rsidR="000B0F63" w:rsidRDefault="1BAB210A" w:rsidP="00E40261">
      <w:pPr>
        <w:pStyle w:val="Heading2"/>
        <w:jc w:val="both"/>
      </w:pPr>
      <w:bookmarkStart w:id="341" w:name="_Toc201"/>
      <w:bookmarkStart w:id="342" w:name="_Toc227770984"/>
      <w:r>
        <w:t>Skills Gap</w:t>
      </w:r>
      <w:bookmarkEnd w:id="341"/>
      <w:bookmarkEnd w:id="342"/>
    </w:p>
    <w:p w14:paraId="000006E3" w14:textId="000006E4" w:rsidR="000B0F63" w:rsidRDefault="00C05D22" w:rsidP="00E40261">
      <w:pPr>
        <w:jc w:val="both"/>
      </w:pPr>
      <w:r>
        <w:rPr>
          <w:b/>
          <w:bCs/>
        </w:rPr>
        <w:t xml:space="preserve">What we found: </w:t>
      </w:r>
      <w:r>
        <w:t>the cloud-specific capabilities that Phase 2 and migration execution require are at an early stage across the 170-person technology organisation. Specifically: cloud platform engineering (landing zone, IAM, networking), Infrastructure-as-Code (Terraform or cloud-native equivalent), container orchestration at production scale (a Kubernetes PoC exists; production operation is not yet established), cloud security (cloud-native firewalling, identity federation, secrets management), FinOps, and DevOps automation. These sit alongside deep existing expertise in VMware, Oracle, F5, and editorial engineering that the programme will continue to depend on.</w:t>
      </w:r>
    </w:p>
    <w:p w14:paraId="000006E5" w14:textId="000006E6" w:rsidR="000B0F63" w:rsidRDefault="00C05D22" w:rsidP="00E40261">
      <w:pPr>
        <w:jc w:val="both"/>
      </w:pPr>
      <w:r>
        <w:rPr>
          <w:b/>
          <w:bCs/>
        </w:rPr>
        <w:t xml:space="preserve">Why it matters: </w:t>
      </w:r>
      <w:r>
        <w:t>each of these capabilities is needed during migration, not after it. The programme cannot begin landing zone build, cohort migration, or cloud security without them.</w:t>
      </w:r>
    </w:p>
    <w:p w14:paraId="000006E7" w14:textId="000006E8" w:rsidR="000B0F63" w:rsidRDefault="00C05D22" w:rsidP="00E40261">
      <w:pPr>
        <w:jc w:val="both"/>
      </w:pPr>
      <w:r>
        <w:rPr>
          <w:b/>
          <w:bCs/>
        </w:rPr>
        <w:t xml:space="preserve">What to do about it: </w:t>
      </w:r>
      <w:r>
        <w:t>the practical path is partner-assisted transition with concurrent upskilling. Migrate and train at the same time. External capability carries the specialist load from the start of Phase 2; DMG Media's internal team works alongside that capability cohort by cohort, absorbing the practice during delivery. The end state is DMG Media-led operation with internal cloud capability built in-flight.</w:t>
      </w:r>
    </w:p>
    <w:p w14:paraId="000006E9" w14:textId="000006EA" w:rsidR="000B0F63" w:rsidRDefault="1BAB210A" w:rsidP="00E40261">
      <w:pPr>
        <w:pStyle w:val="Heading2"/>
        <w:jc w:val="both"/>
      </w:pPr>
      <w:bookmarkStart w:id="343" w:name="_Toc202"/>
      <w:bookmarkStart w:id="344" w:name="_Toc227770985"/>
      <w:r>
        <w:t>Naming Conventions</w:t>
      </w:r>
      <w:bookmarkEnd w:id="343"/>
      <w:bookmarkEnd w:id="344"/>
    </w:p>
    <w:p w14:paraId="000006EB" w14:textId="000006EC" w:rsidR="000B0F63" w:rsidRDefault="00C05D22" w:rsidP="00E40261">
      <w:pPr>
        <w:jc w:val="both"/>
      </w:pPr>
      <w:r>
        <w:rPr>
          <w:b/>
          <w:bCs/>
        </w:rPr>
        <w:t xml:space="preserve">What we found: </w:t>
      </w:r>
      <w:r>
        <w:t>servers use both .int and .</w:t>
      </w:r>
      <w:proofErr w:type="spellStart"/>
      <w:r>
        <w:t>hsk</w:t>
      </w:r>
      <w:proofErr w:type="spellEnd"/>
      <w:r>
        <w:t xml:space="preserve"> domain suffixes, with the same physical server registered under both zones.</w:t>
      </w:r>
    </w:p>
    <w:p w14:paraId="000006ED" w14:textId="000006EE" w:rsidR="000B0F63" w:rsidRDefault="00C05D22" w:rsidP="00E40261">
      <w:pPr>
        <w:jc w:val="both"/>
      </w:pPr>
      <w:r>
        <w:rPr>
          <w:b/>
          <w:bCs/>
        </w:rPr>
        <w:t xml:space="preserve">Why it matters: </w:t>
      </w:r>
      <w:r>
        <w:t>cloud DNS supports custom private zones with arbitrary suffixes, so the dual-zone pattern itself works in cloud without modification. The complexity is in migration coordination: inventory reconciliation, discovery filtering, external systems that hardcode one suffix, and hybrid-state DNS resolution.</w:t>
      </w:r>
    </w:p>
    <w:p w14:paraId="000006EF" w14:textId="000006F0" w:rsidR="000B0F63" w:rsidRDefault="00C05D22" w:rsidP="00E40261">
      <w:pPr>
        <w:jc w:val="both"/>
      </w:pPr>
      <w:r>
        <w:rPr>
          <w:b/>
          <w:bCs/>
        </w:rPr>
        <w:t xml:space="preserve">What to do about it: </w:t>
      </w:r>
      <w:r>
        <w:t>DNS strategy is a landing zone design decision for Phase 2. The choice is whether to preserve the dual-zone pattern in cloud (extra records, lowest change to dependencies) or collapse to a single canonical zone (cleaner long-term, requires updating every downstream dependency).</w:t>
      </w:r>
    </w:p>
    <w:p w14:paraId="000006F1" w14:textId="000006F2" w:rsidR="000B0F63" w:rsidRDefault="1BAB210A" w:rsidP="00E40261">
      <w:pPr>
        <w:pStyle w:val="Heading2"/>
        <w:jc w:val="both"/>
      </w:pPr>
      <w:bookmarkStart w:id="345" w:name="_Toc203"/>
      <w:bookmarkStart w:id="346" w:name="_Toc227770986"/>
      <w:r>
        <w:t>Oracle Complexity</w:t>
      </w:r>
      <w:bookmarkEnd w:id="345"/>
      <w:bookmarkEnd w:id="346"/>
    </w:p>
    <w:p w14:paraId="000006F3" w14:textId="000006F4" w:rsidR="000B0F63" w:rsidRDefault="00C05D22" w:rsidP="00E40261">
      <w:pPr>
        <w:jc w:val="both"/>
      </w:pPr>
      <w:r>
        <w:rPr>
          <w:b/>
          <w:bCs/>
        </w:rPr>
        <w:t xml:space="preserve">What we found: </w:t>
      </w:r>
      <w:r>
        <w:t xml:space="preserve">the Oracle estate carries operational complexity beyond its cost profile. The MOL B-cluster (production primary) has no DMA assessment data; its sizing is based on provisioned hardware specification only. Cross-cluster decisions need coordination between the internal MOL DBA team and NCS (which runs CHP, </w:t>
      </w:r>
      <w:proofErr w:type="spellStart"/>
      <w:r>
        <w:t>Atex</w:t>
      </w:r>
      <w:proofErr w:type="spellEnd"/>
      <w:r>
        <w:t xml:space="preserve">, and </w:t>
      </w:r>
      <w:proofErr w:type="spellStart"/>
      <w:r>
        <w:t>Circnet</w:t>
      </w:r>
      <w:proofErr w:type="spellEnd"/>
      <w:r>
        <w:t xml:space="preserve"> Oracle).</w:t>
      </w:r>
    </w:p>
    <w:p w14:paraId="000006F5" w14:textId="7E92AB92" w:rsidR="000B0F63" w:rsidRDefault="00C05D22" w:rsidP="00E40261">
      <w:pPr>
        <w:jc w:val="both"/>
      </w:pPr>
      <w:r>
        <w:rPr>
          <w:b/>
          <w:bCs/>
        </w:rPr>
        <w:t xml:space="preserve">Why it matters: </w:t>
      </w:r>
      <w:r>
        <w:t xml:space="preserve">without DMA on the MOL B-cluster, sizing the biggest database remains provisioned-hardware-based. The split between the internal team and NCS means coordination is not purely technical. Programme sequencing </w:t>
      </w:r>
      <w:r w:rsidR="002E3920">
        <w:t>must</w:t>
      </w:r>
      <w:r>
        <w:t xml:space="preserve"> respect the MOL DBA team's BAU load.</w:t>
      </w:r>
    </w:p>
    <w:p w14:paraId="000006F7" w14:textId="000006F8" w:rsidR="000B0F63" w:rsidRDefault="00C05D22" w:rsidP="00E40261">
      <w:pPr>
        <w:jc w:val="both"/>
      </w:pPr>
      <w:r>
        <w:rPr>
          <w:b/>
          <w:bCs/>
        </w:rPr>
        <w:t xml:space="preserve">What to do about it: </w:t>
      </w:r>
      <w:r>
        <w:t>DMA assessment of the MOL B-cluster is the highest-priority Phase 2 action. Oracle migration paths and associated costs are in Section 5.</w:t>
      </w:r>
    </w:p>
    <w:p w14:paraId="000006F9" w14:textId="000006FA" w:rsidR="000B0F63" w:rsidRDefault="1BAB210A" w:rsidP="00E40261">
      <w:pPr>
        <w:pStyle w:val="Heading2"/>
        <w:jc w:val="both"/>
      </w:pPr>
      <w:bookmarkStart w:id="347" w:name="_Toc204"/>
      <w:bookmarkStart w:id="348" w:name="_Toc227770987"/>
      <w:r>
        <w:t>SQL Server Database Consolidation</w:t>
      </w:r>
      <w:bookmarkEnd w:id="347"/>
      <w:bookmarkEnd w:id="348"/>
    </w:p>
    <w:p w14:paraId="000006FB" w14:textId="000006FC" w:rsidR="000B0F63" w:rsidRDefault="00C05D22" w:rsidP="00E40261">
      <w:pPr>
        <w:jc w:val="both"/>
      </w:pPr>
      <w:r>
        <w:rPr>
          <w:b/>
          <w:bCs/>
        </w:rPr>
        <w:t xml:space="preserve">What we found: </w:t>
      </w:r>
      <w:r>
        <w:t xml:space="preserve">SQL Server instances host databases for multiple applications with cross-database queries between them. Workshop input was explicit: 'Multiple databases for multiple apps on </w:t>
      </w:r>
      <w:proofErr w:type="spellStart"/>
      <w:r>
        <w:t>DBServers</w:t>
      </w:r>
      <w:proofErr w:type="spellEnd"/>
      <w:r>
        <w:t>. Decoupling will be a challenge.' Power BI Report Server licences are tied to the physical SQL Server hardware.</w:t>
      </w:r>
    </w:p>
    <w:p w14:paraId="000006FD" w14:textId="000006FE" w:rsidR="000B0F63" w:rsidRDefault="00C05D22" w:rsidP="00E40261">
      <w:pPr>
        <w:jc w:val="both"/>
      </w:pPr>
      <w:r>
        <w:rPr>
          <w:b/>
          <w:bCs/>
        </w:rPr>
        <w:t xml:space="preserve">Why it matters: </w:t>
      </w:r>
      <w:r>
        <w:t>a clean PaaS move to Cloud SQL, RDS, or Azure SQL depends on per-database decoupling. Applications that rely on three-part naming or linked server calls between databases on the same instance will need refactoring. Power BI Report Server is hardware-tied and does not move cleanly to cloud as-is; Power BI Service (cloud) is a separate licensing model.</w:t>
      </w:r>
    </w:p>
    <w:p w14:paraId="000006FF" w14:textId="00000700" w:rsidR="000B0F63" w:rsidRDefault="00C05D22" w:rsidP="00E40261">
      <w:pPr>
        <w:jc w:val="both"/>
      </w:pPr>
      <w:r>
        <w:rPr>
          <w:b/>
          <w:bCs/>
        </w:rPr>
        <w:t xml:space="preserve">What to do about it: </w:t>
      </w:r>
      <w:r>
        <w:t>per-instance assessment and refactoring analysis are scoped in Phase 2 (Section 11).</w:t>
      </w:r>
    </w:p>
    <w:p w14:paraId="00000701" w14:textId="00000702" w:rsidR="000B0F63" w:rsidRDefault="1BAB210A" w:rsidP="00E40261">
      <w:pPr>
        <w:pStyle w:val="Heading2"/>
        <w:jc w:val="both"/>
      </w:pPr>
      <w:bookmarkStart w:id="349" w:name="_Toc205"/>
      <w:bookmarkStart w:id="350" w:name="_Toc227770988"/>
      <w:r>
        <w:t>Solaris Legacy Stack</w:t>
      </w:r>
      <w:bookmarkEnd w:id="349"/>
      <w:bookmarkEnd w:id="350"/>
    </w:p>
    <w:p w14:paraId="00000703" w14:textId="00000704" w:rsidR="000B0F63" w:rsidRDefault="00C05D22" w:rsidP="00E40261">
      <w:pPr>
        <w:jc w:val="both"/>
      </w:pPr>
      <w:r>
        <w:rPr>
          <w:b/>
          <w:bCs/>
        </w:rPr>
        <w:t xml:space="preserve">What we found: </w:t>
      </w:r>
      <w:r>
        <w:t xml:space="preserve">several applications are recorded with Solaris as operating system, including Mail Online sub-components (Mobile, Content), </w:t>
      </w:r>
      <w:proofErr w:type="spellStart"/>
      <w:r>
        <w:t>Wikidata</w:t>
      </w:r>
      <w:proofErr w:type="spellEnd"/>
      <w:r>
        <w:t>, and ESCC.</w:t>
      </w:r>
    </w:p>
    <w:p w14:paraId="00000705" w14:textId="2CC9FFAD" w:rsidR="000B0F63" w:rsidRDefault="00C05D22" w:rsidP="00E40261">
      <w:pPr>
        <w:jc w:val="both"/>
      </w:pPr>
      <w:r>
        <w:rPr>
          <w:b/>
          <w:bCs/>
        </w:rPr>
        <w:t xml:space="preserve">Why it matters: </w:t>
      </w:r>
      <w:r>
        <w:t xml:space="preserve">Solaris is not natively supported as a guest operating system on AWS, Azure, or GCP. Oracle Cloud Infrastructure is the only </w:t>
      </w:r>
      <w:proofErr w:type="spellStart"/>
      <w:r>
        <w:t>hyperscaler</w:t>
      </w:r>
      <w:proofErr w:type="spellEnd"/>
      <w:r>
        <w:t xml:space="preserve"> with native Solaris support. Any Solaris-hosted workload </w:t>
      </w:r>
      <w:r w:rsidR="0085083A">
        <w:t>must</w:t>
      </w:r>
      <w:r>
        <w:t xml:space="preserve"> be either </w:t>
      </w:r>
      <w:proofErr w:type="spellStart"/>
      <w:r>
        <w:t>replatformed</w:t>
      </w:r>
      <w:proofErr w:type="spellEnd"/>
      <w:r>
        <w:t xml:space="preserve"> to Linux before migration, kept on-premises during transition, or retained on Oracle-specific infrastructure.</w:t>
      </w:r>
    </w:p>
    <w:p w14:paraId="00000707" w14:textId="00000708" w:rsidR="000B0F63" w:rsidRDefault="00C05D22" w:rsidP="00E40261">
      <w:pPr>
        <w:jc w:val="both"/>
      </w:pPr>
      <w:r>
        <w:rPr>
          <w:b/>
          <w:bCs/>
        </w:rPr>
        <w:t xml:space="preserve">What to do about it: </w:t>
      </w:r>
      <w:r>
        <w:t xml:space="preserve">Phase 2 </w:t>
      </w:r>
      <w:commentRangeStart w:id="351"/>
      <w:r>
        <w:t>Solaris</w:t>
      </w:r>
      <w:commentRangeEnd w:id="351"/>
      <w:r w:rsidR="0030294B">
        <w:rPr>
          <w:rStyle w:val="CommentReference"/>
          <w:sz w:val="22"/>
          <w:szCs w:val="22"/>
        </w:rPr>
        <w:commentReference w:id="351"/>
      </w:r>
      <w:r>
        <w:t xml:space="preserve"> inventory to confirm exact version and workload. Solaris should be called out explicitly in the Phase 2 release plan rather than grouped with general legacy OS activity.</w:t>
      </w:r>
    </w:p>
    <w:p w14:paraId="00000709" w14:textId="0000070A" w:rsidR="000B0F63" w:rsidRDefault="1BAB210A" w:rsidP="00E40261">
      <w:pPr>
        <w:pStyle w:val="Heading2"/>
        <w:jc w:val="both"/>
      </w:pPr>
      <w:bookmarkStart w:id="352" w:name="_Toc206"/>
      <w:bookmarkStart w:id="353" w:name="_Toc227770989"/>
      <w:r>
        <w:t xml:space="preserve">Hardcoded IP Addresses </w:t>
      </w:r>
      <w:proofErr w:type="gramStart"/>
      <w:r>
        <w:t>In</w:t>
      </w:r>
      <w:proofErr w:type="gramEnd"/>
      <w:r>
        <w:t xml:space="preserve"> Legacy Integrations</w:t>
      </w:r>
      <w:bookmarkEnd w:id="352"/>
      <w:bookmarkEnd w:id="353"/>
    </w:p>
    <w:p w14:paraId="0000070B" w14:textId="0000070C" w:rsidR="000B0F63" w:rsidRDefault="00C05D22" w:rsidP="00E40261">
      <w:pPr>
        <w:jc w:val="both"/>
      </w:pPr>
      <w:r>
        <w:rPr>
          <w:b/>
          <w:bCs/>
        </w:rPr>
        <w:t xml:space="preserve">What we found: </w:t>
      </w:r>
      <w:r>
        <w:t>ECO3 workshop input confirmed 'ECO3 had used hardcoded IPs to avoid DNS issues'. Other applications also reference load balancer IPs and third-party whitelists by specific address.</w:t>
      </w:r>
    </w:p>
    <w:p w14:paraId="0000070D" w14:textId="38169DDF" w:rsidR="000B0F63" w:rsidRDefault="00C05D22" w:rsidP="00E40261">
      <w:pPr>
        <w:jc w:val="both"/>
      </w:pPr>
      <w:r>
        <w:rPr>
          <w:b/>
          <w:bCs/>
        </w:rPr>
        <w:t xml:space="preserve">Why it matters: </w:t>
      </w:r>
      <w:r>
        <w:t xml:space="preserve">hardcoded IP addresses do not translate directly to cloud. Cloud VPCs assign IPs dynamically or via DNS. Any inbound integration that whitelists specific IP addresses </w:t>
      </w:r>
      <w:r w:rsidR="00CA15A8">
        <w:t>must</w:t>
      </w:r>
      <w:r>
        <w:t xml:space="preserve"> be re-established against cloud IP ranges or DNS.</w:t>
      </w:r>
    </w:p>
    <w:p w14:paraId="0000070F" w14:textId="00000710" w:rsidR="000B0F63" w:rsidRDefault="00C05D22" w:rsidP="00E40261">
      <w:pPr>
        <w:jc w:val="both"/>
      </w:pPr>
      <w:r>
        <w:rPr>
          <w:b/>
          <w:bCs/>
        </w:rPr>
        <w:t xml:space="preserve">What to do about it: </w:t>
      </w:r>
      <w:r>
        <w:t xml:space="preserve">Phase 2 scope includes per-application IP dependency audit. For each hardcoded IP: replace with service name or </w:t>
      </w:r>
      <w:proofErr w:type="gramStart"/>
      <w:r>
        <w:t>DNS, or</w:t>
      </w:r>
      <w:proofErr w:type="gramEnd"/>
      <w:r>
        <w:t xml:space="preserve"> establish an equivalent cloud static IP and update the downstream integration.</w:t>
      </w:r>
    </w:p>
    <w:p w14:paraId="00000711" w14:textId="00000712" w:rsidR="000B0F63" w:rsidRDefault="1BAB210A" w:rsidP="00E40261">
      <w:pPr>
        <w:pStyle w:val="Heading2"/>
        <w:jc w:val="both"/>
      </w:pPr>
      <w:bookmarkStart w:id="354" w:name="_Toc207"/>
      <w:bookmarkStart w:id="355" w:name="_Toc227770990"/>
      <w:r>
        <w:t>What The Challenges Do Not Affect</w:t>
      </w:r>
      <w:bookmarkEnd w:id="354"/>
      <w:bookmarkEnd w:id="355"/>
    </w:p>
    <w:p w14:paraId="00000713" w14:textId="00000714" w:rsidR="000B0F63" w:rsidRDefault="00C05D22" w:rsidP="00E40261">
      <w:pPr>
        <w:jc w:val="both"/>
      </w:pPr>
      <w:r>
        <w:t>It is worth saying what these challenges do not change:</w:t>
      </w:r>
    </w:p>
    <w:p w14:paraId="00000715" w14:textId="00000716" w:rsidR="000B0F63" w:rsidRDefault="00C05D22" w:rsidP="00EC2FA3">
      <w:pPr>
        <w:pStyle w:val="ListBullet"/>
        <w:numPr>
          <w:ilvl w:val="0"/>
          <w:numId w:val="34"/>
        </w:numPr>
        <w:jc w:val="both"/>
      </w:pPr>
      <w:r w:rsidRPr="00CA15A8">
        <w:rPr>
          <w:b/>
        </w:rPr>
        <w:t>The overall cloud recommendation.</w:t>
      </w:r>
      <w:r>
        <w:t xml:space="preserve"> None of these challenges makes </w:t>
      </w:r>
      <w:proofErr w:type="gramStart"/>
      <w:r>
        <w:t>cloud</w:t>
      </w:r>
      <w:proofErr w:type="gramEnd"/>
      <w:r>
        <w:t xml:space="preserve"> a bad idea. They shape the migration approach, not the destination.</w:t>
      </w:r>
    </w:p>
    <w:p w14:paraId="00000717" w14:textId="00000718" w:rsidR="000B0F63" w:rsidRDefault="00C05D22" w:rsidP="00EC2FA3">
      <w:pPr>
        <w:pStyle w:val="ListBullet"/>
        <w:numPr>
          <w:ilvl w:val="0"/>
          <w:numId w:val="34"/>
        </w:numPr>
        <w:jc w:val="both"/>
      </w:pPr>
      <w:r w:rsidRPr="00CA15A8">
        <w:rPr>
          <w:b/>
        </w:rPr>
        <w:t>The business case</w:t>
      </w:r>
      <w:r>
        <w:t>. The savings potential in Sections 5 and 10 stands. The challenges affect timeline and approach, not outcome.</w:t>
      </w:r>
    </w:p>
    <w:p w14:paraId="00000719" w14:textId="0000071A" w:rsidR="000B0F63" w:rsidRDefault="00C05D22" w:rsidP="00EC2FA3">
      <w:pPr>
        <w:pStyle w:val="ListBullet"/>
        <w:numPr>
          <w:ilvl w:val="0"/>
          <w:numId w:val="34"/>
        </w:numPr>
        <w:jc w:val="both"/>
      </w:pPr>
      <w:r w:rsidRPr="00CA15A8">
        <w:rPr>
          <w:b/>
        </w:rPr>
        <w:t>DMG Media's ability to succeed</w:t>
      </w:r>
      <w:r>
        <w:t xml:space="preserve">. The challenges are addressable with the right </w:t>
      </w:r>
      <w:proofErr w:type="spellStart"/>
      <w:r>
        <w:t>programme</w:t>
      </w:r>
      <w:proofErr w:type="spellEnd"/>
      <w:r>
        <w:t xml:space="preserve"> </w:t>
      </w:r>
      <w:proofErr w:type="gramStart"/>
      <w:r>
        <w:t>structure, and</w:t>
      </w:r>
      <w:proofErr w:type="gramEnd"/>
      <w:r>
        <w:t xml:space="preserve"> are similar in kind to what most enterprise cloud transformations carry at this stage.</w:t>
      </w:r>
    </w:p>
    <w:p w14:paraId="0000071B" w14:textId="79F0425D" w:rsidR="000B0F63" w:rsidRDefault="000B0F63" w:rsidP="00E40261">
      <w:pPr>
        <w:jc w:val="both"/>
      </w:pPr>
    </w:p>
    <w:p w14:paraId="0000071D" w14:textId="0000071E" w:rsidR="000B0F63" w:rsidRDefault="1BAB210A" w:rsidP="00E40261">
      <w:pPr>
        <w:pStyle w:val="Heading1"/>
        <w:jc w:val="both"/>
      </w:pPr>
      <w:bookmarkStart w:id="356" w:name="_Toc208"/>
      <w:bookmarkStart w:id="357" w:name="_Toc227770991"/>
      <w:bookmarkStart w:id="358" w:name="_Toc227771414"/>
      <w:r>
        <w:t>Section 10: Opportunities</w:t>
      </w:r>
      <w:bookmarkEnd w:id="356"/>
      <w:bookmarkEnd w:id="357"/>
      <w:bookmarkEnd w:id="358"/>
    </w:p>
    <w:p w14:paraId="0000071F" w14:textId="00000720" w:rsidR="000B0F63" w:rsidRDefault="1BAB210A" w:rsidP="00E40261">
      <w:pPr>
        <w:pStyle w:val="Heading2"/>
        <w:jc w:val="both"/>
      </w:pPr>
      <w:bookmarkStart w:id="359" w:name="_Toc209"/>
      <w:bookmarkStart w:id="360" w:name="_Toc227770992"/>
      <w:r>
        <w:t>What This Section Does</w:t>
      </w:r>
      <w:bookmarkEnd w:id="359"/>
      <w:bookmarkEnd w:id="360"/>
    </w:p>
    <w:p w14:paraId="00000721" w14:textId="00000722" w:rsidR="000B0F63" w:rsidRDefault="00C05D22" w:rsidP="00E40261">
      <w:pPr>
        <w:jc w:val="both"/>
      </w:pPr>
      <w:r>
        <w:t>Each opportunity below is specific to DMG Media's estate. Each item says what it is, what it saves or enables, what is needed to pursue it, and what Phase 2 would validate.</w:t>
      </w:r>
    </w:p>
    <w:p w14:paraId="00000723" w14:textId="00000724" w:rsidR="000B0F63" w:rsidRDefault="1BAB210A" w:rsidP="00E40261">
      <w:pPr>
        <w:pStyle w:val="Heading2"/>
        <w:jc w:val="both"/>
      </w:pPr>
      <w:bookmarkStart w:id="361" w:name="_Toc210"/>
      <w:bookmarkStart w:id="362" w:name="_Toc227770993"/>
      <w:r>
        <w:t>Database Migration to Managed Services</w:t>
      </w:r>
      <w:bookmarkEnd w:id="361"/>
      <w:bookmarkEnd w:id="362"/>
    </w:p>
    <w:p w14:paraId="00000725" w14:textId="00000726" w:rsidR="000B0F63" w:rsidRDefault="00C05D22" w:rsidP="00E40261">
      <w:pPr>
        <w:jc w:val="both"/>
      </w:pPr>
      <w:r>
        <w:t xml:space="preserve">Moving databases from self-managed infrastructure to managed cloud databases. Eliminates operational overhead for patching, backups, HA failover. For Oracle specifically, a move to PostgreSQL-compatible managed services also removes the licensing entirely. For SQL Server, managed services reduce operational burden and </w:t>
      </w:r>
      <w:commentRangeStart w:id="363"/>
      <w:commentRangeStart w:id="364"/>
      <w:r>
        <w:t xml:space="preserve">potentially </w:t>
      </w:r>
      <w:commentRangeEnd w:id="363"/>
      <w:r w:rsidR="00B1459C">
        <w:rPr>
          <w:rStyle w:val="CommentReference"/>
          <w:sz w:val="22"/>
          <w:szCs w:val="22"/>
        </w:rPr>
        <w:commentReference w:id="363"/>
      </w:r>
      <w:commentRangeEnd w:id="364"/>
      <w:r>
        <w:rPr>
          <w:rStyle w:val="CommentReference"/>
          <w:sz w:val="22"/>
          <w:szCs w:val="22"/>
        </w:rPr>
        <w:commentReference w:id="364"/>
      </w:r>
      <w:r>
        <w:t>reduce licensing through cloud-native BYOL mechanisms.</w:t>
      </w:r>
    </w:p>
    <w:p w14:paraId="00000727" w14:textId="00000728" w:rsidR="000B0F63" w:rsidRDefault="00C05D22" w:rsidP="00E40261">
      <w:pPr>
        <w:jc w:val="both"/>
      </w:pPr>
      <w:r>
        <w:t>Your starting point: you are already testing PostgreSQL as an Oracle replacement. The blocker is business prioritisation, not technical capability. Your 49 SQL Server instances are currently managed in-house and by NCS.</w:t>
      </w:r>
    </w:p>
    <w:p w14:paraId="00000729" w14:textId="0000072A" w:rsidR="000B0F63" w:rsidRDefault="1BAB210A" w:rsidP="00E40261">
      <w:pPr>
        <w:pStyle w:val="Heading2"/>
        <w:jc w:val="both"/>
      </w:pPr>
      <w:bookmarkStart w:id="365" w:name="_Toc211"/>
      <w:bookmarkStart w:id="366" w:name="_Toc227770994"/>
      <w:r>
        <w:t>Overprovisioned Instances (MOL RTA)</w:t>
      </w:r>
      <w:bookmarkEnd w:id="365"/>
      <w:bookmarkEnd w:id="366"/>
    </w:p>
    <w:p w14:paraId="0000072B" w14:textId="0000072C" w:rsidR="000B0F63" w:rsidRDefault="00C05D22" w:rsidP="00E40261">
      <w:pPr>
        <w:jc w:val="both"/>
      </w:pPr>
      <w:r>
        <w:t>MOL's Real-Time Analytics application contains many significantly overprovisioned instances identified during discovery. Right-sizing during migration, rather than lifting as-is, produces an immediate cost saving with minimal risk. The utilisation data proves the current allocation exceeds demand. Phase 2 produces precise sizing recommendations per instance.</w:t>
      </w:r>
    </w:p>
    <w:p w14:paraId="0000072D" w14:textId="0000072E" w:rsidR="000B0F63" w:rsidRDefault="1BAB210A" w:rsidP="00E40261">
      <w:pPr>
        <w:pStyle w:val="Heading2"/>
        <w:jc w:val="both"/>
      </w:pPr>
      <w:bookmarkStart w:id="367" w:name="_Toc212"/>
      <w:bookmarkStart w:id="368" w:name="_Toc227770995"/>
      <w:r>
        <w:t>Load Balancing Modernisation</w:t>
      </w:r>
      <w:bookmarkEnd w:id="367"/>
      <w:bookmarkEnd w:id="368"/>
    </w:p>
    <w:p w14:paraId="0000072F" w14:textId="00000730" w:rsidR="000B0F63" w:rsidRDefault="00C05D22" w:rsidP="00E40261">
      <w:pPr>
        <w:jc w:val="both"/>
      </w:pPr>
      <w:r>
        <w:t xml:space="preserve">Replacing hardware load balancers (F5 for corporate, Zeus/Ivanti </w:t>
      </w:r>
      <w:proofErr w:type="spellStart"/>
      <w:r>
        <w:t>vTM</w:t>
      </w:r>
      <w:proofErr w:type="spellEnd"/>
      <w:r>
        <w:t xml:space="preserve"> for MOL) with cloud-native load balancers. Benefits include: no hardware lifecycle management, auto-scaling tied to traffic, native integration with cloud monitoring, global load balancing for multi-region deployments, and material cost reduction.</w:t>
      </w:r>
    </w:p>
    <w:p w14:paraId="00000731" w14:textId="00000732" w:rsidR="000B0F63" w:rsidRDefault="00C05D22" w:rsidP="00E40261">
      <w:pPr>
        <w:jc w:val="both"/>
      </w:pPr>
      <w:r>
        <w:t>Per-cloud options: GCP Cloud Load Balancing; AWS Application Load Balancer, Network Load Balancer, Global Accelerator; Azure Front Door (global with integrated WAF), Azure Load Balancer, Application Gateway.</w:t>
      </w:r>
    </w:p>
    <w:p w14:paraId="00000733" w14:textId="00000734" w:rsidR="000B0F63" w:rsidRDefault="1BAB210A" w:rsidP="00E40261">
      <w:pPr>
        <w:pStyle w:val="Heading2"/>
        <w:jc w:val="both"/>
      </w:pPr>
      <w:bookmarkStart w:id="369" w:name="_Toc213"/>
      <w:bookmarkStart w:id="370" w:name="_Toc227770996"/>
      <w:r>
        <w:t>Oracle Modernisation to PostgreSQL</w:t>
      </w:r>
      <w:bookmarkEnd w:id="369"/>
      <w:bookmarkEnd w:id="370"/>
    </w:p>
    <w:p w14:paraId="00000735" w14:textId="00000736" w:rsidR="000B0F63" w:rsidRDefault="00C05D22" w:rsidP="00E40261">
      <w:pPr>
        <w:jc w:val="both"/>
      </w:pPr>
      <w:r>
        <w:t xml:space="preserve">Detailed path analysis is in Section 5 (primary recommendation: </w:t>
      </w:r>
      <w:proofErr w:type="spellStart"/>
      <w:r>
        <w:t>Exadata@Cloud</w:t>
      </w:r>
      <w:proofErr w:type="spellEnd"/>
      <w:r>
        <w:t xml:space="preserve"> for risk reduction, PostgreSQL as a Phase 2 strategic decision).</w:t>
      </w:r>
    </w:p>
    <w:p w14:paraId="00000737" w14:textId="091B69CB" w:rsidR="000B0F63" w:rsidRDefault="00C05D22" w:rsidP="00E40261">
      <w:pPr>
        <w:pStyle w:val="ListBullet"/>
        <w:jc w:val="both"/>
      </w:pPr>
      <w:commentRangeStart w:id="371"/>
      <w:r>
        <w:t xml:space="preserve">Saving potential is material: approximately </w:t>
      </w:r>
      <w:r w:rsidR="00312BB7">
        <w:t>£</w:t>
      </w:r>
      <w:r>
        <w:t xml:space="preserve">45-65K/month depending on cloud (combining infrastructure delta with </w:t>
      </w:r>
      <w:r w:rsidR="00312BB7">
        <w:t>£</w:t>
      </w:r>
      <w:r>
        <w:t>650K/yr support elimination).</w:t>
      </w:r>
      <w:commentRangeEnd w:id="371"/>
      <w:r w:rsidR="00147A1A">
        <w:rPr>
          <w:rStyle w:val="CommentReference"/>
          <w:sz w:val="22"/>
          <w:szCs w:val="24"/>
        </w:rPr>
        <w:commentReference w:id="371"/>
      </w:r>
    </w:p>
    <w:p w14:paraId="00000739" w14:textId="0000073A" w:rsidR="000B0F63" w:rsidRDefault="00C05D22" w:rsidP="00E40261">
      <w:pPr>
        <w:pStyle w:val="ListBullet"/>
        <w:jc w:val="both"/>
      </w:pPr>
      <w:r>
        <w:t xml:space="preserve">This is the largest </w:t>
      </w:r>
      <w:proofErr w:type="gramStart"/>
      <w:r>
        <w:t>single cost</w:t>
      </w:r>
      <w:proofErr w:type="gramEnd"/>
      <w:r>
        <w:t xml:space="preserve"> item you have.</w:t>
      </w:r>
    </w:p>
    <w:p w14:paraId="0000073B" w14:textId="0000073C" w:rsidR="000B0F63" w:rsidRDefault="00C05D22" w:rsidP="00E40261">
      <w:pPr>
        <w:pStyle w:val="ListBullet"/>
        <w:jc w:val="both"/>
      </w:pPr>
      <w:r>
        <w:t xml:space="preserve">You are already testing PostgreSQL, which demonstrates </w:t>
      </w:r>
      <w:proofErr w:type="spellStart"/>
      <w:r>
        <w:t>organisational</w:t>
      </w:r>
      <w:proofErr w:type="spellEnd"/>
      <w:r>
        <w:t xml:space="preserve"> appetite.</w:t>
      </w:r>
    </w:p>
    <w:p w14:paraId="0000073D" w14:textId="0000073E" w:rsidR="000B0F63" w:rsidRDefault="00C05D22" w:rsidP="00E40261">
      <w:pPr>
        <w:pStyle w:val="ListBullet"/>
        <w:jc w:val="both"/>
      </w:pPr>
      <w:r>
        <w:t xml:space="preserve">It is a strategic decision, not a tactical one. Each </w:t>
      </w:r>
      <w:proofErr w:type="spellStart"/>
      <w:r>
        <w:t>hyperscaler</w:t>
      </w:r>
      <w:proofErr w:type="spellEnd"/>
      <w:r>
        <w:t xml:space="preserve"> has transformation support paths. Phase 2 validates the effort, risks, and cost through a per-cluster assessment.</w:t>
      </w:r>
    </w:p>
    <w:p w14:paraId="0000073F" w14:textId="00000740" w:rsidR="000B0F63" w:rsidRDefault="1BAB210A" w:rsidP="00E40261">
      <w:pPr>
        <w:pStyle w:val="Heading2"/>
        <w:jc w:val="both"/>
      </w:pPr>
      <w:bookmarkStart w:id="372" w:name="_Toc214"/>
      <w:bookmarkStart w:id="373" w:name="_Toc227770997"/>
      <w:r>
        <w:t>VMware and Broadcom Contract Exit</w:t>
      </w:r>
      <w:bookmarkEnd w:id="372"/>
      <w:bookmarkEnd w:id="373"/>
    </w:p>
    <w:p w14:paraId="00000741" w14:textId="00000742" w:rsidR="000B0F63" w:rsidRDefault="00C05D22" w:rsidP="00E40261">
      <w:pPr>
        <w:jc w:val="both"/>
      </w:pPr>
      <w:r>
        <w:t>Detailed position in Section 3 (Broadcom KB 429208 reference). Migrating to cloud before the Broadcom position forces a VCF subscription decision eliminates that cost pressure entirely. It also removes dependency on a vendor whose pricing strategy has become unpredictable.</w:t>
      </w:r>
    </w:p>
    <w:p w14:paraId="00000743" w14:textId="00000744" w:rsidR="000B0F63" w:rsidRDefault="1BAB210A" w:rsidP="00E40261">
      <w:pPr>
        <w:pStyle w:val="Heading2"/>
        <w:jc w:val="both"/>
      </w:pPr>
      <w:bookmarkStart w:id="374" w:name="_Toc215"/>
      <w:bookmarkStart w:id="375" w:name="_Toc227770998"/>
      <w:r>
        <w:t>Application Rationalisation</w:t>
      </w:r>
      <w:bookmarkEnd w:id="374"/>
      <w:bookmarkEnd w:id="375"/>
    </w:p>
    <w:p w14:paraId="00000745" w14:textId="00000746" w:rsidR="000B0F63" w:rsidRDefault="00C05D22" w:rsidP="00E40261">
      <w:pPr>
        <w:jc w:val="both"/>
      </w:pPr>
      <w:r>
        <w:t>Applications that are candidates for retirement or SaaS replacement rather than cloud migration. Every application retired is servers removed from migration scope.</w:t>
      </w:r>
    </w:p>
    <w:p w14:paraId="00000747" w14:textId="00000748" w:rsidR="000B0F63" w:rsidRDefault="00C05D22" w:rsidP="00EC2FA3">
      <w:pPr>
        <w:pStyle w:val="ListBullet"/>
        <w:numPr>
          <w:ilvl w:val="0"/>
          <w:numId w:val="35"/>
        </w:numPr>
        <w:jc w:val="both"/>
      </w:pPr>
      <w:proofErr w:type="spellStart"/>
      <w:r>
        <w:rPr>
          <w:b/>
          <w:bCs/>
        </w:rPr>
        <w:t>Atex</w:t>
      </w:r>
      <w:proofErr w:type="spellEnd"/>
      <w:r>
        <w:rPr>
          <w:b/>
          <w:bCs/>
        </w:rPr>
        <w:t xml:space="preserve"> 5.5 (Legacy): </w:t>
      </w:r>
      <w:r w:rsidRPr="00FC2280">
        <w:t xml:space="preserve">32-bit architecture incompatible with modern cloud VMs. Candidate for retirement once </w:t>
      </w:r>
      <w:proofErr w:type="spellStart"/>
      <w:r w:rsidRPr="00FC2280">
        <w:t>Atex</w:t>
      </w:r>
      <w:proofErr w:type="spellEnd"/>
      <w:r w:rsidRPr="00FC2280">
        <w:t xml:space="preserve"> 6 migration is complete. Removes approximately 5 TB of Oracle storage.</w:t>
      </w:r>
    </w:p>
    <w:p w14:paraId="00000749" w14:textId="0000074A" w:rsidR="000B0F63" w:rsidRDefault="00C05D22" w:rsidP="00EC2FA3">
      <w:pPr>
        <w:pStyle w:val="ListBullet"/>
        <w:numPr>
          <w:ilvl w:val="0"/>
          <w:numId w:val="35"/>
        </w:numPr>
        <w:jc w:val="both"/>
      </w:pPr>
      <w:r>
        <w:rPr>
          <w:b/>
          <w:bCs/>
        </w:rPr>
        <w:t xml:space="preserve">IBM Lotus Notes: </w:t>
      </w:r>
      <w:r w:rsidRPr="00FC2280">
        <w:t>legacy collaboration platform. SaaS replacement (Microsoft 365 or Google Workspace) eliminates the infrastructure entirely.</w:t>
      </w:r>
    </w:p>
    <w:p w14:paraId="0000074B" w14:textId="0000074C" w:rsidR="000B0F63" w:rsidRDefault="00C05D22" w:rsidP="00EC2FA3">
      <w:pPr>
        <w:pStyle w:val="ListBullet"/>
        <w:numPr>
          <w:ilvl w:val="0"/>
          <w:numId w:val="35"/>
        </w:numPr>
        <w:jc w:val="both"/>
      </w:pPr>
      <w:r>
        <w:rPr>
          <w:b/>
          <w:bCs/>
        </w:rPr>
        <w:t xml:space="preserve">SolarWinds and Zabbix: </w:t>
      </w:r>
      <w:r w:rsidRPr="00FC2280">
        <w:t>current monitoring tools. Cloud-native monitoring replaces these as part of landing zone build.</w:t>
      </w:r>
    </w:p>
    <w:p w14:paraId="0000074D" w14:textId="0000074E" w:rsidR="000B0F63" w:rsidRDefault="00C05D22" w:rsidP="00EC2FA3">
      <w:pPr>
        <w:pStyle w:val="ListBullet"/>
        <w:numPr>
          <w:ilvl w:val="0"/>
          <w:numId w:val="35"/>
        </w:numPr>
        <w:jc w:val="both"/>
      </w:pPr>
      <w:r>
        <w:rPr>
          <w:b/>
          <w:bCs/>
        </w:rPr>
        <w:t xml:space="preserve">Other candidates identified by application owners: </w:t>
      </w:r>
      <w:r w:rsidRPr="00FC2280">
        <w:t xml:space="preserve">Wombat, </w:t>
      </w:r>
      <w:proofErr w:type="spellStart"/>
      <w:r w:rsidRPr="00FC2280">
        <w:t>Mediaplanner</w:t>
      </w:r>
      <w:proofErr w:type="spellEnd"/>
      <w:r w:rsidRPr="00FC2280">
        <w:t>, Landscape, Fingerpost reporting tools. Each needs owner validation before retirement.</w:t>
      </w:r>
    </w:p>
    <w:p w14:paraId="0000074F" w14:textId="00000750" w:rsidR="000B0F63" w:rsidRDefault="1BAB210A" w:rsidP="00E40261">
      <w:pPr>
        <w:pStyle w:val="Heading2"/>
        <w:jc w:val="both"/>
      </w:pPr>
      <w:bookmarkStart w:id="376" w:name="_Toc216"/>
      <w:bookmarkStart w:id="377" w:name="_Toc227770999"/>
      <w:r>
        <w:t>Sydney Datacentre Quick-Win</w:t>
      </w:r>
      <w:bookmarkEnd w:id="376"/>
      <w:bookmarkEnd w:id="377"/>
    </w:p>
    <w:p w14:paraId="00000751" w14:textId="1CB9F57B" w:rsidR="000B0F63" w:rsidRDefault="00C05D22" w:rsidP="00E40261">
      <w:pPr>
        <w:jc w:val="both"/>
      </w:pPr>
      <w:r>
        <w:t xml:space="preserve">Sydney datacentre operates on a flexible contract with no exit penalty. The CSP application (CHP Sydney) runs on approximately four servers with approximately 0.4 TB of Oracle storage. Migrating Sydney early provides an immediate DC cost offset (approximately </w:t>
      </w:r>
      <w:r w:rsidR="00312BB7">
        <w:t>£</w:t>
      </w:r>
      <w:r>
        <w:t>40K/yr) and serves as a low-risk proof point for the migration programme.</w:t>
      </w:r>
    </w:p>
    <w:p w14:paraId="00000753" w14:textId="00000754" w:rsidR="000B0F63" w:rsidRDefault="1BAB210A" w:rsidP="00E40261">
      <w:pPr>
        <w:pStyle w:val="Heading2"/>
        <w:jc w:val="both"/>
      </w:pPr>
      <w:bookmarkStart w:id="378" w:name="_Toc217"/>
      <w:bookmarkStart w:id="379" w:name="_Toc227771000"/>
      <w:r>
        <w:t>SQL Server Licensing Optimisation</w:t>
      </w:r>
      <w:bookmarkEnd w:id="378"/>
      <w:bookmarkEnd w:id="379"/>
    </w:p>
    <w:p w14:paraId="00000755" w14:textId="3B0B02A1" w:rsidR="000B0F63" w:rsidRDefault="00C05D22" w:rsidP="00E40261">
      <w:pPr>
        <w:jc w:val="both"/>
      </w:pPr>
      <w:r>
        <w:t xml:space="preserve">SQL Server licensing is 40-60% of the effective cost for SQL workloads. </w:t>
      </w:r>
      <w:commentRangeStart w:id="380"/>
      <w:commentRangeStart w:id="381"/>
      <w:r>
        <w:t xml:space="preserve">If SA is formally confirmed, </w:t>
      </w:r>
      <w:commentRangeEnd w:id="380"/>
      <w:r w:rsidR="008368B8">
        <w:rPr>
          <w:rStyle w:val="CommentReference"/>
          <w:sz w:val="22"/>
          <w:szCs w:val="22"/>
        </w:rPr>
        <w:commentReference w:id="380"/>
      </w:r>
      <w:commentRangeEnd w:id="381"/>
      <w:r>
        <w:rPr>
          <w:rStyle w:val="CommentReference"/>
          <w:sz w:val="22"/>
          <w:szCs w:val="22"/>
        </w:rPr>
        <w:commentReference w:id="381"/>
      </w:r>
      <w:r>
        <w:t xml:space="preserve">SQL Server BYOL eliminates approximately </w:t>
      </w:r>
      <w:r w:rsidR="00312BB7">
        <w:t>£</w:t>
      </w:r>
      <w:r>
        <w:t>14-15K/month of surcharge across clouds. Further optimisation possible by moving to managed SQL services.</w:t>
      </w:r>
    </w:p>
    <w:p w14:paraId="00000757" w14:textId="00000758" w:rsidR="000B0F63" w:rsidRDefault="1BAB210A" w:rsidP="00E40261">
      <w:pPr>
        <w:pStyle w:val="Heading2"/>
        <w:jc w:val="both"/>
      </w:pPr>
      <w:bookmarkStart w:id="382" w:name="_Toc218"/>
      <w:bookmarkStart w:id="383" w:name="_Toc227771001"/>
      <w:r>
        <w:t xml:space="preserve">Infrastructure as Code and </w:t>
      </w:r>
      <w:commentRangeStart w:id="384"/>
      <w:r>
        <w:t>Automation</w:t>
      </w:r>
      <w:bookmarkEnd w:id="382"/>
      <w:bookmarkEnd w:id="383"/>
      <w:commentRangeEnd w:id="384"/>
      <w:r w:rsidR="000765B4">
        <w:rPr>
          <w:rStyle w:val="CommentReference"/>
          <w:sz w:val="32"/>
          <w:szCs w:val="32"/>
        </w:rPr>
        <w:commentReference w:id="384"/>
      </w:r>
    </w:p>
    <w:p w14:paraId="00000759" w14:textId="0000075A" w:rsidR="000B0F63" w:rsidRDefault="00C05D22" w:rsidP="00E40261">
      <w:pPr>
        <w:jc w:val="both"/>
      </w:pPr>
      <w:r>
        <w:t>Adopting Infrastructure-as-Code (Terraform or cloud-native equivalent) as the default for all cloud resource provisioning from day one. Removes manual configuration errors, accelerates environment creation, makes the whole estate reproducible and auditable.</w:t>
      </w:r>
    </w:p>
    <w:p w14:paraId="0000075B" w14:textId="0000075C" w:rsidR="000B0F63" w:rsidRDefault="1BAB210A" w:rsidP="00E40261">
      <w:pPr>
        <w:pStyle w:val="Heading2"/>
        <w:jc w:val="both"/>
      </w:pPr>
      <w:bookmarkStart w:id="385" w:name="_Toc219"/>
      <w:bookmarkStart w:id="386" w:name="_Toc227771002"/>
      <w:r>
        <w:t>Observability Consolidation</w:t>
      </w:r>
      <w:bookmarkEnd w:id="385"/>
      <w:bookmarkEnd w:id="386"/>
    </w:p>
    <w:p w14:paraId="0000075D" w14:textId="0000075E" w:rsidR="000B0F63" w:rsidRDefault="00C05D22" w:rsidP="00E40261">
      <w:pPr>
        <w:jc w:val="both"/>
      </w:pPr>
      <w:r>
        <w:t>Replacing SolarWinds and Zabbix with cloud-native observability (Cloud Operations, CloudWatch, Azure Monitor, or a cloud-agnostic tool like Datadog or Grafana Cloud). Delivers consistent monitoring across brands, same metrics and alerting patterns, tight integration with cloud platform services.</w:t>
      </w:r>
    </w:p>
    <w:p w14:paraId="3EC6F406" w14:textId="718C5867" w:rsidR="00571585" w:rsidRDefault="00571585" w:rsidP="00571585">
      <w:pPr>
        <w:pStyle w:val="Heading2"/>
      </w:pPr>
      <w:bookmarkStart w:id="387" w:name="_Toc227771003"/>
      <w:commentRangeStart w:id="388"/>
      <w:commentRangeStart w:id="389"/>
      <w:r>
        <w:t xml:space="preserve">Akamai vs </w:t>
      </w:r>
      <w:proofErr w:type="spellStart"/>
      <w:r>
        <w:t>Cloudfront</w:t>
      </w:r>
      <w:bookmarkEnd w:id="387"/>
      <w:commentRangeEnd w:id="388"/>
      <w:r w:rsidR="00FD22B8">
        <w:rPr>
          <w:rStyle w:val="CommentReference"/>
          <w:sz w:val="32"/>
          <w:szCs w:val="32"/>
        </w:rPr>
        <w:commentReference w:id="388"/>
      </w:r>
      <w:commentRangeEnd w:id="389"/>
      <w:r>
        <w:rPr>
          <w:rStyle w:val="CommentReference"/>
          <w:sz w:val="32"/>
          <w:szCs w:val="32"/>
        </w:rPr>
        <w:commentReference w:id="389"/>
      </w:r>
      <w:proofErr w:type="spellEnd"/>
    </w:p>
    <w:p w14:paraId="0000075F" w14:textId="00000760" w:rsidR="000B0F63" w:rsidRDefault="1BAB210A" w:rsidP="00E40261">
      <w:pPr>
        <w:pStyle w:val="Heading2"/>
        <w:jc w:val="both"/>
      </w:pPr>
      <w:bookmarkStart w:id="391" w:name="_Toc220"/>
      <w:bookmarkStart w:id="392" w:name="_Toc227771004"/>
      <w:r>
        <w:t>Summary of Opportunities</w:t>
      </w:r>
      <w:bookmarkEnd w:id="391"/>
      <w:bookmarkEnd w:id="392"/>
    </w:p>
    <w:p w14:paraId="00000761" w14:textId="00000762" w:rsidR="000B0F63" w:rsidRDefault="1BAB210A" w:rsidP="00E40261">
      <w:pPr>
        <w:pStyle w:val="Heading3"/>
        <w:jc w:val="both"/>
      </w:pPr>
      <w:bookmarkStart w:id="393" w:name="_Toc221"/>
      <w:bookmarkStart w:id="394" w:name="_Toc227771005"/>
      <w:r>
        <w:t>Quantified savings (modelled in Phase 1)</w:t>
      </w:r>
      <w:bookmarkEnd w:id="393"/>
      <w:bookmarkEnd w:id="394"/>
    </w:p>
    <w:p w14:paraId="00000763" w14:textId="709FF6B7" w:rsidR="000B0F63" w:rsidRDefault="00C05D22" w:rsidP="00EC2FA3">
      <w:pPr>
        <w:pStyle w:val="ListBullet"/>
        <w:numPr>
          <w:ilvl w:val="0"/>
          <w:numId w:val="37"/>
        </w:numPr>
        <w:jc w:val="both"/>
      </w:pPr>
      <w:r>
        <w:t xml:space="preserve">Oracle </w:t>
      </w:r>
      <w:proofErr w:type="spellStart"/>
      <w:r>
        <w:t>modernisation</w:t>
      </w:r>
      <w:proofErr w:type="spellEnd"/>
      <w:r>
        <w:t xml:space="preserve"> </w:t>
      </w:r>
      <w:r w:rsidR="000C108A">
        <w:t>(</w:t>
      </w:r>
      <w:r w:rsidR="00312BB7">
        <w:t>£</w:t>
      </w:r>
      <w:r>
        <w:t>45-65K/month depending on cloud - Phase 2 strategic decision)</w:t>
      </w:r>
    </w:p>
    <w:p w14:paraId="00000765" w14:textId="09FA62FB" w:rsidR="000B0F63" w:rsidRDefault="00C05D22" w:rsidP="00EC2FA3">
      <w:pPr>
        <w:pStyle w:val="ListBullet"/>
        <w:numPr>
          <w:ilvl w:val="0"/>
          <w:numId w:val="37"/>
        </w:numPr>
        <w:jc w:val="both"/>
      </w:pPr>
      <w:r>
        <w:t xml:space="preserve">Windows BYOL </w:t>
      </w:r>
      <w:r w:rsidR="000C108A">
        <w:t>(</w:t>
      </w:r>
      <w:r w:rsidR="00312BB7">
        <w:t>£</w:t>
      </w:r>
      <w:r>
        <w:t>7-18K/month depending on cloud, Software Assurance dependent)</w:t>
      </w:r>
    </w:p>
    <w:p w14:paraId="00000767" w14:textId="3FCE6321" w:rsidR="000B0F63" w:rsidRDefault="00C05D22" w:rsidP="00EC2FA3">
      <w:pPr>
        <w:pStyle w:val="ListBullet"/>
        <w:numPr>
          <w:ilvl w:val="0"/>
          <w:numId w:val="37"/>
        </w:numPr>
        <w:jc w:val="both"/>
      </w:pPr>
      <w:r>
        <w:t xml:space="preserve">SQL Server BYOL </w:t>
      </w:r>
      <w:r w:rsidR="000C108A">
        <w:t>(</w:t>
      </w:r>
      <w:r w:rsidR="00312BB7">
        <w:t>£</w:t>
      </w:r>
      <w:r>
        <w:t>14-15K/month across all three clouds if SA confirmed)</w:t>
      </w:r>
    </w:p>
    <w:p w14:paraId="00000769" w14:textId="6B9FDCE6" w:rsidR="000B0F63" w:rsidRDefault="00C05D22" w:rsidP="00EC2FA3">
      <w:pPr>
        <w:pStyle w:val="ListBullet"/>
        <w:numPr>
          <w:ilvl w:val="0"/>
          <w:numId w:val="37"/>
        </w:numPr>
        <w:jc w:val="both"/>
      </w:pPr>
      <w:r>
        <w:t xml:space="preserve">Storage tiering </w:t>
      </w:r>
      <w:r w:rsidR="000C108A">
        <w:t>(</w:t>
      </w:r>
      <w:r w:rsidR="00312BB7">
        <w:t>£</w:t>
      </w:r>
      <w:r>
        <w:t>10-19K/month depending on cloud)</w:t>
      </w:r>
    </w:p>
    <w:p w14:paraId="0000076B" w14:textId="0000076C" w:rsidR="000B0F63" w:rsidRDefault="00C05D22" w:rsidP="00EC2FA3">
      <w:pPr>
        <w:pStyle w:val="ListBullet"/>
        <w:numPr>
          <w:ilvl w:val="0"/>
          <w:numId w:val="37"/>
        </w:numPr>
        <w:jc w:val="both"/>
      </w:pPr>
      <w:r>
        <w:t>Overprovisioned instance rightsizing (quantified during Phase 2)</w:t>
      </w:r>
    </w:p>
    <w:p w14:paraId="0000076D" w14:textId="0000076E" w:rsidR="000B0F63" w:rsidRDefault="1BAB210A" w:rsidP="00E40261">
      <w:pPr>
        <w:pStyle w:val="Heading3"/>
        <w:jc w:val="both"/>
      </w:pPr>
      <w:bookmarkStart w:id="395" w:name="_Toc222"/>
      <w:bookmarkStart w:id="396" w:name="_Toc227771006"/>
      <w:r>
        <w:t>Qualitative opportunities (Phase 2 to quantify)</w:t>
      </w:r>
      <w:bookmarkEnd w:id="395"/>
      <w:bookmarkEnd w:id="396"/>
    </w:p>
    <w:p w14:paraId="0000076F" w14:textId="00000770" w:rsidR="000B0F63" w:rsidRDefault="00C05D22" w:rsidP="00EC2FA3">
      <w:pPr>
        <w:pStyle w:val="ListBullet"/>
        <w:numPr>
          <w:ilvl w:val="0"/>
          <w:numId w:val="36"/>
        </w:numPr>
        <w:jc w:val="both"/>
      </w:pPr>
      <w:r>
        <w:t xml:space="preserve">Application </w:t>
      </w:r>
      <w:proofErr w:type="spellStart"/>
      <w:r>
        <w:t>rationalisation</w:t>
      </w:r>
      <w:proofErr w:type="spellEnd"/>
      <w:r>
        <w:t xml:space="preserve"> (Lotus Notes, </w:t>
      </w:r>
      <w:proofErr w:type="spellStart"/>
      <w:r>
        <w:t>Atex</w:t>
      </w:r>
      <w:proofErr w:type="spellEnd"/>
      <w:r>
        <w:t xml:space="preserve"> 5.5, monitoring tools)</w:t>
      </w:r>
    </w:p>
    <w:p w14:paraId="00000771" w14:textId="00000772" w:rsidR="000B0F63" w:rsidRDefault="00C05D22" w:rsidP="00EC2FA3">
      <w:pPr>
        <w:pStyle w:val="ListBullet"/>
        <w:numPr>
          <w:ilvl w:val="0"/>
          <w:numId w:val="36"/>
        </w:numPr>
        <w:jc w:val="both"/>
      </w:pPr>
      <w:r>
        <w:t xml:space="preserve">Load balancing </w:t>
      </w:r>
      <w:proofErr w:type="spellStart"/>
      <w:r>
        <w:t>modernisation</w:t>
      </w:r>
      <w:proofErr w:type="spellEnd"/>
    </w:p>
    <w:p w14:paraId="00000773" w14:textId="00000774" w:rsidR="000B0F63" w:rsidRDefault="00C05D22" w:rsidP="00EC2FA3">
      <w:pPr>
        <w:pStyle w:val="ListBullet"/>
        <w:numPr>
          <w:ilvl w:val="0"/>
          <w:numId w:val="36"/>
        </w:numPr>
        <w:jc w:val="both"/>
      </w:pPr>
      <w:r>
        <w:t xml:space="preserve">Sydney DC </w:t>
      </w:r>
      <w:proofErr w:type="gramStart"/>
      <w:r>
        <w:t>quick-win</w:t>
      </w:r>
      <w:proofErr w:type="gramEnd"/>
    </w:p>
    <w:p w14:paraId="00000775" w14:textId="00000776" w:rsidR="000B0F63" w:rsidRDefault="00C05D22" w:rsidP="00EC2FA3">
      <w:pPr>
        <w:pStyle w:val="ListBullet"/>
        <w:numPr>
          <w:ilvl w:val="0"/>
          <w:numId w:val="36"/>
        </w:numPr>
        <w:jc w:val="both"/>
      </w:pPr>
      <w:r>
        <w:t>Infrastructure as Code and automation</w:t>
      </w:r>
    </w:p>
    <w:p w14:paraId="00000777" w14:textId="00000778" w:rsidR="000B0F63" w:rsidRDefault="00C05D22" w:rsidP="00EC2FA3">
      <w:pPr>
        <w:pStyle w:val="ListBullet"/>
        <w:numPr>
          <w:ilvl w:val="0"/>
          <w:numId w:val="36"/>
        </w:numPr>
        <w:jc w:val="both"/>
      </w:pPr>
      <w:r>
        <w:t>Observability consolidation</w:t>
      </w:r>
    </w:p>
    <w:p w14:paraId="00000779" w14:textId="675B4EAF" w:rsidR="000B0F63" w:rsidRDefault="00C05D22" w:rsidP="00E40261">
      <w:pPr>
        <w:jc w:val="both"/>
      </w:pPr>
      <w:r>
        <w:br w:type="page"/>
      </w:r>
    </w:p>
    <w:p w14:paraId="0000077B" w14:textId="0000077C" w:rsidR="000B0F63" w:rsidRDefault="1BAB210A" w:rsidP="00E40261">
      <w:pPr>
        <w:pStyle w:val="Heading1"/>
        <w:jc w:val="both"/>
      </w:pPr>
      <w:bookmarkStart w:id="397" w:name="_Toc223"/>
      <w:bookmarkStart w:id="398" w:name="_Toc227771007"/>
      <w:bookmarkStart w:id="399" w:name="_Toc227771415"/>
      <w:r>
        <w:t xml:space="preserve">Section 11: </w:t>
      </w:r>
      <w:commentRangeStart w:id="400"/>
      <w:r>
        <w:t>Moving</w:t>
      </w:r>
      <w:commentRangeEnd w:id="400"/>
      <w:r w:rsidR="00BF03F4">
        <w:rPr>
          <w:rStyle w:val="CommentReference"/>
          <w:sz w:val="36"/>
          <w:szCs w:val="36"/>
        </w:rPr>
        <w:commentReference w:id="400"/>
      </w:r>
      <w:r>
        <w:t xml:space="preserve"> Forward and Phase 2</w:t>
      </w:r>
      <w:bookmarkEnd w:id="397"/>
      <w:bookmarkEnd w:id="398"/>
      <w:bookmarkEnd w:id="399"/>
    </w:p>
    <w:p w14:paraId="0000077D" w14:textId="0000077E" w:rsidR="000B0F63" w:rsidRDefault="1BAB210A" w:rsidP="00E40261">
      <w:pPr>
        <w:pStyle w:val="Heading2"/>
        <w:jc w:val="both"/>
      </w:pPr>
      <w:bookmarkStart w:id="405" w:name="_Toc224"/>
      <w:bookmarkStart w:id="406" w:name="_Toc227771008"/>
      <w:r>
        <w:t>What This Section Does</w:t>
      </w:r>
      <w:bookmarkEnd w:id="405"/>
      <w:bookmarkEnd w:id="406"/>
    </w:p>
    <w:p w14:paraId="0000077F" w14:textId="00000780" w:rsidR="000B0F63" w:rsidRDefault="00C05D22" w:rsidP="00E40261">
      <w:pPr>
        <w:jc w:val="both"/>
      </w:pPr>
      <w:r>
        <w:t xml:space="preserve">This section answers 'so what, now what'. It covers the business case, decision guidance for the </w:t>
      </w:r>
      <w:proofErr w:type="spellStart"/>
      <w:r>
        <w:t>hyperscaler</w:t>
      </w:r>
      <w:proofErr w:type="spellEnd"/>
      <w:r>
        <w:t xml:space="preserve"> presentations DMG Media is about to receive, the foundational actions needed to prepare for migration, the concrete shape of Phase 2, and the risk of not proceeding.</w:t>
      </w:r>
    </w:p>
    <w:p w14:paraId="00000781" w14:textId="00000782" w:rsidR="000B0F63" w:rsidRDefault="1BAB210A" w:rsidP="00E40261">
      <w:pPr>
        <w:pStyle w:val="Heading2"/>
        <w:jc w:val="both"/>
      </w:pPr>
      <w:bookmarkStart w:id="407" w:name="_Toc225"/>
      <w:bookmarkStart w:id="408" w:name="_Toc227771009"/>
      <w:r>
        <w:t xml:space="preserve">The Business </w:t>
      </w:r>
      <w:commentRangeStart w:id="409"/>
      <w:r>
        <w:t>Case</w:t>
      </w:r>
      <w:bookmarkEnd w:id="407"/>
      <w:bookmarkEnd w:id="408"/>
      <w:commentRangeEnd w:id="409"/>
      <w:r w:rsidR="003F3ED9">
        <w:rPr>
          <w:rStyle w:val="CommentReference"/>
          <w:sz w:val="32"/>
          <w:szCs w:val="32"/>
        </w:rPr>
        <w:commentReference w:id="409"/>
      </w:r>
    </w:p>
    <w:p w14:paraId="00000783" w14:textId="2E7278B6" w:rsidR="000B0F63" w:rsidRDefault="00C05D22" w:rsidP="00EC2FA3">
      <w:pPr>
        <w:pStyle w:val="ListBullet"/>
        <w:numPr>
          <w:ilvl w:val="0"/>
          <w:numId w:val="38"/>
        </w:numPr>
        <w:jc w:val="both"/>
      </w:pPr>
      <w:r>
        <w:rPr>
          <w:b/>
          <w:bCs/>
        </w:rPr>
        <w:t xml:space="preserve">Cost of doing nothing: </w:t>
      </w:r>
      <w:r w:rsidRPr="00426DE8">
        <w:t xml:space="preserve">approximately </w:t>
      </w:r>
      <w:r w:rsidR="00312BB7">
        <w:t>£</w:t>
      </w:r>
      <w:r w:rsidRPr="00426DE8">
        <w:t xml:space="preserve">3.64 million per year (the on-premises </w:t>
      </w:r>
      <w:proofErr w:type="spellStart"/>
      <w:r w:rsidRPr="00426DE8">
        <w:t>annualised</w:t>
      </w:r>
      <w:proofErr w:type="spellEnd"/>
      <w:r w:rsidRPr="00426DE8">
        <w:t xml:space="preserve"> cost)</w:t>
      </w:r>
      <w:proofErr w:type="gramStart"/>
      <w:r w:rsidRPr="00426DE8">
        <w:t xml:space="preserve"> not includ</w:t>
      </w:r>
      <w:r w:rsidR="005E2667">
        <w:t>ing</w:t>
      </w:r>
      <w:proofErr w:type="gramEnd"/>
      <w:r w:rsidRPr="00426DE8">
        <w:t xml:space="preserve"> Broadcom VCF subscription cost</w:t>
      </w:r>
      <w:r w:rsidR="005E2667">
        <w:t xml:space="preserve">, until the </w:t>
      </w:r>
      <w:r w:rsidRPr="00426DE8">
        <w:t>next hardware refresh cycle</w:t>
      </w:r>
      <w:r w:rsidR="005E2667">
        <w:t xml:space="preserve"> which will require a large capital </w:t>
      </w:r>
      <w:commentRangeStart w:id="410"/>
      <w:commentRangeStart w:id="411"/>
      <w:r w:rsidR="005E2667">
        <w:t>outlay</w:t>
      </w:r>
      <w:commentRangeEnd w:id="410"/>
      <w:r w:rsidR="00F12A44">
        <w:rPr>
          <w:rStyle w:val="CommentReference"/>
          <w:sz w:val="22"/>
          <w:szCs w:val="24"/>
        </w:rPr>
        <w:commentReference w:id="410"/>
      </w:r>
      <w:commentRangeEnd w:id="411"/>
      <w:r>
        <w:rPr>
          <w:rStyle w:val="CommentReference"/>
          <w:sz w:val="22"/>
          <w:szCs w:val="24"/>
        </w:rPr>
        <w:commentReference w:id="411"/>
      </w:r>
      <w:r w:rsidR="005E2667">
        <w:t>.</w:t>
      </w:r>
    </w:p>
    <w:p w14:paraId="00000785" w14:textId="19574536" w:rsidR="000B0F63" w:rsidRDefault="00C05D22" w:rsidP="00EC2FA3">
      <w:pPr>
        <w:pStyle w:val="ListBullet"/>
        <w:numPr>
          <w:ilvl w:val="0"/>
          <w:numId w:val="38"/>
        </w:numPr>
        <w:jc w:val="both"/>
      </w:pPr>
      <w:r>
        <w:rPr>
          <w:b/>
          <w:bCs/>
        </w:rPr>
        <w:t>Cost of cloud</w:t>
      </w:r>
      <w:r w:rsidR="00426DE8">
        <w:rPr>
          <w:b/>
          <w:bCs/>
        </w:rPr>
        <w:t>:</w:t>
      </w:r>
      <w:r>
        <w:rPr>
          <w:b/>
          <w:bCs/>
        </w:rPr>
        <w:t xml:space="preserve"> </w:t>
      </w:r>
      <w:r w:rsidRPr="00426DE8">
        <w:t xml:space="preserve">Complete View with indicative egress, London, 3-year committed, SA assumed): GCP approximately </w:t>
      </w:r>
      <w:r w:rsidR="00312BB7">
        <w:t>£</w:t>
      </w:r>
      <w:r w:rsidRPr="00426DE8">
        <w:t xml:space="preserve">3.17M/yr, AWS approximately </w:t>
      </w:r>
      <w:r w:rsidR="00312BB7">
        <w:t>£</w:t>
      </w:r>
      <w:r w:rsidRPr="00426DE8">
        <w:t xml:space="preserve">3.29M/yr, Azure approximately </w:t>
      </w:r>
      <w:r w:rsidR="00312BB7">
        <w:t>£</w:t>
      </w:r>
      <w:r w:rsidRPr="00426DE8">
        <w:t>4.19M/yr.</w:t>
      </w:r>
    </w:p>
    <w:p w14:paraId="00000787" w14:textId="16AF24F1" w:rsidR="000B0F63" w:rsidRDefault="00C05D22" w:rsidP="00EC2FA3">
      <w:pPr>
        <w:pStyle w:val="ListBullet"/>
        <w:numPr>
          <w:ilvl w:val="0"/>
          <w:numId w:val="38"/>
        </w:numPr>
        <w:jc w:val="both"/>
      </w:pPr>
      <w:r>
        <w:rPr>
          <w:b/>
          <w:bCs/>
        </w:rPr>
        <w:t xml:space="preserve">Savings opportunity: </w:t>
      </w:r>
      <w:r w:rsidRPr="003F3ED9">
        <w:t xml:space="preserve">approximately </w:t>
      </w:r>
      <w:r w:rsidR="00312BB7">
        <w:t>£</w:t>
      </w:r>
      <w:r w:rsidRPr="003F3ED9">
        <w:t xml:space="preserve">340-460K/yr from GCP or AWS Complete View versus on-premises baseline. Oracle </w:t>
      </w:r>
      <w:proofErr w:type="spellStart"/>
      <w:r w:rsidRPr="003F3ED9">
        <w:t>modernisation</w:t>
      </w:r>
      <w:proofErr w:type="spellEnd"/>
      <w:r w:rsidRPr="003F3ED9">
        <w:t xml:space="preserve"> adds </w:t>
      </w:r>
      <w:r w:rsidR="00312BB7">
        <w:t>£</w:t>
      </w:r>
      <w:r w:rsidRPr="003F3ED9">
        <w:t>45-65K/</w:t>
      </w:r>
      <w:proofErr w:type="spellStart"/>
      <w:r w:rsidRPr="003F3ED9">
        <w:t>mo</w:t>
      </w:r>
      <w:proofErr w:type="spellEnd"/>
      <w:r w:rsidRPr="003F3ED9">
        <w:t xml:space="preserve"> </w:t>
      </w:r>
      <w:r w:rsidR="000C108A" w:rsidRPr="003F3ED9">
        <w:t>(</w:t>
      </w:r>
      <w:r w:rsidR="00312BB7">
        <w:t>£</w:t>
      </w:r>
      <w:r w:rsidRPr="003F3ED9">
        <w:t xml:space="preserve">540-780K/yr) </w:t>
      </w:r>
      <w:proofErr w:type="gramStart"/>
      <w:r w:rsidRPr="003F3ED9">
        <w:t>on top</w:t>
      </w:r>
      <w:proofErr w:type="gramEnd"/>
      <w:r w:rsidRPr="003F3ED9">
        <w:t xml:space="preserve"> if the PostgreSQL path is chosen in Phase 2.</w:t>
      </w:r>
    </w:p>
    <w:p w14:paraId="00000789" w14:textId="0000078A" w:rsidR="000B0F63" w:rsidRDefault="00C05D22" w:rsidP="00EC2FA3">
      <w:pPr>
        <w:pStyle w:val="ListBullet"/>
        <w:numPr>
          <w:ilvl w:val="0"/>
          <w:numId w:val="38"/>
        </w:numPr>
        <w:jc w:val="both"/>
      </w:pPr>
      <w:r>
        <w:rPr>
          <w:b/>
          <w:bCs/>
        </w:rPr>
        <w:t xml:space="preserve">What is missing: </w:t>
      </w:r>
      <w:r w:rsidRPr="003F3ED9">
        <w:t xml:space="preserve">migration cost (one-time </w:t>
      </w:r>
      <w:proofErr w:type="spellStart"/>
      <w:r w:rsidRPr="003F3ED9">
        <w:t>labour</w:t>
      </w:r>
      <w:proofErr w:type="spellEnd"/>
      <w:r w:rsidRPr="003F3ED9">
        <w:t xml:space="preserve"> and credits), dual-run cost (on-premises and cloud operating in parallel during transition), and </w:t>
      </w:r>
      <w:proofErr w:type="spellStart"/>
      <w:r w:rsidRPr="003F3ED9">
        <w:t>hyperscaler</w:t>
      </w:r>
      <w:proofErr w:type="spellEnd"/>
      <w:r w:rsidRPr="003F3ED9">
        <w:t xml:space="preserve"> commercial offers (MAP credits, partner discounts, EA concessions).</w:t>
      </w:r>
    </w:p>
    <w:p w14:paraId="0000078B" w14:textId="0000078C" w:rsidR="000B0F63" w:rsidRDefault="00C05D22" w:rsidP="00E40261">
      <w:pPr>
        <w:pStyle w:val="InsetText"/>
        <w:jc w:val="both"/>
      </w:pPr>
      <w:r>
        <w:t xml:space="preserve">[PENDING: Year 1 financial picture. Without migration effort estimates, a dual-run schedule, and </w:t>
      </w:r>
      <w:proofErr w:type="spellStart"/>
      <w:r>
        <w:t>hyperscaler</w:t>
      </w:r>
      <w:proofErr w:type="spellEnd"/>
      <w:r>
        <w:t xml:space="preserve"> </w:t>
      </w:r>
      <w:commentRangeStart w:id="412"/>
      <w:r>
        <w:t>commercial</w:t>
      </w:r>
      <w:commentRangeEnd w:id="412"/>
      <w:r w:rsidR="004A103C">
        <w:rPr>
          <w:rStyle w:val="CommentReference"/>
          <w:sz w:val="22"/>
          <w:szCs w:val="22"/>
        </w:rPr>
        <w:commentReference w:id="412"/>
      </w:r>
      <w:r>
        <w:t xml:space="preserve"> offers, a credible Year 1 cost forecast cannot be produced.]</w:t>
      </w:r>
    </w:p>
    <w:p w14:paraId="0000078D" w14:textId="0000078E" w:rsidR="000B0F63" w:rsidRDefault="1BAB210A" w:rsidP="00E40261">
      <w:pPr>
        <w:pStyle w:val="Heading2"/>
        <w:jc w:val="both"/>
      </w:pPr>
      <w:bookmarkStart w:id="413" w:name="_Toc226"/>
      <w:bookmarkStart w:id="414" w:name="_Toc227771010"/>
      <w:r>
        <w:t xml:space="preserve">Decision </w:t>
      </w:r>
      <w:commentRangeStart w:id="415"/>
      <w:r>
        <w:t xml:space="preserve">Guidance </w:t>
      </w:r>
      <w:commentRangeEnd w:id="415"/>
      <w:r w:rsidR="00255F15">
        <w:rPr>
          <w:rStyle w:val="CommentReference"/>
          <w:sz w:val="32"/>
          <w:szCs w:val="32"/>
        </w:rPr>
        <w:commentReference w:id="415"/>
      </w:r>
      <w:r>
        <w:t>For Hyperscaler Presentations</w:t>
      </w:r>
      <w:bookmarkEnd w:id="413"/>
      <w:bookmarkEnd w:id="414"/>
    </w:p>
    <w:p w14:paraId="0000078F" w14:textId="00000790" w:rsidR="000B0F63" w:rsidRDefault="1BAB210A" w:rsidP="00E40261">
      <w:pPr>
        <w:pStyle w:val="Heading3"/>
        <w:jc w:val="both"/>
      </w:pPr>
      <w:bookmarkStart w:id="416" w:name="_Toc227"/>
      <w:bookmarkStart w:id="417" w:name="_Toc227771011"/>
      <w:r>
        <w:t>Questions that reveal whether they understand your situation</w:t>
      </w:r>
      <w:bookmarkEnd w:id="416"/>
      <w:bookmarkEnd w:id="417"/>
    </w:p>
    <w:p w14:paraId="00000791" w14:textId="00000792" w:rsidR="000B0F63" w:rsidRDefault="00C05D22" w:rsidP="00EC2FA3">
      <w:pPr>
        <w:pStyle w:val="ListBullet"/>
        <w:numPr>
          <w:ilvl w:val="0"/>
          <w:numId w:val="39"/>
        </w:numPr>
        <w:jc w:val="both"/>
      </w:pPr>
      <w:r>
        <w:t xml:space="preserve">'What is your answer </w:t>
      </w:r>
      <w:proofErr w:type="gramStart"/>
      <w:r>
        <w:t>for</w:t>
      </w:r>
      <w:proofErr w:type="gramEnd"/>
      <w:r>
        <w:t xml:space="preserve"> Oracle?' (not 'how much would it cost to run Oracle on our cloud', but the whole path)</w:t>
      </w:r>
    </w:p>
    <w:p w14:paraId="00000793" w14:textId="00000794" w:rsidR="000B0F63" w:rsidRDefault="00C05D22" w:rsidP="00EC2FA3">
      <w:pPr>
        <w:pStyle w:val="ListBullet"/>
        <w:numPr>
          <w:ilvl w:val="0"/>
          <w:numId w:val="39"/>
        </w:numPr>
        <w:jc w:val="both"/>
      </w:pPr>
      <w:r>
        <w:t>'How have you sized our workloads?' (does their methodology match the others?)</w:t>
      </w:r>
    </w:p>
    <w:p w14:paraId="00000795" w14:textId="00000796" w:rsidR="000B0F63" w:rsidRDefault="00C05D22" w:rsidP="00EC2FA3">
      <w:pPr>
        <w:pStyle w:val="ListBullet"/>
        <w:numPr>
          <w:ilvl w:val="0"/>
          <w:numId w:val="39"/>
        </w:numPr>
        <w:jc w:val="both"/>
      </w:pPr>
      <w:r>
        <w:t>'What does BYOL look like for our Server 2022 estate?' (only Azure AHB works without the October 2019 Listed Provider restrictions)</w:t>
      </w:r>
    </w:p>
    <w:p w14:paraId="00000797" w14:textId="00000798" w:rsidR="000B0F63" w:rsidRDefault="00C05D22" w:rsidP="00EC2FA3">
      <w:pPr>
        <w:pStyle w:val="ListBullet"/>
        <w:numPr>
          <w:ilvl w:val="0"/>
          <w:numId w:val="39"/>
        </w:numPr>
        <w:jc w:val="both"/>
      </w:pPr>
      <w:r>
        <w:t>'What is your commercial offer?' (private pricing, MAP/EA credits, partner pricing)</w:t>
      </w:r>
    </w:p>
    <w:p w14:paraId="00000799" w14:textId="0000079A" w:rsidR="000B0F63" w:rsidRDefault="00C05D22" w:rsidP="00EC2FA3">
      <w:pPr>
        <w:pStyle w:val="ListBullet"/>
        <w:numPr>
          <w:ilvl w:val="0"/>
          <w:numId w:val="39"/>
        </w:numPr>
        <w:jc w:val="both"/>
      </w:pPr>
      <w:r>
        <w:t>'Who owns Day 2 operations?' (vendor, your team, Rackspace, a combination)</w:t>
      </w:r>
    </w:p>
    <w:p w14:paraId="0000079B" w14:textId="0000079C" w:rsidR="000B0F63" w:rsidRDefault="1BAB210A" w:rsidP="00E40261">
      <w:pPr>
        <w:pStyle w:val="Heading3"/>
        <w:jc w:val="both"/>
      </w:pPr>
      <w:bookmarkStart w:id="418" w:name="_Toc228"/>
      <w:bookmarkStart w:id="419" w:name="_Toc227771012"/>
      <w:r>
        <w:t>Warning signs</w:t>
      </w:r>
      <w:bookmarkEnd w:id="418"/>
      <w:bookmarkEnd w:id="419"/>
    </w:p>
    <w:p w14:paraId="0000079D" w14:textId="0000079E" w:rsidR="000B0F63" w:rsidRDefault="00C05D22" w:rsidP="00EC2FA3">
      <w:pPr>
        <w:pStyle w:val="ListBullet"/>
        <w:numPr>
          <w:ilvl w:val="0"/>
          <w:numId w:val="40"/>
        </w:numPr>
        <w:jc w:val="both"/>
      </w:pPr>
      <w:r>
        <w:t>All-5 self-rating on evaluation criteria without specific DMG-grounded justification</w:t>
      </w:r>
    </w:p>
    <w:p w14:paraId="0000079F" w14:textId="000007A0" w:rsidR="000B0F63" w:rsidRDefault="00C05D22" w:rsidP="00EC2FA3">
      <w:pPr>
        <w:pStyle w:val="ListBullet"/>
        <w:numPr>
          <w:ilvl w:val="0"/>
          <w:numId w:val="40"/>
        </w:numPr>
        <w:jc w:val="both"/>
      </w:pPr>
      <w:r>
        <w:t>Cost figures that do not include Oracle, SQL Server licensing, or support</w:t>
      </w:r>
    </w:p>
    <w:p w14:paraId="000007A1" w14:textId="000007A2" w:rsidR="000B0F63" w:rsidRDefault="00C05D22" w:rsidP="00EC2FA3">
      <w:pPr>
        <w:pStyle w:val="ListBullet"/>
        <w:numPr>
          <w:ilvl w:val="0"/>
          <w:numId w:val="40"/>
        </w:numPr>
        <w:jc w:val="both"/>
      </w:pPr>
      <w:r>
        <w:t>Proposals that ignore your Software Assurance status</w:t>
      </w:r>
    </w:p>
    <w:p w14:paraId="000007A3" w14:textId="000007A4" w:rsidR="000B0F63" w:rsidRDefault="00C05D22" w:rsidP="00EC2FA3">
      <w:pPr>
        <w:pStyle w:val="ListBullet"/>
        <w:numPr>
          <w:ilvl w:val="0"/>
          <w:numId w:val="40"/>
        </w:numPr>
        <w:jc w:val="both"/>
      </w:pPr>
      <w:r>
        <w:t>Sizing that uses only their own tool without API cross-validation</w:t>
      </w:r>
    </w:p>
    <w:p w14:paraId="000007A5" w14:textId="000007A6" w:rsidR="000B0F63" w:rsidRDefault="00C05D22" w:rsidP="00EC2FA3">
      <w:pPr>
        <w:pStyle w:val="ListBullet"/>
        <w:numPr>
          <w:ilvl w:val="0"/>
          <w:numId w:val="40"/>
        </w:numPr>
        <w:jc w:val="both"/>
      </w:pPr>
      <w:r>
        <w:t>Year 1 savings claims without acknowledging dual-run cost</w:t>
      </w:r>
    </w:p>
    <w:p w14:paraId="000007A7" w14:textId="000007A8" w:rsidR="000B0F63" w:rsidRDefault="1BAB210A" w:rsidP="00E40261">
      <w:pPr>
        <w:pStyle w:val="Heading2"/>
        <w:jc w:val="both"/>
      </w:pPr>
      <w:bookmarkStart w:id="420" w:name="_Toc229"/>
      <w:bookmarkStart w:id="421" w:name="_Toc227771013"/>
      <w:r>
        <w:t xml:space="preserve">What DMG Needs </w:t>
      </w:r>
      <w:proofErr w:type="gramStart"/>
      <w:r>
        <w:t>To</w:t>
      </w:r>
      <w:proofErr w:type="gramEnd"/>
      <w:r>
        <w:t xml:space="preserve"> Do Now</w:t>
      </w:r>
      <w:bookmarkEnd w:id="420"/>
      <w:bookmarkEnd w:id="421"/>
    </w:p>
    <w:p w14:paraId="000007A9" w14:textId="000007AA" w:rsidR="000B0F63" w:rsidRDefault="1BAB210A" w:rsidP="00E40261">
      <w:pPr>
        <w:pStyle w:val="Heading3"/>
        <w:jc w:val="both"/>
      </w:pPr>
      <w:bookmarkStart w:id="422" w:name="_Toc230"/>
      <w:bookmarkStart w:id="423" w:name="_Toc227771014"/>
      <w:r>
        <w:t>Data and inputs still needed</w:t>
      </w:r>
      <w:bookmarkEnd w:id="422"/>
      <w:bookmarkEnd w:id="423"/>
    </w:p>
    <w:p w14:paraId="000007AB" w14:textId="000007AC" w:rsidR="000B0F63" w:rsidRDefault="00C05D22" w:rsidP="00EC2FA3">
      <w:pPr>
        <w:pStyle w:val="ListBullet"/>
        <w:numPr>
          <w:ilvl w:val="0"/>
          <w:numId w:val="41"/>
        </w:numPr>
        <w:jc w:val="both"/>
      </w:pPr>
      <w:r>
        <w:t xml:space="preserve">Microsoft Software Assurance formal confirmation from </w:t>
      </w:r>
      <w:commentRangeStart w:id="424"/>
      <w:proofErr w:type="spellStart"/>
      <w:r>
        <w:t>Bluesource</w:t>
      </w:r>
      <w:proofErr w:type="spellEnd"/>
      <w:r>
        <w:t xml:space="preserve"> </w:t>
      </w:r>
      <w:commentRangeEnd w:id="424"/>
      <w:r w:rsidR="006860A9">
        <w:rPr>
          <w:rStyle w:val="CommentReference"/>
          <w:sz w:val="22"/>
          <w:szCs w:val="24"/>
        </w:rPr>
        <w:commentReference w:id="424"/>
      </w:r>
      <w:r>
        <w:t>(Complete View assumes SA in place)</w:t>
      </w:r>
    </w:p>
    <w:p w14:paraId="000007AD" w14:textId="000007AE" w:rsidR="000B0F63" w:rsidRDefault="00C05D22" w:rsidP="00EC2FA3">
      <w:pPr>
        <w:pStyle w:val="ListBullet"/>
        <w:numPr>
          <w:ilvl w:val="0"/>
          <w:numId w:val="41"/>
        </w:numPr>
        <w:jc w:val="both"/>
      </w:pPr>
      <w:r>
        <w:t>Broadcom VCF subscription quote (completes the 'cost of doing nothing' picture)</w:t>
      </w:r>
    </w:p>
    <w:p w14:paraId="000007AF" w14:textId="000007B0" w:rsidR="000B0F63" w:rsidRDefault="00C05D22" w:rsidP="00EC2FA3">
      <w:pPr>
        <w:pStyle w:val="ListBullet"/>
        <w:numPr>
          <w:ilvl w:val="0"/>
          <w:numId w:val="41"/>
        </w:numPr>
        <w:jc w:val="both"/>
      </w:pPr>
      <w:r>
        <w:t>MOL B-cluster DMA collection (largest database; currently sized from provisioned hardware specification only)</w:t>
      </w:r>
    </w:p>
    <w:p w14:paraId="000007B1" w14:textId="000007B2" w:rsidR="000B0F63" w:rsidRDefault="1BAB210A" w:rsidP="00E40261">
      <w:pPr>
        <w:pStyle w:val="Heading3"/>
        <w:jc w:val="both"/>
      </w:pPr>
      <w:bookmarkStart w:id="425" w:name="_Toc231"/>
      <w:bookmarkStart w:id="426" w:name="_Toc227771015"/>
      <w:r>
        <w:t>Decisions to make</w:t>
      </w:r>
      <w:bookmarkEnd w:id="425"/>
      <w:bookmarkEnd w:id="426"/>
    </w:p>
    <w:p w14:paraId="000007B3" w14:textId="000007B4" w:rsidR="000B0F63" w:rsidRDefault="00C05D22" w:rsidP="00EC2FA3">
      <w:pPr>
        <w:pStyle w:val="ListBullet"/>
        <w:numPr>
          <w:ilvl w:val="0"/>
          <w:numId w:val="42"/>
        </w:numPr>
        <w:jc w:val="both"/>
      </w:pPr>
      <w:r>
        <w:t xml:space="preserve">Primary platform recommendation (Section 7, </w:t>
      </w:r>
      <w:commentRangeStart w:id="427"/>
      <w:r>
        <w:t>architect-led</w:t>
      </w:r>
      <w:commentRangeEnd w:id="427"/>
      <w:r w:rsidR="00AB10D7">
        <w:rPr>
          <w:rStyle w:val="CommentReference"/>
          <w:sz w:val="22"/>
          <w:szCs w:val="24"/>
        </w:rPr>
        <w:commentReference w:id="427"/>
      </w:r>
      <w:r>
        <w:t>)</w:t>
      </w:r>
    </w:p>
    <w:p w14:paraId="000007B5" w14:textId="000007B6" w:rsidR="000B0F63" w:rsidRDefault="00C05D22" w:rsidP="00EC2FA3">
      <w:pPr>
        <w:pStyle w:val="ListBullet"/>
        <w:numPr>
          <w:ilvl w:val="0"/>
          <w:numId w:val="42"/>
        </w:numPr>
        <w:jc w:val="both"/>
      </w:pPr>
      <w:proofErr w:type="spellStart"/>
      <w:r>
        <w:t>Atex</w:t>
      </w:r>
      <w:proofErr w:type="spellEnd"/>
      <w:r>
        <w:t xml:space="preserve"> multicast path: engage vendor on unicast support (direct cost impact)</w:t>
      </w:r>
    </w:p>
    <w:p w14:paraId="000007B7" w14:textId="000007B8" w:rsidR="000B0F63" w:rsidRDefault="00C05D22" w:rsidP="00EC2FA3">
      <w:pPr>
        <w:pStyle w:val="ListBullet"/>
        <w:numPr>
          <w:ilvl w:val="0"/>
          <w:numId w:val="42"/>
        </w:numPr>
        <w:jc w:val="both"/>
      </w:pPr>
      <w:r>
        <w:t xml:space="preserve">Oracle path commitment: </w:t>
      </w:r>
      <w:proofErr w:type="spellStart"/>
      <w:r>
        <w:t>Exadata@Cloud</w:t>
      </w:r>
      <w:proofErr w:type="spellEnd"/>
      <w:r>
        <w:t xml:space="preserve"> primary, PostgreSQL strategic decision timing</w:t>
      </w:r>
    </w:p>
    <w:p w14:paraId="000007B9" w14:textId="000007BA" w:rsidR="000B0F63" w:rsidRDefault="1BAB210A" w:rsidP="00E40261">
      <w:pPr>
        <w:pStyle w:val="Heading2"/>
        <w:jc w:val="both"/>
      </w:pPr>
      <w:bookmarkStart w:id="428" w:name="_Toc232"/>
      <w:bookmarkStart w:id="429" w:name="_Toc227771016"/>
      <w:r>
        <w:t>Foundational Actions</w:t>
      </w:r>
      <w:bookmarkEnd w:id="428"/>
      <w:bookmarkEnd w:id="429"/>
    </w:p>
    <w:p w14:paraId="000007BB" w14:textId="000007BC" w:rsidR="000B0F63" w:rsidRDefault="1BAB210A" w:rsidP="00E40261">
      <w:pPr>
        <w:pStyle w:val="Heading3"/>
        <w:jc w:val="both"/>
      </w:pPr>
      <w:bookmarkStart w:id="430" w:name="_Toc233"/>
      <w:bookmarkStart w:id="431" w:name="_Toc227771017"/>
      <w:r>
        <w:t>Modernise legacy operating systems</w:t>
      </w:r>
      <w:bookmarkEnd w:id="430"/>
      <w:bookmarkEnd w:id="431"/>
    </w:p>
    <w:p w14:paraId="000007BD" w14:textId="000007BE" w:rsidR="000B0F63" w:rsidRDefault="00C05D22" w:rsidP="00E40261">
      <w:pPr>
        <w:jc w:val="both"/>
      </w:pPr>
      <w:r>
        <w:t xml:space="preserve">Older OS versions cannot be lifted to cloud as-is. </w:t>
      </w:r>
      <w:proofErr w:type="spellStart"/>
      <w:r>
        <w:t>Replatforming</w:t>
      </w:r>
      <w:proofErr w:type="spellEnd"/>
      <w:r>
        <w:t xml:space="preserve"> to supported versions is a per-server activity. Starting early avoids it becoming a critical path blocker.</w:t>
      </w:r>
    </w:p>
    <w:p w14:paraId="000007BF" w14:textId="000007C0" w:rsidR="000B0F63" w:rsidRDefault="1BAB210A" w:rsidP="00E40261">
      <w:pPr>
        <w:pStyle w:val="Heading3"/>
        <w:jc w:val="both"/>
      </w:pPr>
      <w:bookmarkStart w:id="432" w:name="_Toc234"/>
      <w:bookmarkStart w:id="433" w:name="_Toc227771018"/>
      <w:r>
        <w:t>Establish cloud governance</w:t>
      </w:r>
      <w:bookmarkEnd w:id="432"/>
      <w:bookmarkEnd w:id="433"/>
    </w:p>
    <w:p w14:paraId="000007C1" w14:textId="000007C2" w:rsidR="000B0F63" w:rsidRDefault="00C05D22" w:rsidP="00E40261">
      <w:pPr>
        <w:jc w:val="both"/>
      </w:pPr>
      <w:r>
        <w:t>Define the cloud operating model before migrating workloads: who provisions, who approves, who pays. Establish tagging and labelling standards for cost attribution. Implement FinOps practice from day one. Define security baselines and compliance requirements.</w:t>
      </w:r>
    </w:p>
    <w:p w14:paraId="000007C3" w14:textId="000007C4" w:rsidR="000B0F63" w:rsidRDefault="1BAB210A" w:rsidP="00E40261">
      <w:pPr>
        <w:pStyle w:val="Heading3"/>
        <w:jc w:val="both"/>
      </w:pPr>
      <w:bookmarkStart w:id="434" w:name="_Toc235"/>
      <w:bookmarkStart w:id="435" w:name="_Toc227771019"/>
      <w:r>
        <w:t>Prepare the cloud landing zone</w:t>
      </w:r>
      <w:bookmarkEnd w:id="434"/>
      <w:bookmarkEnd w:id="435"/>
    </w:p>
    <w:p w14:paraId="000007C5" w14:textId="000007C6" w:rsidR="000B0F63" w:rsidRDefault="00C05D22" w:rsidP="00E40261">
      <w:pPr>
        <w:jc w:val="both"/>
      </w:pPr>
      <w:r>
        <w:t>A cloud landing zone is the standardised environment into which workloads are migrated. It includes network topology, IAM, security controls, logging and monitoring foundations, and cost management. Getting the landing zone right before migration begins avoids expensive redesign once workloads are running.</w:t>
      </w:r>
    </w:p>
    <w:p w14:paraId="000007C7" w14:textId="000007C8" w:rsidR="000B0F63" w:rsidRDefault="1BAB210A" w:rsidP="00E40261">
      <w:pPr>
        <w:pStyle w:val="Heading3"/>
        <w:jc w:val="both"/>
      </w:pPr>
      <w:bookmarkStart w:id="436" w:name="_Toc236"/>
      <w:bookmarkStart w:id="437" w:name="_Toc227771020"/>
      <w:r>
        <w:t>Adopt automation tooling</w:t>
      </w:r>
      <w:bookmarkEnd w:id="436"/>
      <w:bookmarkEnd w:id="437"/>
    </w:p>
    <w:p w14:paraId="000007C9" w14:textId="000007CA" w:rsidR="000B0F63" w:rsidRDefault="00C05D22" w:rsidP="00E40261">
      <w:pPr>
        <w:jc w:val="both"/>
      </w:pPr>
      <w:r>
        <w:t>Infrastructure-as-Code for all resource provisioning. CI/CD pipelines for infrastructure deployment. Automated compliance checking (policy-as-code). Cloud-native monitoring and alerting to replace SolarWinds and Zabbix.</w:t>
      </w:r>
    </w:p>
    <w:p w14:paraId="000007CB" w14:textId="000007CC" w:rsidR="000B0F63" w:rsidRDefault="1BAB210A" w:rsidP="00E40261">
      <w:pPr>
        <w:pStyle w:val="Heading3"/>
        <w:jc w:val="both"/>
      </w:pPr>
      <w:bookmarkStart w:id="438" w:name="_Toc237"/>
      <w:bookmarkStart w:id="439" w:name="_Toc227771021"/>
      <w:r>
        <w:t>Staff training</w:t>
      </w:r>
      <w:bookmarkEnd w:id="438"/>
      <w:bookmarkEnd w:id="439"/>
    </w:p>
    <w:p w14:paraId="000007CD" w14:textId="000007CE" w:rsidR="000B0F63" w:rsidRDefault="00C05D22" w:rsidP="00E40261">
      <w:pPr>
        <w:jc w:val="both"/>
      </w:pPr>
      <w:r>
        <w:t>Cloud platform certification programme for the infrastructure team. Kubernetes training to support the container strategy. FinOps training for finance and technology leadership. Security training for the cloud-native security model.</w:t>
      </w:r>
    </w:p>
    <w:p w14:paraId="000007CF" w14:textId="000007D0" w:rsidR="000B0F63" w:rsidRDefault="1BAB210A" w:rsidP="00E40261">
      <w:pPr>
        <w:pStyle w:val="Heading2"/>
        <w:jc w:val="both"/>
      </w:pPr>
      <w:bookmarkStart w:id="440" w:name="_Toc238"/>
      <w:bookmarkStart w:id="441" w:name="_Toc227771022"/>
      <w:r>
        <w:t>Phase 2 Entry Point</w:t>
      </w:r>
      <w:bookmarkEnd w:id="440"/>
      <w:bookmarkEnd w:id="441"/>
    </w:p>
    <w:p w14:paraId="000007D1" w14:textId="000007D2" w:rsidR="000B0F63" w:rsidRDefault="00C05D22" w:rsidP="00E40261">
      <w:pPr>
        <w:jc w:val="both"/>
      </w:pPr>
      <w:r>
        <w:t>Phase 2 is the next engagement. It turns the Phase 1 assessment and recommendation into a concrete migration plan. Phase 2 does not execute migration; migration execution happens in subsequent engagements against the Phase 2 plan.</w:t>
      </w:r>
    </w:p>
    <w:p w14:paraId="000007D3" w14:textId="000007D4" w:rsidR="000B0F63" w:rsidRDefault="1BAB210A" w:rsidP="00E40261">
      <w:pPr>
        <w:pStyle w:val="Heading3"/>
        <w:jc w:val="both"/>
      </w:pPr>
      <w:bookmarkStart w:id="442" w:name="_Toc239"/>
      <w:bookmarkStart w:id="443" w:name="_Toc227771023"/>
      <w:r>
        <w:t>Phase 2 scope areas (</w:t>
      </w:r>
      <w:commentRangeStart w:id="444"/>
      <w:r>
        <w:t>indicative</w:t>
      </w:r>
      <w:commentRangeEnd w:id="444"/>
      <w:r w:rsidR="006F5E3D">
        <w:rPr>
          <w:rStyle w:val="CommentReference"/>
          <w:sz w:val="28"/>
          <w:szCs w:val="28"/>
        </w:rPr>
        <w:commentReference w:id="444"/>
      </w:r>
      <w:r>
        <w:t>)</w:t>
      </w:r>
      <w:bookmarkEnd w:id="442"/>
      <w:bookmarkEnd w:id="443"/>
    </w:p>
    <w:p w14:paraId="000007D5" w14:textId="000007D6" w:rsidR="000B0F63" w:rsidRDefault="00C05D22" w:rsidP="00EC2FA3">
      <w:pPr>
        <w:pStyle w:val="ListBullet"/>
        <w:numPr>
          <w:ilvl w:val="0"/>
          <w:numId w:val="43"/>
        </w:numPr>
        <w:jc w:val="both"/>
      </w:pPr>
      <w:r w:rsidRPr="000A32D1">
        <w:rPr>
          <w:b/>
        </w:rPr>
        <w:t>Server and application profiling:</w:t>
      </w:r>
      <w:r>
        <w:t xml:space="preserve"> extend assessment to the full 4,</w:t>
      </w:r>
      <w:commentRangeStart w:id="445"/>
      <w:r>
        <w:t>500</w:t>
      </w:r>
      <w:commentRangeEnd w:id="445"/>
      <w:r w:rsidR="000A32D1">
        <w:rPr>
          <w:rStyle w:val="CommentReference"/>
          <w:sz w:val="22"/>
          <w:szCs w:val="24"/>
        </w:rPr>
        <w:commentReference w:id="445"/>
      </w:r>
      <w:r>
        <w:t xml:space="preserve">+ estate. Deep performance </w:t>
      </w:r>
      <w:commentRangeStart w:id="446"/>
      <w:r>
        <w:t>profiling</w:t>
      </w:r>
      <w:commentRangeEnd w:id="446"/>
      <w:r w:rsidR="00723435">
        <w:rPr>
          <w:rStyle w:val="CommentReference"/>
          <w:sz w:val="22"/>
          <w:szCs w:val="24"/>
        </w:rPr>
        <w:commentReference w:id="446"/>
      </w:r>
      <w:r>
        <w:t xml:space="preserve">. MOL sub-component analysis. </w:t>
      </w:r>
      <w:proofErr w:type="spellStart"/>
      <w:r>
        <w:t>Utilisation</w:t>
      </w:r>
      <w:proofErr w:type="spellEnd"/>
      <w:r>
        <w:t>-based right-sizing recommendations.</w:t>
      </w:r>
    </w:p>
    <w:p w14:paraId="000007D7" w14:textId="000007D8" w:rsidR="000B0F63" w:rsidRDefault="00C05D22" w:rsidP="00EC2FA3">
      <w:pPr>
        <w:pStyle w:val="ListBullet"/>
        <w:numPr>
          <w:ilvl w:val="0"/>
          <w:numId w:val="43"/>
        </w:numPr>
        <w:jc w:val="both"/>
      </w:pPr>
      <w:r w:rsidRPr="000A32D1">
        <w:rPr>
          <w:b/>
        </w:rPr>
        <w:t xml:space="preserve">Indicative </w:t>
      </w:r>
      <w:proofErr w:type="spellStart"/>
      <w:r w:rsidRPr="000A32D1">
        <w:rPr>
          <w:b/>
        </w:rPr>
        <w:t>modernisation</w:t>
      </w:r>
      <w:proofErr w:type="spellEnd"/>
      <w:r w:rsidRPr="000A32D1">
        <w:rPr>
          <w:b/>
        </w:rPr>
        <w:t xml:space="preserve"> path:</w:t>
      </w:r>
      <w:r>
        <w:t xml:space="preserve"> per-application 7R classification. PaaS candidates. Container candidates. Application </w:t>
      </w:r>
      <w:proofErr w:type="spellStart"/>
      <w:r>
        <w:t>rationalisation</w:t>
      </w:r>
      <w:proofErr w:type="spellEnd"/>
      <w:r>
        <w:t xml:space="preserve"> decisions </w:t>
      </w:r>
      <w:proofErr w:type="spellStart"/>
      <w:r>
        <w:t>finalised</w:t>
      </w:r>
      <w:proofErr w:type="spellEnd"/>
      <w:r>
        <w:t>.</w:t>
      </w:r>
    </w:p>
    <w:p w14:paraId="000007D9" w14:textId="000007DA" w:rsidR="000B0F63" w:rsidRDefault="00C05D22" w:rsidP="00EC2FA3">
      <w:pPr>
        <w:pStyle w:val="ListBullet"/>
        <w:numPr>
          <w:ilvl w:val="0"/>
          <w:numId w:val="43"/>
        </w:numPr>
        <w:jc w:val="both"/>
      </w:pPr>
      <w:r w:rsidRPr="000A32D1">
        <w:rPr>
          <w:b/>
        </w:rPr>
        <w:t>Dependency mapping deep-dive</w:t>
      </w:r>
      <w:r>
        <w:t>: extend network dependency coverage beyond current 27.7%. Validate co-migration groups. Map external dependencies.</w:t>
      </w:r>
    </w:p>
    <w:p w14:paraId="000007DB" w14:textId="000007DC" w:rsidR="000B0F63" w:rsidRDefault="00C05D22" w:rsidP="00EC2FA3">
      <w:pPr>
        <w:pStyle w:val="ListBullet"/>
        <w:numPr>
          <w:ilvl w:val="0"/>
          <w:numId w:val="43"/>
        </w:numPr>
        <w:jc w:val="both"/>
      </w:pPr>
      <w:r w:rsidRPr="000A32D1">
        <w:rPr>
          <w:b/>
        </w:rPr>
        <w:t>Data strategy:</w:t>
      </w:r>
      <w:r>
        <w:t xml:space="preserve"> Oracle </w:t>
      </w:r>
      <w:proofErr w:type="spellStart"/>
      <w:r>
        <w:t>modernisation</w:t>
      </w:r>
      <w:proofErr w:type="spellEnd"/>
      <w:r>
        <w:t xml:space="preserve"> assessment (</w:t>
      </w:r>
      <w:proofErr w:type="gramStart"/>
      <w:r>
        <w:t>highest-value</w:t>
      </w:r>
      <w:proofErr w:type="gramEnd"/>
      <w:r>
        <w:t xml:space="preserve"> workstream). SQL Server per-instance assessment. Data platform architecture.</w:t>
      </w:r>
    </w:p>
    <w:p w14:paraId="000007DD" w14:textId="000007DE" w:rsidR="000B0F63" w:rsidRDefault="00C05D22" w:rsidP="00EC2FA3">
      <w:pPr>
        <w:pStyle w:val="ListBullet"/>
        <w:numPr>
          <w:ilvl w:val="0"/>
          <w:numId w:val="43"/>
        </w:numPr>
        <w:jc w:val="both"/>
      </w:pPr>
      <w:r w:rsidRPr="000A32D1">
        <w:rPr>
          <w:b/>
        </w:rPr>
        <w:t>Infrastructure and security assessment</w:t>
      </w:r>
      <w:r>
        <w:t>: landing zone design. Dedicated security posture assessment.</w:t>
      </w:r>
    </w:p>
    <w:p w14:paraId="000007DF" w14:textId="000007E0" w:rsidR="000B0F63" w:rsidRDefault="00C05D22" w:rsidP="00EC2FA3">
      <w:pPr>
        <w:pStyle w:val="ListBullet"/>
        <w:numPr>
          <w:ilvl w:val="0"/>
          <w:numId w:val="43"/>
        </w:numPr>
        <w:jc w:val="both"/>
      </w:pPr>
      <w:r w:rsidRPr="000A32D1">
        <w:rPr>
          <w:b/>
        </w:rPr>
        <w:t xml:space="preserve">Network and load balancer </w:t>
      </w:r>
      <w:proofErr w:type="spellStart"/>
      <w:r w:rsidRPr="000A32D1">
        <w:rPr>
          <w:b/>
        </w:rPr>
        <w:t>modernisation</w:t>
      </w:r>
      <w:proofErr w:type="spellEnd"/>
      <w:r w:rsidRPr="000A32D1">
        <w:rPr>
          <w:b/>
        </w:rPr>
        <w:t xml:space="preserve"> workstream</w:t>
      </w:r>
      <w:r>
        <w:t xml:space="preserve">: F5 </w:t>
      </w:r>
      <w:proofErr w:type="spellStart"/>
      <w:r>
        <w:t>iRules</w:t>
      </w:r>
      <w:proofErr w:type="spellEnd"/>
      <w:r>
        <w:t xml:space="preserve"> audit, Zeus/Ivanti </w:t>
      </w:r>
      <w:proofErr w:type="spellStart"/>
      <w:r>
        <w:t>vTM</w:t>
      </w:r>
      <w:proofErr w:type="spellEnd"/>
      <w:r>
        <w:t xml:space="preserve"> migration planning, cloud-native load balancing target design, Akamai CDN retention and cloud origin integration.</w:t>
      </w:r>
    </w:p>
    <w:p w14:paraId="000007E1" w14:textId="000007E2" w:rsidR="000B0F63" w:rsidRDefault="00C05D22" w:rsidP="00EC2FA3">
      <w:pPr>
        <w:pStyle w:val="ListBullet"/>
        <w:numPr>
          <w:ilvl w:val="0"/>
          <w:numId w:val="43"/>
        </w:numPr>
        <w:jc w:val="both"/>
      </w:pPr>
      <w:r w:rsidRPr="000A32D1">
        <w:rPr>
          <w:b/>
        </w:rPr>
        <w:t>Security policy migration workstream</w:t>
      </w:r>
      <w:r>
        <w:t xml:space="preserve">: </w:t>
      </w:r>
      <w:proofErr w:type="spellStart"/>
      <w:r>
        <w:t>Guardicore</w:t>
      </w:r>
      <w:proofErr w:type="spellEnd"/>
      <w:r>
        <w:t xml:space="preserve"> micro-segmentation policies. Akamai retention. Firewall rule migration planning.</w:t>
      </w:r>
    </w:p>
    <w:p w14:paraId="000007E3" w14:textId="000007E4" w:rsidR="000B0F63" w:rsidRDefault="00C05D22" w:rsidP="00EC2FA3">
      <w:pPr>
        <w:pStyle w:val="ListBullet"/>
        <w:numPr>
          <w:ilvl w:val="0"/>
          <w:numId w:val="43"/>
        </w:numPr>
        <w:jc w:val="both"/>
      </w:pPr>
      <w:r w:rsidRPr="000A32D1">
        <w:rPr>
          <w:b/>
        </w:rPr>
        <w:t>Backup and data protection workstream</w:t>
      </w:r>
      <w:r>
        <w:t>: Veeam estate inventory, RPO and RTO per application, cloud-native backup options.</w:t>
      </w:r>
    </w:p>
    <w:p w14:paraId="000007E5" w14:textId="7A2DB093" w:rsidR="000B0F63" w:rsidRDefault="00C05D22" w:rsidP="00EC2FA3">
      <w:pPr>
        <w:pStyle w:val="ListBullet"/>
        <w:numPr>
          <w:ilvl w:val="0"/>
          <w:numId w:val="43"/>
        </w:numPr>
        <w:jc w:val="both"/>
      </w:pPr>
      <w:r w:rsidRPr="000A32D1">
        <w:rPr>
          <w:b/>
        </w:rPr>
        <w:t xml:space="preserve">Legacy OS </w:t>
      </w:r>
      <w:proofErr w:type="spellStart"/>
      <w:r w:rsidRPr="000A32D1">
        <w:rPr>
          <w:b/>
        </w:rPr>
        <w:t>modernisation</w:t>
      </w:r>
      <w:proofErr w:type="spellEnd"/>
      <w:r>
        <w:t xml:space="preserve">: specific per-server plan for Solaris, </w:t>
      </w:r>
      <w:r w:rsidR="00446CA3">
        <w:t xml:space="preserve">Ubuntu, </w:t>
      </w:r>
      <w:r>
        <w:t>RHEL 6 / JBoss stacks, and other unsupported versions.</w:t>
      </w:r>
    </w:p>
    <w:p w14:paraId="000007E7" w14:textId="000007E8" w:rsidR="000B0F63" w:rsidRDefault="00C05D22" w:rsidP="00EC2FA3">
      <w:pPr>
        <w:pStyle w:val="ListBullet"/>
        <w:numPr>
          <w:ilvl w:val="0"/>
          <w:numId w:val="43"/>
        </w:numPr>
        <w:jc w:val="both"/>
      </w:pPr>
      <w:r w:rsidRPr="000A32D1">
        <w:rPr>
          <w:b/>
        </w:rPr>
        <w:t>MOL product impact planning</w:t>
      </w:r>
      <w:r>
        <w:t>: expected product velocity during Cohort 3 migration window. Editorial SLOs to defend. Sub-component release train mapping.</w:t>
      </w:r>
    </w:p>
    <w:p w14:paraId="000007E9" w14:textId="000007EA" w:rsidR="000B0F63" w:rsidRDefault="00C05D22" w:rsidP="00EC2FA3">
      <w:pPr>
        <w:pStyle w:val="ListBullet"/>
        <w:numPr>
          <w:ilvl w:val="0"/>
          <w:numId w:val="43"/>
        </w:numPr>
        <w:jc w:val="both"/>
      </w:pPr>
      <w:r w:rsidRPr="000A32D1">
        <w:rPr>
          <w:b/>
        </w:rPr>
        <w:t>High-level release plan</w:t>
      </w:r>
      <w:r>
        <w:t>: migration cohort sequencing with timeline estimates. Co-migration group scheduling. Double-run cost modelling. Risk register.</w:t>
      </w:r>
    </w:p>
    <w:p w14:paraId="000007EB" w14:textId="000007EC" w:rsidR="000B0F63" w:rsidRDefault="00C05D22" w:rsidP="00EC2FA3">
      <w:pPr>
        <w:pStyle w:val="ListBullet"/>
        <w:numPr>
          <w:ilvl w:val="0"/>
          <w:numId w:val="43"/>
        </w:numPr>
        <w:jc w:val="both"/>
      </w:pPr>
      <w:r w:rsidRPr="000A32D1">
        <w:rPr>
          <w:b/>
        </w:rPr>
        <w:t>Cloud preparation planning</w:t>
      </w:r>
      <w:r>
        <w:t>: landing zone design, Cloud Platform Team formation plan, initial staff training roadmap, FinOps tooling selection.</w:t>
      </w:r>
    </w:p>
    <w:p w14:paraId="000007ED" w14:textId="000007EE" w:rsidR="000B0F63" w:rsidRDefault="00C05D22" w:rsidP="00E40261">
      <w:pPr>
        <w:pStyle w:val="InsetText"/>
        <w:jc w:val="both"/>
      </w:pPr>
      <w:r>
        <w:t xml:space="preserve">[PENDING: Phase 2 scope, indicative cost, phases, timelines, and funding are to be delivered in a separate Phase 2 proposal </w:t>
      </w:r>
      <w:commentRangeStart w:id="447"/>
      <w:r>
        <w:t>from</w:t>
      </w:r>
      <w:commentRangeEnd w:id="447"/>
      <w:r w:rsidR="00ED7484">
        <w:rPr>
          <w:rStyle w:val="CommentReference"/>
          <w:sz w:val="22"/>
          <w:szCs w:val="22"/>
        </w:rPr>
        <w:commentReference w:id="447"/>
      </w:r>
      <w:r>
        <w:t xml:space="preserve"> Rackspace's sales team.]</w:t>
      </w:r>
    </w:p>
    <w:p w14:paraId="000007EF" w14:textId="000007F0" w:rsidR="000B0F63" w:rsidRDefault="1BAB210A" w:rsidP="00E40261">
      <w:pPr>
        <w:pStyle w:val="Heading2"/>
        <w:jc w:val="both"/>
      </w:pPr>
      <w:bookmarkStart w:id="448" w:name="_Toc240"/>
      <w:bookmarkStart w:id="449" w:name="_Toc227771024"/>
      <w:r>
        <w:t>Indicative Timeline</w:t>
      </w:r>
      <w:bookmarkEnd w:id="448"/>
      <w:bookmarkEnd w:id="449"/>
    </w:p>
    <w:p w14:paraId="595711FC" w14:textId="77777777" w:rsidR="00A40043" w:rsidRDefault="00A40043" w:rsidP="00A40043">
      <w:pPr>
        <w:jc w:val="both"/>
      </w:pPr>
      <w:r>
        <w:t>The migration programme has three phases: planning, execution, and optimisation.</w:t>
      </w:r>
    </w:p>
    <w:p w14:paraId="1E816D6D" w14:textId="77777777" w:rsidR="00A40043" w:rsidRDefault="00A40043" w:rsidP="00A40043">
      <w:pPr>
        <w:pStyle w:val="ListParagraph"/>
        <w:numPr>
          <w:ilvl w:val="0"/>
          <w:numId w:val="51"/>
        </w:numPr>
        <w:jc w:val="both"/>
      </w:pPr>
      <w:r>
        <w:t>Phase 2 (planning and design) runs approximately 15 weeks. It produces the landing zone design, per-application migration strategies, cohort sequencing, and a realistic datacentre exit plan. Phase 2 is a separately proposed engagement and requires a commercial agreement to begin.</w:t>
      </w:r>
    </w:p>
    <w:p w14:paraId="191D7829" w14:textId="77777777" w:rsidR="00A40043" w:rsidRDefault="00A40043" w:rsidP="00A40043">
      <w:pPr>
        <w:pStyle w:val="ListParagraph"/>
        <w:numPr>
          <w:ilvl w:val="0"/>
          <w:numId w:val="51"/>
        </w:numPr>
        <w:jc w:val="both"/>
      </w:pPr>
      <w:r>
        <w:t xml:space="preserve">Migration execution follows Phase 2 and is expected to run 12 to 18 months depending on the Oracle path decision, </w:t>
      </w:r>
      <w:proofErr w:type="spellStart"/>
      <w:r>
        <w:t>Atex</w:t>
      </w:r>
      <w:proofErr w:type="spellEnd"/>
      <w:r>
        <w:t xml:space="preserve"> unicast confirmation, and the pace at which Customer_App1 sub-components can be sequenced. The UK datacentre leases expire in November 2027. Whether full exit is achievable by that date depends on when Phase 2 starts and how quickly the critical decisions (Oracle path, </w:t>
      </w:r>
      <w:proofErr w:type="spellStart"/>
      <w:r>
        <w:t>Atex</w:t>
      </w:r>
      <w:proofErr w:type="spellEnd"/>
      <w:r>
        <w:t xml:space="preserve"> unicast, CPO/CTO sponsorship for Customer_App1) are made.</w:t>
      </w:r>
    </w:p>
    <w:p w14:paraId="42A15170" w14:textId="77777777" w:rsidR="00A40043" w:rsidRDefault="00A40043" w:rsidP="00A40043">
      <w:pPr>
        <w:pStyle w:val="ListParagraph"/>
        <w:numPr>
          <w:ilvl w:val="0"/>
          <w:numId w:val="51"/>
        </w:numPr>
        <w:jc w:val="both"/>
      </w:pPr>
      <w:r>
        <w:t>Optimisation follows migration and includes FinOps maturity, PostgreSQL modernisation if the path is chosen, and Oracle support contract decisions.</w:t>
      </w:r>
    </w:p>
    <w:p w14:paraId="325E0B9D" w14:textId="77777777" w:rsidR="00A40043" w:rsidRDefault="00A40043" w:rsidP="00A40043">
      <w:pPr>
        <w:ind w:left="360"/>
        <w:jc w:val="both"/>
      </w:pPr>
      <w:r>
        <w:t>The key dependency is Phase 2 start date. Every month of delay compresses the execution window against the November 2027 lease expiry.</w:t>
      </w:r>
    </w:p>
    <w:p w14:paraId="0000082F" w14:textId="00000830" w:rsidR="000B0F63" w:rsidRDefault="1BAB210A" w:rsidP="00E40261">
      <w:pPr>
        <w:pStyle w:val="Heading2"/>
        <w:jc w:val="both"/>
      </w:pPr>
      <w:bookmarkStart w:id="450" w:name="_Toc245"/>
      <w:bookmarkStart w:id="451" w:name="_Toc227771029"/>
      <w:r>
        <w:t>Risk Of Not Proceeding</w:t>
      </w:r>
      <w:bookmarkEnd w:id="450"/>
      <w:bookmarkEnd w:id="451"/>
    </w:p>
    <w:p w14:paraId="00000831" w14:textId="00000832" w:rsidR="000B0F63" w:rsidRDefault="00C05D22" w:rsidP="00E40261">
      <w:pPr>
        <w:jc w:val="both"/>
      </w:pPr>
      <w:commentRangeStart w:id="452"/>
      <w:r>
        <w:t>What happens if DMG defers the decision</w:t>
      </w:r>
      <w:commentRangeEnd w:id="452"/>
      <w:r w:rsidR="00906732">
        <w:rPr>
          <w:rStyle w:val="CommentReference"/>
          <w:sz w:val="22"/>
          <w:szCs w:val="22"/>
        </w:rPr>
        <w:commentReference w:id="452"/>
      </w:r>
      <w:r>
        <w:t>:</w:t>
      </w:r>
    </w:p>
    <w:p w14:paraId="00000833" w14:textId="00000834" w:rsidR="000B0F63" w:rsidRDefault="00C05D22" w:rsidP="00EC2FA3">
      <w:pPr>
        <w:pStyle w:val="ListBullet"/>
        <w:numPr>
          <w:ilvl w:val="0"/>
          <w:numId w:val="44"/>
        </w:numPr>
        <w:jc w:val="both"/>
      </w:pPr>
      <w:r>
        <w:rPr>
          <w:b/>
          <w:bCs/>
        </w:rPr>
        <w:t xml:space="preserve">Contract pressure compounds. </w:t>
      </w:r>
      <w:r w:rsidRPr="000A32D1">
        <w:t>The three converging contracts do not pause. Each renewal cycle re-locks capital. Coordinated exit becomes harder every quarter of delay.</w:t>
      </w:r>
    </w:p>
    <w:p w14:paraId="00000835" w14:textId="00000836" w:rsidR="000B0F63" w:rsidRDefault="00C05D22" w:rsidP="00EC2FA3">
      <w:pPr>
        <w:pStyle w:val="ListBullet"/>
        <w:numPr>
          <w:ilvl w:val="0"/>
          <w:numId w:val="44"/>
        </w:numPr>
        <w:jc w:val="both"/>
      </w:pPr>
      <w:r>
        <w:rPr>
          <w:b/>
          <w:bCs/>
        </w:rPr>
        <w:t xml:space="preserve">Operational fragmentation continues. </w:t>
      </w:r>
      <w:r w:rsidRPr="000A32D1">
        <w:t xml:space="preserve">The seven-area operating model was flagged at kickoff as limiting growth. It continues to limit </w:t>
      </w:r>
      <w:proofErr w:type="gramStart"/>
      <w:r w:rsidRPr="000A32D1">
        <w:t>until</w:t>
      </w:r>
      <w:proofErr w:type="gramEnd"/>
      <w:r w:rsidRPr="000A32D1">
        <w:t xml:space="preserve"> addressed.</w:t>
      </w:r>
    </w:p>
    <w:p w14:paraId="00000837" w14:textId="00000838" w:rsidR="000B0F63" w:rsidRDefault="00C05D22" w:rsidP="00EC2FA3">
      <w:pPr>
        <w:pStyle w:val="ListBullet"/>
        <w:numPr>
          <w:ilvl w:val="0"/>
          <w:numId w:val="44"/>
        </w:numPr>
        <w:jc w:val="both"/>
      </w:pPr>
      <w:r>
        <w:rPr>
          <w:b/>
          <w:bCs/>
        </w:rPr>
        <w:t xml:space="preserve">Subscriber growth ambition becomes harder to support. </w:t>
      </w:r>
      <w:r w:rsidRPr="000A32D1">
        <w:t>Scaling MOL to one million subscribers on fixed-capacity infrastructure requires capital outlay for the next hardware refresh.</w:t>
      </w:r>
    </w:p>
    <w:p w14:paraId="00000839" w14:textId="0000083A" w:rsidR="000B0F63" w:rsidRDefault="00C05D22" w:rsidP="00EC2FA3">
      <w:pPr>
        <w:pStyle w:val="ListBullet"/>
        <w:numPr>
          <w:ilvl w:val="0"/>
          <w:numId w:val="44"/>
        </w:numPr>
        <w:jc w:val="both"/>
      </w:pPr>
      <w:r>
        <w:rPr>
          <w:b/>
          <w:bCs/>
        </w:rPr>
        <w:t xml:space="preserve">Broadcom exposure persists. </w:t>
      </w:r>
      <w:r w:rsidRPr="000A32D1">
        <w:t>Any expansion or major upgrade requires VCF subscription purchase. Security posture continues to degrade.</w:t>
      </w:r>
    </w:p>
    <w:p w14:paraId="0000083B" w14:textId="0000083C" w:rsidR="000B0F63" w:rsidRDefault="00C05D22" w:rsidP="00EC2FA3">
      <w:pPr>
        <w:pStyle w:val="ListBullet"/>
        <w:numPr>
          <w:ilvl w:val="0"/>
          <w:numId w:val="44"/>
        </w:numPr>
        <w:jc w:val="both"/>
      </w:pPr>
      <w:r>
        <w:rPr>
          <w:b/>
          <w:bCs/>
        </w:rPr>
        <w:t xml:space="preserve">The business case gets worse, not better. </w:t>
      </w:r>
      <w:r w:rsidRPr="000A32D1">
        <w:t>Every year of deferral adds another year of on-premises operating cost and potentially another round of Microsoft EA renewal negotiated with less leverage.</w:t>
      </w:r>
    </w:p>
    <w:p w14:paraId="0000083D" w14:textId="0000083E" w:rsidR="000B0F63" w:rsidRDefault="00C05D22" w:rsidP="00E40261">
      <w:pPr>
        <w:jc w:val="both"/>
      </w:pPr>
      <w:r w:rsidRPr="000A32D1">
        <w:rPr>
          <w:b/>
        </w:rPr>
        <w:t>The single most compelling reason to proceed now:</w:t>
      </w:r>
      <w:r>
        <w:t xml:space="preserve"> the window defined by the converging contracts is open for approximately two years. Beyond that, the cost of transformation goes up because the alternatives individually preserve optionality but collectively foreclose it.</w:t>
      </w:r>
    </w:p>
    <w:p w14:paraId="0000083F" w14:textId="00000840" w:rsidR="000B0F63" w:rsidRDefault="1BAB210A" w:rsidP="00E40261">
      <w:pPr>
        <w:pStyle w:val="Heading2"/>
        <w:jc w:val="both"/>
      </w:pPr>
      <w:bookmarkStart w:id="453" w:name="_Toc246"/>
      <w:bookmarkStart w:id="454" w:name="_Toc227771030"/>
      <w:r>
        <w:t>Continuity Into Phase 2</w:t>
      </w:r>
      <w:bookmarkEnd w:id="453"/>
      <w:bookmarkEnd w:id="454"/>
    </w:p>
    <w:p w14:paraId="5BF2B8D6" w14:textId="77777777" w:rsidR="007E4C3F" w:rsidRDefault="00C05D22" w:rsidP="00E40261">
      <w:pPr>
        <w:jc w:val="both"/>
      </w:pPr>
      <w:r>
        <w:t xml:space="preserve">Rackspace is proposing Phase 2 as a separate engagement. The observations from Phase 1 (the seven-area operating model, the multicast constraint, Mail </w:t>
      </w:r>
      <w:proofErr w:type="spellStart"/>
      <w:r>
        <w:t>Online's</w:t>
      </w:r>
      <w:proofErr w:type="spellEnd"/>
      <w:r>
        <w:t xml:space="preserve"> dual ownership, the Oracle B-cluster data gap, </w:t>
      </w:r>
      <w:proofErr w:type="spellStart"/>
      <w:r>
        <w:t>Guardicore</w:t>
      </w:r>
      <w:proofErr w:type="spellEnd"/>
      <w:r>
        <w:t xml:space="preserve"> micro-segmentation, F5 </w:t>
      </w:r>
      <w:proofErr w:type="spellStart"/>
      <w:r>
        <w:t>iRule</w:t>
      </w:r>
      <w:proofErr w:type="spellEnd"/>
      <w:r>
        <w:t xml:space="preserve"> complexity, the ECO3 hardcoded IP pattern, and the Solaris legacy stack) directly inform how Phase 2 should be scoped. </w:t>
      </w:r>
    </w:p>
    <w:p w14:paraId="51E34FBD" w14:textId="77777777" w:rsidR="007E4C3F" w:rsidRDefault="00C05D22" w:rsidP="00E40261">
      <w:pPr>
        <w:jc w:val="both"/>
      </w:pPr>
      <w:r>
        <w:t xml:space="preserve">Phase 2 activities can be planned against these known challenges rather than re-discovered. </w:t>
      </w:r>
    </w:p>
    <w:p w14:paraId="00000841" w14:textId="09A9CB27" w:rsidR="000B0F63" w:rsidRDefault="00C05D22" w:rsidP="00E40261">
      <w:pPr>
        <w:jc w:val="both"/>
      </w:pPr>
      <w:r>
        <w:t>The Phase 2 commercial proposal is delivered separately from this assessment.</w:t>
      </w:r>
    </w:p>
    <w:p w14:paraId="00000843" w14:textId="00000844" w:rsidR="000B0F63" w:rsidRDefault="00C05D22" w:rsidP="00E40261">
      <w:pPr>
        <w:jc w:val="both"/>
      </w:pPr>
      <w:r>
        <w:br w:type="page"/>
      </w:r>
    </w:p>
    <w:p w14:paraId="00000845" w14:textId="00000846" w:rsidR="000B0F63" w:rsidRDefault="1BAB210A" w:rsidP="00E40261">
      <w:pPr>
        <w:pStyle w:val="Heading1"/>
        <w:jc w:val="both"/>
      </w:pPr>
      <w:bookmarkStart w:id="455" w:name="_Toc247"/>
      <w:bookmarkStart w:id="456" w:name="_Toc227771031"/>
      <w:bookmarkStart w:id="457" w:name="_Toc227771416"/>
      <w:r>
        <w:t>Appendices</w:t>
      </w:r>
      <w:bookmarkEnd w:id="455"/>
      <w:bookmarkEnd w:id="456"/>
      <w:bookmarkEnd w:id="457"/>
    </w:p>
    <w:p w14:paraId="00000847" w14:textId="00000848" w:rsidR="000B0F63" w:rsidRPr="005B6077" w:rsidRDefault="1BAB210A" w:rsidP="005B6077">
      <w:pPr>
        <w:pStyle w:val="Heading6"/>
        <w:rPr>
          <w:rStyle w:val="BookTitle"/>
        </w:rPr>
      </w:pPr>
      <w:bookmarkStart w:id="458" w:name="_Toc248"/>
      <w:bookmarkStart w:id="459" w:name="_Toc227771032"/>
      <w:bookmarkStart w:id="460" w:name="_Toc227771417"/>
      <w:r w:rsidRPr="005B6077">
        <w:rPr>
          <w:rStyle w:val="BookTitle"/>
        </w:rPr>
        <w:t>Appendix A: TCO Methodology and Detail</w:t>
      </w:r>
      <w:bookmarkEnd w:id="458"/>
      <w:bookmarkEnd w:id="459"/>
      <w:bookmarkEnd w:id="460"/>
    </w:p>
    <w:p w14:paraId="00000849" w14:textId="0000084A" w:rsidR="000B0F63" w:rsidRDefault="1BAB210A" w:rsidP="00E40261">
      <w:pPr>
        <w:pStyle w:val="Heading3"/>
        <w:jc w:val="both"/>
      </w:pPr>
      <w:bookmarkStart w:id="461" w:name="_Toc249"/>
      <w:bookmarkStart w:id="462" w:name="_Toc227771033"/>
      <w:r>
        <w:t>Approach</w:t>
      </w:r>
      <w:bookmarkEnd w:id="461"/>
      <w:bookmarkEnd w:id="462"/>
    </w:p>
    <w:p w14:paraId="0000084B" w14:textId="0000084C" w:rsidR="000B0F63" w:rsidRDefault="00C05D22" w:rsidP="00E40261">
      <w:pPr>
        <w:jc w:val="both"/>
      </w:pPr>
      <w:r>
        <w:t>The TCO analysis priced all 3,038 in-scope servers independently across three clouds using live pricing APIs. Each cloud's own assessment tool recommended instance types from the same source data, and those recommendations were then priced against public API rates to normalise the comparison.</w:t>
      </w:r>
    </w:p>
    <w:tbl>
      <w:tblPr>
        <w:tblW w:w="9720" w:type="dxa"/>
        <w:tblCellMar>
          <w:top w:w="100" w:type="dxa"/>
          <w:left w:w="100" w:type="dxa"/>
          <w:bottom w:w="100" w:type="dxa"/>
          <w:right w:w="100" w:type="dxa"/>
        </w:tblCellMar>
        <w:tblLook w:val="04A0" w:firstRow="1" w:lastRow="0" w:firstColumn="1" w:lastColumn="0" w:noHBand="0" w:noVBand="1"/>
      </w:tblPr>
      <w:tblGrid>
        <w:gridCol w:w="3240"/>
        <w:gridCol w:w="3240"/>
        <w:gridCol w:w="3240"/>
      </w:tblGrid>
      <w:tr w:rsidR="006860A9" w14:paraId="386E1065" w14:textId="77777777" w:rsidTr="1524DEBB">
        <w:trPr>
          <w:cantSplit/>
        </w:trPr>
        <w:tc>
          <w:tcPr>
            <w:tcW w:w="3240" w:type="dxa"/>
            <w:shd w:val="clear" w:color="auto" w:fill="D9D9D9" w:themeFill="background1" w:themeFillShade="D9"/>
            <w:tcMar>
              <w:top w:w="100" w:type="dxa"/>
              <w:left w:w="100" w:type="dxa"/>
              <w:bottom w:w="100" w:type="dxa"/>
              <w:right w:w="100" w:type="dxa"/>
            </w:tcMar>
          </w:tcPr>
          <w:p w14:paraId="0000084D" w14:textId="0000084E" w:rsidR="000B0F63" w:rsidRDefault="00C05D22" w:rsidP="00E40261">
            <w:pPr>
              <w:pStyle w:val="TableHeader"/>
              <w:jc w:val="both"/>
            </w:pPr>
            <w:r>
              <w:t>Cloud</w:t>
            </w:r>
          </w:p>
        </w:tc>
        <w:tc>
          <w:tcPr>
            <w:tcW w:w="3240" w:type="dxa"/>
            <w:shd w:val="clear" w:color="auto" w:fill="D9D9D9" w:themeFill="background1" w:themeFillShade="D9"/>
            <w:tcMar>
              <w:top w:w="100" w:type="dxa"/>
              <w:left w:w="100" w:type="dxa"/>
              <w:bottom w:w="100" w:type="dxa"/>
              <w:right w:w="100" w:type="dxa"/>
            </w:tcMar>
          </w:tcPr>
          <w:p w14:paraId="0000084F" w14:textId="00000850" w:rsidR="000B0F63" w:rsidRDefault="00C05D22" w:rsidP="00E40261">
            <w:pPr>
              <w:pStyle w:val="TableHeader"/>
              <w:jc w:val="both"/>
            </w:pPr>
            <w:r>
              <w:t>Pricing source</w:t>
            </w:r>
          </w:p>
        </w:tc>
        <w:tc>
          <w:tcPr>
            <w:tcW w:w="3240" w:type="dxa"/>
            <w:shd w:val="clear" w:color="auto" w:fill="D9D9D9" w:themeFill="background1" w:themeFillShade="D9"/>
            <w:tcMar>
              <w:top w:w="100" w:type="dxa"/>
              <w:left w:w="100" w:type="dxa"/>
              <w:bottom w:w="100" w:type="dxa"/>
              <w:right w:w="100" w:type="dxa"/>
            </w:tcMar>
          </w:tcPr>
          <w:p w14:paraId="00000851" w14:textId="00000852" w:rsidR="000B0F63" w:rsidRDefault="00C05D22" w:rsidP="00E40261">
            <w:pPr>
              <w:pStyle w:val="TableHeader"/>
              <w:jc w:val="both"/>
            </w:pPr>
            <w:r>
              <w:t>Currency handling</w:t>
            </w:r>
          </w:p>
        </w:tc>
      </w:tr>
      <w:tr w:rsidR="006A6D07" w14:paraId="4155FBA2" w14:textId="77777777" w:rsidTr="1524DEBB">
        <w:tc>
          <w:tcPr>
            <w:tcW w:w="3240" w:type="dxa"/>
            <w:tcMar>
              <w:top w:w="100" w:type="dxa"/>
              <w:left w:w="100" w:type="dxa"/>
              <w:bottom w:w="100" w:type="dxa"/>
              <w:right w:w="100" w:type="dxa"/>
            </w:tcMar>
          </w:tcPr>
          <w:p w14:paraId="00000853" w14:textId="00000854" w:rsidR="000B0F63" w:rsidRDefault="00C05D22" w:rsidP="00E40261">
            <w:pPr>
              <w:pStyle w:val="TableInfo"/>
              <w:jc w:val="both"/>
            </w:pPr>
            <w:r>
              <w:t>GCP</w:t>
            </w:r>
          </w:p>
        </w:tc>
        <w:tc>
          <w:tcPr>
            <w:tcW w:w="3240" w:type="dxa"/>
            <w:tcMar>
              <w:top w:w="100" w:type="dxa"/>
              <w:left w:w="100" w:type="dxa"/>
              <w:bottom w:w="100" w:type="dxa"/>
              <w:right w:w="100" w:type="dxa"/>
            </w:tcMar>
          </w:tcPr>
          <w:p w14:paraId="00000855" w14:textId="00000856" w:rsidR="000B0F63" w:rsidRDefault="00C05D22" w:rsidP="00E40261">
            <w:pPr>
              <w:pStyle w:val="TableInfo"/>
              <w:jc w:val="both"/>
            </w:pPr>
            <w:r w:rsidRPr="1524DEBB">
              <w:rPr>
                <w:lang w:val="en-GB"/>
              </w:rPr>
              <w:t xml:space="preserve">Cloud Billing </w:t>
            </w:r>
            <w:proofErr w:type="spellStart"/>
            <w:r w:rsidRPr="1524DEBB">
              <w:rPr>
                <w:lang w:val="en-GB"/>
              </w:rPr>
              <w:t>Catalog</w:t>
            </w:r>
            <w:proofErr w:type="spellEnd"/>
            <w:r w:rsidRPr="1524DEBB">
              <w:rPr>
                <w:lang w:val="en-GB"/>
              </w:rPr>
              <w:t xml:space="preserve"> API</w:t>
            </w:r>
          </w:p>
        </w:tc>
        <w:tc>
          <w:tcPr>
            <w:tcW w:w="3240" w:type="dxa"/>
            <w:tcMar>
              <w:top w:w="100" w:type="dxa"/>
              <w:left w:w="100" w:type="dxa"/>
              <w:bottom w:w="100" w:type="dxa"/>
              <w:right w:w="100" w:type="dxa"/>
            </w:tcMar>
          </w:tcPr>
          <w:p w14:paraId="00000857" w14:textId="3696104F" w:rsidR="000B0F63" w:rsidRDefault="00312BB7" w:rsidP="00E40261">
            <w:pPr>
              <w:pStyle w:val="TableInfo"/>
              <w:jc w:val="both"/>
            </w:pPr>
            <w:r>
              <w:t>£</w:t>
            </w:r>
            <w:r w:rsidR="00C05D22">
              <w:t>native, no conversion</w:t>
            </w:r>
          </w:p>
        </w:tc>
      </w:tr>
      <w:tr w:rsidR="006A6D07" w14:paraId="43C7F467" w14:textId="77777777" w:rsidTr="1524DEBB">
        <w:tc>
          <w:tcPr>
            <w:tcW w:w="3240" w:type="dxa"/>
            <w:tcMar>
              <w:top w:w="100" w:type="dxa"/>
              <w:left w:w="100" w:type="dxa"/>
              <w:bottom w:w="100" w:type="dxa"/>
              <w:right w:w="100" w:type="dxa"/>
            </w:tcMar>
          </w:tcPr>
          <w:p w14:paraId="00000859" w14:textId="0000085A" w:rsidR="000B0F63" w:rsidRDefault="00C05D22" w:rsidP="00E40261">
            <w:pPr>
              <w:pStyle w:val="TableInfo"/>
              <w:jc w:val="both"/>
            </w:pPr>
            <w:r>
              <w:t>AWS</w:t>
            </w:r>
          </w:p>
        </w:tc>
        <w:tc>
          <w:tcPr>
            <w:tcW w:w="3240" w:type="dxa"/>
            <w:tcMar>
              <w:top w:w="100" w:type="dxa"/>
              <w:left w:w="100" w:type="dxa"/>
              <w:bottom w:w="100" w:type="dxa"/>
              <w:right w:w="100" w:type="dxa"/>
            </w:tcMar>
          </w:tcPr>
          <w:p w14:paraId="0000085B" w14:textId="0000085C" w:rsidR="000B0F63" w:rsidRDefault="00C05D22" w:rsidP="00E40261">
            <w:pPr>
              <w:pStyle w:val="TableInfo"/>
              <w:jc w:val="both"/>
            </w:pPr>
            <w:r>
              <w:t>AWS Price List API</w:t>
            </w:r>
          </w:p>
        </w:tc>
        <w:tc>
          <w:tcPr>
            <w:tcW w:w="3240" w:type="dxa"/>
            <w:tcMar>
              <w:top w:w="100" w:type="dxa"/>
              <w:left w:w="100" w:type="dxa"/>
              <w:bottom w:w="100" w:type="dxa"/>
              <w:right w:w="100" w:type="dxa"/>
            </w:tcMar>
          </w:tcPr>
          <w:p w14:paraId="0000085D" w14:textId="0000085E" w:rsidR="000B0F63" w:rsidRDefault="00C05D22" w:rsidP="00E40261">
            <w:pPr>
              <w:pStyle w:val="TableInfo"/>
              <w:jc w:val="both"/>
            </w:pPr>
            <w:r>
              <w:t>USD, converted at 0.755 GBP/USD (April 2026 corporate average)</w:t>
            </w:r>
          </w:p>
        </w:tc>
      </w:tr>
      <w:tr w:rsidR="006A6D07" w14:paraId="7CA9CDD4" w14:textId="77777777" w:rsidTr="1524DEBB">
        <w:tc>
          <w:tcPr>
            <w:tcW w:w="3240" w:type="dxa"/>
            <w:tcMar>
              <w:top w:w="100" w:type="dxa"/>
              <w:left w:w="100" w:type="dxa"/>
              <w:bottom w:w="100" w:type="dxa"/>
              <w:right w:w="100" w:type="dxa"/>
            </w:tcMar>
          </w:tcPr>
          <w:p w14:paraId="0000085F" w14:textId="00000860" w:rsidR="000B0F63" w:rsidRDefault="00C05D22" w:rsidP="00E40261">
            <w:pPr>
              <w:pStyle w:val="TableInfo"/>
              <w:jc w:val="both"/>
            </w:pPr>
            <w:r>
              <w:t>Azure</w:t>
            </w:r>
          </w:p>
        </w:tc>
        <w:tc>
          <w:tcPr>
            <w:tcW w:w="3240" w:type="dxa"/>
            <w:tcMar>
              <w:top w:w="100" w:type="dxa"/>
              <w:left w:w="100" w:type="dxa"/>
              <w:bottom w:w="100" w:type="dxa"/>
              <w:right w:w="100" w:type="dxa"/>
            </w:tcMar>
          </w:tcPr>
          <w:p w14:paraId="00000861" w14:textId="00000862" w:rsidR="000B0F63" w:rsidRDefault="00C05D22" w:rsidP="00E40261">
            <w:pPr>
              <w:pStyle w:val="TableInfo"/>
              <w:jc w:val="both"/>
            </w:pPr>
            <w:r>
              <w:t>Retail Prices REST API</w:t>
            </w:r>
          </w:p>
        </w:tc>
        <w:tc>
          <w:tcPr>
            <w:tcW w:w="3240" w:type="dxa"/>
            <w:tcMar>
              <w:top w:w="100" w:type="dxa"/>
              <w:left w:w="100" w:type="dxa"/>
              <w:bottom w:w="100" w:type="dxa"/>
              <w:right w:w="100" w:type="dxa"/>
            </w:tcMar>
          </w:tcPr>
          <w:p w14:paraId="00000863" w14:textId="2EEB0D33" w:rsidR="000B0F63" w:rsidRDefault="00312BB7" w:rsidP="00E40261">
            <w:pPr>
              <w:pStyle w:val="TableInfo"/>
              <w:jc w:val="both"/>
            </w:pPr>
            <w:r>
              <w:t>£</w:t>
            </w:r>
            <w:r w:rsidR="00C05D22">
              <w:t>native, no conversion</w:t>
            </w:r>
          </w:p>
        </w:tc>
      </w:tr>
    </w:tbl>
    <w:p w14:paraId="00000865" w14:textId="00000866" w:rsidR="000B0F63" w:rsidRDefault="1BAB210A" w:rsidP="00E40261">
      <w:pPr>
        <w:pStyle w:val="Heading3"/>
        <w:jc w:val="both"/>
      </w:pPr>
      <w:bookmarkStart w:id="463" w:name="_Toc250"/>
      <w:bookmarkStart w:id="464" w:name="_Toc227771034"/>
      <w:r>
        <w:t>Assumptions</w:t>
      </w:r>
      <w:bookmarkEnd w:id="463"/>
      <w:bookmarkEnd w:id="464"/>
    </w:p>
    <w:p w14:paraId="00000867" w14:textId="00000868" w:rsidR="000B0F63" w:rsidRDefault="00C05D22" w:rsidP="00EC2FA3">
      <w:pPr>
        <w:pStyle w:val="ListBullet"/>
        <w:numPr>
          <w:ilvl w:val="0"/>
          <w:numId w:val="45"/>
        </w:numPr>
        <w:jc w:val="both"/>
      </w:pPr>
      <w:r w:rsidRPr="00585B3C">
        <w:rPr>
          <w:b/>
        </w:rPr>
        <w:t>Tool-based sizing</w:t>
      </w:r>
      <w:r>
        <w:t>: servers priced at instance types recommended by each cloud's own TCO toolkit.</w:t>
      </w:r>
    </w:p>
    <w:p w14:paraId="00000869" w14:textId="0000086A" w:rsidR="000B0F63" w:rsidRDefault="00C05D22" w:rsidP="00EC2FA3">
      <w:pPr>
        <w:pStyle w:val="ListBullet"/>
        <w:numPr>
          <w:ilvl w:val="0"/>
          <w:numId w:val="45"/>
        </w:numPr>
        <w:jc w:val="both"/>
      </w:pPr>
      <w:r w:rsidRPr="00585B3C">
        <w:rPr>
          <w:b/>
        </w:rPr>
        <w:t>SSD baseline across all clouds</w:t>
      </w:r>
      <w:r>
        <w:t xml:space="preserve">: GCP Balanced PD / </w:t>
      </w:r>
      <w:proofErr w:type="spellStart"/>
      <w:r>
        <w:t>Hyperdisk</w:t>
      </w:r>
      <w:proofErr w:type="spellEnd"/>
      <w:r>
        <w:t xml:space="preserve"> Balanced, AWS gp3, Azure Premium SSD. IOPS matched at 80,000 per disk where needed.</w:t>
      </w:r>
    </w:p>
    <w:p w14:paraId="0000086B" w14:textId="0000086C" w:rsidR="000B0F63" w:rsidRDefault="00C05D22" w:rsidP="00EC2FA3">
      <w:pPr>
        <w:pStyle w:val="ListBullet"/>
        <w:numPr>
          <w:ilvl w:val="0"/>
          <w:numId w:val="45"/>
        </w:numPr>
        <w:jc w:val="both"/>
      </w:pPr>
      <w:r w:rsidRPr="00585B3C">
        <w:rPr>
          <w:b/>
        </w:rPr>
        <w:t>PAYG operating system in the baseline</w:t>
      </w:r>
      <w:r>
        <w:t>: Windows and RHEL at pay-as-you-go rates. BYOL modelled separately.</w:t>
      </w:r>
    </w:p>
    <w:p w14:paraId="0000086D" w14:textId="0000086E" w:rsidR="000B0F63" w:rsidRDefault="00C05D22" w:rsidP="00EC2FA3">
      <w:pPr>
        <w:pStyle w:val="ListBullet"/>
        <w:numPr>
          <w:ilvl w:val="0"/>
          <w:numId w:val="45"/>
        </w:numPr>
        <w:jc w:val="both"/>
      </w:pPr>
      <w:r w:rsidRPr="00585B3C">
        <w:rPr>
          <w:b/>
        </w:rPr>
        <w:t>3-year committed pricing</w:t>
      </w:r>
      <w:r>
        <w:t>: GCP 3-year CUD, AWS 3-year Standard Reserved, Azure 3-year Reserved VM Instances.</w:t>
      </w:r>
    </w:p>
    <w:p w14:paraId="0000086F" w14:textId="0CA39721" w:rsidR="000B0F63" w:rsidRDefault="00C05D22" w:rsidP="00EC2FA3">
      <w:pPr>
        <w:pStyle w:val="ListBullet"/>
        <w:numPr>
          <w:ilvl w:val="0"/>
          <w:numId w:val="45"/>
        </w:numPr>
        <w:jc w:val="both"/>
      </w:pPr>
      <w:r w:rsidRPr="00585B3C">
        <w:rPr>
          <w:b/>
        </w:rPr>
        <w:t>Single FX rate</w:t>
      </w:r>
      <w:r>
        <w:t xml:space="preserve">: USD to </w:t>
      </w:r>
      <w:r w:rsidR="00312BB7">
        <w:t>£</w:t>
      </w:r>
      <w:r>
        <w:t>at 0.755 (April 2026 average). Applied to AWS pricing only.</w:t>
      </w:r>
    </w:p>
    <w:p w14:paraId="00000871" w14:textId="00000872" w:rsidR="000B0F63" w:rsidRDefault="00C05D22" w:rsidP="00EC2FA3">
      <w:pPr>
        <w:pStyle w:val="ListBullet"/>
        <w:numPr>
          <w:ilvl w:val="0"/>
          <w:numId w:val="45"/>
        </w:numPr>
        <w:jc w:val="both"/>
      </w:pPr>
      <w:r w:rsidRPr="00585B3C">
        <w:rPr>
          <w:b/>
        </w:rPr>
        <w:t>No Azure Hybrid Benefit in the baseline</w:t>
      </w:r>
      <w:r>
        <w:t xml:space="preserve">: AHB </w:t>
      </w:r>
      <w:proofErr w:type="gramStart"/>
      <w:r>
        <w:t>not</w:t>
      </w:r>
      <w:proofErr w:type="gramEnd"/>
      <w:r>
        <w:t xml:space="preserve"> applied because Software Assurance status is unverified.</w:t>
      </w:r>
    </w:p>
    <w:p w14:paraId="00000873" w14:textId="00000874" w:rsidR="000B0F63" w:rsidRDefault="00C05D22" w:rsidP="00EC2FA3">
      <w:pPr>
        <w:pStyle w:val="ListBullet"/>
        <w:numPr>
          <w:ilvl w:val="0"/>
          <w:numId w:val="45"/>
        </w:numPr>
        <w:jc w:val="both"/>
      </w:pPr>
      <w:r w:rsidRPr="00585B3C">
        <w:rPr>
          <w:b/>
        </w:rPr>
        <w:t>Physical servers at provisioned specification</w:t>
      </w:r>
      <w:r>
        <w:t>: 38 manually collected servers sized at provisioned CPU, memory, storage.</w:t>
      </w:r>
    </w:p>
    <w:p w14:paraId="00000875" w14:textId="00000876" w:rsidR="000B0F63" w:rsidRDefault="00C05D22" w:rsidP="00EC2FA3">
      <w:pPr>
        <w:pStyle w:val="ListBullet"/>
        <w:numPr>
          <w:ilvl w:val="0"/>
          <w:numId w:val="45"/>
        </w:numPr>
        <w:jc w:val="both"/>
      </w:pPr>
      <w:r>
        <w:t>Burstable VM families excluded by team agreement as not production-grade.</w:t>
      </w:r>
    </w:p>
    <w:p w14:paraId="00000877" w14:textId="00000878" w:rsidR="000B0F63" w:rsidRDefault="1BAB210A" w:rsidP="00E40261">
      <w:pPr>
        <w:pStyle w:val="Heading3"/>
        <w:jc w:val="both"/>
      </w:pPr>
      <w:bookmarkStart w:id="465" w:name="_Toc251"/>
      <w:bookmarkStart w:id="466" w:name="_Toc227771035"/>
      <w:r>
        <w:t>Detailed TCO workbooks</w:t>
      </w:r>
      <w:bookmarkEnd w:id="465"/>
      <w:bookmarkEnd w:id="466"/>
    </w:p>
    <w:p w14:paraId="00000879" w14:textId="0000087A" w:rsidR="000B0F63" w:rsidRDefault="00C05D22" w:rsidP="00E40261">
      <w:pPr>
        <w:pStyle w:val="ListBullet"/>
        <w:jc w:val="both"/>
      </w:pPr>
      <w:r w:rsidRPr="00585B3C">
        <w:rPr>
          <w:b/>
        </w:rPr>
        <w:t>DMG_TCO_Comparison.xlsx</w:t>
      </w:r>
      <w:r>
        <w:t>: Summary, Rate Card, Repricing per region (London, NL/Ireland, Frankfurt), Methodology sheet.</w:t>
      </w:r>
    </w:p>
    <w:p w14:paraId="0000087B" w14:textId="0000087C" w:rsidR="000B0F63" w:rsidRDefault="00C05D22" w:rsidP="00E40261">
      <w:pPr>
        <w:pStyle w:val="ListBullet"/>
        <w:jc w:val="both"/>
      </w:pPr>
      <w:r w:rsidRPr="00585B3C">
        <w:rPr>
          <w:b/>
        </w:rPr>
        <w:t>DMG_TCO_Optimized.xlsx</w:t>
      </w:r>
      <w:r>
        <w:t>: Scenario Summary, Oracle Options, Migration Credits, Methodology. Windows BYOL, SQL Server licensing, Oracle migration scenarios, storage tiering, RHEL BYOL, Azure Dev/Test.</w:t>
      </w:r>
    </w:p>
    <w:p w14:paraId="0000087D" w14:textId="0000087E" w:rsidR="000B0F63" w:rsidRPr="005B6077" w:rsidRDefault="1BAB210A" w:rsidP="005B6077">
      <w:pPr>
        <w:pStyle w:val="Heading6"/>
        <w:rPr>
          <w:rStyle w:val="BookTitle"/>
        </w:rPr>
      </w:pPr>
      <w:bookmarkStart w:id="467" w:name="_Toc252"/>
      <w:bookmarkStart w:id="468" w:name="_Toc227771036"/>
      <w:bookmarkStart w:id="469" w:name="_Toc227771418"/>
      <w:r w:rsidRPr="005B6077">
        <w:rPr>
          <w:rStyle w:val="BookTitle"/>
        </w:rPr>
        <w:t>Appendix B: Scoring Methodology and Detail</w:t>
      </w:r>
      <w:bookmarkEnd w:id="467"/>
      <w:bookmarkEnd w:id="468"/>
      <w:bookmarkEnd w:id="469"/>
    </w:p>
    <w:p w14:paraId="0000087F" w14:textId="00000880" w:rsidR="000B0F63" w:rsidRDefault="1BAB210A" w:rsidP="00E40261">
      <w:pPr>
        <w:pStyle w:val="Heading3"/>
        <w:jc w:val="both"/>
      </w:pPr>
      <w:bookmarkStart w:id="470" w:name="_Toc253"/>
      <w:bookmarkStart w:id="471" w:name="_Toc227771037"/>
      <w:r>
        <w:t>Scoring approach</w:t>
      </w:r>
      <w:bookmarkEnd w:id="470"/>
      <w:bookmarkEnd w:id="471"/>
    </w:p>
    <w:p w14:paraId="00000881" w14:textId="00000882" w:rsidR="000B0F63" w:rsidRDefault="00C05D22" w:rsidP="00E40261">
      <w:pPr>
        <w:jc w:val="both"/>
      </w:pPr>
      <w:r>
        <w:t>Hyperscaler scoring was conducted against 57 value dials organised under thirteen strategic goals. DMG Media set the weightings. Rackspace scored each provider in two passes: an unbiased first pass against market baselines, followed by a refinement against DMG Media's specific estate.</w:t>
      </w:r>
    </w:p>
    <w:p w14:paraId="00000883" w14:textId="00000884" w:rsidR="000B0F63" w:rsidRDefault="1BAB210A" w:rsidP="00E40261">
      <w:pPr>
        <w:pStyle w:val="Heading3"/>
        <w:jc w:val="both"/>
      </w:pPr>
      <w:bookmarkStart w:id="472" w:name="_Toc254"/>
      <w:bookmarkStart w:id="473" w:name="_Toc227771038"/>
      <w:r>
        <w:t xml:space="preserve">Overall weighted </w:t>
      </w:r>
      <w:commentRangeStart w:id="474"/>
      <w:r>
        <w:t>score</w:t>
      </w:r>
      <w:bookmarkEnd w:id="472"/>
      <w:bookmarkEnd w:id="473"/>
      <w:commentRangeEnd w:id="474"/>
      <w:r w:rsidR="00106C59">
        <w:rPr>
          <w:rStyle w:val="CommentReference"/>
          <w:sz w:val="28"/>
          <w:szCs w:val="28"/>
        </w:rPr>
        <w:commentReference w:id="474"/>
      </w:r>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AB10D7" w14:paraId="3901B0BD" w14:textId="77777777">
        <w:trPr>
          <w:cantSplit/>
        </w:trPr>
        <w:tc>
          <w:tcPr>
            <w:tcW w:w="2430" w:type="dxa"/>
            <w:shd w:val="clear" w:color="auto" w:fill="D9D9D9"/>
            <w:tcMar>
              <w:top w:w="100" w:type="dxa"/>
              <w:left w:w="100" w:type="dxa"/>
              <w:bottom w:w="100" w:type="dxa"/>
              <w:right w:w="100" w:type="dxa"/>
            </w:tcMar>
          </w:tcPr>
          <w:p w14:paraId="00000885" w14:textId="00000886" w:rsidR="000B0F63" w:rsidRDefault="00C05D22" w:rsidP="00E40261">
            <w:pPr>
              <w:pStyle w:val="TableHeader"/>
              <w:jc w:val="both"/>
            </w:pPr>
            <w:r>
              <w:t>Cloud</w:t>
            </w:r>
          </w:p>
        </w:tc>
        <w:tc>
          <w:tcPr>
            <w:tcW w:w="2430" w:type="dxa"/>
            <w:shd w:val="clear" w:color="auto" w:fill="D9D9D9"/>
            <w:tcMar>
              <w:top w:w="100" w:type="dxa"/>
              <w:left w:w="100" w:type="dxa"/>
              <w:bottom w:w="100" w:type="dxa"/>
              <w:right w:w="100" w:type="dxa"/>
            </w:tcMar>
          </w:tcPr>
          <w:p w14:paraId="00000887" w14:textId="00000888" w:rsidR="000B0F63" w:rsidRDefault="00C05D22" w:rsidP="00E40261">
            <w:pPr>
              <w:pStyle w:val="TableHeader"/>
              <w:jc w:val="both"/>
            </w:pPr>
            <w:r>
              <w:t>Weighted score</w:t>
            </w:r>
          </w:p>
        </w:tc>
        <w:tc>
          <w:tcPr>
            <w:tcW w:w="2430" w:type="dxa"/>
            <w:shd w:val="clear" w:color="auto" w:fill="D9D9D9"/>
            <w:tcMar>
              <w:top w:w="100" w:type="dxa"/>
              <w:left w:w="100" w:type="dxa"/>
              <w:bottom w:w="100" w:type="dxa"/>
              <w:right w:w="100" w:type="dxa"/>
            </w:tcMar>
          </w:tcPr>
          <w:p w14:paraId="00000889" w14:textId="0000088A" w:rsidR="000B0F63" w:rsidRDefault="00C05D22" w:rsidP="00E40261">
            <w:pPr>
              <w:pStyle w:val="TableHeader"/>
              <w:jc w:val="both"/>
            </w:pPr>
            <w:r>
              <w:t>Fit %</w:t>
            </w:r>
          </w:p>
        </w:tc>
        <w:tc>
          <w:tcPr>
            <w:tcW w:w="2430" w:type="dxa"/>
            <w:shd w:val="clear" w:color="auto" w:fill="D9D9D9"/>
            <w:tcMar>
              <w:top w:w="100" w:type="dxa"/>
              <w:left w:w="100" w:type="dxa"/>
              <w:bottom w:w="100" w:type="dxa"/>
              <w:right w:w="100" w:type="dxa"/>
            </w:tcMar>
          </w:tcPr>
          <w:p w14:paraId="0000088B" w14:textId="0000088C" w:rsidR="000B0F63" w:rsidRDefault="00C05D22" w:rsidP="00E40261">
            <w:pPr>
              <w:pStyle w:val="TableHeader"/>
              <w:jc w:val="both"/>
            </w:pPr>
            <w:r>
              <w:t>Rank</w:t>
            </w:r>
          </w:p>
        </w:tc>
      </w:tr>
      <w:tr w:rsidR="006A6D07" w14:paraId="39345FA4" w14:textId="77777777">
        <w:tc>
          <w:tcPr>
            <w:tcW w:w="2430" w:type="dxa"/>
            <w:tcMar>
              <w:top w:w="100" w:type="dxa"/>
              <w:left w:w="100" w:type="dxa"/>
              <w:bottom w:w="100" w:type="dxa"/>
              <w:right w:w="100" w:type="dxa"/>
            </w:tcMar>
          </w:tcPr>
          <w:p w14:paraId="0000088D" w14:textId="0000088E" w:rsidR="000B0F63" w:rsidRDefault="00C05D22" w:rsidP="00E40261">
            <w:pPr>
              <w:pStyle w:val="TableInfo"/>
              <w:jc w:val="both"/>
            </w:pPr>
            <w:r>
              <w:t>Azure</w:t>
            </w:r>
          </w:p>
        </w:tc>
        <w:tc>
          <w:tcPr>
            <w:tcW w:w="2430" w:type="dxa"/>
            <w:tcMar>
              <w:top w:w="100" w:type="dxa"/>
              <w:left w:w="100" w:type="dxa"/>
              <w:bottom w:w="100" w:type="dxa"/>
              <w:right w:w="100" w:type="dxa"/>
            </w:tcMar>
          </w:tcPr>
          <w:p w14:paraId="0000088F" w14:textId="00000890" w:rsidR="000B0F63" w:rsidRDefault="00C05D22" w:rsidP="00E40261">
            <w:pPr>
              <w:pStyle w:val="TableInfo"/>
              <w:jc w:val="both"/>
            </w:pPr>
            <w:r>
              <w:t>4.3</w:t>
            </w:r>
          </w:p>
        </w:tc>
        <w:tc>
          <w:tcPr>
            <w:tcW w:w="2430" w:type="dxa"/>
            <w:tcMar>
              <w:top w:w="100" w:type="dxa"/>
              <w:left w:w="100" w:type="dxa"/>
              <w:bottom w:w="100" w:type="dxa"/>
              <w:right w:w="100" w:type="dxa"/>
            </w:tcMar>
          </w:tcPr>
          <w:p w14:paraId="00000891" w14:textId="00000892" w:rsidR="000B0F63" w:rsidRDefault="00C05D22" w:rsidP="00E40261">
            <w:pPr>
              <w:pStyle w:val="TableInfo"/>
              <w:jc w:val="both"/>
            </w:pPr>
            <w:r>
              <w:t>85.6%</w:t>
            </w:r>
          </w:p>
        </w:tc>
        <w:tc>
          <w:tcPr>
            <w:tcW w:w="2430" w:type="dxa"/>
            <w:tcMar>
              <w:top w:w="100" w:type="dxa"/>
              <w:left w:w="100" w:type="dxa"/>
              <w:bottom w:w="100" w:type="dxa"/>
              <w:right w:w="100" w:type="dxa"/>
            </w:tcMar>
          </w:tcPr>
          <w:p w14:paraId="00000893" w14:textId="00000894" w:rsidR="000B0F63" w:rsidRDefault="00C05D22" w:rsidP="00E40261">
            <w:pPr>
              <w:pStyle w:val="TableInfo"/>
              <w:jc w:val="both"/>
            </w:pPr>
            <w:r>
              <w:t>1</w:t>
            </w:r>
          </w:p>
        </w:tc>
      </w:tr>
      <w:tr w:rsidR="006A6D07" w14:paraId="6E644749" w14:textId="77777777">
        <w:tc>
          <w:tcPr>
            <w:tcW w:w="2430" w:type="dxa"/>
            <w:tcMar>
              <w:top w:w="100" w:type="dxa"/>
              <w:left w:w="100" w:type="dxa"/>
              <w:bottom w:w="100" w:type="dxa"/>
              <w:right w:w="100" w:type="dxa"/>
            </w:tcMar>
          </w:tcPr>
          <w:p w14:paraId="00000895" w14:textId="00000896" w:rsidR="000B0F63" w:rsidRDefault="00C05D22" w:rsidP="00E40261">
            <w:pPr>
              <w:pStyle w:val="TableInfo"/>
              <w:jc w:val="both"/>
            </w:pPr>
            <w:r>
              <w:t>AWS</w:t>
            </w:r>
          </w:p>
        </w:tc>
        <w:tc>
          <w:tcPr>
            <w:tcW w:w="2430" w:type="dxa"/>
            <w:tcMar>
              <w:top w:w="100" w:type="dxa"/>
              <w:left w:w="100" w:type="dxa"/>
              <w:bottom w:w="100" w:type="dxa"/>
              <w:right w:w="100" w:type="dxa"/>
            </w:tcMar>
          </w:tcPr>
          <w:p w14:paraId="00000897" w14:textId="00000898" w:rsidR="000B0F63" w:rsidRDefault="00C05D22" w:rsidP="00E40261">
            <w:pPr>
              <w:pStyle w:val="TableInfo"/>
              <w:jc w:val="both"/>
            </w:pPr>
            <w:r>
              <w:t>4.3</w:t>
            </w:r>
          </w:p>
        </w:tc>
        <w:tc>
          <w:tcPr>
            <w:tcW w:w="2430" w:type="dxa"/>
            <w:tcMar>
              <w:top w:w="100" w:type="dxa"/>
              <w:left w:w="100" w:type="dxa"/>
              <w:bottom w:w="100" w:type="dxa"/>
              <w:right w:w="100" w:type="dxa"/>
            </w:tcMar>
          </w:tcPr>
          <w:p w14:paraId="00000899" w14:textId="0000089A" w:rsidR="000B0F63" w:rsidRDefault="00C05D22" w:rsidP="00E40261">
            <w:pPr>
              <w:pStyle w:val="TableInfo"/>
              <w:jc w:val="both"/>
            </w:pPr>
            <w:r>
              <w:t>85.0%</w:t>
            </w:r>
          </w:p>
        </w:tc>
        <w:tc>
          <w:tcPr>
            <w:tcW w:w="2430" w:type="dxa"/>
            <w:tcMar>
              <w:top w:w="100" w:type="dxa"/>
              <w:left w:w="100" w:type="dxa"/>
              <w:bottom w:w="100" w:type="dxa"/>
              <w:right w:w="100" w:type="dxa"/>
            </w:tcMar>
          </w:tcPr>
          <w:p w14:paraId="0000089B" w14:textId="0000089C" w:rsidR="000B0F63" w:rsidRDefault="00C05D22" w:rsidP="00E40261">
            <w:pPr>
              <w:pStyle w:val="TableInfo"/>
              <w:jc w:val="both"/>
            </w:pPr>
            <w:r>
              <w:t>2</w:t>
            </w:r>
          </w:p>
        </w:tc>
      </w:tr>
      <w:tr w:rsidR="006A6D07" w14:paraId="45D550C4" w14:textId="77777777">
        <w:tc>
          <w:tcPr>
            <w:tcW w:w="2430" w:type="dxa"/>
            <w:tcMar>
              <w:top w:w="100" w:type="dxa"/>
              <w:left w:w="100" w:type="dxa"/>
              <w:bottom w:w="100" w:type="dxa"/>
              <w:right w:w="100" w:type="dxa"/>
            </w:tcMar>
          </w:tcPr>
          <w:p w14:paraId="0000089D" w14:textId="0000089E" w:rsidR="000B0F63" w:rsidRDefault="00C05D22" w:rsidP="00E40261">
            <w:pPr>
              <w:pStyle w:val="TableInfo"/>
              <w:jc w:val="both"/>
            </w:pPr>
            <w:r>
              <w:t>GCP</w:t>
            </w:r>
          </w:p>
        </w:tc>
        <w:tc>
          <w:tcPr>
            <w:tcW w:w="2430" w:type="dxa"/>
            <w:tcMar>
              <w:top w:w="100" w:type="dxa"/>
              <w:left w:w="100" w:type="dxa"/>
              <w:bottom w:w="100" w:type="dxa"/>
              <w:right w:w="100" w:type="dxa"/>
            </w:tcMar>
          </w:tcPr>
          <w:p w14:paraId="0000089F" w14:textId="000008A0" w:rsidR="000B0F63" w:rsidRDefault="00C05D22" w:rsidP="00E40261">
            <w:pPr>
              <w:pStyle w:val="TableInfo"/>
              <w:jc w:val="both"/>
            </w:pPr>
            <w:r>
              <w:t>4.2</w:t>
            </w:r>
          </w:p>
        </w:tc>
        <w:tc>
          <w:tcPr>
            <w:tcW w:w="2430" w:type="dxa"/>
            <w:tcMar>
              <w:top w:w="100" w:type="dxa"/>
              <w:left w:w="100" w:type="dxa"/>
              <w:bottom w:w="100" w:type="dxa"/>
              <w:right w:w="100" w:type="dxa"/>
            </w:tcMar>
          </w:tcPr>
          <w:p w14:paraId="000008A1" w14:textId="000008A2" w:rsidR="000B0F63" w:rsidRDefault="00C05D22" w:rsidP="00E40261">
            <w:pPr>
              <w:pStyle w:val="TableInfo"/>
              <w:jc w:val="both"/>
            </w:pPr>
            <w:r>
              <w:t>83.4%</w:t>
            </w:r>
          </w:p>
        </w:tc>
        <w:tc>
          <w:tcPr>
            <w:tcW w:w="2430" w:type="dxa"/>
            <w:tcMar>
              <w:top w:w="100" w:type="dxa"/>
              <w:left w:w="100" w:type="dxa"/>
              <w:bottom w:w="100" w:type="dxa"/>
              <w:right w:w="100" w:type="dxa"/>
            </w:tcMar>
          </w:tcPr>
          <w:p w14:paraId="000008A3" w14:textId="000008A4" w:rsidR="000B0F63" w:rsidRDefault="00C05D22" w:rsidP="00E40261">
            <w:pPr>
              <w:pStyle w:val="TableInfo"/>
              <w:jc w:val="both"/>
            </w:pPr>
            <w:r>
              <w:t>3</w:t>
            </w:r>
          </w:p>
        </w:tc>
      </w:tr>
    </w:tbl>
    <w:p w14:paraId="000008A5" w14:textId="000008A6" w:rsidR="000B0F63" w:rsidRDefault="00C05D22" w:rsidP="00E40261">
      <w:pPr>
        <w:jc w:val="both"/>
      </w:pPr>
      <w:r>
        <w:t>The spread is very narrow. Azure leads AWS by 0.6 percentage points. GCP sits 2.2 percentage points behind Azure.</w:t>
      </w:r>
    </w:p>
    <w:p w14:paraId="000008A7" w14:textId="000008A8" w:rsidR="000B0F63" w:rsidRDefault="1BAB210A" w:rsidP="00E40261">
      <w:pPr>
        <w:pStyle w:val="Heading3"/>
        <w:jc w:val="both"/>
      </w:pPr>
      <w:bookmarkStart w:id="475" w:name="_Toc255"/>
      <w:bookmarkStart w:id="476" w:name="_Toc227771039"/>
      <w:commentRangeStart w:id="477"/>
      <w:r>
        <w:t>Per-application detail</w:t>
      </w:r>
      <w:bookmarkEnd w:id="475"/>
      <w:bookmarkEnd w:id="476"/>
      <w:commentRangeEnd w:id="477"/>
      <w:r w:rsidR="00AA43E6">
        <w:rPr>
          <w:rStyle w:val="CommentReference"/>
          <w:sz w:val="28"/>
          <w:szCs w:val="28"/>
        </w:rPr>
        <w:commentReference w:id="477"/>
      </w:r>
    </w:p>
    <w:p w14:paraId="000008A9" w14:textId="000008AA" w:rsidR="000B0F63" w:rsidRDefault="00C05D22" w:rsidP="00E40261">
      <w:pPr>
        <w:jc w:val="both"/>
      </w:pPr>
      <w:r>
        <w:t>Per-application cloud affinity scores, readiness assessments, cohort assignments, and dependency relationships are available in the Business Summary workbook:</w:t>
      </w:r>
    </w:p>
    <w:p w14:paraId="000008AB" w14:textId="000008AC" w:rsidR="000B0F63" w:rsidRDefault="00C05D22" w:rsidP="00EC2FA3">
      <w:pPr>
        <w:pStyle w:val="ListBullet"/>
        <w:numPr>
          <w:ilvl w:val="0"/>
          <w:numId w:val="46"/>
        </w:numPr>
        <w:jc w:val="both"/>
      </w:pPr>
      <w:r w:rsidRPr="00585B3C">
        <w:rPr>
          <w:b/>
        </w:rPr>
        <w:t>Wave Planning (Summary) sheet</w:t>
      </w:r>
      <w:r>
        <w:t>: all in-scope applications with cloud affinity, migration strategy (indicative 7R), criticality, and cohort assignment</w:t>
      </w:r>
    </w:p>
    <w:p w14:paraId="000008AD" w14:textId="000008AE" w:rsidR="000B0F63" w:rsidRDefault="00C05D22" w:rsidP="00EC2FA3">
      <w:pPr>
        <w:pStyle w:val="ListBullet"/>
        <w:numPr>
          <w:ilvl w:val="0"/>
          <w:numId w:val="46"/>
        </w:numPr>
        <w:jc w:val="both"/>
      </w:pPr>
      <w:r w:rsidRPr="00585B3C">
        <w:rPr>
          <w:b/>
        </w:rPr>
        <w:t xml:space="preserve">App Dependency Matrix </w:t>
      </w:r>
      <w:proofErr w:type="gramStart"/>
      <w:r w:rsidRPr="00585B3C">
        <w:rPr>
          <w:b/>
        </w:rPr>
        <w:t>sheet</w:t>
      </w:r>
      <w:proofErr w:type="gramEnd"/>
      <w:r>
        <w:t>: network-confirmed and interview-confirmed dependencies</w:t>
      </w:r>
    </w:p>
    <w:p w14:paraId="000008AF" w14:textId="000008B0" w:rsidR="000B0F63" w:rsidRDefault="00C05D22" w:rsidP="00EC2FA3">
      <w:pPr>
        <w:pStyle w:val="ListBullet"/>
        <w:numPr>
          <w:ilvl w:val="0"/>
          <w:numId w:val="46"/>
        </w:numPr>
        <w:jc w:val="both"/>
      </w:pPr>
      <w:r w:rsidRPr="00585B3C">
        <w:rPr>
          <w:b/>
        </w:rPr>
        <w:t>Executive Summary sheet:</w:t>
      </w:r>
      <w:r>
        <w:t xml:space="preserve"> per-application discovery coverage percentages</w:t>
      </w:r>
    </w:p>
    <w:p w14:paraId="000008B1" w14:textId="000008B2" w:rsidR="000B0F63" w:rsidRPr="005B6077" w:rsidRDefault="1BAB210A" w:rsidP="005B6077">
      <w:pPr>
        <w:pStyle w:val="Heading6"/>
        <w:rPr>
          <w:rStyle w:val="BookTitle"/>
        </w:rPr>
      </w:pPr>
      <w:bookmarkStart w:id="478" w:name="_Toc256"/>
      <w:bookmarkStart w:id="479" w:name="_Toc227771040"/>
      <w:bookmarkStart w:id="480" w:name="_Toc227771419"/>
      <w:r w:rsidRPr="005B6077">
        <w:rPr>
          <w:rStyle w:val="BookTitle"/>
        </w:rPr>
        <w:t>Appendix C: Attached Workbooks</w:t>
      </w:r>
      <w:bookmarkEnd w:id="478"/>
      <w:bookmarkEnd w:id="479"/>
      <w:bookmarkEnd w:id="480"/>
    </w:p>
    <w:tbl>
      <w:tblPr>
        <w:tblW w:w="9720" w:type="dxa"/>
        <w:tblCellMar>
          <w:top w:w="100" w:type="dxa"/>
          <w:left w:w="100" w:type="dxa"/>
          <w:bottom w:w="100" w:type="dxa"/>
          <w:right w:w="100" w:type="dxa"/>
        </w:tblCellMar>
        <w:tblLook w:val="04A0" w:firstRow="1" w:lastRow="0" w:firstColumn="1" w:lastColumn="0" w:noHBand="0" w:noVBand="1"/>
      </w:tblPr>
      <w:tblGrid>
        <w:gridCol w:w="4860"/>
        <w:gridCol w:w="4860"/>
      </w:tblGrid>
      <w:tr w:rsidR="00AB10D7" w14:paraId="52E5ABDE" w14:textId="77777777" w:rsidTr="1524DEBB">
        <w:trPr>
          <w:cantSplit/>
        </w:trPr>
        <w:tc>
          <w:tcPr>
            <w:tcW w:w="4860" w:type="dxa"/>
            <w:shd w:val="clear" w:color="auto" w:fill="D9D9D9" w:themeFill="background1" w:themeFillShade="D9"/>
            <w:tcMar>
              <w:top w:w="100" w:type="dxa"/>
              <w:left w:w="100" w:type="dxa"/>
              <w:bottom w:w="100" w:type="dxa"/>
              <w:right w:w="100" w:type="dxa"/>
            </w:tcMar>
          </w:tcPr>
          <w:p w14:paraId="000008B3" w14:textId="000008B4" w:rsidR="000B0F63" w:rsidRDefault="00C05D22" w:rsidP="00E40261">
            <w:pPr>
              <w:pStyle w:val="TableHeader"/>
              <w:jc w:val="both"/>
            </w:pPr>
            <w:r>
              <w:t>Workbook</w:t>
            </w:r>
          </w:p>
        </w:tc>
        <w:tc>
          <w:tcPr>
            <w:tcW w:w="4860" w:type="dxa"/>
            <w:shd w:val="clear" w:color="auto" w:fill="D9D9D9" w:themeFill="background1" w:themeFillShade="D9"/>
            <w:tcMar>
              <w:top w:w="100" w:type="dxa"/>
              <w:left w:w="100" w:type="dxa"/>
              <w:bottom w:w="100" w:type="dxa"/>
              <w:right w:w="100" w:type="dxa"/>
            </w:tcMar>
          </w:tcPr>
          <w:p w14:paraId="000008B5" w14:textId="000008B6" w:rsidR="000B0F63" w:rsidRDefault="00C05D22" w:rsidP="00E40261">
            <w:pPr>
              <w:pStyle w:val="TableHeader"/>
              <w:jc w:val="both"/>
            </w:pPr>
            <w:r>
              <w:t>Contents</w:t>
            </w:r>
          </w:p>
        </w:tc>
      </w:tr>
      <w:tr w:rsidR="006A6D07" w14:paraId="50B5692C" w14:textId="77777777" w:rsidTr="1524DEBB">
        <w:tc>
          <w:tcPr>
            <w:tcW w:w="4860" w:type="dxa"/>
            <w:tcMar>
              <w:top w:w="100" w:type="dxa"/>
              <w:left w:w="100" w:type="dxa"/>
              <w:bottom w:w="100" w:type="dxa"/>
              <w:right w:w="100" w:type="dxa"/>
            </w:tcMar>
          </w:tcPr>
          <w:p w14:paraId="000008B7" w14:textId="000008B8" w:rsidR="000B0F63" w:rsidRDefault="00C05D22" w:rsidP="00E40261">
            <w:pPr>
              <w:pStyle w:val="TableInfo"/>
              <w:jc w:val="both"/>
            </w:pPr>
            <w:r>
              <w:t>DMG_InScope_Business_Summary.xlsx</w:t>
            </w:r>
          </w:p>
        </w:tc>
        <w:tc>
          <w:tcPr>
            <w:tcW w:w="4860" w:type="dxa"/>
            <w:tcMar>
              <w:top w:w="100" w:type="dxa"/>
              <w:left w:w="100" w:type="dxa"/>
              <w:bottom w:w="100" w:type="dxa"/>
              <w:right w:w="100" w:type="dxa"/>
            </w:tcMar>
          </w:tcPr>
          <w:p w14:paraId="000008B9" w14:textId="000008BA" w:rsidR="000B0F63" w:rsidRDefault="00C05D22" w:rsidP="00E40261">
            <w:pPr>
              <w:pStyle w:val="TableInfo"/>
              <w:jc w:val="both"/>
            </w:pPr>
            <w:r>
              <w:t>Executive Summary, Application Coverage, Per-Service Breakdown, Gap List, Database Discovery, Database Instance Inventory, App Dependency Matrix, Wave Planning (Summary), Raw Data</w:t>
            </w:r>
          </w:p>
        </w:tc>
      </w:tr>
      <w:tr w:rsidR="006A6D07" w14:paraId="7BB1D038" w14:textId="77777777" w:rsidTr="1524DEBB">
        <w:tc>
          <w:tcPr>
            <w:tcW w:w="4860" w:type="dxa"/>
            <w:tcMar>
              <w:top w:w="100" w:type="dxa"/>
              <w:left w:w="100" w:type="dxa"/>
              <w:bottom w:w="100" w:type="dxa"/>
              <w:right w:w="100" w:type="dxa"/>
            </w:tcMar>
          </w:tcPr>
          <w:p w14:paraId="000008BB" w14:textId="000008BC" w:rsidR="000B0F63" w:rsidRDefault="00C05D22" w:rsidP="00E40261">
            <w:pPr>
              <w:pStyle w:val="TableInfo"/>
              <w:jc w:val="both"/>
            </w:pPr>
            <w:r>
              <w:t>DMG_TCO_Comparison.xlsx</w:t>
            </w:r>
          </w:p>
        </w:tc>
        <w:tc>
          <w:tcPr>
            <w:tcW w:w="4860" w:type="dxa"/>
            <w:tcMar>
              <w:top w:w="100" w:type="dxa"/>
              <w:left w:w="100" w:type="dxa"/>
              <w:bottom w:w="100" w:type="dxa"/>
              <w:right w:w="100" w:type="dxa"/>
            </w:tcMar>
          </w:tcPr>
          <w:p w14:paraId="000008BD" w14:textId="000008BE" w:rsidR="000B0F63" w:rsidRDefault="00C05D22" w:rsidP="00E40261">
            <w:pPr>
              <w:pStyle w:val="TableInfo"/>
              <w:jc w:val="both"/>
            </w:pPr>
            <w:r>
              <w:t>Summary, Rate Card, Repricing per region (London, NL/Ireland, Frankfurt), Methodology. All 3,038 servers priced per region from live API rates.</w:t>
            </w:r>
          </w:p>
        </w:tc>
      </w:tr>
      <w:tr w:rsidR="006A6D07" w14:paraId="5093E24F" w14:textId="77777777" w:rsidTr="1524DEBB">
        <w:tc>
          <w:tcPr>
            <w:tcW w:w="4860" w:type="dxa"/>
            <w:tcMar>
              <w:top w:w="100" w:type="dxa"/>
              <w:left w:w="100" w:type="dxa"/>
              <w:bottom w:w="100" w:type="dxa"/>
              <w:right w:w="100" w:type="dxa"/>
            </w:tcMar>
          </w:tcPr>
          <w:p w14:paraId="000008BF" w14:textId="000008C0" w:rsidR="000B0F63" w:rsidRDefault="00C05D22" w:rsidP="00E40261">
            <w:pPr>
              <w:pStyle w:val="TableInfo"/>
              <w:jc w:val="both"/>
            </w:pPr>
            <w:r>
              <w:t>DMG_TCO_Optimized.xlsx</w:t>
            </w:r>
          </w:p>
        </w:tc>
        <w:tc>
          <w:tcPr>
            <w:tcW w:w="4860" w:type="dxa"/>
            <w:tcMar>
              <w:top w:w="100" w:type="dxa"/>
              <w:left w:w="100" w:type="dxa"/>
              <w:bottom w:w="100" w:type="dxa"/>
              <w:right w:w="100" w:type="dxa"/>
            </w:tcMar>
          </w:tcPr>
          <w:p w14:paraId="000008C1" w14:textId="6A1A9099" w:rsidR="000B0F63" w:rsidRDefault="00C05D22" w:rsidP="00E40261">
            <w:pPr>
              <w:pStyle w:val="TableInfo"/>
              <w:jc w:val="both"/>
            </w:pPr>
            <w:r w:rsidRPr="1524DEBB">
              <w:rPr>
                <w:lang w:val="en-GB"/>
              </w:rPr>
              <w:t xml:space="preserve">Scenario Summary, Oracle Options, Migration Credits, Methodology. Windows BYOL, SQL Server licensing, Oracle scenarios, storage tiering, RHEL BYOL, Azure Dev/Test. Includes Oracle support line </w:t>
            </w:r>
            <w:r w:rsidR="000C108A" w:rsidRPr="1524DEBB">
              <w:rPr>
                <w:lang w:val="en-GB"/>
              </w:rPr>
              <w:t>(</w:t>
            </w:r>
            <w:r w:rsidR="0FA103C5" w:rsidRPr="1524DEBB">
              <w:rPr>
                <w:lang w:val="en-GB"/>
              </w:rPr>
              <w:t>£</w:t>
            </w:r>
            <w:r w:rsidRPr="1524DEBB">
              <w:rPr>
                <w:lang w:val="en-GB"/>
              </w:rPr>
              <w:t>650K/yr retained under BYOL).</w:t>
            </w:r>
          </w:p>
        </w:tc>
      </w:tr>
      <w:tr w:rsidR="006A6D07" w14:paraId="7B0EB202" w14:textId="77777777" w:rsidTr="1524DEBB">
        <w:tc>
          <w:tcPr>
            <w:tcW w:w="4860" w:type="dxa"/>
            <w:tcMar>
              <w:top w:w="100" w:type="dxa"/>
              <w:left w:w="100" w:type="dxa"/>
              <w:bottom w:w="100" w:type="dxa"/>
              <w:right w:w="100" w:type="dxa"/>
            </w:tcMar>
          </w:tcPr>
          <w:p w14:paraId="000008C3" w14:textId="000008C4" w:rsidR="000B0F63" w:rsidRDefault="00C05D22" w:rsidP="00E40261">
            <w:pPr>
              <w:pStyle w:val="TableInfo"/>
              <w:jc w:val="both"/>
            </w:pPr>
            <w:r>
              <w:t>DMG Weighted Selection Criteria.xlsx</w:t>
            </w:r>
          </w:p>
        </w:tc>
        <w:tc>
          <w:tcPr>
            <w:tcW w:w="4860" w:type="dxa"/>
            <w:tcMar>
              <w:top w:w="100" w:type="dxa"/>
              <w:left w:w="100" w:type="dxa"/>
              <w:bottom w:w="100" w:type="dxa"/>
              <w:right w:w="100" w:type="dxa"/>
            </w:tcMar>
          </w:tcPr>
          <w:p w14:paraId="000008C5" w14:textId="000008C6" w:rsidR="000B0F63" w:rsidRDefault="00C05D22" w:rsidP="00E40261">
            <w:pPr>
              <w:pStyle w:val="TableInfo"/>
              <w:jc w:val="both"/>
            </w:pPr>
            <w:r w:rsidRPr="1524DEBB">
              <w:rPr>
                <w:lang w:val="en-GB"/>
              </w:rPr>
              <w:t xml:space="preserve">Weighted </w:t>
            </w:r>
            <w:proofErr w:type="spellStart"/>
            <w:r w:rsidRPr="1524DEBB">
              <w:rPr>
                <w:lang w:val="en-GB"/>
              </w:rPr>
              <w:t>hyperscaler</w:t>
            </w:r>
            <w:proofErr w:type="spellEnd"/>
            <w:r w:rsidRPr="1524DEBB">
              <w:rPr>
                <w:lang w:val="en-GB"/>
              </w:rPr>
              <w:t xml:space="preserve"> scoring across mutually agreed parameters.</w:t>
            </w:r>
          </w:p>
        </w:tc>
      </w:tr>
    </w:tbl>
    <w:p w14:paraId="000008C7" w14:textId="000008C8" w:rsidR="000B0F63" w:rsidRPr="005B6077" w:rsidRDefault="1BAB210A" w:rsidP="005B6077">
      <w:pPr>
        <w:pStyle w:val="Heading6"/>
        <w:rPr>
          <w:rStyle w:val="BookTitle"/>
        </w:rPr>
      </w:pPr>
      <w:bookmarkStart w:id="481" w:name="_Toc257"/>
      <w:bookmarkStart w:id="482" w:name="_Toc227771041"/>
      <w:bookmarkStart w:id="483" w:name="_Toc227771420"/>
      <w:r w:rsidRPr="005B6077">
        <w:rPr>
          <w:rStyle w:val="BookTitle"/>
        </w:rPr>
        <w:t>Appendix D: Open Items</w:t>
      </w:r>
      <w:bookmarkEnd w:id="481"/>
      <w:bookmarkEnd w:id="482"/>
      <w:bookmarkEnd w:id="483"/>
    </w:p>
    <w:tbl>
      <w:tblPr>
        <w:tblW w:w="9720" w:type="dxa"/>
        <w:tblCellMar>
          <w:top w:w="100" w:type="dxa"/>
          <w:left w:w="100" w:type="dxa"/>
          <w:bottom w:w="100" w:type="dxa"/>
          <w:right w:w="100" w:type="dxa"/>
        </w:tblCellMar>
        <w:tblLook w:val="04A0" w:firstRow="1" w:lastRow="0" w:firstColumn="1" w:lastColumn="0" w:noHBand="0" w:noVBand="1"/>
      </w:tblPr>
      <w:tblGrid>
        <w:gridCol w:w="2430"/>
        <w:gridCol w:w="2430"/>
        <w:gridCol w:w="2430"/>
        <w:gridCol w:w="2430"/>
      </w:tblGrid>
      <w:tr w:rsidR="003F69AC" w14:paraId="63954550" w14:textId="77777777" w:rsidTr="1524DEBB">
        <w:trPr>
          <w:cantSplit/>
        </w:trPr>
        <w:tc>
          <w:tcPr>
            <w:tcW w:w="2430" w:type="dxa"/>
            <w:shd w:val="clear" w:color="auto" w:fill="D9D9D9" w:themeFill="background1" w:themeFillShade="D9"/>
            <w:tcMar>
              <w:top w:w="100" w:type="dxa"/>
              <w:left w:w="100" w:type="dxa"/>
              <w:bottom w:w="100" w:type="dxa"/>
              <w:right w:w="100" w:type="dxa"/>
            </w:tcMar>
          </w:tcPr>
          <w:p w14:paraId="000008C9" w14:textId="000008CA" w:rsidR="000B0F63" w:rsidRDefault="00C05D22" w:rsidP="00E40261">
            <w:pPr>
              <w:pStyle w:val="TableHeader"/>
              <w:jc w:val="both"/>
            </w:pPr>
            <w:r>
              <w:t>Item</w:t>
            </w:r>
          </w:p>
        </w:tc>
        <w:tc>
          <w:tcPr>
            <w:tcW w:w="2430" w:type="dxa"/>
            <w:shd w:val="clear" w:color="auto" w:fill="D9D9D9" w:themeFill="background1" w:themeFillShade="D9"/>
            <w:tcMar>
              <w:top w:w="100" w:type="dxa"/>
              <w:left w:w="100" w:type="dxa"/>
              <w:bottom w:w="100" w:type="dxa"/>
              <w:right w:w="100" w:type="dxa"/>
            </w:tcMar>
          </w:tcPr>
          <w:p w14:paraId="000008CB" w14:textId="000008CC" w:rsidR="000B0F63" w:rsidRDefault="00C05D22" w:rsidP="00E40261">
            <w:pPr>
              <w:pStyle w:val="TableHeader"/>
              <w:jc w:val="both"/>
            </w:pPr>
            <w:r>
              <w:t>Status</w:t>
            </w:r>
          </w:p>
        </w:tc>
        <w:tc>
          <w:tcPr>
            <w:tcW w:w="2430" w:type="dxa"/>
            <w:shd w:val="clear" w:color="auto" w:fill="D9D9D9" w:themeFill="background1" w:themeFillShade="D9"/>
            <w:tcMar>
              <w:top w:w="100" w:type="dxa"/>
              <w:left w:w="100" w:type="dxa"/>
              <w:bottom w:w="100" w:type="dxa"/>
              <w:right w:w="100" w:type="dxa"/>
            </w:tcMar>
          </w:tcPr>
          <w:p w14:paraId="000008CD" w14:textId="000008CE" w:rsidR="000B0F63" w:rsidRDefault="00C05D22" w:rsidP="00E40261">
            <w:pPr>
              <w:pStyle w:val="TableHeader"/>
              <w:jc w:val="both"/>
            </w:pPr>
            <w:r>
              <w:t>Impact</w:t>
            </w:r>
          </w:p>
        </w:tc>
        <w:tc>
          <w:tcPr>
            <w:tcW w:w="2430" w:type="dxa"/>
            <w:shd w:val="clear" w:color="auto" w:fill="D9D9D9" w:themeFill="background1" w:themeFillShade="D9"/>
            <w:tcMar>
              <w:top w:w="100" w:type="dxa"/>
              <w:left w:w="100" w:type="dxa"/>
              <w:bottom w:w="100" w:type="dxa"/>
              <w:right w:w="100" w:type="dxa"/>
            </w:tcMar>
          </w:tcPr>
          <w:p w14:paraId="000008CF" w14:textId="000008D0" w:rsidR="000B0F63" w:rsidRDefault="00C05D22" w:rsidP="00E40261">
            <w:pPr>
              <w:pStyle w:val="TableHeader"/>
              <w:jc w:val="both"/>
            </w:pPr>
            <w:r>
              <w:t>Section</w:t>
            </w:r>
          </w:p>
        </w:tc>
      </w:tr>
      <w:tr w:rsidR="006A6D07" w14:paraId="48602364" w14:textId="77777777" w:rsidTr="1524DEBB">
        <w:tc>
          <w:tcPr>
            <w:tcW w:w="2430" w:type="dxa"/>
            <w:tcMar>
              <w:top w:w="100" w:type="dxa"/>
              <w:left w:w="100" w:type="dxa"/>
              <w:bottom w:w="100" w:type="dxa"/>
              <w:right w:w="100" w:type="dxa"/>
            </w:tcMar>
          </w:tcPr>
          <w:p w14:paraId="000008D1" w14:textId="000008D2" w:rsidR="000B0F63" w:rsidRDefault="00C05D22" w:rsidP="00E40261">
            <w:pPr>
              <w:pStyle w:val="TableInfo"/>
              <w:jc w:val="both"/>
            </w:pPr>
            <w:r w:rsidRPr="1524DEBB">
              <w:rPr>
                <w:lang w:val="en-GB"/>
              </w:rPr>
              <w:t>Microsoft SA formal confirmation (</w:t>
            </w:r>
            <w:proofErr w:type="spellStart"/>
            <w:r w:rsidRPr="1524DEBB">
              <w:rPr>
                <w:lang w:val="en-GB"/>
              </w:rPr>
              <w:t>Bluesource</w:t>
            </w:r>
            <w:proofErr w:type="spellEnd"/>
            <w:r w:rsidRPr="1524DEBB">
              <w:rPr>
                <w:lang w:val="en-GB"/>
              </w:rPr>
              <w:t>)</w:t>
            </w:r>
          </w:p>
        </w:tc>
        <w:tc>
          <w:tcPr>
            <w:tcW w:w="2430" w:type="dxa"/>
            <w:tcMar>
              <w:top w:w="100" w:type="dxa"/>
              <w:left w:w="100" w:type="dxa"/>
              <w:bottom w:w="100" w:type="dxa"/>
              <w:right w:w="100" w:type="dxa"/>
            </w:tcMar>
          </w:tcPr>
          <w:p w14:paraId="000008D3" w14:textId="000008D4" w:rsidR="000B0F63" w:rsidRDefault="00C05D22" w:rsidP="00E40261">
            <w:pPr>
              <w:pStyle w:val="TableInfo"/>
              <w:jc w:val="both"/>
            </w:pPr>
            <w:r>
              <w:t>PENDING</w:t>
            </w:r>
          </w:p>
        </w:tc>
        <w:tc>
          <w:tcPr>
            <w:tcW w:w="2430" w:type="dxa"/>
            <w:tcMar>
              <w:top w:w="100" w:type="dxa"/>
              <w:left w:w="100" w:type="dxa"/>
              <w:bottom w:w="100" w:type="dxa"/>
              <w:right w:w="100" w:type="dxa"/>
            </w:tcMar>
          </w:tcPr>
          <w:p w14:paraId="000008D5" w14:textId="000008D6" w:rsidR="000B0F63" w:rsidRDefault="00C05D22" w:rsidP="00E40261">
            <w:pPr>
              <w:pStyle w:val="TableInfo"/>
              <w:jc w:val="both"/>
            </w:pPr>
            <w:r>
              <w:t>Unblocks BYOL modelling as certainty</w:t>
            </w:r>
          </w:p>
        </w:tc>
        <w:tc>
          <w:tcPr>
            <w:tcW w:w="2430" w:type="dxa"/>
            <w:tcMar>
              <w:top w:w="100" w:type="dxa"/>
              <w:left w:w="100" w:type="dxa"/>
              <w:bottom w:w="100" w:type="dxa"/>
              <w:right w:w="100" w:type="dxa"/>
            </w:tcMar>
          </w:tcPr>
          <w:p w14:paraId="000008D7" w14:textId="000008D8" w:rsidR="000B0F63" w:rsidRDefault="00C05D22" w:rsidP="00E40261">
            <w:pPr>
              <w:pStyle w:val="TableInfo"/>
              <w:jc w:val="both"/>
            </w:pPr>
            <w:r>
              <w:t>5, 6</w:t>
            </w:r>
          </w:p>
        </w:tc>
      </w:tr>
      <w:tr w:rsidR="006A6D07" w14:paraId="39DD115B" w14:textId="77777777" w:rsidTr="1524DEBB">
        <w:tc>
          <w:tcPr>
            <w:tcW w:w="2430" w:type="dxa"/>
            <w:tcMar>
              <w:top w:w="100" w:type="dxa"/>
              <w:left w:w="100" w:type="dxa"/>
              <w:bottom w:w="100" w:type="dxa"/>
              <w:right w:w="100" w:type="dxa"/>
            </w:tcMar>
          </w:tcPr>
          <w:p w14:paraId="000008D9" w14:textId="000008DA" w:rsidR="000B0F63" w:rsidRDefault="00C05D22" w:rsidP="00E40261">
            <w:pPr>
              <w:pStyle w:val="TableInfo"/>
              <w:jc w:val="both"/>
            </w:pPr>
            <w:r w:rsidRPr="1524DEBB">
              <w:rPr>
                <w:lang w:val="en-GB"/>
              </w:rPr>
              <w:t xml:space="preserve">Weighted </w:t>
            </w:r>
            <w:proofErr w:type="spellStart"/>
            <w:r w:rsidRPr="1524DEBB">
              <w:rPr>
                <w:lang w:val="en-GB"/>
              </w:rPr>
              <w:t>hyperscaler</w:t>
            </w:r>
            <w:proofErr w:type="spellEnd"/>
            <w:r w:rsidRPr="1524DEBB">
              <w:rPr>
                <w:lang w:val="en-GB"/>
              </w:rPr>
              <w:t xml:space="preserve"> scoring matrix</w:t>
            </w:r>
          </w:p>
        </w:tc>
        <w:tc>
          <w:tcPr>
            <w:tcW w:w="2430" w:type="dxa"/>
            <w:tcMar>
              <w:top w:w="100" w:type="dxa"/>
              <w:left w:w="100" w:type="dxa"/>
              <w:bottom w:w="100" w:type="dxa"/>
              <w:right w:w="100" w:type="dxa"/>
            </w:tcMar>
          </w:tcPr>
          <w:p w14:paraId="000008DB" w14:textId="000008DC" w:rsidR="000B0F63" w:rsidRDefault="00C05D22" w:rsidP="00E40261">
            <w:pPr>
              <w:pStyle w:val="TableInfo"/>
              <w:jc w:val="both"/>
            </w:pPr>
            <w:r>
              <w:t>COMPLETE</w:t>
            </w:r>
          </w:p>
        </w:tc>
        <w:tc>
          <w:tcPr>
            <w:tcW w:w="2430" w:type="dxa"/>
            <w:tcMar>
              <w:top w:w="100" w:type="dxa"/>
              <w:left w:w="100" w:type="dxa"/>
              <w:bottom w:w="100" w:type="dxa"/>
              <w:right w:w="100" w:type="dxa"/>
            </w:tcMar>
          </w:tcPr>
          <w:p w14:paraId="000008DD" w14:textId="000008DE" w:rsidR="000B0F63" w:rsidRDefault="00C05D22" w:rsidP="00E40261">
            <w:pPr>
              <w:pStyle w:val="TableInfo"/>
              <w:jc w:val="both"/>
            </w:pPr>
            <w:r>
              <w:t>Feeds Section 7 recommendation</w:t>
            </w:r>
          </w:p>
        </w:tc>
        <w:tc>
          <w:tcPr>
            <w:tcW w:w="2430" w:type="dxa"/>
            <w:tcMar>
              <w:top w:w="100" w:type="dxa"/>
              <w:left w:w="100" w:type="dxa"/>
              <w:bottom w:w="100" w:type="dxa"/>
              <w:right w:w="100" w:type="dxa"/>
            </w:tcMar>
          </w:tcPr>
          <w:p w14:paraId="000008DF" w14:textId="000008E0" w:rsidR="000B0F63" w:rsidRDefault="00C05D22" w:rsidP="00E40261">
            <w:pPr>
              <w:pStyle w:val="TableInfo"/>
              <w:jc w:val="both"/>
            </w:pPr>
            <w:r>
              <w:t>7</w:t>
            </w:r>
          </w:p>
        </w:tc>
      </w:tr>
      <w:tr w:rsidR="006A6D07" w14:paraId="5340245B" w14:textId="77777777" w:rsidTr="1524DEBB">
        <w:tc>
          <w:tcPr>
            <w:tcW w:w="2430" w:type="dxa"/>
            <w:tcMar>
              <w:top w:w="100" w:type="dxa"/>
              <w:left w:w="100" w:type="dxa"/>
              <w:bottom w:w="100" w:type="dxa"/>
              <w:right w:w="100" w:type="dxa"/>
            </w:tcMar>
          </w:tcPr>
          <w:p w14:paraId="000008E1" w14:textId="000008E2" w:rsidR="000B0F63" w:rsidRDefault="00C05D22" w:rsidP="00E40261">
            <w:pPr>
              <w:pStyle w:val="TableInfo"/>
              <w:jc w:val="both"/>
            </w:pPr>
            <w:r>
              <w:t>MOL Oracle B-cluster DMA assessment</w:t>
            </w:r>
          </w:p>
        </w:tc>
        <w:tc>
          <w:tcPr>
            <w:tcW w:w="2430" w:type="dxa"/>
            <w:tcMar>
              <w:top w:w="100" w:type="dxa"/>
              <w:left w:w="100" w:type="dxa"/>
              <w:bottom w:w="100" w:type="dxa"/>
              <w:right w:w="100" w:type="dxa"/>
            </w:tcMar>
          </w:tcPr>
          <w:p w14:paraId="000008E3" w14:textId="000008E4" w:rsidR="000B0F63" w:rsidRDefault="00C05D22" w:rsidP="00E40261">
            <w:pPr>
              <w:pStyle w:val="TableInfo"/>
              <w:jc w:val="both"/>
            </w:pPr>
            <w:r>
              <w:t>Not yet collected</w:t>
            </w:r>
          </w:p>
        </w:tc>
        <w:tc>
          <w:tcPr>
            <w:tcW w:w="2430" w:type="dxa"/>
            <w:tcMar>
              <w:top w:w="100" w:type="dxa"/>
              <w:left w:w="100" w:type="dxa"/>
              <w:bottom w:w="100" w:type="dxa"/>
              <w:right w:w="100" w:type="dxa"/>
            </w:tcMar>
          </w:tcPr>
          <w:p w14:paraId="000008E5" w14:textId="000008E6" w:rsidR="000B0F63" w:rsidRDefault="00C05D22" w:rsidP="00E40261">
            <w:pPr>
              <w:pStyle w:val="TableInfo"/>
              <w:jc w:val="both"/>
            </w:pPr>
            <w:r>
              <w:t>Production primary Oracle; biggest Phase 1 data gap</w:t>
            </w:r>
          </w:p>
        </w:tc>
        <w:tc>
          <w:tcPr>
            <w:tcW w:w="2430" w:type="dxa"/>
            <w:tcMar>
              <w:top w:w="100" w:type="dxa"/>
              <w:left w:w="100" w:type="dxa"/>
              <w:bottom w:w="100" w:type="dxa"/>
              <w:right w:w="100" w:type="dxa"/>
            </w:tcMar>
          </w:tcPr>
          <w:p w14:paraId="000008E7" w14:textId="000008E8" w:rsidR="000B0F63" w:rsidRDefault="00C05D22" w:rsidP="00E40261">
            <w:pPr>
              <w:pStyle w:val="TableInfo"/>
              <w:jc w:val="both"/>
            </w:pPr>
            <w:r>
              <w:t>4, 5, 9</w:t>
            </w:r>
          </w:p>
        </w:tc>
      </w:tr>
      <w:tr w:rsidR="006A6D07" w14:paraId="13AB1DDF" w14:textId="77777777" w:rsidTr="1524DEBB">
        <w:tc>
          <w:tcPr>
            <w:tcW w:w="2430" w:type="dxa"/>
            <w:tcMar>
              <w:top w:w="100" w:type="dxa"/>
              <w:left w:w="100" w:type="dxa"/>
              <w:bottom w:w="100" w:type="dxa"/>
              <w:right w:w="100" w:type="dxa"/>
            </w:tcMar>
          </w:tcPr>
          <w:p w14:paraId="000008E9" w14:textId="000008EA" w:rsidR="000B0F63" w:rsidRDefault="00C05D22" w:rsidP="00E40261">
            <w:pPr>
              <w:pStyle w:val="TableInfo"/>
              <w:jc w:val="both"/>
            </w:pPr>
            <w:r>
              <w:t>On-premises DC cost data (updated)</w:t>
            </w:r>
          </w:p>
        </w:tc>
        <w:tc>
          <w:tcPr>
            <w:tcW w:w="2430" w:type="dxa"/>
            <w:tcMar>
              <w:top w:w="100" w:type="dxa"/>
              <w:left w:w="100" w:type="dxa"/>
              <w:bottom w:w="100" w:type="dxa"/>
              <w:right w:w="100" w:type="dxa"/>
            </w:tcMar>
          </w:tcPr>
          <w:p w14:paraId="000008EB" w14:textId="000008EC" w:rsidR="000B0F63" w:rsidRDefault="00C05D22" w:rsidP="00E40261">
            <w:pPr>
              <w:pStyle w:val="TableInfo"/>
              <w:jc w:val="both"/>
            </w:pPr>
            <w:r>
              <w:t>RECEIVED</w:t>
            </w:r>
          </w:p>
        </w:tc>
        <w:tc>
          <w:tcPr>
            <w:tcW w:w="2430" w:type="dxa"/>
            <w:tcMar>
              <w:top w:w="100" w:type="dxa"/>
              <w:left w:w="100" w:type="dxa"/>
              <w:bottom w:w="100" w:type="dxa"/>
              <w:right w:w="100" w:type="dxa"/>
            </w:tcMar>
          </w:tcPr>
          <w:p w14:paraId="000008ED" w14:textId="27D61697" w:rsidR="000B0F63" w:rsidRDefault="00312BB7" w:rsidP="00E40261">
            <w:pPr>
              <w:pStyle w:val="TableInfo"/>
              <w:jc w:val="both"/>
            </w:pPr>
            <w:r>
              <w:t>£</w:t>
            </w:r>
            <w:r w:rsidR="00C05D22">
              <w:t>3.64M/yr baseline incorporated</w:t>
            </w:r>
          </w:p>
        </w:tc>
        <w:tc>
          <w:tcPr>
            <w:tcW w:w="2430" w:type="dxa"/>
            <w:tcMar>
              <w:top w:w="100" w:type="dxa"/>
              <w:left w:w="100" w:type="dxa"/>
              <w:bottom w:w="100" w:type="dxa"/>
              <w:right w:w="100" w:type="dxa"/>
            </w:tcMar>
          </w:tcPr>
          <w:p w14:paraId="000008EF" w14:textId="000008F0" w:rsidR="000B0F63" w:rsidRDefault="00C05D22" w:rsidP="00E40261">
            <w:pPr>
              <w:pStyle w:val="TableInfo"/>
              <w:jc w:val="both"/>
            </w:pPr>
            <w:r>
              <w:t>5, 11</w:t>
            </w:r>
          </w:p>
        </w:tc>
      </w:tr>
      <w:tr w:rsidR="006A6D07" w14:paraId="15CFF5B9" w14:textId="77777777" w:rsidTr="1524DEBB">
        <w:tc>
          <w:tcPr>
            <w:tcW w:w="2430" w:type="dxa"/>
            <w:tcMar>
              <w:top w:w="100" w:type="dxa"/>
              <w:left w:w="100" w:type="dxa"/>
              <w:bottom w:w="100" w:type="dxa"/>
              <w:right w:w="100" w:type="dxa"/>
            </w:tcMar>
          </w:tcPr>
          <w:p w14:paraId="000008F1" w14:textId="000008F2" w:rsidR="000B0F63" w:rsidRDefault="00C05D22" w:rsidP="00E40261">
            <w:pPr>
              <w:pStyle w:val="TableInfo"/>
              <w:jc w:val="both"/>
            </w:pPr>
            <w:r>
              <w:t>Broadcom VCF subscription quote</w:t>
            </w:r>
          </w:p>
        </w:tc>
        <w:tc>
          <w:tcPr>
            <w:tcW w:w="2430" w:type="dxa"/>
            <w:tcMar>
              <w:top w:w="100" w:type="dxa"/>
              <w:left w:w="100" w:type="dxa"/>
              <w:bottom w:w="100" w:type="dxa"/>
              <w:right w:w="100" w:type="dxa"/>
            </w:tcMar>
          </w:tcPr>
          <w:p w14:paraId="000008F3" w14:textId="000008F4" w:rsidR="000B0F63" w:rsidRDefault="00C05D22" w:rsidP="00E40261">
            <w:pPr>
              <w:pStyle w:val="TableInfo"/>
              <w:jc w:val="both"/>
            </w:pPr>
            <w:r>
              <w:t>PENDING</w:t>
            </w:r>
          </w:p>
        </w:tc>
        <w:tc>
          <w:tcPr>
            <w:tcW w:w="2430" w:type="dxa"/>
            <w:tcMar>
              <w:top w:w="100" w:type="dxa"/>
              <w:left w:w="100" w:type="dxa"/>
              <w:bottom w:w="100" w:type="dxa"/>
              <w:right w:w="100" w:type="dxa"/>
            </w:tcMar>
          </w:tcPr>
          <w:p w14:paraId="000008F5" w14:textId="000008F6" w:rsidR="000B0F63" w:rsidRDefault="00C05D22" w:rsidP="00E40261">
            <w:pPr>
              <w:pStyle w:val="TableInfo"/>
              <w:jc w:val="both"/>
            </w:pPr>
            <w:r>
              <w:t>Completes cost of doing nothing picture</w:t>
            </w:r>
          </w:p>
        </w:tc>
        <w:tc>
          <w:tcPr>
            <w:tcW w:w="2430" w:type="dxa"/>
            <w:tcMar>
              <w:top w:w="100" w:type="dxa"/>
              <w:left w:w="100" w:type="dxa"/>
              <w:bottom w:w="100" w:type="dxa"/>
              <w:right w:w="100" w:type="dxa"/>
            </w:tcMar>
          </w:tcPr>
          <w:p w14:paraId="000008F7" w14:textId="000008F8" w:rsidR="000B0F63" w:rsidRDefault="00C05D22" w:rsidP="00E40261">
            <w:pPr>
              <w:pStyle w:val="TableInfo"/>
              <w:jc w:val="both"/>
            </w:pPr>
            <w:r>
              <w:t>3, 5, 11</w:t>
            </w:r>
          </w:p>
        </w:tc>
      </w:tr>
      <w:tr w:rsidR="006A6D07" w14:paraId="117FA58F" w14:textId="77777777" w:rsidTr="1524DEBB">
        <w:tc>
          <w:tcPr>
            <w:tcW w:w="2430" w:type="dxa"/>
            <w:tcMar>
              <w:top w:w="100" w:type="dxa"/>
              <w:left w:w="100" w:type="dxa"/>
              <w:bottom w:w="100" w:type="dxa"/>
              <w:right w:w="100" w:type="dxa"/>
            </w:tcMar>
          </w:tcPr>
          <w:p w14:paraId="000008F9" w14:textId="000008FA" w:rsidR="000B0F63" w:rsidRDefault="00C05D22" w:rsidP="00E40261">
            <w:pPr>
              <w:pStyle w:val="TableInfo"/>
              <w:jc w:val="both"/>
            </w:pPr>
            <w:r>
              <w:t>Pre-sales Phase 2 content</w:t>
            </w:r>
          </w:p>
        </w:tc>
        <w:tc>
          <w:tcPr>
            <w:tcW w:w="2430" w:type="dxa"/>
            <w:tcMar>
              <w:top w:w="100" w:type="dxa"/>
              <w:left w:w="100" w:type="dxa"/>
              <w:bottom w:w="100" w:type="dxa"/>
              <w:right w:w="100" w:type="dxa"/>
            </w:tcMar>
          </w:tcPr>
          <w:p w14:paraId="000008FB" w14:textId="000008FC" w:rsidR="000B0F63" w:rsidRDefault="00C05D22" w:rsidP="00E40261">
            <w:pPr>
              <w:pStyle w:val="TableInfo"/>
              <w:jc w:val="both"/>
            </w:pPr>
            <w:r>
              <w:t>PENDING</w:t>
            </w:r>
          </w:p>
        </w:tc>
        <w:tc>
          <w:tcPr>
            <w:tcW w:w="2430" w:type="dxa"/>
            <w:tcMar>
              <w:top w:w="100" w:type="dxa"/>
              <w:left w:w="100" w:type="dxa"/>
              <w:bottom w:w="100" w:type="dxa"/>
              <w:right w:w="100" w:type="dxa"/>
            </w:tcMar>
          </w:tcPr>
          <w:p w14:paraId="000008FD" w14:textId="000008FE" w:rsidR="000B0F63" w:rsidRDefault="00C05D22" w:rsidP="00E40261">
            <w:pPr>
              <w:pStyle w:val="TableInfo"/>
              <w:jc w:val="both"/>
            </w:pPr>
            <w:r>
              <w:t>Indicative cost, phases, timelines, funding</w:t>
            </w:r>
          </w:p>
        </w:tc>
        <w:tc>
          <w:tcPr>
            <w:tcW w:w="2430" w:type="dxa"/>
            <w:tcMar>
              <w:top w:w="100" w:type="dxa"/>
              <w:left w:w="100" w:type="dxa"/>
              <w:bottom w:w="100" w:type="dxa"/>
              <w:right w:w="100" w:type="dxa"/>
            </w:tcMar>
          </w:tcPr>
          <w:p w14:paraId="000008FF" w14:textId="00000900" w:rsidR="000B0F63" w:rsidRDefault="00C05D22" w:rsidP="00E40261">
            <w:pPr>
              <w:pStyle w:val="TableInfo"/>
              <w:jc w:val="both"/>
            </w:pPr>
            <w:r>
              <w:t>11</w:t>
            </w:r>
          </w:p>
        </w:tc>
      </w:tr>
      <w:tr w:rsidR="006A6D07" w14:paraId="77DEB42E" w14:textId="77777777" w:rsidTr="1524DEBB">
        <w:tc>
          <w:tcPr>
            <w:tcW w:w="2430" w:type="dxa"/>
            <w:tcMar>
              <w:top w:w="100" w:type="dxa"/>
              <w:left w:w="100" w:type="dxa"/>
              <w:bottom w:w="100" w:type="dxa"/>
              <w:right w:w="100" w:type="dxa"/>
            </w:tcMar>
          </w:tcPr>
          <w:p w14:paraId="00000901" w14:textId="00000902" w:rsidR="000B0F63" w:rsidRDefault="00C05D22" w:rsidP="00E40261">
            <w:pPr>
              <w:pStyle w:val="TableInfo"/>
              <w:jc w:val="both"/>
            </w:pPr>
            <w:r>
              <w:t>Year 1 financial forecast</w:t>
            </w:r>
          </w:p>
        </w:tc>
        <w:tc>
          <w:tcPr>
            <w:tcW w:w="2430" w:type="dxa"/>
            <w:tcMar>
              <w:top w:w="100" w:type="dxa"/>
              <w:left w:w="100" w:type="dxa"/>
              <w:bottom w:w="100" w:type="dxa"/>
              <w:right w:w="100" w:type="dxa"/>
            </w:tcMar>
          </w:tcPr>
          <w:p w14:paraId="00000903" w14:textId="00000904" w:rsidR="000B0F63" w:rsidRDefault="00C05D22" w:rsidP="00E40261">
            <w:pPr>
              <w:pStyle w:val="TableInfo"/>
              <w:jc w:val="both"/>
            </w:pPr>
            <w:r>
              <w:t>PENDING</w:t>
            </w:r>
          </w:p>
        </w:tc>
        <w:tc>
          <w:tcPr>
            <w:tcW w:w="2430" w:type="dxa"/>
            <w:tcMar>
              <w:top w:w="100" w:type="dxa"/>
              <w:left w:w="100" w:type="dxa"/>
              <w:bottom w:w="100" w:type="dxa"/>
              <w:right w:w="100" w:type="dxa"/>
            </w:tcMar>
          </w:tcPr>
          <w:p w14:paraId="00000905" w14:textId="00000906" w:rsidR="000B0F63" w:rsidRDefault="00C05D22" w:rsidP="00E40261">
            <w:pPr>
              <w:pStyle w:val="TableInfo"/>
              <w:jc w:val="both"/>
            </w:pPr>
            <w:r>
              <w:t>Requires migration effort, dual-run schedule, commercial layer</w:t>
            </w:r>
          </w:p>
        </w:tc>
        <w:tc>
          <w:tcPr>
            <w:tcW w:w="2430" w:type="dxa"/>
            <w:tcMar>
              <w:top w:w="100" w:type="dxa"/>
              <w:left w:w="100" w:type="dxa"/>
              <w:bottom w:w="100" w:type="dxa"/>
              <w:right w:w="100" w:type="dxa"/>
            </w:tcMar>
          </w:tcPr>
          <w:p w14:paraId="00000907" w14:textId="00000908" w:rsidR="000B0F63" w:rsidRDefault="00C05D22" w:rsidP="00E40261">
            <w:pPr>
              <w:pStyle w:val="TableInfo"/>
              <w:jc w:val="both"/>
            </w:pPr>
            <w:r>
              <w:t>11</w:t>
            </w:r>
          </w:p>
        </w:tc>
      </w:tr>
      <w:tr w:rsidR="006A6D07" w14:paraId="0C44839D" w14:textId="77777777" w:rsidTr="1524DEBB">
        <w:tc>
          <w:tcPr>
            <w:tcW w:w="2430" w:type="dxa"/>
            <w:tcMar>
              <w:top w:w="100" w:type="dxa"/>
              <w:left w:w="100" w:type="dxa"/>
              <w:bottom w:w="100" w:type="dxa"/>
              <w:right w:w="100" w:type="dxa"/>
            </w:tcMar>
          </w:tcPr>
          <w:p w14:paraId="00000909" w14:textId="0000090A" w:rsidR="000B0F63" w:rsidRDefault="00C05D22" w:rsidP="00E40261">
            <w:pPr>
              <w:pStyle w:val="TableInfo"/>
              <w:jc w:val="both"/>
            </w:pPr>
            <w:r>
              <w:t>Commercial layer (MAP, credits, partner pricing)</w:t>
            </w:r>
          </w:p>
        </w:tc>
        <w:tc>
          <w:tcPr>
            <w:tcW w:w="2430" w:type="dxa"/>
            <w:tcMar>
              <w:top w:w="100" w:type="dxa"/>
              <w:left w:w="100" w:type="dxa"/>
              <w:bottom w:w="100" w:type="dxa"/>
              <w:right w:w="100" w:type="dxa"/>
            </w:tcMar>
          </w:tcPr>
          <w:p w14:paraId="0000090B" w14:textId="0000090C" w:rsidR="000B0F63" w:rsidRDefault="00C05D22" w:rsidP="00E40261">
            <w:pPr>
              <w:pStyle w:val="TableInfo"/>
              <w:jc w:val="both"/>
            </w:pPr>
            <w:r>
              <w:t>PENDING from sales team</w:t>
            </w:r>
          </w:p>
        </w:tc>
        <w:tc>
          <w:tcPr>
            <w:tcW w:w="2430" w:type="dxa"/>
            <w:tcMar>
              <w:top w:w="100" w:type="dxa"/>
              <w:left w:w="100" w:type="dxa"/>
              <w:bottom w:w="100" w:type="dxa"/>
              <w:right w:w="100" w:type="dxa"/>
            </w:tcMar>
          </w:tcPr>
          <w:p w14:paraId="0000090D" w14:textId="0000090E" w:rsidR="000B0F63" w:rsidRDefault="00C05D22" w:rsidP="00E40261">
            <w:pPr>
              <w:pStyle w:val="TableInfo"/>
              <w:jc w:val="both"/>
            </w:pPr>
            <w:r>
              <w:t>Adjusts Complete View with commercial offers</w:t>
            </w:r>
          </w:p>
        </w:tc>
        <w:tc>
          <w:tcPr>
            <w:tcW w:w="2430" w:type="dxa"/>
            <w:tcMar>
              <w:top w:w="100" w:type="dxa"/>
              <w:left w:w="100" w:type="dxa"/>
              <w:bottom w:w="100" w:type="dxa"/>
              <w:right w:w="100" w:type="dxa"/>
            </w:tcMar>
          </w:tcPr>
          <w:p w14:paraId="0000090F" w14:textId="00000910" w:rsidR="000B0F63" w:rsidRDefault="00C05D22" w:rsidP="00E40261">
            <w:pPr>
              <w:pStyle w:val="TableInfo"/>
              <w:jc w:val="both"/>
            </w:pPr>
            <w:r>
              <w:t>5</w:t>
            </w:r>
          </w:p>
        </w:tc>
      </w:tr>
      <w:tr w:rsidR="006A6D07" w14:paraId="4AC2BC31" w14:textId="77777777" w:rsidTr="1524DEBB">
        <w:tc>
          <w:tcPr>
            <w:tcW w:w="2430" w:type="dxa"/>
            <w:tcMar>
              <w:top w:w="100" w:type="dxa"/>
              <w:left w:w="100" w:type="dxa"/>
              <w:bottom w:w="100" w:type="dxa"/>
              <w:right w:w="100" w:type="dxa"/>
            </w:tcMar>
          </w:tcPr>
          <w:p w14:paraId="00000911" w14:textId="00000912" w:rsidR="000B0F63" w:rsidRDefault="00C05D22" w:rsidP="00E40261">
            <w:pPr>
              <w:pStyle w:val="TableInfo"/>
              <w:jc w:val="both"/>
            </w:pPr>
            <w:r>
              <w:t>AVS UK South node pricing</w:t>
            </w:r>
          </w:p>
        </w:tc>
        <w:tc>
          <w:tcPr>
            <w:tcW w:w="2430" w:type="dxa"/>
            <w:tcMar>
              <w:top w:w="100" w:type="dxa"/>
              <w:left w:w="100" w:type="dxa"/>
              <w:bottom w:w="100" w:type="dxa"/>
              <w:right w:w="100" w:type="dxa"/>
            </w:tcMar>
          </w:tcPr>
          <w:p w14:paraId="00000913" w14:textId="00000914" w:rsidR="000B0F63" w:rsidRDefault="00C05D22" w:rsidP="00E40261">
            <w:pPr>
              <w:pStyle w:val="TableInfo"/>
              <w:jc w:val="both"/>
            </w:pPr>
            <w:r>
              <w:t>VERIFY</w:t>
            </w:r>
          </w:p>
        </w:tc>
        <w:tc>
          <w:tcPr>
            <w:tcW w:w="2430" w:type="dxa"/>
            <w:tcMar>
              <w:top w:w="100" w:type="dxa"/>
              <w:left w:w="100" w:type="dxa"/>
              <w:bottom w:w="100" w:type="dxa"/>
              <w:right w:w="100" w:type="dxa"/>
            </w:tcMar>
          </w:tcPr>
          <w:p w14:paraId="00000915" w14:textId="00000916" w:rsidR="000B0F63" w:rsidRDefault="00C05D22" w:rsidP="00E40261">
            <w:pPr>
              <w:pStyle w:val="TableInfo"/>
              <w:jc w:val="both"/>
            </w:pPr>
            <w:r>
              <w:t>Multicast cost range accuracy</w:t>
            </w:r>
          </w:p>
        </w:tc>
        <w:tc>
          <w:tcPr>
            <w:tcW w:w="2430" w:type="dxa"/>
            <w:tcMar>
              <w:top w:w="100" w:type="dxa"/>
              <w:left w:w="100" w:type="dxa"/>
              <w:bottom w:w="100" w:type="dxa"/>
              <w:right w:w="100" w:type="dxa"/>
            </w:tcMar>
          </w:tcPr>
          <w:p w14:paraId="00000917" w14:textId="00000918" w:rsidR="000B0F63" w:rsidRDefault="00C05D22" w:rsidP="00E40261">
            <w:pPr>
              <w:pStyle w:val="TableInfo"/>
              <w:jc w:val="both"/>
            </w:pPr>
            <w:r>
              <w:t>5, 6</w:t>
            </w:r>
          </w:p>
        </w:tc>
      </w:tr>
      <w:tr w:rsidR="006A6D07" w14:paraId="6B22C6FB" w14:textId="77777777" w:rsidTr="1524DEBB">
        <w:tc>
          <w:tcPr>
            <w:tcW w:w="2430" w:type="dxa"/>
            <w:tcMar>
              <w:top w:w="100" w:type="dxa"/>
              <w:left w:w="100" w:type="dxa"/>
              <w:bottom w:w="100" w:type="dxa"/>
              <w:right w:w="100" w:type="dxa"/>
            </w:tcMar>
          </w:tcPr>
          <w:p w14:paraId="00000919" w14:textId="0000091A" w:rsidR="000B0F63" w:rsidRDefault="00C05D22" w:rsidP="00E40261">
            <w:pPr>
              <w:pStyle w:val="TableInfo"/>
              <w:jc w:val="both"/>
            </w:pPr>
            <w:r>
              <w:t>Microsoft E3/E5 productivity licensing status</w:t>
            </w:r>
          </w:p>
        </w:tc>
        <w:tc>
          <w:tcPr>
            <w:tcW w:w="2430" w:type="dxa"/>
            <w:tcMar>
              <w:top w:w="100" w:type="dxa"/>
              <w:left w:w="100" w:type="dxa"/>
              <w:bottom w:w="100" w:type="dxa"/>
              <w:right w:w="100" w:type="dxa"/>
            </w:tcMar>
          </w:tcPr>
          <w:p w14:paraId="0000091B" w14:textId="0000091C" w:rsidR="000B0F63" w:rsidRDefault="00C05D22" w:rsidP="00E40261">
            <w:pPr>
              <w:pStyle w:val="TableInfo"/>
              <w:jc w:val="both"/>
            </w:pPr>
            <w:r>
              <w:t>PENDING client confirmation</w:t>
            </w:r>
          </w:p>
        </w:tc>
        <w:tc>
          <w:tcPr>
            <w:tcW w:w="2430" w:type="dxa"/>
            <w:tcMar>
              <w:top w:w="100" w:type="dxa"/>
              <w:left w:w="100" w:type="dxa"/>
              <w:bottom w:w="100" w:type="dxa"/>
              <w:right w:w="100" w:type="dxa"/>
            </w:tcMar>
          </w:tcPr>
          <w:p w14:paraId="0000091D" w14:textId="0000091E" w:rsidR="000B0F63" w:rsidRDefault="00C05D22" w:rsidP="00E40261">
            <w:pPr>
              <w:pStyle w:val="TableInfo"/>
              <w:jc w:val="both"/>
            </w:pPr>
            <w:r>
              <w:t>Affects productivity suite decision</w:t>
            </w:r>
          </w:p>
        </w:tc>
        <w:tc>
          <w:tcPr>
            <w:tcW w:w="2430" w:type="dxa"/>
            <w:tcMar>
              <w:top w:w="100" w:type="dxa"/>
              <w:left w:w="100" w:type="dxa"/>
              <w:bottom w:w="100" w:type="dxa"/>
              <w:right w:w="100" w:type="dxa"/>
            </w:tcMar>
          </w:tcPr>
          <w:p w14:paraId="0000091F" w14:textId="00000920" w:rsidR="000B0F63" w:rsidRDefault="00C05D22" w:rsidP="00E40261">
            <w:pPr>
              <w:pStyle w:val="TableInfo"/>
              <w:jc w:val="both"/>
            </w:pPr>
            <w:r>
              <w:t>3</w:t>
            </w:r>
          </w:p>
        </w:tc>
      </w:tr>
      <w:tr w:rsidR="006A6D07" w14:paraId="472560E6" w14:textId="77777777" w:rsidTr="1524DEBB">
        <w:tc>
          <w:tcPr>
            <w:tcW w:w="2430" w:type="dxa"/>
            <w:tcMar>
              <w:top w:w="100" w:type="dxa"/>
              <w:left w:w="100" w:type="dxa"/>
              <w:bottom w:w="100" w:type="dxa"/>
              <w:right w:w="100" w:type="dxa"/>
            </w:tcMar>
          </w:tcPr>
          <w:p w14:paraId="00000921" w14:textId="00000922" w:rsidR="000B0F63" w:rsidRDefault="00C05D22" w:rsidP="00E40261">
            <w:pPr>
              <w:pStyle w:val="TableInfo"/>
              <w:jc w:val="both"/>
            </w:pPr>
            <w:r>
              <w:t>Names of the seven technology operating areas</w:t>
            </w:r>
          </w:p>
        </w:tc>
        <w:tc>
          <w:tcPr>
            <w:tcW w:w="2430" w:type="dxa"/>
            <w:tcMar>
              <w:top w:w="100" w:type="dxa"/>
              <w:left w:w="100" w:type="dxa"/>
              <w:bottom w:w="100" w:type="dxa"/>
              <w:right w:w="100" w:type="dxa"/>
            </w:tcMar>
          </w:tcPr>
          <w:p w14:paraId="00000923" w14:textId="00000924" w:rsidR="000B0F63" w:rsidRDefault="00C05D22" w:rsidP="00E40261">
            <w:pPr>
              <w:pStyle w:val="TableInfo"/>
              <w:jc w:val="both"/>
            </w:pPr>
            <w:r>
              <w:t>PENDING CTO</w:t>
            </w:r>
          </w:p>
        </w:tc>
        <w:tc>
          <w:tcPr>
            <w:tcW w:w="2430" w:type="dxa"/>
            <w:tcMar>
              <w:top w:w="100" w:type="dxa"/>
              <w:left w:w="100" w:type="dxa"/>
              <w:bottom w:w="100" w:type="dxa"/>
              <w:right w:w="100" w:type="dxa"/>
            </w:tcMar>
          </w:tcPr>
          <w:p w14:paraId="00000925" w14:textId="00000926" w:rsidR="000B0F63" w:rsidRDefault="00C05D22" w:rsidP="00E40261">
            <w:pPr>
              <w:pStyle w:val="TableInfo"/>
              <w:jc w:val="both"/>
            </w:pPr>
            <w:r>
              <w:t>Specificity of Section 3 narrative</w:t>
            </w:r>
          </w:p>
        </w:tc>
        <w:tc>
          <w:tcPr>
            <w:tcW w:w="2430" w:type="dxa"/>
            <w:tcMar>
              <w:top w:w="100" w:type="dxa"/>
              <w:left w:w="100" w:type="dxa"/>
              <w:bottom w:w="100" w:type="dxa"/>
              <w:right w:w="100" w:type="dxa"/>
            </w:tcMar>
          </w:tcPr>
          <w:p w14:paraId="00000927" w14:textId="00000928" w:rsidR="000B0F63" w:rsidRDefault="00C05D22" w:rsidP="00E40261">
            <w:pPr>
              <w:pStyle w:val="TableInfo"/>
              <w:jc w:val="both"/>
            </w:pPr>
            <w:r>
              <w:t>3</w:t>
            </w:r>
          </w:p>
        </w:tc>
      </w:tr>
      <w:tr w:rsidR="006A6D07" w14:paraId="28EF274B" w14:textId="77777777" w:rsidTr="1524DEBB">
        <w:tc>
          <w:tcPr>
            <w:tcW w:w="2430" w:type="dxa"/>
            <w:tcMar>
              <w:top w:w="100" w:type="dxa"/>
              <w:left w:w="100" w:type="dxa"/>
              <w:bottom w:w="100" w:type="dxa"/>
              <w:right w:w="100" w:type="dxa"/>
            </w:tcMar>
          </w:tcPr>
          <w:p w14:paraId="00000929" w14:textId="0000092A" w:rsidR="000B0F63" w:rsidRDefault="00C05D22" w:rsidP="00E40261">
            <w:pPr>
              <w:pStyle w:val="TableInfo"/>
              <w:jc w:val="both"/>
            </w:pPr>
            <w:r>
              <w:t>Legacy OS per-application mapping</w:t>
            </w:r>
          </w:p>
        </w:tc>
        <w:tc>
          <w:tcPr>
            <w:tcW w:w="2430" w:type="dxa"/>
            <w:tcMar>
              <w:top w:w="100" w:type="dxa"/>
              <w:left w:w="100" w:type="dxa"/>
              <w:bottom w:w="100" w:type="dxa"/>
              <w:right w:w="100" w:type="dxa"/>
            </w:tcMar>
          </w:tcPr>
          <w:p w14:paraId="0000092B" w14:textId="0000092C" w:rsidR="000B0F63" w:rsidRDefault="00C05D22" w:rsidP="00E40261">
            <w:pPr>
              <w:pStyle w:val="TableInfo"/>
              <w:jc w:val="both"/>
            </w:pPr>
            <w:commentRangeStart w:id="484"/>
            <w:r>
              <w:t>Phase</w:t>
            </w:r>
            <w:commentRangeEnd w:id="484"/>
            <w:r w:rsidR="007C4714">
              <w:rPr>
                <w:rStyle w:val="CommentReference"/>
                <w:sz w:val="18"/>
                <w:szCs w:val="15"/>
              </w:rPr>
              <w:commentReference w:id="484"/>
            </w:r>
            <w:r>
              <w:t xml:space="preserve"> 2 </w:t>
            </w:r>
            <w:proofErr w:type="gramStart"/>
            <w:r>
              <w:t>intake</w:t>
            </w:r>
            <w:proofErr w:type="gramEnd"/>
          </w:p>
        </w:tc>
        <w:tc>
          <w:tcPr>
            <w:tcW w:w="2430" w:type="dxa"/>
            <w:tcMar>
              <w:top w:w="100" w:type="dxa"/>
              <w:left w:w="100" w:type="dxa"/>
              <w:bottom w:w="100" w:type="dxa"/>
              <w:right w:w="100" w:type="dxa"/>
            </w:tcMar>
          </w:tcPr>
          <w:p w14:paraId="0000092D" w14:textId="0000092E" w:rsidR="000B0F63" w:rsidRDefault="00C05D22" w:rsidP="00E40261">
            <w:pPr>
              <w:pStyle w:val="TableInfo"/>
              <w:jc w:val="both"/>
            </w:pPr>
            <w:r w:rsidRPr="1524DEBB">
              <w:rPr>
                <w:lang w:val="en-GB"/>
              </w:rPr>
              <w:t xml:space="preserve">Sequencing of </w:t>
            </w:r>
            <w:proofErr w:type="spellStart"/>
            <w:r w:rsidRPr="1524DEBB">
              <w:rPr>
                <w:lang w:val="en-GB"/>
              </w:rPr>
              <w:t>replatform</w:t>
            </w:r>
            <w:proofErr w:type="spellEnd"/>
            <w:r w:rsidRPr="1524DEBB">
              <w:rPr>
                <w:lang w:val="en-GB"/>
              </w:rPr>
              <w:t>-before-migrate activity</w:t>
            </w:r>
          </w:p>
        </w:tc>
        <w:tc>
          <w:tcPr>
            <w:tcW w:w="2430" w:type="dxa"/>
            <w:tcMar>
              <w:top w:w="100" w:type="dxa"/>
              <w:left w:w="100" w:type="dxa"/>
              <w:bottom w:w="100" w:type="dxa"/>
              <w:right w:w="100" w:type="dxa"/>
            </w:tcMar>
          </w:tcPr>
          <w:p w14:paraId="0000092F" w14:textId="00000930" w:rsidR="000B0F63" w:rsidRDefault="00C05D22" w:rsidP="00E40261">
            <w:pPr>
              <w:pStyle w:val="TableInfo"/>
              <w:jc w:val="both"/>
            </w:pPr>
            <w:r>
              <w:t>8, 9</w:t>
            </w:r>
          </w:p>
        </w:tc>
      </w:tr>
      <w:tr w:rsidR="006A6D07" w14:paraId="4D183022" w14:textId="77777777" w:rsidTr="1524DEBB">
        <w:tc>
          <w:tcPr>
            <w:tcW w:w="2430" w:type="dxa"/>
            <w:tcMar>
              <w:top w:w="100" w:type="dxa"/>
              <w:left w:w="100" w:type="dxa"/>
              <w:bottom w:w="100" w:type="dxa"/>
              <w:right w:w="100" w:type="dxa"/>
            </w:tcMar>
          </w:tcPr>
          <w:p w14:paraId="00000931" w14:textId="00000932" w:rsidR="000B0F63" w:rsidRDefault="00C05D22" w:rsidP="00E40261">
            <w:pPr>
              <w:pStyle w:val="TableInfo"/>
              <w:jc w:val="both"/>
            </w:pPr>
            <w:proofErr w:type="spellStart"/>
            <w:r w:rsidRPr="1524DEBB">
              <w:rPr>
                <w:lang w:val="en-GB"/>
              </w:rPr>
              <w:t>Atex</w:t>
            </w:r>
            <w:proofErr w:type="spellEnd"/>
            <w:r w:rsidRPr="1524DEBB">
              <w:rPr>
                <w:lang w:val="en-GB"/>
              </w:rPr>
              <w:t xml:space="preserve"> vendor confirmation on unicast support</w:t>
            </w:r>
          </w:p>
        </w:tc>
        <w:tc>
          <w:tcPr>
            <w:tcW w:w="2430" w:type="dxa"/>
            <w:tcMar>
              <w:top w:w="100" w:type="dxa"/>
              <w:left w:w="100" w:type="dxa"/>
              <w:bottom w:w="100" w:type="dxa"/>
              <w:right w:w="100" w:type="dxa"/>
            </w:tcMar>
          </w:tcPr>
          <w:p w14:paraId="00000933" w14:textId="00000934" w:rsidR="000B0F63" w:rsidRDefault="00C05D22" w:rsidP="00E40261">
            <w:pPr>
              <w:pStyle w:val="TableInfo"/>
              <w:jc w:val="both"/>
            </w:pPr>
            <w:r>
              <w:t>PENDING vendor engagement</w:t>
            </w:r>
          </w:p>
        </w:tc>
        <w:tc>
          <w:tcPr>
            <w:tcW w:w="2430" w:type="dxa"/>
            <w:tcMar>
              <w:top w:w="100" w:type="dxa"/>
              <w:left w:w="100" w:type="dxa"/>
              <w:bottom w:w="100" w:type="dxa"/>
              <w:right w:w="100" w:type="dxa"/>
            </w:tcMar>
          </w:tcPr>
          <w:p w14:paraId="00000935" w14:textId="00000936" w:rsidR="000B0F63" w:rsidRDefault="00C05D22" w:rsidP="00E40261">
            <w:pPr>
              <w:pStyle w:val="TableInfo"/>
              <w:jc w:val="both"/>
            </w:pPr>
            <w:r>
              <w:t>Direct cost impact on multicast constraint</w:t>
            </w:r>
          </w:p>
        </w:tc>
        <w:tc>
          <w:tcPr>
            <w:tcW w:w="2430" w:type="dxa"/>
            <w:tcMar>
              <w:top w:w="100" w:type="dxa"/>
              <w:left w:w="100" w:type="dxa"/>
              <w:bottom w:w="100" w:type="dxa"/>
              <w:right w:w="100" w:type="dxa"/>
            </w:tcMar>
          </w:tcPr>
          <w:p w14:paraId="00000937" w14:textId="00000938" w:rsidR="000B0F63" w:rsidRDefault="00C05D22" w:rsidP="00E40261">
            <w:pPr>
              <w:pStyle w:val="TableInfo"/>
              <w:jc w:val="both"/>
            </w:pPr>
            <w:r>
              <w:t>5, 6, 10</w:t>
            </w:r>
          </w:p>
        </w:tc>
      </w:tr>
      <w:tr w:rsidR="006A6D07" w14:paraId="105F04CF" w14:textId="77777777" w:rsidTr="1524DEBB">
        <w:tc>
          <w:tcPr>
            <w:tcW w:w="2430" w:type="dxa"/>
            <w:tcMar>
              <w:top w:w="100" w:type="dxa"/>
              <w:left w:w="100" w:type="dxa"/>
              <w:bottom w:w="100" w:type="dxa"/>
              <w:right w:w="100" w:type="dxa"/>
            </w:tcMar>
          </w:tcPr>
          <w:p w14:paraId="00000939" w14:textId="0000093A" w:rsidR="000B0F63" w:rsidRDefault="00C05D22" w:rsidP="00E40261">
            <w:pPr>
              <w:pStyle w:val="TableInfo"/>
              <w:jc w:val="both"/>
            </w:pPr>
            <w:r>
              <w:t>Sydney cluster independence validation</w:t>
            </w:r>
          </w:p>
        </w:tc>
        <w:tc>
          <w:tcPr>
            <w:tcW w:w="2430" w:type="dxa"/>
            <w:tcMar>
              <w:top w:w="100" w:type="dxa"/>
              <w:left w:w="100" w:type="dxa"/>
              <w:bottom w:w="100" w:type="dxa"/>
              <w:right w:w="100" w:type="dxa"/>
            </w:tcMar>
          </w:tcPr>
          <w:p w14:paraId="0000093B" w14:textId="0000093C" w:rsidR="000B0F63" w:rsidRDefault="00C05D22" w:rsidP="00E40261">
            <w:pPr>
              <w:pStyle w:val="TableInfo"/>
              <w:jc w:val="both"/>
            </w:pPr>
            <w:r>
              <w:t>PENDING</w:t>
            </w:r>
          </w:p>
        </w:tc>
        <w:tc>
          <w:tcPr>
            <w:tcW w:w="2430" w:type="dxa"/>
            <w:tcMar>
              <w:top w:w="100" w:type="dxa"/>
              <w:left w:w="100" w:type="dxa"/>
              <w:bottom w:w="100" w:type="dxa"/>
              <w:right w:w="100" w:type="dxa"/>
            </w:tcMar>
          </w:tcPr>
          <w:p w14:paraId="0000093D" w14:textId="0000093E" w:rsidR="000B0F63" w:rsidRDefault="00C05D22" w:rsidP="00E40261">
            <w:pPr>
              <w:pStyle w:val="TableInfo"/>
              <w:jc w:val="both"/>
            </w:pPr>
            <w:r>
              <w:t xml:space="preserve">Confirmation that Sydney can </w:t>
            </w:r>
            <w:proofErr w:type="gramStart"/>
            <w:r>
              <w:t>exit</w:t>
            </w:r>
            <w:proofErr w:type="gramEnd"/>
            <w:r>
              <w:t xml:space="preserve"> without UK dependency</w:t>
            </w:r>
          </w:p>
        </w:tc>
        <w:tc>
          <w:tcPr>
            <w:tcW w:w="2430" w:type="dxa"/>
            <w:tcMar>
              <w:top w:w="100" w:type="dxa"/>
              <w:left w:w="100" w:type="dxa"/>
              <w:bottom w:w="100" w:type="dxa"/>
              <w:right w:w="100" w:type="dxa"/>
            </w:tcMar>
          </w:tcPr>
          <w:p w14:paraId="0000093F" w14:textId="00000940" w:rsidR="000B0F63" w:rsidRDefault="00C05D22" w:rsidP="00E40261">
            <w:pPr>
              <w:pStyle w:val="TableInfo"/>
              <w:jc w:val="both"/>
            </w:pPr>
            <w:r>
              <w:t>10</w:t>
            </w:r>
          </w:p>
        </w:tc>
      </w:tr>
      <w:tr w:rsidR="006A6D07" w14:paraId="556AAB4D" w14:textId="77777777" w:rsidTr="1524DEBB">
        <w:tc>
          <w:tcPr>
            <w:tcW w:w="2430" w:type="dxa"/>
            <w:tcMar>
              <w:top w:w="100" w:type="dxa"/>
              <w:left w:w="100" w:type="dxa"/>
              <w:bottom w:w="100" w:type="dxa"/>
              <w:right w:w="100" w:type="dxa"/>
            </w:tcMar>
          </w:tcPr>
          <w:p w14:paraId="00000941" w14:textId="00000942" w:rsidR="000B0F63" w:rsidRDefault="00C05D22" w:rsidP="00E40261">
            <w:pPr>
              <w:pStyle w:val="TableInfo"/>
              <w:jc w:val="both"/>
            </w:pPr>
            <w:r>
              <w:t>UK CMA Strategic Market Status investigation</w:t>
            </w:r>
          </w:p>
        </w:tc>
        <w:tc>
          <w:tcPr>
            <w:tcW w:w="2430" w:type="dxa"/>
            <w:tcMar>
              <w:top w:w="100" w:type="dxa"/>
              <w:left w:w="100" w:type="dxa"/>
              <w:bottom w:w="100" w:type="dxa"/>
              <w:right w:w="100" w:type="dxa"/>
            </w:tcMar>
          </w:tcPr>
          <w:p w14:paraId="00000943" w14:textId="00000944" w:rsidR="000B0F63" w:rsidRDefault="00C05D22" w:rsidP="00E40261">
            <w:pPr>
              <w:pStyle w:val="TableInfo"/>
              <w:jc w:val="both"/>
            </w:pPr>
            <w:r>
              <w:t>WATCH ITEM (~Feb 2027)</w:t>
            </w:r>
          </w:p>
        </w:tc>
        <w:tc>
          <w:tcPr>
            <w:tcW w:w="2430" w:type="dxa"/>
            <w:tcMar>
              <w:top w:w="100" w:type="dxa"/>
              <w:left w:w="100" w:type="dxa"/>
              <w:bottom w:w="100" w:type="dxa"/>
              <w:right w:w="100" w:type="dxa"/>
            </w:tcMar>
          </w:tcPr>
          <w:p w14:paraId="00000945" w14:textId="00000946" w:rsidR="000B0F63" w:rsidRDefault="00C05D22" w:rsidP="00E40261">
            <w:pPr>
              <w:pStyle w:val="TableInfo"/>
              <w:jc w:val="both"/>
            </w:pPr>
            <w:r>
              <w:t xml:space="preserve">Potential Windows Server </w:t>
            </w:r>
            <w:commentRangeStart w:id="485"/>
            <w:r>
              <w:t>licensing</w:t>
            </w:r>
            <w:commentRangeEnd w:id="485"/>
            <w:r w:rsidR="001430FA">
              <w:rPr>
                <w:rStyle w:val="CommentReference"/>
                <w:sz w:val="18"/>
                <w:szCs w:val="15"/>
              </w:rPr>
              <w:commentReference w:id="485"/>
            </w:r>
            <w:r>
              <w:t xml:space="preserve"> parity across clouds</w:t>
            </w:r>
          </w:p>
        </w:tc>
        <w:tc>
          <w:tcPr>
            <w:tcW w:w="2430" w:type="dxa"/>
            <w:tcMar>
              <w:top w:w="100" w:type="dxa"/>
              <w:left w:w="100" w:type="dxa"/>
              <w:bottom w:w="100" w:type="dxa"/>
              <w:right w:w="100" w:type="dxa"/>
            </w:tcMar>
          </w:tcPr>
          <w:p w14:paraId="00000947" w14:textId="00000948" w:rsidR="000B0F63" w:rsidRDefault="00C05D22" w:rsidP="00E40261">
            <w:pPr>
              <w:pStyle w:val="TableInfo"/>
              <w:jc w:val="both"/>
            </w:pPr>
            <w:r>
              <w:t>5, 7</w:t>
            </w:r>
          </w:p>
        </w:tc>
      </w:tr>
    </w:tbl>
    <w:p w14:paraId="00000949" w14:textId="0000094A" w:rsidR="000B0F63" w:rsidRPr="005B6077" w:rsidRDefault="1BAB210A" w:rsidP="005B6077">
      <w:pPr>
        <w:pStyle w:val="Heading6"/>
        <w:rPr>
          <w:rStyle w:val="BookTitle"/>
        </w:rPr>
      </w:pPr>
      <w:bookmarkStart w:id="486" w:name="_Toc258"/>
      <w:bookmarkStart w:id="487" w:name="_Toc227771042"/>
      <w:bookmarkStart w:id="488" w:name="_Toc227771421"/>
      <w:r w:rsidRPr="005B6077">
        <w:rPr>
          <w:rStyle w:val="BookTitle"/>
        </w:rPr>
        <w:t>Appendix E: Glossary</w:t>
      </w:r>
      <w:bookmarkEnd w:id="486"/>
      <w:bookmarkEnd w:id="487"/>
      <w:bookmarkEnd w:id="488"/>
    </w:p>
    <w:tbl>
      <w:tblPr>
        <w:tblW w:w="9720" w:type="dxa"/>
        <w:tblCellMar>
          <w:top w:w="100" w:type="dxa"/>
          <w:left w:w="100" w:type="dxa"/>
          <w:bottom w:w="100" w:type="dxa"/>
          <w:right w:w="100" w:type="dxa"/>
        </w:tblCellMar>
        <w:tblLook w:val="04A0" w:firstRow="1" w:lastRow="0" w:firstColumn="1" w:lastColumn="0" w:noHBand="0" w:noVBand="1"/>
      </w:tblPr>
      <w:tblGrid>
        <w:gridCol w:w="4860"/>
        <w:gridCol w:w="4860"/>
      </w:tblGrid>
      <w:tr w:rsidR="00AB10D7" w14:paraId="71B366A7" w14:textId="77777777" w:rsidTr="1524DEBB">
        <w:trPr>
          <w:cantSplit/>
        </w:trPr>
        <w:tc>
          <w:tcPr>
            <w:tcW w:w="4860" w:type="dxa"/>
            <w:shd w:val="clear" w:color="auto" w:fill="D9D9D9" w:themeFill="background1" w:themeFillShade="D9"/>
            <w:tcMar>
              <w:top w:w="100" w:type="dxa"/>
              <w:left w:w="100" w:type="dxa"/>
              <w:bottom w:w="100" w:type="dxa"/>
              <w:right w:w="100" w:type="dxa"/>
            </w:tcMar>
          </w:tcPr>
          <w:p w14:paraId="0000094B" w14:textId="0000094C" w:rsidR="000B0F63" w:rsidRDefault="00C05D22" w:rsidP="00E40261">
            <w:pPr>
              <w:pStyle w:val="TableHeader"/>
              <w:jc w:val="both"/>
            </w:pPr>
            <w:r>
              <w:t>Term</w:t>
            </w:r>
          </w:p>
        </w:tc>
        <w:tc>
          <w:tcPr>
            <w:tcW w:w="4860" w:type="dxa"/>
            <w:shd w:val="clear" w:color="auto" w:fill="D9D9D9" w:themeFill="background1" w:themeFillShade="D9"/>
            <w:tcMar>
              <w:top w:w="100" w:type="dxa"/>
              <w:left w:w="100" w:type="dxa"/>
              <w:bottom w:w="100" w:type="dxa"/>
              <w:right w:w="100" w:type="dxa"/>
            </w:tcMar>
          </w:tcPr>
          <w:p w14:paraId="0000094D" w14:textId="0000094E" w:rsidR="000B0F63" w:rsidRDefault="00C05D22" w:rsidP="00E40261">
            <w:pPr>
              <w:pStyle w:val="TableHeader"/>
              <w:jc w:val="both"/>
            </w:pPr>
            <w:r>
              <w:t>Definition</w:t>
            </w:r>
          </w:p>
        </w:tc>
      </w:tr>
      <w:tr w:rsidR="006A6D07" w14:paraId="77C6FA5D" w14:textId="77777777" w:rsidTr="1524DEBB">
        <w:tc>
          <w:tcPr>
            <w:tcW w:w="4860" w:type="dxa"/>
            <w:tcMar>
              <w:top w:w="100" w:type="dxa"/>
              <w:left w:w="100" w:type="dxa"/>
              <w:bottom w:w="100" w:type="dxa"/>
              <w:right w:w="100" w:type="dxa"/>
            </w:tcMar>
          </w:tcPr>
          <w:p w14:paraId="0000094F" w14:textId="00000950" w:rsidR="000B0F63" w:rsidRDefault="00C05D22" w:rsidP="00E40261">
            <w:pPr>
              <w:pStyle w:val="TableInfo"/>
              <w:jc w:val="both"/>
            </w:pPr>
            <w:r>
              <w:t>AHB</w:t>
            </w:r>
          </w:p>
        </w:tc>
        <w:tc>
          <w:tcPr>
            <w:tcW w:w="4860" w:type="dxa"/>
            <w:tcMar>
              <w:top w:w="100" w:type="dxa"/>
              <w:left w:w="100" w:type="dxa"/>
              <w:bottom w:w="100" w:type="dxa"/>
              <w:right w:w="100" w:type="dxa"/>
            </w:tcMar>
          </w:tcPr>
          <w:p w14:paraId="00000951" w14:textId="00000952" w:rsidR="000B0F63" w:rsidRDefault="00C05D22" w:rsidP="00E40261">
            <w:pPr>
              <w:pStyle w:val="TableInfo"/>
              <w:jc w:val="both"/>
            </w:pPr>
            <w:r>
              <w:t xml:space="preserve">Azure Hybrid Benefit. Allows use of existing Microsoft </w:t>
            </w:r>
            <w:proofErr w:type="spellStart"/>
            <w:r>
              <w:t>licences</w:t>
            </w:r>
            <w:proofErr w:type="spellEnd"/>
            <w:r>
              <w:t xml:space="preserve"> on Azure.</w:t>
            </w:r>
          </w:p>
        </w:tc>
      </w:tr>
      <w:tr w:rsidR="006A6D07" w14:paraId="04F0B9E1" w14:textId="77777777" w:rsidTr="1524DEBB">
        <w:tc>
          <w:tcPr>
            <w:tcW w:w="4860" w:type="dxa"/>
            <w:tcMar>
              <w:top w:w="100" w:type="dxa"/>
              <w:left w:w="100" w:type="dxa"/>
              <w:bottom w:w="100" w:type="dxa"/>
              <w:right w:w="100" w:type="dxa"/>
            </w:tcMar>
          </w:tcPr>
          <w:p w14:paraId="00000953" w14:textId="00000954" w:rsidR="000B0F63" w:rsidRDefault="00C05D22" w:rsidP="00E40261">
            <w:pPr>
              <w:pStyle w:val="TableInfo"/>
              <w:jc w:val="both"/>
            </w:pPr>
            <w:proofErr w:type="spellStart"/>
            <w:r w:rsidRPr="1524DEBB">
              <w:rPr>
                <w:lang w:val="en-GB"/>
              </w:rPr>
              <w:t>ALng</w:t>
            </w:r>
            <w:proofErr w:type="spellEnd"/>
          </w:p>
        </w:tc>
        <w:tc>
          <w:tcPr>
            <w:tcW w:w="4860" w:type="dxa"/>
            <w:tcMar>
              <w:top w:w="100" w:type="dxa"/>
              <w:left w:w="100" w:type="dxa"/>
              <w:bottom w:w="100" w:type="dxa"/>
              <w:right w:w="100" w:type="dxa"/>
            </w:tcMar>
          </w:tcPr>
          <w:p w14:paraId="00000955" w14:textId="00000956" w:rsidR="000B0F63" w:rsidRDefault="00C05D22" w:rsidP="00E40261">
            <w:pPr>
              <w:pStyle w:val="TableInfo"/>
              <w:jc w:val="both"/>
            </w:pPr>
            <w:r w:rsidRPr="1524DEBB">
              <w:rPr>
                <w:lang w:val="en-GB"/>
              </w:rPr>
              <w:t>Annual Licence (new). Microsoft Enterprise Agreement line item prefix.</w:t>
            </w:r>
          </w:p>
        </w:tc>
      </w:tr>
      <w:tr w:rsidR="006A6D07" w14:paraId="13F50716" w14:textId="77777777" w:rsidTr="1524DEBB">
        <w:tc>
          <w:tcPr>
            <w:tcW w:w="4860" w:type="dxa"/>
            <w:tcMar>
              <w:top w:w="100" w:type="dxa"/>
              <w:left w:w="100" w:type="dxa"/>
              <w:bottom w:w="100" w:type="dxa"/>
              <w:right w:w="100" w:type="dxa"/>
            </w:tcMar>
          </w:tcPr>
          <w:p w14:paraId="00000957" w14:textId="00000958" w:rsidR="000B0F63" w:rsidRDefault="00C05D22" w:rsidP="00E40261">
            <w:pPr>
              <w:pStyle w:val="TableInfo"/>
              <w:jc w:val="both"/>
            </w:pPr>
            <w:r>
              <w:t>AVS</w:t>
            </w:r>
          </w:p>
        </w:tc>
        <w:tc>
          <w:tcPr>
            <w:tcW w:w="4860" w:type="dxa"/>
            <w:tcMar>
              <w:top w:w="100" w:type="dxa"/>
              <w:left w:w="100" w:type="dxa"/>
              <w:bottom w:w="100" w:type="dxa"/>
              <w:right w:w="100" w:type="dxa"/>
            </w:tcMar>
          </w:tcPr>
          <w:p w14:paraId="00000959" w14:textId="0000095A" w:rsidR="000B0F63" w:rsidRDefault="00C05D22" w:rsidP="00E40261">
            <w:pPr>
              <w:pStyle w:val="TableInfo"/>
              <w:jc w:val="both"/>
            </w:pPr>
            <w:r>
              <w:t>Azure VMware Solution. VMware-on-Azure offering that supports multicast.</w:t>
            </w:r>
          </w:p>
        </w:tc>
      </w:tr>
      <w:tr w:rsidR="006A6D07" w14:paraId="1F209A6F" w14:textId="77777777" w:rsidTr="1524DEBB">
        <w:tc>
          <w:tcPr>
            <w:tcW w:w="4860" w:type="dxa"/>
            <w:tcMar>
              <w:top w:w="100" w:type="dxa"/>
              <w:left w:w="100" w:type="dxa"/>
              <w:bottom w:w="100" w:type="dxa"/>
              <w:right w:w="100" w:type="dxa"/>
            </w:tcMar>
          </w:tcPr>
          <w:p w14:paraId="0000095B" w14:textId="0000095C" w:rsidR="000B0F63" w:rsidRDefault="00C05D22" w:rsidP="00E40261">
            <w:pPr>
              <w:pStyle w:val="TableInfo"/>
              <w:jc w:val="both"/>
            </w:pPr>
            <w:r>
              <w:t>BYOL</w:t>
            </w:r>
          </w:p>
        </w:tc>
        <w:tc>
          <w:tcPr>
            <w:tcW w:w="4860" w:type="dxa"/>
            <w:tcMar>
              <w:top w:w="100" w:type="dxa"/>
              <w:left w:w="100" w:type="dxa"/>
              <w:bottom w:w="100" w:type="dxa"/>
              <w:right w:w="100" w:type="dxa"/>
            </w:tcMar>
          </w:tcPr>
          <w:p w14:paraId="0000095D" w14:textId="0000095E" w:rsidR="000B0F63" w:rsidRDefault="00C05D22" w:rsidP="00E40261">
            <w:pPr>
              <w:pStyle w:val="TableInfo"/>
              <w:jc w:val="both"/>
            </w:pPr>
            <w:r>
              <w:t xml:space="preserve">Bring Your Own </w:t>
            </w:r>
            <w:proofErr w:type="spellStart"/>
            <w:r>
              <w:t>Licence</w:t>
            </w:r>
            <w:proofErr w:type="spellEnd"/>
            <w:r>
              <w:t xml:space="preserve">. Using existing software </w:t>
            </w:r>
            <w:proofErr w:type="spellStart"/>
            <w:r>
              <w:t>licences</w:t>
            </w:r>
            <w:proofErr w:type="spellEnd"/>
            <w:r>
              <w:t xml:space="preserve"> on cloud infrastructure.</w:t>
            </w:r>
          </w:p>
        </w:tc>
      </w:tr>
      <w:tr w:rsidR="006A6D07" w14:paraId="2E91BB25" w14:textId="77777777" w:rsidTr="1524DEBB">
        <w:tc>
          <w:tcPr>
            <w:tcW w:w="4860" w:type="dxa"/>
            <w:tcMar>
              <w:top w:w="100" w:type="dxa"/>
              <w:left w:w="100" w:type="dxa"/>
              <w:bottom w:w="100" w:type="dxa"/>
              <w:right w:w="100" w:type="dxa"/>
            </w:tcMar>
          </w:tcPr>
          <w:p w14:paraId="0000095F" w14:textId="00000960" w:rsidR="000B0F63" w:rsidRDefault="00C05D22" w:rsidP="00E40261">
            <w:pPr>
              <w:pStyle w:val="TableInfo"/>
              <w:jc w:val="both"/>
            </w:pPr>
            <w:proofErr w:type="spellStart"/>
            <w:r w:rsidRPr="1524DEBB">
              <w:rPr>
                <w:lang w:val="en-GB"/>
              </w:rPr>
              <w:t>CoE</w:t>
            </w:r>
            <w:proofErr w:type="spellEnd"/>
          </w:p>
        </w:tc>
        <w:tc>
          <w:tcPr>
            <w:tcW w:w="4860" w:type="dxa"/>
            <w:tcMar>
              <w:top w:w="100" w:type="dxa"/>
              <w:left w:w="100" w:type="dxa"/>
              <w:bottom w:w="100" w:type="dxa"/>
              <w:right w:w="100" w:type="dxa"/>
            </w:tcMar>
          </w:tcPr>
          <w:p w14:paraId="00000961" w14:textId="00000962" w:rsidR="000B0F63" w:rsidRDefault="00C05D22" w:rsidP="00E40261">
            <w:pPr>
              <w:pStyle w:val="TableInfo"/>
              <w:jc w:val="both"/>
            </w:pPr>
            <w:r>
              <w:t>Cloud Centre of Excellence.</w:t>
            </w:r>
          </w:p>
        </w:tc>
      </w:tr>
      <w:tr w:rsidR="006A6D07" w14:paraId="6A45BC8A" w14:textId="77777777" w:rsidTr="1524DEBB">
        <w:tc>
          <w:tcPr>
            <w:tcW w:w="4860" w:type="dxa"/>
            <w:tcMar>
              <w:top w:w="100" w:type="dxa"/>
              <w:left w:w="100" w:type="dxa"/>
              <w:bottom w:w="100" w:type="dxa"/>
              <w:right w:w="100" w:type="dxa"/>
            </w:tcMar>
          </w:tcPr>
          <w:p w14:paraId="00000963" w14:textId="00000964" w:rsidR="000B0F63" w:rsidRDefault="00C05D22" w:rsidP="00E40261">
            <w:pPr>
              <w:pStyle w:val="TableInfo"/>
              <w:jc w:val="both"/>
            </w:pPr>
            <w:r>
              <w:t>CRA</w:t>
            </w:r>
          </w:p>
        </w:tc>
        <w:tc>
          <w:tcPr>
            <w:tcW w:w="4860" w:type="dxa"/>
            <w:tcMar>
              <w:top w:w="100" w:type="dxa"/>
              <w:left w:w="100" w:type="dxa"/>
              <w:bottom w:w="100" w:type="dxa"/>
              <w:right w:w="100" w:type="dxa"/>
            </w:tcMar>
          </w:tcPr>
          <w:p w14:paraId="00000965" w14:textId="00000966" w:rsidR="000B0F63" w:rsidRDefault="00C05D22" w:rsidP="00E40261">
            <w:pPr>
              <w:pStyle w:val="TableInfo"/>
              <w:jc w:val="both"/>
            </w:pPr>
            <w:r>
              <w:t>Cloud Readiness Assessment.</w:t>
            </w:r>
          </w:p>
        </w:tc>
      </w:tr>
      <w:tr w:rsidR="006A6D07" w14:paraId="030F689D" w14:textId="77777777" w:rsidTr="1524DEBB">
        <w:tc>
          <w:tcPr>
            <w:tcW w:w="4860" w:type="dxa"/>
            <w:tcMar>
              <w:top w:w="100" w:type="dxa"/>
              <w:left w:w="100" w:type="dxa"/>
              <w:bottom w:w="100" w:type="dxa"/>
              <w:right w:w="100" w:type="dxa"/>
            </w:tcMar>
          </w:tcPr>
          <w:p w14:paraId="00000967" w14:textId="00000968" w:rsidR="000B0F63" w:rsidRDefault="00C05D22" w:rsidP="00E40261">
            <w:pPr>
              <w:pStyle w:val="TableInfo"/>
              <w:jc w:val="both"/>
            </w:pPr>
            <w:r>
              <w:t>CUD</w:t>
            </w:r>
          </w:p>
        </w:tc>
        <w:tc>
          <w:tcPr>
            <w:tcW w:w="4860" w:type="dxa"/>
            <w:tcMar>
              <w:top w:w="100" w:type="dxa"/>
              <w:left w:w="100" w:type="dxa"/>
              <w:bottom w:w="100" w:type="dxa"/>
              <w:right w:w="100" w:type="dxa"/>
            </w:tcMar>
          </w:tcPr>
          <w:p w14:paraId="00000969" w14:textId="0000096A" w:rsidR="000B0F63" w:rsidRDefault="00C05D22" w:rsidP="00E40261">
            <w:pPr>
              <w:pStyle w:val="TableInfo"/>
              <w:jc w:val="both"/>
            </w:pPr>
            <w:r>
              <w:t>Committed Use Discount (GCP). Discounts for 1 or 3-year commitment.</w:t>
            </w:r>
          </w:p>
        </w:tc>
      </w:tr>
      <w:tr w:rsidR="006A6D07" w14:paraId="2416E656" w14:textId="77777777" w:rsidTr="1524DEBB">
        <w:tc>
          <w:tcPr>
            <w:tcW w:w="4860" w:type="dxa"/>
            <w:tcMar>
              <w:top w:w="100" w:type="dxa"/>
              <w:left w:w="100" w:type="dxa"/>
              <w:bottom w:w="100" w:type="dxa"/>
              <w:right w:w="100" w:type="dxa"/>
            </w:tcMar>
          </w:tcPr>
          <w:p w14:paraId="0000096B" w14:textId="0000096C" w:rsidR="000B0F63" w:rsidRDefault="00C05D22" w:rsidP="00E40261">
            <w:pPr>
              <w:pStyle w:val="TableInfo"/>
              <w:jc w:val="both"/>
            </w:pPr>
            <w:r>
              <w:t>DMA</w:t>
            </w:r>
          </w:p>
        </w:tc>
        <w:tc>
          <w:tcPr>
            <w:tcW w:w="4860" w:type="dxa"/>
            <w:tcMar>
              <w:top w:w="100" w:type="dxa"/>
              <w:left w:w="100" w:type="dxa"/>
              <w:bottom w:w="100" w:type="dxa"/>
              <w:right w:w="100" w:type="dxa"/>
            </w:tcMar>
          </w:tcPr>
          <w:p w14:paraId="0000096D" w14:textId="0000096E" w:rsidR="000B0F63" w:rsidRDefault="00C05D22" w:rsidP="00E40261">
            <w:pPr>
              <w:pStyle w:val="TableInfo"/>
              <w:jc w:val="both"/>
            </w:pPr>
            <w:r>
              <w:t>Database Migration Assessment. Google open-source tool for Oracle/SQL assessment.</w:t>
            </w:r>
          </w:p>
        </w:tc>
      </w:tr>
      <w:tr w:rsidR="006A6D07" w14:paraId="3CA0DA49" w14:textId="77777777" w:rsidTr="1524DEBB">
        <w:tc>
          <w:tcPr>
            <w:tcW w:w="4860" w:type="dxa"/>
            <w:tcMar>
              <w:top w:w="100" w:type="dxa"/>
              <w:left w:w="100" w:type="dxa"/>
              <w:bottom w:w="100" w:type="dxa"/>
              <w:right w:w="100" w:type="dxa"/>
            </w:tcMar>
          </w:tcPr>
          <w:p w14:paraId="0000096F" w14:textId="00000970" w:rsidR="000B0F63" w:rsidRDefault="00C05D22" w:rsidP="00E40261">
            <w:pPr>
              <w:pStyle w:val="TableInfo"/>
              <w:jc w:val="both"/>
            </w:pPr>
            <w:r>
              <w:t>EA</w:t>
            </w:r>
          </w:p>
        </w:tc>
        <w:tc>
          <w:tcPr>
            <w:tcW w:w="4860" w:type="dxa"/>
            <w:tcMar>
              <w:top w:w="100" w:type="dxa"/>
              <w:left w:w="100" w:type="dxa"/>
              <w:bottom w:w="100" w:type="dxa"/>
              <w:right w:w="100" w:type="dxa"/>
            </w:tcMar>
          </w:tcPr>
          <w:p w14:paraId="00000971" w14:textId="00000972" w:rsidR="000B0F63" w:rsidRDefault="00C05D22" w:rsidP="00E40261">
            <w:pPr>
              <w:pStyle w:val="TableInfo"/>
              <w:jc w:val="both"/>
            </w:pPr>
            <w:r>
              <w:t>Enterprise Agreement (Microsoft).</w:t>
            </w:r>
          </w:p>
        </w:tc>
      </w:tr>
      <w:tr w:rsidR="006A6D07" w14:paraId="3108D5CF" w14:textId="77777777" w:rsidTr="1524DEBB">
        <w:tc>
          <w:tcPr>
            <w:tcW w:w="4860" w:type="dxa"/>
            <w:tcMar>
              <w:top w:w="100" w:type="dxa"/>
              <w:left w:w="100" w:type="dxa"/>
              <w:bottom w:w="100" w:type="dxa"/>
              <w:right w:w="100" w:type="dxa"/>
            </w:tcMar>
          </w:tcPr>
          <w:p w14:paraId="00000973" w14:textId="00000974" w:rsidR="000B0F63" w:rsidRDefault="00C05D22" w:rsidP="00E40261">
            <w:pPr>
              <w:pStyle w:val="TableInfo"/>
              <w:jc w:val="both"/>
            </w:pPr>
            <w:proofErr w:type="spellStart"/>
            <w:r w:rsidRPr="1524DEBB">
              <w:rPr>
                <w:lang w:val="en-GB"/>
              </w:rPr>
              <w:t>Exadata@Cloud</w:t>
            </w:r>
            <w:proofErr w:type="spellEnd"/>
          </w:p>
        </w:tc>
        <w:tc>
          <w:tcPr>
            <w:tcW w:w="4860" w:type="dxa"/>
            <w:tcMar>
              <w:top w:w="100" w:type="dxa"/>
              <w:left w:w="100" w:type="dxa"/>
              <w:bottom w:w="100" w:type="dxa"/>
              <w:right w:w="100" w:type="dxa"/>
            </w:tcMar>
          </w:tcPr>
          <w:p w14:paraId="00000975" w14:textId="00000976" w:rsidR="000B0F63" w:rsidRDefault="00C05D22" w:rsidP="00E40261">
            <w:pPr>
              <w:pStyle w:val="TableInfo"/>
              <w:jc w:val="both"/>
            </w:pPr>
            <w:r>
              <w:t>Oracle's Exadata engineered system as a cloud service on AWS, Azure, and GCP.</w:t>
            </w:r>
          </w:p>
        </w:tc>
      </w:tr>
      <w:tr w:rsidR="006A6D07" w14:paraId="6BF72DAD" w14:textId="77777777" w:rsidTr="1524DEBB">
        <w:tc>
          <w:tcPr>
            <w:tcW w:w="4860" w:type="dxa"/>
            <w:tcMar>
              <w:top w:w="100" w:type="dxa"/>
              <w:left w:w="100" w:type="dxa"/>
              <w:bottom w:w="100" w:type="dxa"/>
              <w:right w:w="100" w:type="dxa"/>
            </w:tcMar>
          </w:tcPr>
          <w:p w14:paraId="00000977" w14:textId="00000978" w:rsidR="000B0F63" w:rsidRDefault="00C05D22" w:rsidP="00E40261">
            <w:pPr>
              <w:pStyle w:val="TableInfo"/>
              <w:jc w:val="both"/>
            </w:pPr>
            <w:r>
              <w:t>FinOps</w:t>
            </w:r>
          </w:p>
        </w:tc>
        <w:tc>
          <w:tcPr>
            <w:tcW w:w="4860" w:type="dxa"/>
            <w:tcMar>
              <w:top w:w="100" w:type="dxa"/>
              <w:left w:w="100" w:type="dxa"/>
              <w:bottom w:w="100" w:type="dxa"/>
              <w:right w:w="100" w:type="dxa"/>
            </w:tcMar>
          </w:tcPr>
          <w:p w14:paraId="00000979" w14:textId="0000097A" w:rsidR="000B0F63" w:rsidRDefault="00C05D22" w:rsidP="00E40261">
            <w:pPr>
              <w:pStyle w:val="TableInfo"/>
              <w:jc w:val="both"/>
            </w:pPr>
            <w:r>
              <w:t>Financial operations for cloud. Practice combining technology, finance, and business accountability.</w:t>
            </w:r>
          </w:p>
        </w:tc>
      </w:tr>
      <w:tr w:rsidR="006A6D07" w14:paraId="1FA6B5F7" w14:textId="77777777" w:rsidTr="1524DEBB">
        <w:tc>
          <w:tcPr>
            <w:tcW w:w="4860" w:type="dxa"/>
            <w:tcMar>
              <w:top w:w="100" w:type="dxa"/>
              <w:left w:w="100" w:type="dxa"/>
              <w:bottom w:w="100" w:type="dxa"/>
              <w:right w:w="100" w:type="dxa"/>
            </w:tcMar>
          </w:tcPr>
          <w:p w14:paraId="0000097B" w14:textId="0000097C" w:rsidR="000B0F63" w:rsidRDefault="00C05D22" w:rsidP="00E40261">
            <w:pPr>
              <w:pStyle w:val="TableInfo"/>
              <w:jc w:val="both"/>
            </w:pPr>
            <w:r>
              <w:t>GCVE</w:t>
            </w:r>
          </w:p>
        </w:tc>
        <w:tc>
          <w:tcPr>
            <w:tcW w:w="4860" w:type="dxa"/>
            <w:tcMar>
              <w:top w:w="100" w:type="dxa"/>
              <w:left w:w="100" w:type="dxa"/>
              <w:bottom w:w="100" w:type="dxa"/>
              <w:right w:w="100" w:type="dxa"/>
            </w:tcMar>
          </w:tcPr>
          <w:p w14:paraId="0000097D" w14:textId="0000097E" w:rsidR="000B0F63" w:rsidRDefault="00C05D22" w:rsidP="00E40261">
            <w:pPr>
              <w:pStyle w:val="TableInfo"/>
              <w:jc w:val="both"/>
            </w:pPr>
            <w:r>
              <w:t>Google Cloud VMware Engine.</w:t>
            </w:r>
          </w:p>
        </w:tc>
      </w:tr>
      <w:tr w:rsidR="006A6D07" w14:paraId="61F3BB1D" w14:textId="77777777" w:rsidTr="1524DEBB">
        <w:tc>
          <w:tcPr>
            <w:tcW w:w="4860" w:type="dxa"/>
            <w:tcMar>
              <w:top w:w="100" w:type="dxa"/>
              <w:left w:w="100" w:type="dxa"/>
              <w:bottom w:w="100" w:type="dxa"/>
              <w:right w:w="100" w:type="dxa"/>
            </w:tcMar>
          </w:tcPr>
          <w:p w14:paraId="0000097F" w14:textId="00000980" w:rsidR="000B0F63" w:rsidRDefault="00C05D22" w:rsidP="00E40261">
            <w:pPr>
              <w:pStyle w:val="TableInfo"/>
              <w:jc w:val="both"/>
            </w:pPr>
            <w:r>
              <w:t>GKE</w:t>
            </w:r>
          </w:p>
        </w:tc>
        <w:tc>
          <w:tcPr>
            <w:tcW w:w="4860" w:type="dxa"/>
            <w:tcMar>
              <w:top w:w="100" w:type="dxa"/>
              <w:left w:w="100" w:type="dxa"/>
              <w:bottom w:w="100" w:type="dxa"/>
              <w:right w:w="100" w:type="dxa"/>
            </w:tcMar>
          </w:tcPr>
          <w:p w14:paraId="00000981" w14:textId="00000982" w:rsidR="000B0F63" w:rsidRDefault="00C05D22" w:rsidP="00E40261">
            <w:pPr>
              <w:pStyle w:val="TableInfo"/>
              <w:jc w:val="both"/>
            </w:pPr>
            <w:r>
              <w:t>Google Kubernetes Engine.</w:t>
            </w:r>
          </w:p>
        </w:tc>
      </w:tr>
      <w:tr w:rsidR="006A6D07" w14:paraId="3D76219B" w14:textId="77777777" w:rsidTr="1524DEBB">
        <w:tc>
          <w:tcPr>
            <w:tcW w:w="4860" w:type="dxa"/>
            <w:tcMar>
              <w:top w:w="100" w:type="dxa"/>
              <w:left w:w="100" w:type="dxa"/>
              <w:bottom w:w="100" w:type="dxa"/>
              <w:right w:w="100" w:type="dxa"/>
            </w:tcMar>
          </w:tcPr>
          <w:p w14:paraId="00000983" w14:textId="00000984" w:rsidR="000B0F63" w:rsidRDefault="00C05D22" w:rsidP="00E40261">
            <w:pPr>
              <w:pStyle w:val="TableInfo"/>
              <w:jc w:val="both"/>
            </w:pPr>
            <w:r>
              <w:t>HA</w:t>
            </w:r>
          </w:p>
        </w:tc>
        <w:tc>
          <w:tcPr>
            <w:tcW w:w="4860" w:type="dxa"/>
            <w:tcMar>
              <w:top w:w="100" w:type="dxa"/>
              <w:left w:w="100" w:type="dxa"/>
              <w:bottom w:w="100" w:type="dxa"/>
              <w:right w:w="100" w:type="dxa"/>
            </w:tcMar>
          </w:tcPr>
          <w:p w14:paraId="00000985" w14:textId="00000986" w:rsidR="000B0F63" w:rsidRDefault="00C05D22" w:rsidP="00E40261">
            <w:pPr>
              <w:pStyle w:val="TableInfo"/>
              <w:jc w:val="both"/>
            </w:pPr>
            <w:r>
              <w:t>High Availability.</w:t>
            </w:r>
          </w:p>
        </w:tc>
      </w:tr>
      <w:tr w:rsidR="006A6D07" w14:paraId="2DA21076" w14:textId="77777777" w:rsidTr="1524DEBB">
        <w:tc>
          <w:tcPr>
            <w:tcW w:w="4860" w:type="dxa"/>
            <w:tcMar>
              <w:top w:w="100" w:type="dxa"/>
              <w:left w:w="100" w:type="dxa"/>
              <w:bottom w:w="100" w:type="dxa"/>
              <w:right w:w="100" w:type="dxa"/>
            </w:tcMar>
          </w:tcPr>
          <w:p w14:paraId="00000987" w14:textId="00000988" w:rsidR="000B0F63" w:rsidRDefault="00C05D22" w:rsidP="00E40261">
            <w:pPr>
              <w:pStyle w:val="TableInfo"/>
              <w:jc w:val="both"/>
            </w:pPr>
            <w:proofErr w:type="spellStart"/>
            <w:r w:rsidRPr="1524DEBB">
              <w:rPr>
                <w:lang w:val="en-GB"/>
              </w:rPr>
              <w:t>IaC</w:t>
            </w:r>
            <w:proofErr w:type="spellEnd"/>
          </w:p>
        </w:tc>
        <w:tc>
          <w:tcPr>
            <w:tcW w:w="4860" w:type="dxa"/>
            <w:tcMar>
              <w:top w:w="100" w:type="dxa"/>
              <w:left w:w="100" w:type="dxa"/>
              <w:bottom w:w="100" w:type="dxa"/>
              <w:right w:w="100" w:type="dxa"/>
            </w:tcMar>
          </w:tcPr>
          <w:p w14:paraId="00000989" w14:textId="0000098A" w:rsidR="000B0F63" w:rsidRDefault="00C05D22" w:rsidP="00E40261">
            <w:pPr>
              <w:pStyle w:val="TableInfo"/>
              <w:jc w:val="both"/>
            </w:pPr>
            <w:r>
              <w:t>Infrastructure as Code.</w:t>
            </w:r>
          </w:p>
        </w:tc>
      </w:tr>
      <w:tr w:rsidR="006A6D07" w14:paraId="59BA50BA" w14:textId="77777777" w:rsidTr="1524DEBB">
        <w:tc>
          <w:tcPr>
            <w:tcW w:w="4860" w:type="dxa"/>
            <w:tcMar>
              <w:top w:w="100" w:type="dxa"/>
              <w:left w:w="100" w:type="dxa"/>
              <w:bottom w:w="100" w:type="dxa"/>
              <w:right w:w="100" w:type="dxa"/>
            </w:tcMar>
          </w:tcPr>
          <w:p w14:paraId="0000098B" w14:textId="0000098C" w:rsidR="000B0F63" w:rsidRDefault="00C05D22" w:rsidP="00E40261">
            <w:pPr>
              <w:pStyle w:val="TableInfo"/>
              <w:jc w:val="both"/>
            </w:pPr>
            <w:r>
              <w:t>IOPS</w:t>
            </w:r>
          </w:p>
        </w:tc>
        <w:tc>
          <w:tcPr>
            <w:tcW w:w="4860" w:type="dxa"/>
            <w:tcMar>
              <w:top w:w="100" w:type="dxa"/>
              <w:left w:w="100" w:type="dxa"/>
              <w:bottom w:w="100" w:type="dxa"/>
              <w:right w:w="100" w:type="dxa"/>
            </w:tcMar>
          </w:tcPr>
          <w:p w14:paraId="0000098D" w14:textId="0000098E" w:rsidR="000B0F63" w:rsidRDefault="00C05D22" w:rsidP="00E40261">
            <w:pPr>
              <w:pStyle w:val="TableInfo"/>
              <w:jc w:val="both"/>
            </w:pPr>
            <w:r>
              <w:t>Input/Output Operations Per Second.</w:t>
            </w:r>
          </w:p>
        </w:tc>
      </w:tr>
      <w:tr w:rsidR="006A6D07" w14:paraId="3B448E40" w14:textId="77777777" w:rsidTr="1524DEBB">
        <w:tc>
          <w:tcPr>
            <w:tcW w:w="4860" w:type="dxa"/>
            <w:tcMar>
              <w:top w:w="100" w:type="dxa"/>
              <w:left w:w="100" w:type="dxa"/>
              <w:bottom w:w="100" w:type="dxa"/>
              <w:right w:w="100" w:type="dxa"/>
            </w:tcMar>
          </w:tcPr>
          <w:p w14:paraId="0000098F" w14:textId="00000990" w:rsidR="000B0F63" w:rsidRDefault="00C05D22" w:rsidP="00E40261">
            <w:pPr>
              <w:pStyle w:val="TableInfo"/>
              <w:jc w:val="both"/>
            </w:pPr>
            <w:r>
              <w:t>Landing Zone</w:t>
            </w:r>
          </w:p>
        </w:tc>
        <w:tc>
          <w:tcPr>
            <w:tcW w:w="4860" w:type="dxa"/>
            <w:tcMar>
              <w:top w:w="100" w:type="dxa"/>
              <w:left w:w="100" w:type="dxa"/>
              <w:bottom w:w="100" w:type="dxa"/>
              <w:right w:w="100" w:type="dxa"/>
            </w:tcMar>
          </w:tcPr>
          <w:p w14:paraId="00000991" w14:textId="00000992" w:rsidR="000B0F63" w:rsidRDefault="00C05D22" w:rsidP="00E40261">
            <w:pPr>
              <w:pStyle w:val="TableInfo"/>
              <w:jc w:val="both"/>
            </w:pPr>
            <w:r>
              <w:t xml:space="preserve">Pre-configured, </w:t>
            </w:r>
            <w:proofErr w:type="spellStart"/>
            <w:r>
              <w:t>standardised</w:t>
            </w:r>
            <w:proofErr w:type="spellEnd"/>
            <w:r>
              <w:t xml:space="preserve"> cloud environment for workload migration.</w:t>
            </w:r>
          </w:p>
        </w:tc>
      </w:tr>
      <w:tr w:rsidR="006A6D07" w14:paraId="62920EC3" w14:textId="77777777" w:rsidTr="1524DEBB">
        <w:tc>
          <w:tcPr>
            <w:tcW w:w="4860" w:type="dxa"/>
            <w:tcMar>
              <w:top w:w="100" w:type="dxa"/>
              <w:left w:w="100" w:type="dxa"/>
              <w:bottom w:w="100" w:type="dxa"/>
              <w:right w:w="100" w:type="dxa"/>
            </w:tcMar>
          </w:tcPr>
          <w:p w14:paraId="00000993" w14:textId="00000994" w:rsidR="000B0F63" w:rsidRDefault="00C05D22" w:rsidP="00E40261">
            <w:pPr>
              <w:pStyle w:val="TableInfo"/>
              <w:jc w:val="both"/>
            </w:pPr>
            <w:r>
              <w:t>Listed Provider</w:t>
            </w:r>
          </w:p>
        </w:tc>
        <w:tc>
          <w:tcPr>
            <w:tcW w:w="4860" w:type="dxa"/>
            <w:tcMar>
              <w:top w:w="100" w:type="dxa"/>
              <w:left w:w="100" w:type="dxa"/>
              <w:bottom w:w="100" w:type="dxa"/>
              <w:right w:w="100" w:type="dxa"/>
            </w:tcMar>
          </w:tcPr>
          <w:p w14:paraId="00000995" w14:textId="00000996" w:rsidR="000B0F63" w:rsidRDefault="00C05D22" w:rsidP="00E40261">
            <w:pPr>
              <w:pStyle w:val="TableInfo"/>
              <w:jc w:val="both"/>
            </w:pPr>
            <w:r>
              <w:t>Microsoft's designation for certain cloud providers where BYOL restrictions apply.</w:t>
            </w:r>
          </w:p>
        </w:tc>
      </w:tr>
      <w:tr w:rsidR="006A6D07" w14:paraId="1A2CB02B" w14:textId="77777777" w:rsidTr="1524DEBB">
        <w:tc>
          <w:tcPr>
            <w:tcW w:w="4860" w:type="dxa"/>
            <w:tcMar>
              <w:top w:w="100" w:type="dxa"/>
              <w:left w:w="100" w:type="dxa"/>
              <w:bottom w:w="100" w:type="dxa"/>
              <w:right w:w="100" w:type="dxa"/>
            </w:tcMar>
          </w:tcPr>
          <w:p w14:paraId="00000997" w14:textId="00000998" w:rsidR="000B0F63" w:rsidRDefault="00C05D22" w:rsidP="00E40261">
            <w:pPr>
              <w:pStyle w:val="TableInfo"/>
              <w:jc w:val="both"/>
            </w:pPr>
            <w:r>
              <w:t>MACC</w:t>
            </w:r>
          </w:p>
        </w:tc>
        <w:tc>
          <w:tcPr>
            <w:tcW w:w="4860" w:type="dxa"/>
            <w:tcMar>
              <w:top w:w="100" w:type="dxa"/>
              <w:left w:w="100" w:type="dxa"/>
              <w:bottom w:w="100" w:type="dxa"/>
              <w:right w:w="100" w:type="dxa"/>
            </w:tcMar>
          </w:tcPr>
          <w:p w14:paraId="00000999" w14:textId="0000099A" w:rsidR="000B0F63" w:rsidRDefault="00C05D22" w:rsidP="00E40261">
            <w:pPr>
              <w:pStyle w:val="TableInfo"/>
              <w:jc w:val="both"/>
            </w:pPr>
            <w:r>
              <w:t>Microsoft Azure Consumption Commitment.</w:t>
            </w:r>
          </w:p>
        </w:tc>
      </w:tr>
      <w:tr w:rsidR="006A6D07" w14:paraId="56DEF108" w14:textId="77777777" w:rsidTr="1524DEBB">
        <w:tc>
          <w:tcPr>
            <w:tcW w:w="4860" w:type="dxa"/>
            <w:tcMar>
              <w:top w:w="100" w:type="dxa"/>
              <w:left w:w="100" w:type="dxa"/>
              <w:bottom w:w="100" w:type="dxa"/>
              <w:right w:w="100" w:type="dxa"/>
            </w:tcMar>
          </w:tcPr>
          <w:p w14:paraId="0000099B" w14:textId="0000099C" w:rsidR="000B0F63" w:rsidRDefault="00C05D22" w:rsidP="00E40261">
            <w:pPr>
              <w:pStyle w:val="TableInfo"/>
              <w:jc w:val="both"/>
            </w:pPr>
            <w:r>
              <w:t>MAP</w:t>
            </w:r>
          </w:p>
        </w:tc>
        <w:tc>
          <w:tcPr>
            <w:tcW w:w="4860" w:type="dxa"/>
            <w:tcMar>
              <w:top w:w="100" w:type="dxa"/>
              <w:left w:w="100" w:type="dxa"/>
              <w:bottom w:w="100" w:type="dxa"/>
              <w:right w:w="100" w:type="dxa"/>
            </w:tcMar>
          </w:tcPr>
          <w:p w14:paraId="0000099D" w14:textId="0000099E" w:rsidR="000B0F63" w:rsidRDefault="00C05D22" w:rsidP="00E40261">
            <w:pPr>
              <w:pStyle w:val="TableInfo"/>
              <w:jc w:val="both"/>
            </w:pPr>
            <w:r>
              <w:t>Migration Acceleration Programme (AWS).</w:t>
            </w:r>
          </w:p>
        </w:tc>
      </w:tr>
      <w:tr w:rsidR="006A6D07" w14:paraId="2F49C0EC" w14:textId="77777777" w:rsidTr="1524DEBB">
        <w:tc>
          <w:tcPr>
            <w:tcW w:w="4860" w:type="dxa"/>
            <w:tcMar>
              <w:top w:w="100" w:type="dxa"/>
              <w:left w:w="100" w:type="dxa"/>
              <w:bottom w:w="100" w:type="dxa"/>
              <w:right w:w="100" w:type="dxa"/>
            </w:tcMar>
          </w:tcPr>
          <w:p w14:paraId="0000099F" w14:textId="000009A0" w:rsidR="000B0F63" w:rsidRDefault="00C05D22" w:rsidP="00E40261">
            <w:pPr>
              <w:pStyle w:val="TableInfo"/>
              <w:jc w:val="both"/>
            </w:pPr>
            <w:r>
              <w:t>MOL</w:t>
            </w:r>
          </w:p>
        </w:tc>
        <w:tc>
          <w:tcPr>
            <w:tcW w:w="4860" w:type="dxa"/>
            <w:tcMar>
              <w:top w:w="100" w:type="dxa"/>
              <w:left w:w="100" w:type="dxa"/>
              <w:bottom w:w="100" w:type="dxa"/>
              <w:right w:w="100" w:type="dxa"/>
            </w:tcMar>
          </w:tcPr>
          <w:p w14:paraId="000009A1" w14:textId="000009A2" w:rsidR="000B0F63" w:rsidRDefault="00C05D22" w:rsidP="00E40261">
            <w:pPr>
              <w:pStyle w:val="TableInfo"/>
              <w:jc w:val="both"/>
            </w:pPr>
            <w:r>
              <w:t>Mail Online. DMG Media's digital platform, 72.6% of in-scope servers.</w:t>
            </w:r>
          </w:p>
        </w:tc>
      </w:tr>
      <w:tr w:rsidR="006A6D07" w14:paraId="6A95F082" w14:textId="77777777" w:rsidTr="1524DEBB">
        <w:tc>
          <w:tcPr>
            <w:tcW w:w="4860" w:type="dxa"/>
            <w:tcMar>
              <w:top w:w="100" w:type="dxa"/>
              <w:left w:w="100" w:type="dxa"/>
              <w:bottom w:w="100" w:type="dxa"/>
              <w:right w:w="100" w:type="dxa"/>
            </w:tcMar>
          </w:tcPr>
          <w:p w14:paraId="000009A3" w14:textId="000009A4" w:rsidR="000B0F63" w:rsidRDefault="00C05D22" w:rsidP="00E40261">
            <w:pPr>
              <w:pStyle w:val="TableInfo"/>
              <w:jc w:val="both"/>
            </w:pPr>
            <w:r>
              <w:t>NCS</w:t>
            </w:r>
          </w:p>
        </w:tc>
        <w:tc>
          <w:tcPr>
            <w:tcW w:w="4860" w:type="dxa"/>
            <w:tcMar>
              <w:top w:w="100" w:type="dxa"/>
              <w:left w:w="100" w:type="dxa"/>
              <w:bottom w:w="100" w:type="dxa"/>
              <w:right w:w="100" w:type="dxa"/>
            </w:tcMar>
          </w:tcPr>
          <w:p w14:paraId="000009A5" w14:textId="000009A6" w:rsidR="000B0F63" w:rsidRDefault="00C05D22" w:rsidP="00E40261">
            <w:pPr>
              <w:pStyle w:val="TableInfo"/>
              <w:jc w:val="both"/>
            </w:pPr>
            <w:r>
              <w:t>Third-party provider managing SQL Server and Oracle for certain DMG applications.</w:t>
            </w:r>
          </w:p>
        </w:tc>
      </w:tr>
      <w:tr w:rsidR="006A6D07" w14:paraId="788A1DB3" w14:textId="77777777" w:rsidTr="1524DEBB">
        <w:tc>
          <w:tcPr>
            <w:tcW w:w="4860" w:type="dxa"/>
            <w:tcMar>
              <w:top w:w="100" w:type="dxa"/>
              <w:left w:w="100" w:type="dxa"/>
              <w:bottom w:w="100" w:type="dxa"/>
              <w:right w:w="100" w:type="dxa"/>
            </w:tcMar>
          </w:tcPr>
          <w:p w14:paraId="000009A7" w14:textId="000009A8" w:rsidR="000B0F63" w:rsidRDefault="00C05D22" w:rsidP="00E40261">
            <w:pPr>
              <w:pStyle w:val="TableInfo"/>
              <w:jc w:val="both"/>
            </w:pPr>
            <w:r>
              <w:t>OCI</w:t>
            </w:r>
          </w:p>
        </w:tc>
        <w:tc>
          <w:tcPr>
            <w:tcW w:w="4860" w:type="dxa"/>
            <w:tcMar>
              <w:top w:w="100" w:type="dxa"/>
              <w:left w:w="100" w:type="dxa"/>
              <w:bottom w:w="100" w:type="dxa"/>
              <w:right w:w="100" w:type="dxa"/>
            </w:tcMar>
          </w:tcPr>
          <w:p w14:paraId="000009A9" w14:textId="000009AA" w:rsidR="000B0F63" w:rsidRDefault="00C05D22" w:rsidP="00E40261">
            <w:pPr>
              <w:pStyle w:val="TableInfo"/>
              <w:jc w:val="both"/>
            </w:pPr>
            <w:r w:rsidRPr="1524DEBB">
              <w:rPr>
                <w:lang w:val="en-GB"/>
              </w:rPr>
              <w:t xml:space="preserve">Oracle Cloud Infrastructure. Underpins </w:t>
            </w:r>
            <w:proofErr w:type="spellStart"/>
            <w:r w:rsidRPr="1524DEBB">
              <w:rPr>
                <w:lang w:val="en-GB"/>
              </w:rPr>
              <w:t>Exadata@Cloud</w:t>
            </w:r>
            <w:proofErr w:type="spellEnd"/>
            <w:r w:rsidRPr="1524DEBB">
              <w:rPr>
                <w:lang w:val="en-GB"/>
              </w:rPr>
              <w:t xml:space="preserve"> across all three clouds.</w:t>
            </w:r>
          </w:p>
        </w:tc>
      </w:tr>
      <w:tr w:rsidR="006A6D07" w14:paraId="651DCD31" w14:textId="77777777" w:rsidTr="1524DEBB">
        <w:tc>
          <w:tcPr>
            <w:tcW w:w="4860" w:type="dxa"/>
            <w:tcMar>
              <w:top w:w="100" w:type="dxa"/>
              <w:left w:w="100" w:type="dxa"/>
              <w:bottom w:w="100" w:type="dxa"/>
              <w:right w:w="100" w:type="dxa"/>
            </w:tcMar>
          </w:tcPr>
          <w:p w14:paraId="000009AB" w14:textId="000009AC" w:rsidR="000B0F63" w:rsidRDefault="00C05D22" w:rsidP="00E40261">
            <w:pPr>
              <w:pStyle w:val="TableInfo"/>
              <w:jc w:val="both"/>
            </w:pPr>
            <w:r>
              <w:t>PAM</w:t>
            </w:r>
          </w:p>
        </w:tc>
        <w:tc>
          <w:tcPr>
            <w:tcW w:w="4860" w:type="dxa"/>
            <w:tcMar>
              <w:top w:w="100" w:type="dxa"/>
              <w:left w:w="100" w:type="dxa"/>
              <w:bottom w:w="100" w:type="dxa"/>
              <w:right w:w="100" w:type="dxa"/>
            </w:tcMar>
          </w:tcPr>
          <w:p w14:paraId="000009AD" w14:textId="000009AE" w:rsidR="000B0F63" w:rsidRDefault="00C05D22" w:rsidP="00E40261">
            <w:pPr>
              <w:pStyle w:val="TableInfo"/>
              <w:jc w:val="both"/>
            </w:pPr>
            <w:r>
              <w:t>Privileged Access Management.</w:t>
            </w:r>
          </w:p>
        </w:tc>
      </w:tr>
      <w:tr w:rsidR="006A6D07" w14:paraId="6A190036" w14:textId="77777777" w:rsidTr="1524DEBB">
        <w:tc>
          <w:tcPr>
            <w:tcW w:w="4860" w:type="dxa"/>
            <w:tcMar>
              <w:top w:w="100" w:type="dxa"/>
              <w:left w:w="100" w:type="dxa"/>
              <w:bottom w:w="100" w:type="dxa"/>
              <w:right w:w="100" w:type="dxa"/>
            </w:tcMar>
          </w:tcPr>
          <w:p w14:paraId="000009AF" w14:textId="000009B0" w:rsidR="000B0F63" w:rsidRDefault="00C05D22" w:rsidP="00E40261">
            <w:pPr>
              <w:pStyle w:val="TableInfo"/>
              <w:jc w:val="both"/>
            </w:pPr>
            <w:r>
              <w:t>PAYG</w:t>
            </w:r>
          </w:p>
        </w:tc>
        <w:tc>
          <w:tcPr>
            <w:tcW w:w="4860" w:type="dxa"/>
            <w:tcMar>
              <w:top w:w="100" w:type="dxa"/>
              <w:left w:w="100" w:type="dxa"/>
              <w:bottom w:w="100" w:type="dxa"/>
              <w:right w:w="100" w:type="dxa"/>
            </w:tcMar>
          </w:tcPr>
          <w:p w14:paraId="000009B1" w14:textId="000009B2" w:rsidR="000B0F63" w:rsidRDefault="00C05D22" w:rsidP="00E40261">
            <w:pPr>
              <w:pStyle w:val="TableInfo"/>
              <w:jc w:val="both"/>
            </w:pPr>
            <w:r>
              <w:t>Pay As You Go.</w:t>
            </w:r>
          </w:p>
        </w:tc>
      </w:tr>
      <w:tr w:rsidR="006A6D07" w14:paraId="64698840" w14:textId="77777777" w:rsidTr="1524DEBB">
        <w:tc>
          <w:tcPr>
            <w:tcW w:w="4860" w:type="dxa"/>
            <w:tcMar>
              <w:top w:w="100" w:type="dxa"/>
              <w:left w:w="100" w:type="dxa"/>
              <w:bottom w:w="100" w:type="dxa"/>
              <w:right w:w="100" w:type="dxa"/>
            </w:tcMar>
          </w:tcPr>
          <w:p w14:paraId="000009B3" w14:textId="000009B4" w:rsidR="000B0F63" w:rsidRDefault="00C05D22" w:rsidP="00E40261">
            <w:pPr>
              <w:pStyle w:val="TableInfo"/>
              <w:jc w:val="both"/>
            </w:pPr>
            <w:r>
              <w:t>PL/SQL</w:t>
            </w:r>
          </w:p>
        </w:tc>
        <w:tc>
          <w:tcPr>
            <w:tcW w:w="4860" w:type="dxa"/>
            <w:tcMar>
              <w:top w:w="100" w:type="dxa"/>
              <w:left w:w="100" w:type="dxa"/>
              <w:bottom w:w="100" w:type="dxa"/>
              <w:right w:w="100" w:type="dxa"/>
            </w:tcMar>
          </w:tcPr>
          <w:p w14:paraId="000009B5" w14:textId="000009B6" w:rsidR="000B0F63" w:rsidRDefault="00C05D22" w:rsidP="00E40261">
            <w:pPr>
              <w:pStyle w:val="TableInfo"/>
              <w:jc w:val="both"/>
            </w:pPr>
            <w:r>
              <w:t>Procedural Language extensions to SQL, used by Oracle.</w:t>
            </w:r>
          </w:p>
        </w:tc>
      </w:tr>
      <w:tr w:rsidR="006A6D07" w14:paraId="4B9C1529" w14:textId="77777777" w:rsidTr="1524DEBB">
        <w:tc>
          <w:tcPr>
            <w:tcW w:w="4860" w:type="dxa"/>
            <w:tcMar>
              <w:top w:w="100" w:type="dxa"/>
              <w:left w:w="100" w:type="dxa"/>
              <w:bottom w:w="100" w:type="dxa"/>
              <w:right w:w="100" w:type="dxa"/>
            </w:tcMar>
          </w:tcPr>
          <w:p w14:paraId="000009B7" w14:textId="000009B8" w:rsidR="000B0F63" w:rsidRDefault="00C05D22" w:rsidP="00E40261">
            <w:pPr>
              <w:pStyle w:val="TableInfo"/>
              <w:jc w:val="both"/>
            </w:pPr>
            <w:r>
              <w:t>RAC</w:t>
            </w:r>
          </w:p>
        </w:tc>
        <w:tc>
          <w:tcPr>
            <w:tcW w:w="4860" w:type="dxa"/>
            <w:tcMar>
              <w:top w:w="100" w:type="dxa"/>
              <w:left w:w="100" w:type="dxa"/>
              <w:bottom w:w="100" w:type="dxa"/>
              <w:right w:w="100" w:type="dxa"/>
            </w:tcMar>
          </w:tcPr>
          <w:p w14:paraId="000009B9" w14:textId="000009BA" w:rsidR="000B0F63" w:rsidRDefault="00C05D22" w:rsidP="00E40261">
            <w:pPr>
              <w:pStyle w:val="TableInfo"/>
              <w:jc w:val="both"/>
            </w:pPr>
            <w:r>
              <w:t>Oracle Real Application Clusters.</w:t>
            </w:r>
          </w:p>
        </w:tc>
      </w:tr>
      <w:tr w:rsidR="006A6D07" w14:paraId="17481CD1" w14:textId="77777777" w:rsidTr="1524DEBB">
        <w:tc>
          <w:tcPr>
            <w:tcW w:w="4860" w:type="dxa"/>
            <w:tcMar>
              <w:top w:w="100" w:type="dxa"/>
              <w:left w:w="100" w:type="dxa"/>
              <w:bottom w:w="100" w:type="dxa"/>
              <w:right w:w="100" w:type="dxa"/>
            </w:tcMar>
          </w:tcPr>
          <w:p w14:paraId="000009BB" w14:textId="000009BC" w:rsidR="000B0F63" w:rsidRDefault="00C05D22" w:rsidP="00E40261">
            <w:pPr>
              <w:pStyle w:val="TableInfo"/>
              <w:jc w:val="both"/>
            </w:pPr>
            <w:r>
              <w:t>RI</w:t>
            </w:r>
          </w:p>
        </w:tc>
        <w:tc>
          <w:tcPr>
            <w:tcW w:w="4860" w:type="dxa"/>
            <w:tcMar>
              <w:top w:w="100" w:type="dxa"/>
              <w:left w:w="100" w:type="dxa"/>
              <w:bottom w:w="100" w:type="dxa"/>
              <w:right w:w="100" w:type="dxa"/>
            </w:tcMar>
          </w:tcPr>
          <w:p w14:paraId="000009BD" w14:textId="000009BE" w:rsidR="000B0F63" w:rsidRDefault="00C05D22" w:rsidP="00E40261">
            <w:pPr>
              <w:pStyle w:val="TableInfo"/>
              <w:jc w:val="both"/>
            </w:pPr>
            <w:r>
              <w:t>Reserved Instance (AWS).</w:t>
            </w:r>
          </w:p>
        </w:tc>
      </w:tr>
      <w:tr w:rsidR="006A6D07" w14:paraId="4D97BBE6" w14:textId="77777777" w:rsidTr="1524DEBB">
        <w:tc>
          <w:tcPr>
            <w:tcW w:w="4860" w:type="dxa"/>
            <w:tcMar>
              <w:top w:w="100" w:type="dxa"/>
              <w:left w:w="100" w:type="dxa"/>
              <w:bottom w:w="100" w:type="dxa"/>
              <w:right w:w="100" w:type="dxa"/>
            </w:tcMar>
          </w:tcPr>
          <w:p w14:paraId="000009BF" w14:textId="000009C0" w:rsidR="000B0F63" w:rsidRDefault="00C05D22" w:rsidP="00E40261">
            <w:pPr>
              <w:pStyle w:val="TableInfo"/>
              <w:jc w:val="both"/>
            </w:pPr>
            <w:r>
              <w:t>SA</w:t>
            </w:r>
          </w:p>
        </w:tc>
        <w:tc>
          <w:tcPr>
            <w:tcW w:w="4860" w:type="dxa"/>
            <w:tcMar>
              <w:top w:w="100" w:type="dxa"/>
              <w:left w:w="100" w:type="dxa"/>
              <w:bottom w:w="100" w:type="dxa"/>
              <w:right w:w="100" w:type="dxa"/>
            </w:tcMar>
          </w:tcPr>
          <w:p w14:paraId="000009C1" w14:textId="000009C2" w:rsidR="000B0F63" w:rsidRDefault="00C05D22" w:rsidP="00E40261">
            <w:pPr>
              <w:pStyle w:val="TableInfo"/>
              <w:jc w:val="both"/>
            </w:pPr>
            <w:r>
              <w:t>Software Assurance (Microsoft).</w:t>
            </w:r>
          </w:p>
        </w:tc>
      </w:tr>
      <w:tr w:rsidR="006A6D07" w14:paraId="07A64734" w14:textId="77777777" w:rsidTr="1524DEBB">
        <w:tc>
          <w:tcPr>
            <w:tcW w:w="4860" w:type="dxa"/>
            <w:tcMar>
              <w:top w:w="100" w:type="dxa"/>
              <w:left w:w="100" w:type="dxa"/>
              <w:bottom w:w="100" w:type="dxa"/>
              <w:right w:w="100" w:type="dxa"/>
            </w:tcMar>
          </w:tcPr>
          <w:p w14:paraId="000009C3" w14:textId="000009C4" w:rsidR="000B0F63" w:rsidRDefault="00C05D22" w:rsidP="00E40261">
            <w:pPr>
              <w:pStyle w:val="TableInfo"/>
              <w:jc w:val="both"/>
            </w:pPr>
            <w:r>
              <w:t>Sole Tenant Node</w:t>
            </w:r>
          </w:p>
        </w:tc>
        <w:tc>
          <w:tcPr>
            <w:tcW w:w="4860" w:type="dxa"/>
            <w:tcMar>
              <w:top w:w="100" w:type="dxa"/>
              <w:left w:w="100" w:type="dxa"/>
              <w:bottom w:w="100" w:type="dxa"/>
              <w:right w:w="100" w:type="dxa"/>
            </w:tcMar>
          </w:tcPr>
          <w:p w14:paraId="000009C5" w14:textId="000009C6" w:rsidR="000B0F63" w:rsidRDefault="00C05D22" w:rsidP="00E40261">
            <w:pPr>
              <w:pStyle w:val="TableInfo"/>
              <w:jc w:val="both"/>
            </w:pPr>
            <w:r>
              <w:t xml:space="preserve">GCP </w:t>
            </w:r>
            <w:proofErr w:type="gramStart"/>
            <w:r>
              <w:t>feature</w:t>
            </w:r>
            <w:proofErr w:type="gramEnd"/>
            <w:r>
              <w:t xml:space="preserve"> where a physical host is dedicated to a single customer.</w:t>
            </w:r>
          </w:p>
        </w:tc>
      </w:tr>
      <w:tr w:rsidR="006A6D07" w14:paraId="693FCFCB" w14:textId="77777777" w:rsidTr="1524DEBB">
        <w:tc>
          <w:tcPr>
            <w:tcW w:w="4860" w:type="dxa"/>
            <w:tcMar>
              <w:top w:w="100" w:type="dxa"/>
              <w:left w:w="100" w:type="dxa"/>
              <w:bottom w:w="100" w:type="dxa"/>
              <w:right w:w="100" w:type="dxa"/>
            </w:tcMar>
          </w:tcPr>
          <w:p w14:paraId="000009C7" w14:textId="000009C8" w:rsidR="000B0F63" w:rsidRDefault="00C05D22" w:rsidP="00E40261">
            <w:pPr>
              <w:pStyle w:val="TableInfo"/>
              <w:jc w:val="both"/>
            </w:pPr>
            <w:proofErr w:type="spellStart"/>
            <w:r w:rsidRPr="1524DEBB">
              <w:rPr>
                <w:lang w:val="en-GB"/>
              </w:rPr>
              <w:t>SnS</w:t>
            </w:r>
            <w:proofErr w:type="spellEnd"/>
          </w:p>
        </w:tc>
        <w:tc>
          <w:tcPr>
            <w:tcW w:w="4860" w:type="dxa"/>
            <w:tcMar>
              <w:top w:w="100" w:type="dxa"/>
              <w:left w:w="100" w:type="dxa"/>
              <w:bottom w:w="100" w:type="dxa"/>
              <w:right w:w="100" w:type="dxa"/>
            </w:tcMar>
          </w:tcPr>
          <w:p w14:paraId="000009C9" w14:textId="000009CA" w:rsidR="000B0F63" w:rsidRDefault="00C05D22" w:rsidP="00E40261">
            <w:pPr>
              <w:pStyle w:val="TableInfo"/>
              <w:jc w:val="both"/>
            </w:pPr>
            <w:r>
              <w:t>Support and Subscription (Broadcom).</w:t>
            </w:r>
          </w:p>
        </w:tc>
      </w:tr>
      <w:tr w:rsidR="006A6D07" w14:paraId="3CF6E708" w14:textId="77777777" w:rsidTr="1524DEBB">
        <w:tc>
          <w:tcPr>
            <w:tcW w:w="4860" w:type="dxa"/>
            <w:tcMar>
              <w:top w:w="100" w:type="dxa"/>
              <w:left w:w="100" w:type="dxa"/>
              <w:bottom w:w="100" w:type="dxa"/>
              <w:right w:w="100" w:type="dxa"/>
            </w:tcMar>
          </w:tcPr>
          <w:p w14:paraId="000009CB" w14:textId="000009CC" w:rsidR="000B0F63" w:rsidRDefault="00C05D22" w:rsidP="00E40261">
            <w:pPr>
              <w:pStyle w:val="TableInfo"/>
              <w:jc w:val="both"/>
            </w:pPr>
            <w:r>
              <w:t>TCO</w:t>
            </w:r>
          </w:p>
        </w:tc>
        <w:tc>
          <w:tcPr>
            <w:tcW w:w="4860" w:type="dxa"/>
            <w:tcMar>
              <w:top w:w="100" w:type="dxa"/>
              <w:left w:w="100" w:type="dxa"/>
              <w:bottom w:w="100" w:type="dxa"/>
              <w:right w:w="100" w:type="dxa"/>
            </w:tcMar>
          </w:tcPr>
          <w:p w14:paraId="000009CD" w14:textId="000009CE" w:rsidR="000B0F63" w:rsidRDefault="00C05D22" w:rsidP="00E40261">
            <w:pPr>
              <w:pStyle w:val="TableInfo"/>
              <w:jc w:val="both"/>
            </w:pPr>
            <w:r>
              <w:t>Total Cost of Ownership.</w:t>
            </w:r>
          </w:p>
        </w:tc>
      </w:tr>
      <w:tr w:rsidR="006A6D07" w14:paraId="10A45E49" w14:textId="77777777" w:rsidTr="1524DEBB">
        <w:tc>
          <w:tcPr>
            <w:tcW w:w="4860" w:type="dxa"/>
            <w:tcMar>
              <w:top w:w="100" w:type="dxa"/>
              <w:left w:w="100" w:type="dxa"/>
              <w:bottom w:w="100" w:type="dxa"/>
              <w:right w:w="100" w:type="dxa"/>
            </w:tcMar>
          </w:tcPr>
          <w:p w14:paraId="000009CF" w14:textId="000009D0" w:rsidR="000B0F63" w:rsidRDefault="00C05D22" w:rsidP="00E40261">
            <w:pPr>
              <w:pStyle w:val="TableInfo"/>
              <w:jc w:val="both"/>
            </w:pPr>
            <w:r>
              <w:t>TGW</w:t>
            </w:r>
          </w:p>
        </w:tc>
        <w:tc>
          <w:tcPr>
            <w:tcW w:w="4860" w:type="dxa"/>
            <w:tcMar>
              <w:top w:w="100" w:type="dxa"/>
              <w:left w:w="100" w:type="dxa"/>
              <w:bottom w:w="100" w:type="dxa"/>
              <w:right w:w="100" w:type="dxa"/>
            </w:tcMar>
          </w:tcPr>
          <w:p w14:paraId="000009D1" w14:textId="000009D2" w:rsidR="000B0F63" w:rsidRDefault="00C05D22" w:rsidP="00E40261">
            <w:pPr>
              <w:pStyle w:val="TableInfo"/>
              <w:jc w:val="both"/>
            </w:pPr>
            <w:r>
              <w:t>AWS Transit Gateway.</w:t>
            </w:r>
          </w:p>
        </w:tc>
      </w:tr>
      <w:tr w:rsidR="006A6D07" w14:paraId="3A6C70FA" w14:textId="77777777" w:rsidTr="1524DEBB">
        <w:tc>
          <w:tcPr>
            <w:tcW w:w="4860" w:type="dxa"/>
            <w:tcMar>
              <w:top w:w="100" w:type="dxa"/>
              <w:left w:w="100" w:type="dxa"/>
              <w:bottom w:w="100" w:type="dxa"/>
              <w:right w:w="100" w:type="dxa"/>
            </w:tcMar>
          </w:tcPr>
          <w:p w14:paraId="000009D3" w14:textId="000009D4" w:rsidR="000B0F63" w:rsidRDefault="00C05D22" w:rsidP="00E40261">
            <w:pPr>
              <w:pStyle w:val="TableInfo"/>
              <w:jc w:val="both"/>
            </w:pPr>
            <w:r>
              <w:t>TOM</w:t>
            </w:r>
          </w:p>
        </w:tc>
        <w:tc>
          <w:tcPr>
            <w:tcW w:w="4860" w:type="dxa"/>
            <w:tcMar>
              <w:top w:w="100" w:type="dxa"/>
              <w:left w:w="100" w:type="dxa"/>
              <w:bottom w:w="100" w:type="dxa"/>
              <w:right w:w="100" w:type="dxa"/>
            </w:tcMar>
          </w:tcPr>
          <w:p w14:paraId="000009D5" w14:textId="000009D6" w:rsidR="000B0F63" w:rsidRDefault="00C05D22" w:rsidP="00E40261">
            <w:pPr>
              <w:pStyle w:val="TableInfo"/>
              <w:jc w:val="both"/>
            </w:pPr>
            <w:r>
              <w:t>Target Operating Model.</w:t>
            </w:r>
          </w:p>
        </w:tc>
      </w:tr>
      <w:tr w:rsidR="006A6D07" w14:paraId="002BD58C" w14:textId="77777777" w:rsidTr="1524DEBB">
        <w:tc>
          <w:tcPr>
            <w:tcW w:w="4860" w:type="dxa"/>
            <w:tcMar>
              <w:top w:w="100" w:type="dxa"/>
              <w:left w:w="100" w:type="dxa"/>
              <w:bottom w:w="100" w:type="dxa"/>
              <w:right w:w="100" w:type="dxa"/>
            </w:tcMar>
          </w:tcPr>
          <w:p w14:paraId="000009D7" w14:textId="000009D8" w:rsidR="000B0F63" w:rsidRDefault="00C05D22" w:rsidP="00E40261">
            <w:pPr>
              <w:pStyle w:val="TableInfo"/>
              <w:jc w:val="both"/>
            </w:pPr>
            <w:r>
              <w:t>VCF</w:t>
            </w:r>
          </w:p>
        </w:tc>
        <w:tc>
          <w:tcPr>
            <w:tcW w:w="4860" w:type="dxa"/>
            <w:tcMar>
              <w:top w:w="100" w:type="dxa"/>
              <w:left w:w="100" w:type="dxa"/>
              <w:bottom w:w="100" w:type="dxa"/>
              <w:right w:w="100" w:type="dxa"/>
            </w:tcMar>
          </w:tcPr>
          <w:p w14:paraId="000009D9" w14:textId="000009DA" w:rsidR="000B0F63" w:rsidRDefault="00C05D22" w:rsidP="00E40261">
            <w:pPr>
              <w:pStyle w:val="TableInfo"/>
              <w:jc w:val="both"/>
            </w:pPr>
            <w:r>
              <w:t>VMware Cloud Foundation. Broadcom's subscription-based VMware licensing model.</w:t>
            </w:r>
          </w:p>
        </w:tc>
      </w:tr>
      <w:tr w:rsidR="006A6D07" w14:paraId="7D315CB7" w14:textId="77777777" w:rsidTr="1524DEBB">
        <w:tc>
          <w:tcPr>
            <w:tcW w:w="4860" w:type="dxa"/>
            <w:tcMar>
              <w:top w:w="100" w:type="dxa"/>
              <w:left w:w="100" w:type="dxa"/>
              <w:bottom w:w="100" w:type="dxa"/>
              <w:right w:w="100" w:type="dxa"/>
            </w:tcMar>
          </w:tcPr>
          <w:p w14:paraId="000009DB" w14:textId="000009DC" w:rsidR="000B0F63" w:rsidRDefault="00C05D22" w:rsidP="00E40261">
            <w:pPr>
              <w:pStyle w:val="TableInfo"/>
              <w:jc w:val="both"/>
            </w:pPr>
            <w:r>
              <w:t>7Rs</w:t>
            </w:r>
          </w:p>
        </w:tc>
        <w:tc>
          <w:tcPr>
            <w:tcW w:w="4860" w:type="dxa"/>
            <w:tcMar>
              <w:top w:w="100" w:type="dxa"/>
              <w:left w:w="100" w:type="dxa"/>
              <w:bottom w:w="100" w:type="dxa"/>
              <w:right w:w="100" w:type="dxa"/>
            </w:tcMar>
          </w:tcPr>
          <w:p w14:paraId="000009DD" w14:textId="000009DE" w:rsidR="000B0F63" w:rsidRDefault="00C05D22" w:rsidP="00E40261">
            <w:pPr>
              <w:pStyle w:val="TableInfo"/>
              <w:jc w:val="both"/>
            </w:pPr>
            <w:r w:rsidRPr="1524DEBB">
              <w:rPr>
                <w:lang w:val="en-GB"/>
              </w:rPr>
              <w:t xml:space="preserve">Seven migration strategy options: Retire, Retain, Relocate, Rehost, </w:t>
            </w:r>
            <w:proofErr w:type="spellStart"/>
            <w:r w:rsidRPr="1524DEBB">
              <w:rPr>
                <w:lang w:val="en-GB"/>
              </w:rPr>
              <w:t>Replatform</w:t>
            </w:r>
            <w:proofErr w:type="spellEnd"/>
            <w:r w:rsidRPr="1524DEBB">
              <w:rPr>
                <w:lang w:val="en-GB"/>
              </w:rPr>
              <w:t>, Repurchase, Rearchitect.</w:t>
            </w:r>
          </w:p>
        </w:tc>
      </w:tr>
      <w:tr w:rsidR="006A6D07" w14:paraId="70EBE8CD" w14:textId="77777777" w:rsidTr="1524DEBB">
        <w:tc>
          <w:tcPr>
            <w:tcW w:w="4860" w:type="dxa"/>
            <w:tcMar>
              <w:top w:w="100" w:type="dxa"/>
              <w:left w:w="100" w:type="dxa"/>
              <w:bottom w:w="100" w:type="dxa"/>
              <w:right w:w="100" w:type="dxa"/>
            </w:tcMar>
          </w:tcPr>
          <w:p w14:paraId="000009DF" w14:textId="000009E0" w:rsidR="000B0F63" w:rsidRDefault="00C05D22" w:rsidP="00E40261">
            <w:pPr>
              <w:pStyle w:val="TableInfo"/>
              <w:jc w:val="both"/>
            </w:pPr>
            <w:r>
              <w:t>WPS</w:t>
            </w:r>
          </w:p>
        </w:tc>
        <w:tc>
          <w:tcPr>
            <w:tcW w:w="4860" w:type="dxa"/>
            <w:tcMar>
              <w:top w:w="100" w:type="dxa"/>
              <w:left w:w="100" w:type="dxa"/>
              <w:bottom w:w="100" w:type="dxa"/>
              <w:right w:w="100" w:type="dxa"/>
            </w:tcMar>
          </w:tcPr>
          <w:p w14:paraId="000009E1" w14:textId="000009E2" w:rsidR="000B0F63" w:rsidRDefault="00C05D22" w:rsidP="00E40261">
            <w:pPr>
              <w:pStyle w:val="TableInfo"/>
              <w:jc w:val="both"/>
            </w:pPr>
            <w:r w:rsidRPr="1524DEBB">
              <w:rPr>
                <w:lang w:val="en-GB"/>
              </w:rPr>
              <w:t xml:space="preserve">Web Publishing System. Mail </w:t>
            </w:r>
            <w:proofErr w:type="spellStart"/>
            <w:r w:rsidRPr="1524DEBB">
              <w:rPr>
                <w:lang w:val="en-GB"/>
              </w:rPr>
              <w:t>Online's</w:t>
            </w:r>
            <w:proofErr w:type="spellEnd"/>
            <w:r w:rsidRPr="1524DEBB">
              <w:rPr>
                <w:lang w:val="en-GB"/>
              </w:rPr>
              <w:t xml:space="preserve"> publishing pipeline.</w:t>
            </w:r>
          </w:p>
        </w:tc>
      </w:tr>
    </w:tbl>
    <w:p w14:paraId="000009E3" w14:textId="77777777" w:rsidR="000B0F63" w:rsidRDefault="000B0F63" w:rsidP="00E40261">
      <w:pPr>
        <w:jc w:val="both"/>
      </w:pPr>
    </w:p>
    <w:sectPr w:rsidR="000B0F63" w:rsidSect="003C2751">
      <w:footerReference w:type="default" r:id="rId15"/>
      <w:headerReference w:type="first" r:id="rId16"/>
      <w:footerReference w:type="first" r:id="rId17"/>
      <w:pgSz w:w="11900" w:h="16840"/>
      <w:pgMar w:top="1280" w:right="1080" w:bottom="1800" w:left="108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Matthew Wright" w:date="2026-04-22T17:18:00Z" w:initials="MW">
    <w:p w14:paraId="1D5DB9BA" w14:textId="77777777" w:rsidR="00C660BF" w:rsidRDefault="00C660BF" w:rsidP="00C660BF">
      <w:pPr>
        <w:pStyle w:val="CommentText"/>
        <w:ind w:left="560"/>
      </w:pPr>
      <w:r>
        <w:rPr>
          <w:rStyle w:val="CommentReference"/>
        </w:rPr>
        <w:annotationRef/>
      </w:r>
      <w:r>
        <w:rPr>
          <w:b/>
          <w:bCs/>
          <w:color w:val="000000"/>
          <w:lang w:val="en-US"/>
        </w:rPr>
        <w:t xml:space="preserve">Example from previous report - needed or not? </w:t>
      </w:r>
      <w:r>
        <w:rPr>
          <w:b/>
          <w:bCs/>
          <w:color w:val="000000"/>
          <w:lang w:val="en-US"/>
        </w:rPr>
        <w:br/>
      </w:r>
      <w:r>
        <w:rPr>
          <w:b/>
          <w:bCs/>
          <w:color w:val="000000"/>
          <w:lang w:val="en-US"/>
        </w:rPr>
        <w:br/>
        <w:t>1.1</w:t>
      </w:r>
      <w:r>
        <w:rPr>
          <w:b/>
          <w:bCs/>
          <w:color w:val="000000"/>
          <w:lang w:val="en-US"/>
        </w:rPr>
        <w:tab/>
        <w:t>Disclaimer</w:t>
      </w:r>
    </w:p>
    <w:p w14:paraId="2FAAE2CC" w14:textId="77777777" w:rsidR="00C660BF" w:rsidRDefault="00C660BF" w:rsidP="00C660BF">
      <w:pPr>
        <w:pStyle w:val="CommentText"/>
      </w:pPr>
      <w:r>
        <w:rPr>
          <w:lang w:val="en-US"/>
        </w:rPr>
        <w:t xml:space="preserve">The findings and recommendations presented in this assessment are based on the information available during the discovery phase, which was constrained by time and resource limitations. Landing Zone Workshop was conducted in depth with the stakeholders to gather inputs. </w:t>
      </w:r>
    </w:p>
    <w:p w14:paraId="49CB77DD" w14:textId="77777777" w:rsidR="00C660BF" w:rsidRDefault="00C660BF" w:rsidP="00C660BF">
      <w:pPr>
        <w:pStyle w:val="CommentText"/>
      </w:pPr>
      <w:r>
        <w:rPr>
          <w:lang w:val="en-US"/>
        </w:rPr>
        <w:t xml:space="preserve">Additionally, the assessment relied on existing documentation found in YouLend’s Confluence and information provided via email. It was assumed that these documents were current and accurately reflected YouLend’s current Landing Zone Governance approach. If the documentation was outdated or incomplete, this may have influenced the accuracy of specific observations or conclusions.  </w:t>
      </w:r>
    </w:p>
    <w:p w14:paraId="2FC06B9F" w14:textId="77777777" w:rsidR="00C660BF" w:rsidRDefault="00C660BF" w:rsidP="00C660BF">
      <w:pPr>
        <w:pStyle w:val="CommentText"/>
      </w:pPr>
      <w:r>
        <w:rPr>
          <w:lang w:val="en-US"/>
        </w:rPr>
        <w:t>As such, while every effort was made to ensure the findings are meaningful and actionable, they may not represent a fully exhaustive view of the environment. Further in-depth discovery is recommended to validate and refine these insights over time.</w:t>
      </w:r>
    </w:p>
  </w:comment>
  <w:comment w:id="11" w:author="Matthew Wright" w:date="2026-04-22T14:11:00Z" w:initials="MW">
    <w:p w14:paraId="59F6A837" w14:textId="77777777" w:rsidR="00324C31" w:rsidRDefault="00324C31" w:rsidP="00324C31">
      <w:pPr>
        <w:pStyle w:val="CommentText"/>
      </w:pPr>
      <w:r>
        <w:rPr>
          <w:rStyle w:val="CommentReference"/>
        </w:rPr>
        <w:annotationRef/>
      </w:r>
      <w:r>
        <w:t>Add a three-to-four sentence BLUF paragraph before this heading. What we found, what we recommend, what it costs, what happens next. The CTO needs the answer in 30 seconds before reading the detail.</w:t>
      </w:r>
    </w:p>
  </w:comment>
  <w:comment w:id="14" w:author="Scott Beckford" w:date="2026-04-22T11:45:00Z" w:initials="SB">
    <w:p w14:paraId="361ABFEE" w14:textId="2FC996DF" w:rsidR="00533DF7" w:rsidRDefault="00533DF7" w:rsidP="00533DF7">
      <w:r>
        <w:rPr>
          <w:rStyle w:val="CommentReference"/>
        </w:rPr>
        <w:annotationRef/>
      </w:r>
      <w:r>
        <w:rPr>
          <w:sz w:val="20"/>
          <w:szCs w:val="20"/>
        </w:rPr>
        <w:t>sounds like AI</w:t>
      </w:r>
    </w:p>
  </w:comment>
  <w:comment w:id="15" w:author="Akashdeep Singh" w:date="2026-04-22T13:03:00Z" w:initials="AS">
    <w:p w14:paraId="4F6D69B5" w14:textId="4F7D6892" w:rsidR="00F95536" w:rsidRDefault="00F95536">
      <w:pPr>
        <w:pStyle w:val="CommentText"/>
      </w:pPr>
      <w:r>
        <w:rPr>
          <w:rStyle w:val="CommentReference"/>
        </w:rPr>
        <w:annotationRef/>
      </w:r>
      <w:r w:rsidRPr="69F7FDC8">
        <w:t xml:space="preserve">Although after re-read, I think We should change this.. something like "Important  Takeaways". </w:t>
      </w:r>
    </w:p>
  </w:comment>
  <w:comment w:id="20" w:author="Matthew Wright" w:date="2026-04-22T10:52:00Z" w:initials="MW">
    <w:p w14:paraId="79FA6541" w14:textId="77777777" w:rsidR="006C1EF3" w:rsidRDefault="006C1EF3" w:rsidP="006C1EF3">
      <w:pPr>
        <w:pStyle w:val="CommentText"/>
      </w:pPr>
      <w:r>
        <w:rPr>
          <w:rStyle w:val="CommentReference"/>
        </w:rPr>
        <w:annotationRef/>
      </w:r>
      <w:r>
        <w:t xml:space="preserve">Needs re-phrasing as it’s confusing what is or isn’t in scope. </w:t>
      </w:r>
    </w:p>
  </w:comment>
  <w:comment w:id="21" w:author="Akashdeep Singh" w:date="2026-04-22T12:58:00Z" w:initials="AS">
    <w:p w14:paraId="0178213B" w14:textId="3302A8B7" w:rsidR="00101A8F" w:rsidRDefault="00101A8F">
      <w:pPr>
        <w:pStyle w:val="CommentText"/>
      </w:pPr>
      <w:r>
        <w:rPr>
          <w:rStyle w:val="CommentReference"/>
        </w:rPr>
        <w:annotationRef/>
      </w:r>
      <w:r w:rsidRPr="35B7B9D9">
        <w:t xml:space="preserve">may be we can remove this line as it is already explained that scope is 3038/4500+ discovered. </w:t>
      </w:r>
    </w:p>
  </w:comment>
  <w:comment w:id="24" w:author="Matthew Wright" w:date="2026-04-22T10:53:00Z" w:initials="MW">
    <w:p w14:paraId="6AEEDF39" w14:textId="77777777" w:rsidR="006C1EF3" w:rsidRDefault="006C1EF3" w:rsidP="006C1EF3">
      <w:pPr>
        <w:pStyle w:val="CommentText"/>
      </w:pPr>
      <w:r>
        <w:rPr>
          <w:rStyle w:val="CommentReference"/>
        </w:rPr>
        <w:annotationRef/>
      </w:r>
      <w:r>
        <w:t xml:space="preserve">Need to understand if this claim holds up to scrutiny. </w:t>
      </w:r>
    </w:p>
  </w:comment>
  <w:comment w:id="25" w:author="Matthew Wright" w:date="2026-04-22T14:12:00Z" w:initials="MW">
    <w:p w14:paraId="02F59A74" w14:textId="77777777" w:rsidR="007370F7" w:rsidRDefault="007370F7" w:rsidP="007370F7">
      <w:pPr>
        <w:pStyle w:val="CommentText"/>
      </w:pPr>
      <w:r>
        <w:rPr>
          <w:rStyle w:val="CommentReference"/>
        </w:rPr>
        <w:annotationRef/>
      </w:r>
      <w:r>
        <w:t>Define this term on first use. Add a parenthetical: "(the full cost picture including Oracle, licensing, and storage optimisation)</w:t>
      </w:r>
    </w:p>
  </w:comment>
  <w:comment w:id="26" w:author="Matthew Wright" w:date="2026-04-22T10:54:00Z" w:initials="MW">
    <w:p w14:paraId="6A2319E6" w14:textId="40A45ECC" w:rsidR="00927208" w:rsidRDefault="00927208" w:rsidP="00927208">
      <w:pPr>
        <w:pStyle w:val="CommentText"/>
      </w:pPr>
      <w:r>
        <w:rPr>
          <w:rStyle w:val="CommentReference"/>
        </w:rPr>
        <w:annotationRef/>
      </w:r>
      <w:r>
        <w:fldChar w:fldCharType="begin"/>
      </w:r>
      <w:r>
        <w:instrText>HYPERLINK "mailto:scott.beckford@rackspace.com"</w:instrText>
      </w:r>
      <w:bookmarkStart w:id="29" w:name="_@_D393D1AB888A448ABBB3442EFCE57EA3Z"/>
      <w:r>
        <w:fldChar w:fldCharType="separate"/>
      </w:r>
      <w:bookmarkEnd w:id="29"/>
      <w:r w:rsidRPr="00927208">
        <w:rPr>
          <w:rStyle w:val="Mention"/>
          <w:noProof/>
        </w:rPr>
        <w:t>@Scott Beckford</w:t>
      </w:r>
      <w:r>
        <w:fldChar w:fldCharType="end"/>
      </w:r>
      <w:r>
        <w:t xml:space="preserve">  I don’t like this way of showing currency. What’s your view? </w:t>
      </w:r>
      <w:r>
        <w:br/>
      </w:r>
      <w:r>
        <w:br/>
        <w:t xml:space="preserve">I’d prefer to say “£3.17M per year” in a report like this. </w:t>
      </w:r>
    </w:p>
  </w:comment>
  <w:comment w:id="27" w:author="Scott Beckford" w:date="2026-04-22T11:57:00Z" w:initials="SB">
    <w:p w14:paraId="230E42B7" w14:textId="77777777" w:rsidR="006316DF" w:rsidRDefault="006316DF" w:rsidP="006316DF">
      <w:r>
        <w:rPr>
          <w:rStyle w:val="CommentReference"/>
        </w:rPr>
        <w:annotationRef/>
      </w:r>
      <w:r>
        <w:rPr>
          <w:sz w:val="20"/>
          <w:szCs w:val="20"/>
        </w:rPr>
        <w:t>me too. must have missed that in the style rules, we can change it.</w:t>
      </w:r>
    </w:p>
  </w:comment>
  <w:comment w:id="28" w:author="Matthew Wright" w:date="2026-04-22T14:12:00Z" w:initials="MW">
    <w:p w14:paraId="72E588C0" w14:textId="77777777" w:rsidR="00F97EE9" w:rsidRDefault="00F97EE9" w:rsidP="00F97EE9">
      <w:pPr>
        <w:pStyle w:val="CommentText"/>
      </w:pPr>
      <w:r>
        <w:rPr>
          <w:rStyle w:val="CommentReference"/>
        </w:rPr>
        <w:annotationRef/>
      </w:r>
      <w:r>
        <w:t>Global find-and-replace: change all "GBP" to "£" throughout the document. Style guide requirement. Applies everywhere?</w:t>
      </w:r>
    </w:p>
  </w:comment>
  <w:comment w:id="30" w:author="Matthew Wright" w:date="2026-04-22T16:44:00Z" w:initials="MW">
    <w:p w14:paraId="655AF5CE" w14:textId="77777777" w:rsidR="00404DC2" w:rsidRDefault="00404DC2" w:rsidP="00404DC2">
      <w:pPr>
        <w:pStyle w:val="CommentText"/>
      </w:pPr>
      <w:r>
        <w:rPr>
          <w:rStyle w:val="CommentReference"/>
        </w:rPr>
        <w:annotationRef/>
      </w:r>
      <w:r>
        <w:t>"approximately GBP 340-460K/yr from AWS or GCP" (exec summary point 3). Clarify which cloud drives which end: "approximately £340K/yr on AWS or £460K/yr on GCP."</w:t>
      </w:r>
    </w:p>
  </w:comment>
  <w:comment w:id="31" w:author="Scott Beckford" w:date="2026-04-22T11:42:00Z" w:initials="SB">
    <w:p w14:paraId="5AB5FD5F" w14:textId="32261017" w:rsidR="00186241" w:rsidRDefault="00186241" w:rsidP="00186241">
      <w:r>
        <w:rPr>
          <w:rStyle w:val="CommentReference"/>
        </w:rPr>
        <w:annotationRef/>
      </w:r>
      <w:r>
        <w:rPr>
          <w:sz w:val="20"/>
          <w:szCs w:val="20"/>
        </w:rPr>
        <w:t>reword</w:t>
      </w:r>
    </w:p>
  </w:comment>
  <w:comment w:id="34" w:author="Matthew Wright" w:date="2026-04-22T14:11:00Z" w:initials="MW">
    <w:p w14:paraId="50801D9E" w14:textId="77777777" w:rsidR="00E90D04" w:rsidRDefault="00E90D04" w:rsidP="00E90D04">
      <w:pPr>
        <w:pStyle w:val="CommentText"/>
      </w:pPr>
      <w:r>
        <w:rPr>
          <w:rStyle w:val="CommentReference"/>
        </w:rPr>
        <w:annotationRef/>
      </w:r>
      <w:r>
        <w:t>Update all scoring numbers in this point to match the revised scoring matrix. The revised matrix shows AWS 82.4%, Azure 82.3%, GCP 79.3% (AWS now leads Azure by 0.1 points). The old figures (Azure 85.6%, AWS 85.0%, GCP 83.4%) are no longer correct. Also restructure this point to lead with the recommendation and the three decisive factors BEFORE introducing the scoring numbers. The scoring now supports the recommendation rather than contradicting it, which is a stronger position. Use it.</w:t>
      </w:r>
    </w:p>
  </w:comment>
  <w:comment w:id="35" w:author="Scott Beckford" w:date="2026-04-22T17:21:00Z" w:initials="SB">
    <w:p w14:paraId="3A5B4025" w14:textId="77777777" w:rsidR="003343ED" w:rsidRDefault="003343ED" w:rsidP="003343ED">
      <w:r>
        <w:rPr>
          <w:rStyle w:val="CommentReference"/>
        </w:rPr>
        <w:annotationRef/>
      </w:r>
      <w:r>
        <w:rPr>
          <w:sz w:val="20"/>
          <w:szCs w:val="20"/>
        </w:rPr>
        <w:t>mention the Azure exception too?</w:t>
      </w:r>
    </w:p>
  </w:comment>
  <w:comment w:id="36" w:author="Scott Beckford" w:date="2026-04-22T12:13:00Z" w:initials="SB">
    <w:p w14:paraId="020D9330" w14:textId="05CCC877" w:rsidR="00127284" w:rsidRDefault="00127284" w:rsidP="00127284">
      <w:r>
        <w:rPr>
          <w:rStyle w:val="CommentReference"/>
        </w:rPr>
        <w:annotationRef/>
      </w:r>
      <w:r>
        <w:rPr>
          <w:sz w:val="20"/>
          <w:szCs w:val="20"/>
        </w:rPr>
        <w:t>further justification possible.</w:t>
      </w:r>
    </w:p>
  </w:comment>
  <w:comment w:id="37" w:author="Scott Beckford" w:date="2026-04-22T12:14:00Z" w:initials="SB">
    <w:p w14:paraId="7880277C" w14:textId="77777777" w:rsidR="00127284" w:rsidRDefault="00127284" w:rsidP="00127284">
      <w:r>
        <w:rPr>
          <w:rStyle w:val="CommentReference"/>
        </w:rPr>
        <w:annotationRef/>
      </w:r>
      <w:r>
        <w:rPr>
          <w:sz w:val="20"/>
          <w:szCs w:val="20"/>
        </w:rPr>
        <w:t>because: 1. 2. 3. 4......</w:t>
      </w:r>
    </w:p>
  </w:comment>
  <w:comment w:id="40" w:author="Scott Beckford" w:date="2026-04-22T11:44:00Z" w:initials="SB">
    <w:p w14:paraId="11C20CA0" w14:textId="77777777" w:rsidR="0063059B" w:rsidRDefault="0063059B" w:rsidP="0063059B">
      <w:r>
        <w:rPr>
          <w:rStyle w:val="CommentReference"/>
        </w:rPr>
        <w:annotationRef/>
      </w:r>
      <w:r>
        <w:rPr>
          <w:sz w:val="20"/>
          <w:szCs w:val="20"/>
        </w:rPr>
        <w:t>this feels too high</w:t>
      </w:r>
    </w:p>
  </w:comment>
  <w:comment w:id="43" w:author="Scott Beckford" w:date="2026-04-22T11:45:00Z" w:initials="SB">
    <w:p w14:paraId="7018B114" w14:textId="77777777" w:rsidR="00533DF7" w:rsidRDefault="00533DF7" w:rsidP="00533DF7">
      <w:r>
        <w:rPr>
          <w:rStyle w:val="CommentReference"/>
        </w:rPr>
        <w:annotationRef/>
      </w:r>
      <w:r>
        <w:rPr>
          <w:sz w:val="20"/>
          <w:szCs w:val="20"/>
        </w:rPr>
        <w:t>reword</w:t>
      </w:r>
    </w:p>
  </w:comment>
  <w:comment w:id="44" w:author="Akashdeep Singh" w:date="2026-04-22T13:15:00Z" w:initials="AS">
    <w:p w14:paraId="21EB127E" w14:textId="5FB15CA5" w:rsidR="00B32E12" w:rsidRDefault="00B32E12">
      <w:pPr>
        <w:pStyle w:val="CommentText"/>
      </w:pPr>
      <w:r>
        <w:rPr>
          <w:rStyle w:val="CommentReference"/>
        </w:rPr>
        <w:annotationRef/>
      </w:r>
      <w:r w:rsidRPr="6D062B2D">
        <w:t xml:space="preserve">I think because the DC refresh cycle is nearing in November, "Needs" emphasizes on Urgency but Can be rephrased to "Immediate Items For DMG"? </w:t>
      </w:r>
      <w:r>
        <w:fldChar w:fldCharType="begin"/>
      </w:r>
      <w:r>
        <w:instrText xml:space="preserve"> HYPERLINK "mailto:matthew.wright@rackspace.com"</w:instrText>
      </w:r>
      <w:bookmarkStart w:id="45" w:name="_@_522C898F04744126B1E15249341D4DE2Z"/>
      <w:r>
        <w:fldChar w:fldCharType="separate"/>
      </w:r>
      <w:bookmarkEnd w:id="45"/>
      <w:r w:rsidRPr="42F02C52">
        <w:rPr>
          <w:rStyle w:val="Mention"/>
          <w:noProof/>
        </w:rPr>
        <w:t>@Matthew Wright</w:t>
      </w:r>
      <w:r>
        <w:fldChar w:fldCharType="end"/>
      </w:r>
      <w:r w:rsidRPr="6F87BA55">
        <w:t xml:space="preserve"> </w:t>
      </w:r>
      <w:r>
        <w:fldChar w:fldCharType="begin"/>
      </w:r>
      <w:r>
        <w:instrText xml:space="preserve"> HYPERLINK "mailto:scott.beckford@rackspace.com"</w:instrText>
      </w:r>
      <w:bookmarkStart w:id="46" w:name="_@_243F6BD3343F4CD89A938DC656C13865Z"/>
      <w:r>
        <w:fldChar w:fldCharType="separate"/>
      </w:r>
      <w:bookmarkEnd w:id="46"/>
      <w:r w:rsidRPr="1F4253F9">
        <w:rPr>
          <w:rStyle w:val="Mention"/>
          <w:noProof/>
        </w:rPr>
        <w:t>@Scott Beckford</w:t>
      </w:r>
      <w:r>
        <w:fldChar w:fldCharType="end"/>
      </w:r>
      <w:r w:rsidRPr="258BE74A">
        <w:t xml:space="preserve"> </w:t>
      </w:r>
    </w:p>
  </w:comment>
  <w:comment w:id="49" w:author="Matthew Wright" w:date="2026-04-22T10:56:00Z" w:initials="MW">
    <w:p w14:paraId="70E41715" w14:textId="77777777" w:rsidR="005A2343" w:rsidRDefault="005A2343" w:rsidP="005A2343">
      <w:pPr>
        <w:pStyle w:val="CommentText"/>
      </w:pPr>
      <w:r>
        <w:rPr>
          <w:rStyle w:val="CommentReference"/>
        </w:rPr>
        <w:annotationRef/>
      </w:r>
      <w:r>
        <w:t>What are the exports that DMG provided us from Oracle&gt;? Or was that not from the B-cluster?</w:t>
      </w:r>
    </w:p>
  </w:comment>
  <w:comment w:id="54" w:author="Scott Beckford" w:date="2026-04-22T11:47:00Z" w:initials="SB">
    <w:p w14:paraId="5210D060" w14:textId="584D4CF0" w:rsidR="00AD691E" w:rsidRDefault="00AD691E" w:rsidP="00AD691E">
      <w:r>
        <w:rPr>
          <w:rStyle w:val="CommentReference"/>
        </w:rPr>
        <w:annotationRef/>
      </w:r>
      <w:r>
        <w:rPr>
          <w:sz w:val="20"/>
          <w:szCs w:val="20"/>
        </w:rPr>
        <w:t>Table?</w:t>
      </w:r>
    </w:p>
  </w:comment>
  <w:comment w:id="58" w:author="Scott Beckford" w:date="2026-04-22T11:54:00Z" w:initials="SB">
    <w:p w14:paraId="03D363CB" w14:textId="77777777" w:rsidR="000E2CEA" w:rsidRDefault="000E2CEA" w:rsidP="000E2CEA">
      <w:r>
        <w:rPr>
          <w:rStyle w:val="CommentReference"/>
        </w:rPr>
        <w:annotationRef/>
      </w:r>
      <w:r>
        <w:rPr>
          <w:sz w:val="20"/>
          <w:szCs w:val="20"/>
        </w:rPr>
        <w:t>Insert Section Break Visuals using Rackspace Template Guide</w:t>
      </w:r>
    </w:p>
  </w:comment>
  <w:comment w:id="61" w:author="Scott Beckford" w:date="2026-04-22T11:48:00Z" w:initials="SB">
    <w:p w14:paraId="047E5F75" w14:textId="77777777" w:rsidR="001B19AC" w:rsidRDefault="001B19AC" w:rsidP="001B19AC">
      <w:r>
        <w:rPr>
          <w:rStyle w:val="CommentReference"/>
        </w:rPr>
        <w:annotationRef/>
      </w:r>
      <w:r>
        <w:rPr>
          <w:sz w:val="20"/>
          <w:szCs w:val="20"/>
        </w:rPr>
        <w:t>About/Background?</w:t>
      </w:r>
    </w:p>
  </w:comment>
  <w:comment w:id="66" w:author="Matthew Wright" w:date="2026-04-22T16:45:00Z" w:initials="MW">
    <w:p w14:paraId="3A131069" w14:textId="77777777" w:rsidR="00496476" w:rsidRDefault="00496476" w:rsidP="00496476">
      <w:pPr>
        <w:pStyle w:val="CommentText"/>
      </w:pPr>
      <w:r>
        <w:rPr>
          <w:rStyle w:val="CommentReference"/>
        </w:rPr>
        <w:annotationRef/>
      </w:r>
      <w:r>
        <w:t xml:space="preserve">Tell them reps from each cloud not the number of people overall. </w:t>
      </w:r>
    </w:p>
  </w:comment>
  <w:comment w:id="67" w:author="Scott Beckford" w:date="2026-04-22T11:50:00Z" w:initials="SB">
    <w:p w14:paraId="6FBA04AD" w14:textId="77777777" w:rsidR="00154024" w:rsidRDefault="00154024" w:rsidP="00154024">
      <w:r>
        <w:rPr>
          <w:rStyle w:val="CommentReference"/>
        </w:rPr>
        <w:annotationRef/>
      </w:r>
      <w:r>
        <w:rPr>
          <w:sz w:val="20"/>
          <w:szCs w:val="20"/>
        </w:rPr>
        <w:t>6 phases - should be numbers not bullets</w:t>
      </w:r>
    </w:p>
  </w:comment>
  <w:comment w:id="68" w:author="Matthew Wright" w:date="2026-04-22T10:58:00Z" w:initials="MW">
    <w:p w14:paraId="297B50A3" w14:textId="77777777" w:rsidR="00511992" w:rsidRDefault="00511992" w:rsidP="00511992">
      <w:pPr>
        <w:pStyle w:val="CommentText"/>
      </w:pPr>
      <w:r>
        <w:rPr>
          <w:rStyle w:val="CommentReference"/>
        </w:rPr>
        <w:annotationRef/>
      </w:r>
      <w:r>
        <w:t>fixed</w:t>
      </w:r>
    </w:p>
  </w:comment>
  <w:comment w:id="69" w:author="Matthew Wright" w:date="2026-04-22T14:15:00Z" w:initials="MW">
    <w:p w14:paraId="4CCB94A4" w14:textId="77777777" w:rsidR="001D334D" w:rsidRDefault="001D334D" w:rsidP="001D334D">
      <w:pPr>
        <w:pStyle w:val="CommentText"/>
      </w:pPr>
      <w:r>
        <w:rPr>
          <w:rStyle w:val="CommentReference"/>
        </w:rPr>
        <w:annotationRef/>
      </w:r>
      <w:r>
        <w:t>Clarify that DMG MEDIA set the selection criteria weightings. Currently reads as though Rackspace defined them. Add "DMG MEDIA set the weightings" or rephrase.</w:t>
      </w:r>
    </w:p>
  </w:comment>
  <w:comment w:id="70" w:author="Matthew Wright" w:date="2026-04-22T10:58:00Z" w:initials="MW">
    <w:p w14:paraId="25C6E515" w14:textId="77777777" w:rsidR="000548FC" w:rsidRDefault="000548FC" w:rsidP="000548FC">
      <w:pPr>
        <w:pStyle w:val="CommentText"/>
      </w:pPr>
      <w:r>
        <w:rPr>
          <w:rStyle w:val="CommentReference"/>
        </w:rPr>
        <w:annotationRef/>
      </w:r>
      <w:r>
        <w:t>Contradicts the earlier exec summary comment “DMA is a gap”</w:t>
      </w:r>
    </w:p>
  </w:comment>
  <w:comment w:id="71" w:author="Rishabh Dogra" w:date="2026-04-22T12:39:00Z" w:initials="RD">
    <w:p w14:paraId="27C967A7" w14:textId="482D33BE" w:rsidR="00130749" w:rsidRDefault="00130749">
      <w:pPr>
        <w:pStyle w:val="CommentText"/>
      </w:pPr>
      <w:r>
        <w:rPr>
          <w:rStyle w:val="CommentReference"/>
        </w:rPr>
        <w:annotationRef/>
      </w:r>
      <w:r w:rsidRPr="1E867D48">
        <w:t>Main production Oracle is Missing, that is the gap. I grounded the facts. They did a DMA output and gave to us on others.</w:t>
      </w:r>
    </w:p>
  </w:comment>
  <w:comment w:id="72" w:author="Matthew Wright" w:date="2026-04-22T03:43:00Z" w:initials="">
    <w:p w14:paraId="6DD70EF4" w14:textId="482C92C7" w:rsidR="003D45EA" w:rsidRDefault="003D45EA">
      <w:pPr>
        <w:pStyle w:val="CommentText"/>
      </w:pPr>
      <w:r>
        <w:rPr>
          <w:rStyle w:val="CommentReference"/>
        </w:rPr>
        <w:annotationRef/>
      </w:r>
      <w:r>
        <w:t xml:space="preserve">Ok great hope we can caveat that. </w:t>
      </w:r>
    </w:p>
  </w:comment>
  <w:comment w:id="75" w:author="Akashdeep Singh" w:date="2026-04-22T13:52:00Z" w:initials="AS">
    <w:p w14:paraId="0EBB8109" w14:textId="4347F0FB" w:rsidR="00870BFE" w:rsidRDefault="00870BFE">
      <w:pPr>
        <w:pStyle w:val="CommentText"/>
      </w:pPr>
      <w:r>
        <w:rPr>
          <w:rStyle w:val="CommentReference"/>
        </w:rPr>
        <w:annotationRef/>
      </w:r>
      <w:r w:rsidRPr="5EA33511">
        <w:t xml:space="preserve">"With validated exceptions based on application footprint of DMG"? </w:t>
      </w:r>
    </w:p>
  </w:comment>
  <w:comment w:id="78" w:author="Scott Beckford" w:date="2026-04-22T11:53:00Z" w:initials="SB">
    <w:p w14:paraId="01D08EE8" w14:textId="77777777" w:rsidR="00952132" w:rsidRDefault="00952132" w:rsidP="00952132">
      <w:r>
        <w:rPr>
          <w:rStyle w:val="CommentReference"/>
        </w:rPr>
        <w:annotationRef/>
      </w:r>
      <w:r>
        <w:rPr>
          <w:sz w:val="20"/>
          <w:szCs w:val="20"/>
        </w:rPr>
        <w:t>reword - AI</w:t>
      </w:r>
    </w:p>
  </w:comment>
  <w:comment w:id="79" w:author="Matthew Wright" w:date="2026-04-22T10:59:00Z" w:initials="MW">
    <w:p w14:paraId="1992E9F3" w14:textId="77777777" w:rsidR="00D63208" w:rsidRDefault="00D63208" w:rsidP="00D63208">
      <w:pPr>
        <w:pStyle w:val="CommentText"/>
      </w:pPr>
      <w:r>
        <w:rPr>
          <w:rStyle w:val="CommentReference"/>
        </w:rPr>
        <w:annotationRef/>
      </w:r>
      <w:r>
        <w:t>We need to confirm this, or else this is saying “this TCO is up to 50% out”</w:t>
      </w:r>
    </w:p>
  </w:comment>
  <w:comment w:id="87" w:author="Scott Beckford" w:date="2026-04-22T12:01:00Z" w:initials="SB">
    <w:p w14:paraId="66CD2B0F" w14:textId="77777777" w:rsidR="001E784E" w:rsidRDefault="001E784E" w:rsidP="001E784E">
      <w:r>
        <w:rPr>
          <w:rStyle w:val="CommentReference"/>
        </w:rPr>
        <w:annotationRef/>
      </w:r>
      <w:r>
        <w:rPr>
          <w:sz w:val="20"/>
          <w:szCs w:val="20"/>
        </w:rPr>
        <w:t xml:space="preserve">We asked for this in the style rules too.   use "you" or "DMG Media"  ...on reviewing i dont feel so good with it....the language feels accusative instead of inclusive.  </w:t>
      </w:r>
    </w:p>
    <w:p w14:paraId="67F9C566" w14:textId="77777777" w:rsidR="001E784E" w:rsidRDefault="001E784E" w:rsidP="001E784E">
      <w:r>
        <w:rPr>
          <w:sz w:val="20"/>
          <w:szCs w:val="20"/>
        </w:rPr>
        <w:t xml:space="preserve">I usually write in 3rd person. </w:t>
      </w:r>
    </w:p>
    <w:p w14:paraId="40F417DF" w14:textId="77777777" w:rsidR="001E784E" w:rsidRDefault="001E784E" w:rsidP="001E784E">
      <w:r>
        <w:rPr>
          <w:sz w:val="20"/>
          <w:szCs w:val="20"/>
        </w:rPr>
        <w:t>This would be a major change.  TO BE DISCUSSED.</w:t>
      </w:r>
    </w:p>
  </w:comment>
  <w:comment w:id="88" w:author="Akashdeep Singh" w:date="2026-04-22T13:56:00Z" w:initials="AS">
    <w:p w14:paraId="60FCB17A" w14:textId="76627C96" w:rsidR="008E7D5C" w:rsidRDefault="008E7D5C">
      <w:pPr>
        <w:pStyle w:val="CommentText"/>
      </w:pPr>
      <w:r>
        <w:rPr>
          <w:rStyle w:val="CommentReference"/>
        </w:rPr>
        <w:annotationRef/>
      </w:r>
      <w:r w:rsidRPr="12091AC7">
        <w:t xml:space="preserve">"DMG Business Drivers" "DMG Decision to explore" seems formal and better to me. </w:t>
      </w:r>
    </w:p>
    <w:p w14:paraId="4B4390E4" w14:textId="736EF311" w:rsidR="008E7D5C" w:rsidRDefault="008E7D5C">
      <w:pPr>
        <w:pStyle w:val="CommentText"/>
      </w:pPr>
    </w:p>
  </w:comment>
  <w:comment w:id="91" w:author="Matthew Wright" w:date="2026-04-22T15:01:00Z" w:initials="MW">
    <w:p w14:paraId="42CAB7E5" w14:textId="77777777" w:rsidR="00F24B69" w:rsidRDefault="00F24B69" w:rsidP="00F24B69">
      <w:pPr>
        <w:pStyle w:val="CommentText"/>
      </w:pPr>
      <w:r>
        <w:rPr>
          <w:rStyle w:val="CommentReference"/>
        </w:rPr>
        <w:annotationRef/>
      </w:r>
      <w:r>
        <w:t>Attribute this to the source (kickoff workshop, specific stakeholder) or soften to "a small fraction of projects." Strong claim needs a clear source.</w:t>
      </w:r>
    </w:p>
  </w:comment>
  <w:comment w:id="94" w:author="Scott Beckford" w:date="2026-04-22T12:03:00Z" w:initials="SB">
    <w:p w14:paraId="6D7CED67" w14:textId="2F78F979" w:rsidR="000669F4" w:rsidRDefault="000669F4" w:rsidP="000669F4">
      <w:r>
        <w:rPr>
          <w:rStyle w:val="CommentReference"/>
        </w:rPr>
        <w:annotationRef/>
      </w:r>
      <w:r>
        <w:rPr>
          <w:sz w:val="20"/>
          <w:szCs w:val="20"/>
        </w:rPr>
        <w:t>DMG spoke about finops in the MRA questionaire.  We should update this to reflect that view they gave.</w:t>
      </w:r>
    </w:p>
  </w:comment>
  <w:comment w:id="95" w:author="Scott Beckford" w:date="2026-04-22T12:03:00Z" w:initials="SB">
    <w:p w14:paraId="1B50D5EF" w14:textId="77777777" w:rsidR="000669F4" w:rsidRDefault="000669F4" w:rsidP="000669F4">
      <w:r>
        <w:rPr>
          <w:rStyle w:val="CommentReference"/>
        </w:rPr>
        <w:annotationRef/>
      </w:r>
      <w:r>
        <w:rPr>
          <w:sz w:val="20"/>
          <w:szCs w:val="20"/>
        </w:rPr>
        <w:t xml:space="preserve">might need to review the replay. </w:t>
      </w:r>
    </w:p>
  </w:comment>
  <w:comment w:id="100" w:author="Scott Beckford" w:date="2026-04-22T12:04:00Z" w:initials="SB">
    <w:p w14:paraId="39403CBB" w14:textId="77777777" w:rsidR="00E244E4" w:rsidRDefault="00E244E4" w:rsidP="00E244E4">
      <w:r>
        <w:rPr>
          <w:rStyle w:val="CommentReference"/>
        </w:rPr>
        <w:annotationRef/>
      </w:r>
      <w:r>
        <w:rPr>
          <w:sz w:val="20"/>
          <w:szCs w:val="20"/>
        </w:rPr>
        <w:t>sounds AI</w:t>
      </w:r>
    </w:p>
  </w:comment>
  <w:comment w:id="101" w:author="Akashdeep Singh" w:date="2026-04-22T13:57:00Z" w:initials="AS">
    <w:p w14:paraId="64BB9CE2" w14:textId="462DA4BC" w:rsidR="008E7D5C" w:rsidRDefault="008E7D5C">
      <w:pPr>
        <w:pStyle w:val="CommentText"/>
      </w:pPr>
      <w:r>
        <w:rPr>
          <w:rStyle w:val="CommentReference"/>
        </w:rPr>
        <w:annotationRef/>
      </w:r>
      <w:r w:rsidRPr="396A01B3">
        <w:t xml:space="preserve">"Critical Contracts approaching end/renewal"? </w:t>
      </w:r>
    </w:p>
  </w:comment>
  <w:comment w:id="106" w:author="Matthew Wright" w:date="2026-04-22T11:28:00Z" w:initials="MW">
    <w:p w14:paraId="168E6D76" w14:textId="77AF521A" w:rsidR="0013556A" w:rsidRDefault="0013556A" w:rsidP="0013556A">
      <w:pPr>
        <w:pStyle w:val="CommentText"/>
      </w:pPr>
      <w:r>
        <w:rPr>
          <w:rStyle w:val="CommentReference"/>
        </w:rPr>
        <w:annotationRef/>
      </w:r>
      <w:r>
        <w:fldChar w:fldCharType="begin"/>
      </w:r>
      <w:r>
        <w:instrText>HYPERLINK "mailto:scott.beckford@rackspace.com"</w:instrText>
      </w:r>
      <w:bookmarkStart w:id="107" w:name="_@_024E4E3DD57E4C329D1C78AF6C752F3BZ"/>
      <w:r>
        <w:fldChar w:fldCharType="separate"/>
      </w:r>
      <w:bookmarkEnd w:id="107"/>
      <w:r w:rsidRPr="0013556A">
        <w:rPr>
          <w:rStyle w:val="Mention"/>
          <w:noProof/>
        </w:rPr>
        <w:t>@Scott Beckford</w:t>
      </w:r>
      <w:r>
        <w:fldChar w:fldCharType="end"/>
      </w:r>
      <w:r>
        <w:t xml:space="preserve">  I want to double check this, maybe we can with the customer, I think it’s really important part of the case but it’s an assumption right now. </w:t>
      </w:r>
    </w:p>
  </w:comment>
  <w:comment w:id="110" w:author="Matthew Wright" w:date="2026-04-22T14:16:00Z" w:initials="MW">
    <w:p w14:paraId="72A43AB7" w14:textId="77777777" w:rsidR="001553F3" w:rsidRDefault="0048637E" w:rsidP="001553F3">
      <w:pPr>
        <w:pStyle w:val="CommentText"/>
      </w:pPr>
      <w:r>
        <w:rPr>
          <w:rStyle w:val="CommentReference"/>
        </w:rPr>
        <w:annotationRef/>
      </w:r>
      <w:r w:rsidR="001553F3">
        <w:t>Add a consequence statement after this: "Without this figure, the on-premises baseline is understated. The true cost of staying includes a VCF subscription that is not yet quantified.</w:t>
      </w:r>
    </w:p>
  </w:comment>
  <w:comment w:id="113" w:author="Scott Beckford" w:date="2026-04-22T12:06:00Z" w:initials="SB">
    <w:p w14:paraId="1FA89CA3" w14:textId="6B959756" w:rsidR="007A2B75" w:rsidRDefault="007A2B75" w:rsidP="007A2B75">
      <w:r>
        <w:rPr>
          <w:rStyle w:val="CommentReference"/>
        </w:rPr>
        <w:annotationRef/>
      </w:r>
      <w:r>
        <w:rPr>
          <w:sz w:val="20"/>
          <w:szCs w:val="20"/>
        </w:rPr>
        <w:t>reword - sounds AI</w:t>
      </w:r>
    </w:p>
  </w:comment>
  <w:comment w:id="114" w:author="Scott Beckford" w:date="2026-04-22T12:08:00Z" w:initials="SB">
    <w:p w14:paraId="663383BA" w14:textId="77777777" w:rsidR="006F79AD" w:rsidRDefault="006F79AD" w:rsidP="006F79AD">
      <w:r>
        <w:rPr>
          <w:rStyle w:val="CommentReference"/>
        </w:rPr>
        <w:annotationRef/>
      </w:r>
      <w:r>
        <w:rPr>
          <w:sz w:val="20"/>
          <w:szCs w:val="20"/>
        </w:rPr>
        <w:t xml:space="preserve">true!   </w:t>
      </w:r>
    </w:p>
    <w:p w14:paraId="6135A151" w14:textId="77777777" w:rsidR="006F79AD" w:rsidRDefault="006F79AD" w:rsidP="006F79AD">
      <w:r>
        <w:rPr>
          <w:sz w:val="20"/>
          <w:szCs w:val="20"/>
        </w:rPr>
        <w:t>...give examples: molsupport user, funcacct user etc.</w:t>
      </w:r>
    </w:p>
  </w:comment>
  <w:comment w:id="117" w:author="Matthew Wright" w:date="2026-04-22T11:30:00Z" w:initials="MW">
    <w:p w14:paraId="00D51905" w14:textId="77777777" w:rsidR="004C5B14" w:rsidRDefault="004C5B14" w:rsidP="004C5B14">
      <w:pPr>
        <w:pStyle w:val="CommentText"/>
      </w:pPr>
      <w:r>
        <w:rPr>
          <w:rStyle w:val="CommentReference"/>
        </w:rPr>
        <w:annotationRef/>
      </w:r>
      <w:r>
        <w:t xml:space="preserve">Does this actually hold true for compute / network demand? Will they have or need horizontal or vertical scaling? Isn’t that handled by CDN for most of the spikes? Or is it required for internal user activity i.e. creating / publishing? </w:t>
      </w:r>
    </w:p>
  </w:comment>
  <w:comment w:id="120" w:author="Matthew Wright" w:date="2026-04-22T15:02:00Z" w:initials="MW">
    <w:p w14:paraId="75F1921B" w14:textId="77777777" w:rsidR="00FD2463" w:rsidRDefault="00FD2463" w:rsidP="00FD2463">
      <w:pPr>
        <w:pStyle w:val="CommentText"/>
      </w:pPr>
      <w:r>
        <w:rPr>
          <w:rStyle w:val="CommentReference"/>
        </w:rPr>
        <w:annotationRef/>
      </w:r>
      <w:r>
        <w:t xml:space="preserve">This is two sentences and reads as a placeholder. Either connect the one million target to a specific infrastructure requirement (traffic volume, storage growth, elastic scaling need) or fold the content into the financial case paragraph above and remove the heading. It is too generic for something that is so important. </w:t>
      </w:r>
    </w:p>
  </w:comment>
  <w:comment w:id="128" w:author="Scott Beckford" w:date="2026-04-22T17:06:00Z" w:initials="SB">
    <w:p w14:paraId="6A2B4914" w14:textId="77777777" w:rsidR="00E34DD5" w:rsidRDefault="00E34DD5" w:rsidP="00E34DD5">
      <w:r>
        <w:rPr>
          <w:rStyle w:val="CommentReference"/>
        </w:rPr>
        <w:annotationRef/>
      </w:r>
      <w:r>
        <w:rPr>
          <w:sz w:val="20"/>
          <w:szCs w:val="20"/>
        </w:rPr>
        <w:t>should we make a comment on how many of those 3038 were powered off/shut down :)</w:t>
      </w:r>
    </w:p>
  </w:comment>
  <w:comment w:id="129" w:author="Scott Beckford" w:date="2026-04-23T16:18:00Z" w:initials="SB">
    <w:p w14:paraId="07642A74" w14:textId="77777777" w:rsidR="005E75DA" w:rsidRDefault="005E75DA" w:rsidP="005E75DA">
      <w:r>
        <w:rPr>
          <w:rStyle w:val="CommentReference"/>
        </w:rPr>
        <w:annotationRef/>
      </w:r>
      <w:r>
        <w:rPr>
          <w:sz w:val="20"/>
          <w:szCs w:val="20"/>
        </w:rPr>
        <w:t>234 Windows Servers</w:t>
      </w:r>
    </w:p>
    <w:p w14:paraId="28BD46AF" w14:textId="77777777" w:rsidR="005E75DA" w:rsidRDefault="005E75DA" w:rsidP="005E75DA">
      <w:r>
        <w:rPr>
          <w:sz w:val="20"/>
          <w:szCs w:val="20"/>
        </w:rPr>
        <w:t>31 Appliances</w:t>
      </w:r>
    </w:p>
    <w:p w14:paraId="004D774D" w14:textId="77777777" w:rsidR="005E75DA" w:rsidRDefault="005E75DA" w:rsidP="005E75DA">
      <w:r>
        <w:rPr>
          <w:sz w:val="20"/>
          <w:szCs w:val="20"/>
        </w:rPr>
        <w:t>15 Solaris Servers</w:t>
      </w:r>
    </w:p>
    <w:p w14:paraId="2D11E07B" w14:textId="77777777" w:rsidR="005E75DA" w:rsidRDefault="005E75DA" w:rsidP="005E75DA"/>
  </w:comment>
  <w:comment w:id="132" w:author="Scott Beckford" w:date="2026-04-22T12:22:00Z" w:initials="SB">
    <w:p w14:paraId="1A646157" w14:textId="4E4EDAD1" w:rsidR="00F22866" w:rsidRDefault="00F22866" w:rsidP="00F22866">
      <w:r>
        <w:rPr>
          <w:rStyle w:val="CommentReference"/>
        </w:rPr>
        <w:annotationRef/>
      </w:r>
      <w:r>
        <w:rPr>
          <w:sz w:val="20"/>
          <w:szCs w:val="20"/>
        </w:rPr>
        <w:t>with additional clusters out of scope</w:t>
      </w:r>
    </w:p>
  </w:comment>
  <w:comment w:id="133" w:author="Scott Beckford" w:date="2026-04-22T12:25:00Z" w:initials="SB">
    <w:p w14:paraId="5B51ADF6" w14:textId="77777777" w:rsidR="004E34F1" w:rsidRDefault="004E34F1" w:rsidP="004E34F1">
      <w:r>
        <w:rPr>
          <w:rStyle w:val="CommentReference"/>
        </w:rPr>
        <w:annotationRef/>
      </w:r>
      <w:r>
        <w:rPr>
          <w:sz w:val="20"/>
          <w:szCs w:val="20"/>
        </w:rPr>
        <w:t>Scott to check the oracle DB email i sent myself.</w:t>
      </w:r>
    </w:p>
  </w:comment>
  <w:comment w:id="134" w:author="Matthew Wright" w:date="2026-04-22T15:09:00Z" w:initials="MW">
    <w:p w14:paraId="5BF8C325" w14:textId="77777777" w:rsidR="00995762" w:rsidRDefault="00995762" w:rsidP="00995762">
      <w:pPr>
        <w:pStyle w:val="CommentText"/>
      </w:pPr>
      <w:r>
        <w:rPr>
          <w:rStyle w:val="CommentReference"/>
        </w:rPr>
        <w:annotationRef/>
      </w:r>
      <w:r>
        <w:t>Add one sentence for non-technical readers</w:t>
      </w:r>
    </w:p>
  </w:comment>
  <w:comment w:id="135" w:author="Scott Beckford" w:date="2026-04-22T12:23:00Z" w:initials="SB">
    <w:p w14:paraId="1373DD68" w14:textId="2C681C4F" w:rsidR="001D40DB" w:rsidRDefault="001D40DB" w:rsidP="001D40DB">
      <w:r>
        <w:rPr>
          <w:rStyle w:val="CommentReference"/>
        </w:rPr>
        <w:annotationRef/>
      </w:r>
      <w:r>
        <w:rPr>
          <w:sz w:val="20"/>
          <w:szCs w:val="20"/>
        </w:rPr>
        <w:t>i thought it was more.  need to check the summary.</w:t>
      </w:r>
    </w:p>
  </w:comment>
  <w:comment w:id="136" w:author="Scott Beckford" w:date="2026-04-22T12:25:00Z" w:initials="SB">
    <w:p w14:paraId="1DB1B014" w14:textId="77777777" w:rsidR="005D002F" w:rsidRDefault="005D002F" w:rsidP="005D002F">
      <w:r>
        <w:rPr>
          <w:rStyle w:val="CommentReference"/>
        </w:rPr>
        <w:annotationRef/>
      </w:r>
      <w:r>
        <w:rPr>
          <w:sz w:val="20"/>
          <w:szCs w:val="20"/>
        </w:rPr>
        <w:t>need to say why we have this gap as well</w:t>
      </w:r>
    </w:p>
  </w:comment>
  <w:comment w:id="137" w:author="Matthew Wright" w:date="2026-04-22T11:32:00Z" w:initials="MW">
    <w:p w14:paraId="1FC01A51" w14:textId="77777777" w:rsidR="003F3BDB" w:rsidRDefault="003F3BDB" w:rsidP="003F3BDB">
      <w:pPr>
        <w:pStyle w:val="CommentText"/>
      </w:pPr>
      <w:r>
        <w:rPr>
          <w:rStyle w:val="CommentReference"/>
        </w:rPr>
        <w:annotationRef/>
      </w:r>
      <w:r>
        <w:t xml:space="preserve">What oracle data *did* we get? </w:t>
      </w:r>
    </w:p>
  </w:comment>
  <w:comment w:id="138" w:author="Rishabh Dogra" w:date="2026-04-22T12:42:00Z" w:initials="RD">
    <w:p w14:paraId="4461A65D" w14:textId="3B84D139" w:rsidR="004F70DE" w:rsidRDefault="004F70DE">
      <w:pPr>
        <w:pStyle w:val="CommentText"/>
      </w:pPr>
      <w:r>
        <w:rPr>
          <w:rStyle w:val="CommentReference"/>
        </w:rPr>
        <w:annotationRef/>
      </w:r>
      <w:r>
        <w:fldChar w:fldCharType="begin"/>
      </w:r>
      <w:r>
        <w:instrText xml:space="preserve"> HYPERLINK "mailto:matthew.wright@rackspace.com"</w:instrText>
      </w:r>
      <w:bookmarkStart w:id="139" w:name="_@_D52E45B628924BA99BF8B5B2128E67A9Z"/>
      <w:r>
        <w:fldChar w:fldCharType="separate"/>
      </w:r>
      <w:bookmarkEnd w:id="139"/>
      <w:r w:rsidRPr="40BC36F6">
        <w:rPr>
          <w:rStyle w:val="Mention"/>
          <w:noProof/>
        </w:rPr>
        <w:t>@Matthew Wright</w:t>
      </w:r>
      <w:r>
        <w:fldChar w:fldCharType="end"/>
      </w:r>
      <w:r w:rsidRPr="68AEE5C4">
        <w:t xml:space="preserve"> https://raxglobal.sharepoint.com/sites/ProfessionalServices-UK/Projects/Forms/AllItems.aspx?id=%2Fsites%2FProfessionalServices%2DUK%2FProjects%2FD%2FDMG%20Media%2F%5B4614536%20%2D%20PR%2D028832%5D%20%2D%20DMG%20Media%20%2D%20CRA%20Phase%201%2FTechnical%20Documents%2FTCO%20Analysis%2FTCO%20Focused%20data%2FDMG%5FDB%5FData&amp;viewid=cf71e1e7%2D3315%2D4e1f%2Da502%2Df3b53b5a24db&amp;csf=1&amp;CID=2dc1f1a1%2Dc0af%2Db000%2D4f9d%2Def90e0dd3090&amp;cidOR=SPO&amp;FolderCTID=0x01200033752E9669512C4AB9E10FE5A2B2661F&amp;ovuser=570057f4%2D73ef%2D41c8%2Dbcbb%2D08db2fc15c2b%2Crishabh%2Edogra%40rackspace%2Ecom&amp;OR=Teams%2DHL&amp;CT=1770129420608&amp;clickparams=eyJBcHBOYW1lIjoiVGVhbXMtRGVza3RvcCIsIkFwcFZlcnNpb24iOiI1MC8yNjAxMDQwMDkyNSIsIkhhc0ZlZGVyYXRlZFVzZXIiOmZhbHNlfQ%3D%3D</w:t>
      </w:r>
    </w:p>
  </w:comment>
  <w:comment w:id="142" w:author="Matthew Wright" w:date="2026-04-22T11:32:00Z" w:initials="MW">
    <w:p w14:paraId="0BDD3E90" w14:textId="77777777" w:rsidR="003F3BDB" w:rsidRDefault="003F3BDB" w:rsidP="003F3BDB">
      <w:pPr>
        <w:pStyle w:val="CommentText"/>
      </w:pPr>
      <w:r>
        <w:rPr>
          <w:rStyle w:val="CommentReference"/>
        </w:rPr>
        <w:annotationRef/>
      </w:r>
      <w:r>
        <w:t xml:space="preserve">In scope, not in total. </w:t>
      </w:r>
    </w:p>
  </w:comment>
  <w:comment w:id="145" w:author="Matthew Wright" w:date="2026-04-22T15:10:00Z" w:initials="MW">
    <w:p w14:paraId="24B54E45" w14:textId="77777777" w:rsidR="000645F3" w:rsidRDefault="000645F3" w:rsidP="000645F3">
      <w:pPr>
        <w:pStyle w:val="CommentText"/>
      </w:pPr>
      <w:r>
        <w:rPr>
          <w:rStyle w:val="CommentReference"/>
        </w:rPr>
        <w:annotationRef/>
      </w:r>
      <w:r>
        <w:t>Move this content to Section 6 (application fit) or Section 10 (opportunities). The estate section should describe what exists, not pre-judge what should be retired. Listing retirement candidates here gets ahead of the assessment</w:t>
      </w:r>
    </w:p>
  </w:comment>
  <w:comment w:id="148" w:author="Scott Beckford" w:date="2026-04-22T12:32:00Z" w:initials="SB">
    <w:p w14:paraId="119807B2" w14:textId="77777777" w:rsidR="00F03AD1" w:rsidRDefault="00F03AD1" w:rsidP="00F03AD1">
      <w:r>
        <w:rPr>
          <w:rStyle w:val="CommentReference"/>
        </w:rPr>
        <w:annotationRef/>
      </w:r>
      <w:r>
        <w:rPr>
          <w:sz w:val="20"/>
          <w:szCs w:val="20"/>
        </w:rPr>
        <w:t>really? did i write that? its fresh in my mind from yesterday,need to doublecheck this one. its listed as a Midlife key system.</w:t>
      </w:r>
    </w:p>
  </w:comment>
  <w:comment w:id="149" w:author="Scott Beckford" w:date="2026-04-22T12:33:00Z" w:initials="SB">
    <w:p w14:paraId="6846BBDA" w14:textId="77777777" w:rsidR="0015069E" w:rsidRDefault="0015069E" w:rsidP="0015069E">
      <w:r>
        <w:rPr>
          <w:rStyle w:val="CommentReference"/>
        </w:rPr>
        <w:annotationRef/>
      </w:r>
      <w:r>
        <w:rPr>
          <w:sz w:val="20"/>
          <w:szCs w:val="20"/>
        </w:rPr>
        <w:t xml:space="preserve">there are MANY MANY MANY tightly coupled apps. </w:t>
      </w:r>
    </w:p>
  </w:comment>
  <w:comment w:id="152" w:author="Scott Beckford" w:date="2026-04-22T12:35:00Z" w:initials="SB">
    <w:p w14:paraId="4C00B000" w14:textId="77777777" w:rsidR="00AA307F" w:rsidRDefault="00AA307F" w:rsidP="00AA307F">
      <w:r>
        <w:rPr>
          <w:rStyle w:val="CommentReference"/>
        </w:rPr>
        <w:annotationRef/>
      </w:r>
      <w:r>
        <w:rPr>
          <w:sz w:val="20"/>
          <w:szCs w:val="20"/>
        </w:rPr>
        <w:t>reword to frame as a learning and positive moving forward step</w:t>
      </w:r>
    </w:p>
  </w:comment>
  <w:comment w:id="157" w:author="Scott Beckford" w:date="2026-04-22T12:36:00Z" w:initials="SB">
    <w:p w14:paraId="3D5DC533" w14:textId="77777777" w:rsidR="00D01B48" w:rsidRDefault="00D01B48" w:rsidP="00D01B48">
      <w:r>
        <w:rPr>
          <w:rStyle w:val="CommentReference"/>
        </w:rPr>
        <w:annotationRef/>
      </w:r>
      <w:r>
        <w:rPr>
          <w:sz w:val="20"/>
          <w:szCs w:val="20"/>
        </w:rPr>
        <w:t>explain</w:t>
      </w:r>
    </w:p>
  </w:comment>
  <w:comment w:id="165" w:author="Matthew Wright" w:date="2026-04-22T15:18:00Z" w:initials="MW">
    <w:p w14:paraId="1FF230A6" w14:textId="77777777" w:rsidR="00733077" w:rsidRDefault="00733077" w:rsidP="00733077">
      <w:pPr>
        <w:pStyle w:val="CommentText"/>
      </w:pPr>
      <w:r>
        <w:rPr>
          <w:rStyle w:val="CommentReference"/>
        </w:rPr>
        <w:annotationRef/>
      </w:r>
      <w:r>
        <w:t>Consider something to caveat these are planning-grade numbers built from the best available data. They are the right basis for comparison and decision-making, not a forecast of actual cloud invoices.</w:t>
      </w:r>
    </w:p>
  </w:comment>
  <w:comment w:id="168" w:author="Scott Beckford" w:date="2026-04-22T12:38:00Z" w:initials="SB">
    <w:p w14:paraId="4EB842CC" w14:textId="77777777" w:rsidR="00B6762A" w:rsidRDefault="00B6762A" w:rsidP="00B6762A">
      <w:r>
        <w:rPr>
          <w:rStyle w:val="CommentReference"/>
        </w:rPr>
        <w:annotationRef/>
      </w:r>
      <w:r>
        <w:rPr>
          <w:sz w:val="20"/>
          <w:szCs w:val="20"/>
        </w:rPr>
        <w:t>mention baseline. 3038 servers. x vCPUs, x mem, x storage.</w:t>
      </w:r>
    </w:p>
  </w:comment>
  <w:comment w:id="169" w:author="Scott Beckford" w:date="2026-04-22T12:39:00Z" w:initials="SB">
    <w:p w14:paraId="3073776F" w14:textId="77777777" w:rsidR="00205508" w:rsidRDefault="00205508" w:rsidP="00205508">
      <w:r>
        <w:rPr>
          <w:rStyle w:val="CommentReference"/>
        </w:rPr>
        <w:annotationRef/>
      </w:r>
      <w:r>
        <w:rPr>
          <w:sz w:val="20"/>
          <w:szCs w:val="20"/>
        </w:rPr>
        <w:t>PAYG</w:t>
      </w:r>
    </w:p>
  </w:comment>
  <w:comment w:id="170" w:author="Matthew Wright" w:date="2026-04-22T11:37:00Z" w:initials="MW">
    <w:p w14:paraId="58FC7B25" w14:textId="1348CE07" w:rsidR="00AE39E6" w:rsidRDefault="00AE39E6" w:rsidP="00AE39E6">
      <w:pPr>
        <w:pStyle w:val="CommentText"/>
      </w:pPr>
      <w:r>
        <w:rPr>
          <w:rStyle w:val="CommentReference"/>
        </w:rPr>
        <w:annotationRef/>
      </w:r>
      <w:r>
        <w:t xml:space="preserve">Needs to be updated </w:t>
      </w:r>
      <w:r>
        <w:fldChar w:fldCharType="begin"/>
      </w:r>
      <w:r>
        <w:instrText>HYPERLINK "mailto:anshuman.nath@rackspace.com"</w:instrText>
      </w:r>
      <w:bookmarkStart w:id="171" w:name="_@_5DAD92E311FE433196966DBC71BC2406Z"/>
      <w:r>
        <w:fldChar w:fldCharType="separate"/>
      </w:r>
      <w:bookmarkEnd w:id="171"/>
      <w:r w:rsidRPr="00AE39E6">
        <w:rPr>
          <w:rStyle w:val="Mention"/>
          <w:noProof/>
        </w:rPr>
        <w:t>@Anshuman Nath</w:t>
      </w:r>
      <w:r>
        <w:fldChar w:fldCharType="end"/>
      </w:r>
      <w:r>
        <w:t xml:space="preserve">  to help please. </w:t>
      </w:r>
    </w:p>
  </w:comment>
  <w:comment w:id="176" w:author="Matthew Wright" w:date="2026-04-22T15:18:00Z" w:initials="MW">
    <w:p w14:paraId="78473351" w14:textId="77777777" w:rsidR="00112ABD" w:rsidRDefault="00112ABD" w:rsidP="00112ABD">
      <w:pPr>
        <w:pStyle w:val="CommentText"/>
      </w:pPr>
      <w:r>
        <w:rPr>
          <w:rStyle w:val="CommentReference"/>
        </w:rPr>
        <w:annotationRef/>
      </w:r>
      <w:r>
        <w:t>Attribute the 5% figure. Is this an industry benchmark, Rackspace experience, or a conservative placeholder? One sentence. Every other number in this section traces to an API. This one doesn't.</w:t>
      </w:r>
    </w:p>
  </w:comment>
  <w:comment w:id="179" w:author="Scott Beckford" w:date="2026-04-22T12:42:00Z" w:initials="SB">
    <w:p w14:paraId="465687FE" w14:textId="77777777" w:rsidR="006438B0" w:rsidRDefault="006438B0" w:rsidP="006438B0">
      <w:r>
        <w:rPr>
          <w:rStyle w:val="CommentReference"/>
        </w:rPr>
        <w:annotationRef/>
      </w:r>
      <w:r>
        <w:rPr>
          <w:sz w:val="20"/>
          <w:szCs w:val="20"/>
        </w:rPr>
        <w:t>did we not make an assumption on backup costs?</w:t>
      </w:r>
    </w:p>
  </w:comment>
  <w:comment w:id="182" w:author="Matthew Wright" w:date="2026-04-22T11:39:00Z" w:initials="MW">
    <w:p w14:paraId="20625330" w14:textId="77777777" w:rsidR="00E62A32" w:rsidRDefault="00E62A32" w:rsidP="00E62A32">
      <w:pPr>
        <w:pStyle w:val="CommentText"/>
      </w:pPr>
      <w:r>
        <w:rPr>
          <w:rStyle w:val="CommentReference"/>
        </w:rPr>
        <w:annotationRef/>
      </w:r>
      <w:r>
        <w:t xml:space="preserve">Are GCPs 1vcpu machines suitable? </w:t>
      </w:r>
    </w:p>
  </w:comment>
  <w:comment w:id="185" w:author="Scott Beckford" w:date="2026-04-22T12:47:00Z" w:initials="SB">
    <w:p w14:paraId="30E80572" w14:textId="77777777" w:rsidR="001C0A22" w:rsidRDefault="001C0A22" w:rsidP="001C0A22">
      <w:r>
        <w:rPr>
          <w:rStyle w:val="CommentReference"/>
        </w:rPr>
        <w:annotationRef/>
      </w:r>
      <w:r>
        <w:rPr>
          <w:sz w:val="20"/>
          <w:szCs w:val="20"/>
        </w:rPr>
        <w:t>is this column reqd?</w:t>
      </w:r>
    </w:p>
  </w:comment>
  <w:comment w:id="186" w:author="Scott Beckford" w:date="2026-04-22T12:46:00Z" w:initials="SB">
    <w:p w14:paraId="055AB28D" w14:textId="77777777" w:rsidR="001C0A22" w:rsidRDefault="001C0A22" w:rsidP="001C0A22">
      <w:r>
        <w:rPr>
          <w:rStyle w:val="CommentReference"/>
        </w:rPr>
        <w:annotationRef/>
      </w:r>
      <w:r>
        <w:rPr>
          <w:sz w:val="20"/>
          <w:szCs w:val="20"/>
        </w:rPr>
        <w:t>harmonise. (City/Country)</w:t>
      </w:r>
    </w:p>
  </w:comment>
  <w:comment w:id="189" w:author="Scott Beckford" w:date="2026-04-22T12:49:00Z" w:initials="SB">
    <w:p w14:paraId="426DA1D1" w14:textId="77777777" w:rsidR="0061660E" w:rsidRDefault="0061660E" w:rsidP="0061660E">
      <w:r>
        <w:rPr>
          <w:rStyle w:val="CommentReference"/>
        </w:rPr>
        <w:annotationRef/>
      </w:r>
      <w:r>
        <w:rPr>
          <w:sz w:val="20"/>
          <w:szCs w:val="20"/>
        </w:rPr>
        <w:t>include referenced xfer rates for all 3</w:t>
      </w:r>
    </w:p>
  </w:comment>
  <w:comment w:id="196" w:author="Scott Beckford" w:date="2026-04-22T12:50:00Z" w:initials="SB">
    <w:p w14:paraId="32D535B3" w14:textId="77777777" w:rsidR="00C62870" w:rsidRDefault="00C62870" w:rsidP="00C62870">
      <w:r>
        <w:rPr>
          <w:rStyle w:val="CommentReference"/>
        </w:rPr>
        <w:annotationRef/>
      </w:r>
      <w:r>
        <w:rPr>
          <w:sz w:val="20"/>
          <w:szCs w:val="20"/>
        </w:rPr>
        <w:t xml:space="preserve">AHB. </w:t>
      </w:r>
    </w:p>
  </w:comment>
  <w:comment w:id="199" w:author="Matthew Wright" w:date="2026-04-22T15:21:00Z" w:initials="MW">
    <w:p w14:paraId="1E8D2A43" w14:textId="77777777" w:rsidR="002F1B8D" w:rsidRDefault="002F1B8D" w:rsidP="002F1B8D">
      <w:pPr>
        <w:pStyle w:val="CommentText"/>
      </w:pPr>
      <w:r>
        <w:rPr>
          <w:rStyle w:val="CommentReference"/>
        </w:rPr>
        <w:annotationRef/>
      </w:r>
      <w:r>
        <w:t xml:space="preserve">Add one sentence: " conversion cost is not estimated in Phase 1 and is a material factor in the Phase 2 business case for the PostgreSQL path." The saving is presented without the investment to achieve it. </w:t>
      </w:r>
    </w:p>
  </w:comment>
  <w:comment w:id="204" w:author="Scott Beckford" w:date="2026-04-22T13:04:00Z" w:initials="SB">
    <w:p w14:paraId="6E0769BC" w14:textId="35F449C0" w:rsidR="00842B02" w:rsidRDefault="00842B02" w:rsidP="00842B02">
      <w:r>
        <w:rPr>
          <w:rStyle w:val="CommentReference"/>
        </w:rPr>
        <w:annotationRef/>
      </w:r>
      <w:r>
        <w:rPr>
          <w:sz w:val="20"/>
          <w:szCs w:val="20"/>
        </w:rPr>
        <w:t>eh wot?  microsoft? lol!</w:t>
      </w:r>
    </w:p>
  </w:comment>
  <w:comment w:id="205" w:author="Matthew Wright" w:date="2026-04-22T15:19:00Z" w:initials="MW">
    <w:p w14:paraId="36D04D0D" w14:textId="77777777" w:rsidR="00182AEB" w:rsidRDefault="00182AEB" w:rsidP="00182AEB">
      <w:pPr>
        <w:pStyle w:val="CommentText"/>
      </w:pPr>
      <w:r>
        <w:rPr>
          <w:rStyle w:val="CommentReference"/>
        </w:rPr>
        <w:annotationRef/>
      </w:r>
      <w:r>
        <w:t>Add a sensitivity note: "If actual egress is 50TB, this line halves. If 200TB, it roughly doubles. Actual egress can be quantified in Phase 2 given traffic flow data."</w:t>
      </w:r>
    </w:p>
  </w:comment>
  <w:comment w:id="206" w:author="Scott Beckford" w:date="2026-04-22T13:06:00Z" w:initials="SB">
    <w:p w14:paraId="3671F95B" w14:textId="25391397" w:rsidR="00C60399" w:rsidRDefault="00C60399" w:rsidP="00C60399">
      <w:r>
        <w:rPr>
          <w:rStyle w:val="CommentReference"/>
        </w:rPr>
        <w:annotationRef/>
      </w:r>
      <w:r>
        <w:rPr>
          <w:sz w:val="20"/>
          <w:szCs w:val="20"/>
        </w:rPr>
        <w:t xml:space="preserve">I seem to recall they stopped with licensing RHEL and moved to OEL because it was free.  </w:t>
      </w:r>
    </w:p>
  </w:comment>
  <w:comment w:id="207" w:author="Matthew Wright" w:date="2026-04-22T11:42:00Z" w:initials="MW">
    <w:p w14:paraId="1314EE43" w14:textId="77777777" w:rsidR="00D44AFA" w:rsidRDefault="00D44AFA" w:rsidP="00D44AFA">
      <w:pPr>
        <w:pStyle w:val="CommentText"/>
      </w:pPr>
      <w:r>
        <w:rPr>
          <w:rStyle w:val="CommentReference"/>
        </w:rPr>
        <w:annotationRef/>
      </w:r>
      <w:r>
        <w:t xml:space="preserve">Let’s ask them then. </w:t>
      </w:r>
    </w:p>
  </w:comment>
  <w:comment w:id="208" w:author="Matthew Wright" w:date="2026-04-22T12:19:00Z" w:initials="MW">
    <w:p w14:paraId="6D763495" w14:textId="5ECE8238" w:rsidR="0051099E" w:rsidRDefault="0051099E" w:rsidP="0051099E">
      <w:pPr>
        <w:pStyle w:val="CommentText"/>
      </w:pPr>
      <w:r>
        <w:rPr>
          <w:rStyle w:val="CommentReference"/>
        </w:rPr>
        <w:annotationRef/>
      </w:r>
      <w:r>
        <w:fldChar w:fldCharType="begin"/>
      </w:r>
      <w:r>
        <w:instrText>HYPERLINK "mailto:scott.beckford@rackspace.com"</w:instrText>
      </w:r>
      <w:bookmarkStart w:id="210" w:name="_@_2D97DE68C52D44A3942612F7B7AF7F67Z"/>
      <w:r>
        <w:fldChar w:fldCharType="separate"/>
      </w:r>
      <w:bookmarkEnd w:id="210"/>
      <w:r w:rsidRPr="0051099E">
        <w:rPr>
          <w:rStyle w:val="Mention"/>
          <w:noProof/>
        </w:rPr>
        <w:t>@Scott Beckford</w:t>
      </w:r>
      <w:r>
        <w:fldChar w:fldCharType="end"/>
      </w:r>
      <w:r>
        <w:t xml:space="preserve">  - but we wouldn’t propose they migrate without it, right? </w:t>
      </w:r>
      <w:r>
        <w:br/>
      </w:r>
      <w:r>
        <w:br/>
      </w:r>
      <w:r>
        <w:fldChar w:fldCharType="begin"/>
      </w:r>
      <w:r>
        <w:instrText>HYPERLINK "mailto:vikram.somani@rackspace.com"</w:instrText>
      </w:r>
      <w:bookmarkStart w:id="211" w:name="_@_6570B4DE91E14ADB9D3EF110C7E95246Z"/>
      <w:r>
        <w:fldChar w:fldCharType="separate"/>
      </w:r>
      <w:bookmarkEnd w:id="211"/>
      <w:r w:rsidRPr="0051099E">
        <w:rPr>
          <w:rStyle w:val="Mention"/>
          <w:noProof/>
        </w:rPr>
        <w:t>@Vikram Somani</w:t>
      </w:r>
      <w:r>
        <w:fldChar w:fldCharType="end"/>
      </w:r>
      <w:r>
        <w:t xml:space="preserve">  any view please. </w:t>
      </w:r>
    </w:p>
  </w:comment>
  <w:comment w:id="209" w:author="Vikram Somani" w:date="2026-04-22T05:02:00Z" w:initials="">
    <w:p w14:paraId="790AEEC0" w14:textId="57FB476D" w:rsidR="009007B9" w:rsidRDefault="009007B9">
      <w:pPr>
        <w:pStyle w:val="CommentText"/>
      </w:pPr>
      <w:r>
        <w:rPr>
          <w:rStyle w:val="CommentReference"/>
        </w:rPr>
        <w:annotationRef/>
      </w:r>
      <w:r>
        <w:t>100% agreed, if they will migrate we will look at most optimised way of migrating</w:t>
      </w:r>
    </w:p>
  </w:comment>
  <w:comment w:id="214" w:author="Matthew Wright" w:date="2026-04-22T15:20:00Z" w:initials="MW">
    <w:p w14:paraId="15C9114B" w14:textId="77777777" w:rsidR="006D4A07" w:rsidRDefault="006D4A07" w:rsidP="006D4A07">
      <w:pPr>
        <w:pStyle w:val="CommentText"/>
      </w:pPr>
      <w:r>
        <w:rPr>
          <w:rStyle w:val="CommentReference"/>
        </w:rPr>
        <w:annotationRef/>
      </w:r>
      <w:r>
        <w:t>Clarify "worst case." Is this the actual contracted cost or an upper bound? If upper bound, what is the lower bound? This figure is nearly half the claimed saving. If it moves, the business case changes</w:t>
      </w:r>
    </w:p>
  </w:comment>
  <w:comment w:id="215" w:author="Matthew Wright" w:date="2026-04-22T15:20:00Z" w:initials="MW">
    <w:p w14:paraId="2EB77AFE" w14:textId="77777777" w:rsidR="006B1F95" w:rsidRDefault="006B1F95" w:rsidP="006B1F95">
      <w:pPr>
        <w:pStyle w:val="CommentText"/>
      </w:pPr>
      <w:r>
        <w:rPr>
          <w:rStyle w:val="CommentReference"/>
        </w:rPr>
        <w:annotationRef/>
      </w:r>
      <w:r>
        <w:t>Add something like The true cost of remaining on-premises is higher than £3.64M/yr once VCF subscription is factored in."</w:t>
      </w:r>
    </w:p>
  </w:comment>
  <w:comment w:id="218" w:author="Matthew Wright" w:date="2026-04-22T12:22:00Z" w:initials="MW">
    <w:p w14:paraId="66D3560B" w14:textId="453512BA" w:rsidR="00257357" w:rsidRDefault="00257357" w:rsidP="00257357">
      <w:pPr>
        <w:pStyle w:val="CommentText"/>
      </w:pPr>
      <w:r>
        <w:rPr>
          <w:rStyle w:val="CommentReference"/>
        </w:rPr>
        <w:annotationRef/>
      </w:r>
      <w:r>
        <w:fldChar w:fldCharType="begin"/>
      </w:r>
      <w:r>
        <w:instrText>HYPERLINK "mailto:anshuman.nath@rackspace.com"</w:instrText>
      </w:r>
      <w:bookmarkStart w:id="220" w:name="_@_2AF41E86C32142E8BD8B8CEA1DF79F52Z"/>
      <w:r>
        <w:fldChar w:fldCharType="separate"/>
      </w:r>
      <w:bookmarkEnd w:id="220"/>
      <w:r w:rsidRPr="00257357">
        <w:rPr>
          <w:rStyle w:val="Mention"/>
          <w:noProof/>
        </w:rPr>
        <w:t>@Anshuman Nath</w:t>
      </w:r>
      <w:r>
        <w:fldChar w:fldCharType="end"/>
      </w:r>
      <w:r>
        <w:t xml:space="preserve">  we need these figures please. </w:t>
      </w:r>
      <w:r>
        <w:br/>
      </w:r>
      <w:r>
        <w:br/>
      </w:r>
      <w:r>
        <w:fldChar w:fldCharType="begin"/>
      </w:r>
      <w:r>
        <w:instrText>HYPERLINK "mailto:scott.beckford@rackspace.com"</w:instrText>
      </w:r>
      <w:bookmarkStart w:id="221" w:name="_@_B230BC20B69D4B0A9EFDE82CD375099DZ"/>
      <w:r>
        <w:fldChar w:fldCharType="separate"/>
      </w:r>
      <w:bookmarkEnd w:id="221"/>
      <w:r w:rsidRPr="00257357">
        <w:rPr>
          <w:rStyle w:val="Mention"/>
          <w:noProof/>
        </w:rPr>
        <w:t>@Scott Beckford</w:t>
      </w:r>
      <w:r>
        <w:fldChar w:fldCharType="end"/>
      </w:r>
      <w:r>
        <w:t xml:space="preserve">  we should feed summary of summaries here into a “here’s what all the layers show - conclusion”</w:t>
      </w:r>
    </w:p>
  </w:comment>
  <w:comment w:id="219" w:author="Anshuman Nath" w:date="2026-04-24T16:10:00Z" w:initials="AN">
    <w:p w14:paraId="2383CE13" w14:textId="77777777" w:rsidR="008A6475" w:rsidRDefault="008A6475" w:rsidP="008A6475">
      <w:pPr>
        <w:pStyle w:val="CommentText"/>
      </w:pPr>
      <w:r>
        <w:rPr>
          <w:rStyle w:val="CommentReference"/>
        </w:rPr>
        <w:annotationRef/>
      </w:r>
      <w:r>
        <w:rPr>
          <w:lang w:val="en-IN"/>
        </w:rPr>
        <w:t xml:space="preserve">Funding comparative updated, pending the validation/rectification of Azure numbers. </w:t>
      </w:r>
    </w:p>
  </w:comment>
  <w:comment w:id="241" w:author="Scott Beckford" w:date="2026-04-22T16:48:00Z" w:initials="SB">
    <w:p w14:paraId="674B9AF6" w14:textId="03CA4192" w:rsidR="008670AF" w:rsidRDefault="008670AF" w:rsidP="008670AF">
      <w:r>
        <w:rPr>
          <w:rStyle w:val="CommentReference"/>
        </w:rPr>
        <w:annotationRef/>
      </w:r>
      <w:r>
        <w:rPr>
          <w:sz w:val="20"/>
          <w:szCs w:val="20"/>
        </w:rPr>
        <w:t>check</w:t>
      </w:r>
    </w:p>
  </w:comment>
  <w:comment w:id="244" w:author="Matthew Wright" w:date="2026-04-22T15:22:00Z" w:initials="MW">
    <w:p w14:paraId="24E1C6F5" w14:textId="77777777" w:rsidR="0076578D" w:rsidRDefault="0076578D" w:rsidP="0076578D">
      <w:pPr>
        <w:pStyle w:val="CommentText"/>
      </w:pPr>
      <w:r>
        <w:rPr>
          <w:rStyle w:val="CommentReference"/>
        </w:rPr>
        <w:annotationRef/>
      </w:r>
      <w:r>
        <w:t>Add a note beneath the table: "These cohorts are indicative Phase 1 groupings. Phase 2 refines them into a detailed release plan with validated dependencies and timeline estimates."</w:t>
      </w:r>
    </w:p>
  </w:comment>
  <w:comment w:id="247" w:author="Matthew Wright" w:date="2026-04-22T15:23:00Z" w:initials="MW">
    <w:p w14:paraId="1F2AA51B" w14:textId="77777777" w:rsidR="00E2705F" w:rsidRDefault="00E2705F" w:rsidP="00E2705F">
      <w:pPr>
        <w:pStyle w:val="CommentText"/>
      </w:pPr>
      <w:r>
        <w:rPr>
          <w:rStyle w:val="CommentReference"/>
        </w:rPr>
        <w:annotationRef/>
      </w:r>
      <w:r>
        <w:t>Workshops found tighter coupling than just Oracle. Broaden this to reflect the full coupling picture from the MOL workshop findings.</w:t>
      </w:r>
    </w:p>
  </w:comment>
  <w:comment w:id="252" w:author="Matthew Wright" w:date="2026-04-22T15:22:00Z" w:initials="MW">
    <w:p w14:paraId="0C4EA542" w14:textId="77777777" w:rsidR="002E08E7" w:rsidRDefault="002E08E7" w:rsidP="002E08E7">
      <w:pPr>
        <w:pStyle w:val="CommentText"/>
      </w:pPr>
      <w:r>
        <w:rPr>
          <w:rStyle w:val="CommentReference"/>
        </w:rPr>
        <w:annotationRef/>
      </w:r>
      <w:r>
        <w:t>Add a bridging sentence before or after the gaps list: "How these application constraints and cohorts map to the three cloud platforms is the subject of Section 7.</w:t>
      </w:r>
    </w:p>
  </w:comment>
  <w:comment w:id="253" w:author="Matthew Wright" w:date="2026-04-22T12:25:00Z" w:initials="MW">
    <w:p w14:paraId="0744D434" w14:textId="600E590F" w:rsidR="00934503" w:rsidRDefault="00934503" w:rsidP="00934503">
      <w:pPr>
        <w:pStyle w:val="CommentText"/>
      </w:pPr>
      <w:r>
        <w:rPr>
          <w:rStyle w:val="CommentReference"/>
        </w:rPr>
        <w:annotationRef/>
      </w:r>
      <w:r>
        <w:t>Don’t call it gaps, maybe next steps.</w:t>
      </w:r>
    </w:p>
  </w:comment>
  <w:comment w:id="261" w:author="Matthew Wright" w:date="2026-04-22T15:24:00Z" w:initials="MW">
    <w:p w14:paraId="798587A4" w14:textId="77777777" w:rsidR="0080544C" w:rsidRDefault="0080544C" w:rsidP="0080544C">
      <w:pPr>
        <w:pStyle w:val="CommentText"/>
      </w:pPr>
      <w:r>
        <w:rPr>
          <w:rStyle w:val="CommentReference"/>
        </w:rPr>
        <w:annotationRef/>
      </w:r>
      <w:r>
        <w:t>Add that these 13 goals aggregate 57 underlying value dials, with per-dial detail in Appendix B.</w:t>
      </w:r>
    </w:p>
  </w:comment>
  <w:comment w:id="262" w:author="Matthew Wright" w:date="2026-04-22T15:24:00Z" w:initials="MW">
    <w:p w14:paraId="7445BFFC" w14:textId="77777777" w:rsidR="007E615C" w:rsidRDefault="00EA6DE2" w:rsidP="007E615C">
      <w:pPr>
        <w:pStyle w:val="CommentText"/>
      </w:pPr>
      <w:r>
        <w:rPr>
          <w:rStyle w:val="CommentReference"/>
        </w:rPr>
        <w:annotationRef/>
      </w:r>
      <w:r w:rsidR="007E615C">
        <w:t>Check these per-goal summary scores against the revised matrix.  Also: GCP is cheaper on every TCO metric but may score lower than AWS on Cost because the Cost goal includes dials beyond raw TCO (discount programs, FinOps tooling, migration costs). If so, explain this in the narrative so the reader understands why cheaper does not equal highest cost score.</w:t>
      </w:r>
    </w:p>
  </w:comment>
  <w:comment w:id="263" w:author="Scott Beckford" w:date="2026-04-22T16:55:00Z" w:initials="SB">
    <w:p w14:paraId="091CC6BE" w14:textId="7FEEAC7F" w:rsidR="00E772A0" w:rsidRDefault="00E772A0" w:rsidP="00E772A0">
      <w:r>
        <w:rPr>
          <w:rStyle w:val="CommentReference"/>
        </w:rPr>
        <w:annotationRef/>
      </w:r>
      <w:r>
        <w:rPr>
          <w:sz w:val="20"/>
          <w:szCs w:val="20"/>
        </w:rPr>
        <w:t>needs a change of comment here, if its the same across all 3, why are the scores different?</w:t>
      </w:r>
    </w:p>
  </w:comment>
  <w:comment w:id="264" w:author="Matthew Wright" w:date="2026-04-22T12:26:00Z" w:initials="MW">
    <w:p w14:paraId="7D608F1C" w14:textId="77777777" w:rsidR="001C77FC" w:rsidRDefault="001C77FC" w:rsidP="001C77FC">
      <w:pPr>
        <w:pStyle w:val="CommentText"/>
      </w:pPr>
      <w:r>
        <w:rPr>
          <w:rStyle w:val="CommentReference"/>
        </w:rPr>
        <w:annotationRef/>
      </w:r>
      <w:r>
        <w:t>Table is incomplete</w:t>
      </w:r>
    </w:p>
  </w:comment>
  <w:comment w:id="266" w:author="Scott Beckford" w:date="2026-04-22T16:57:00Z" w:initials="SB">
    <w:p w14:paraId="42170A92" w14:textId="77777777" w:rsidR="005632FF" w:rsidRDefault="005632FF" w:rsidP="005632FF">
      <w:r>
        <w:rPr>
          <w:rStyle w:val="CommentReference"/>
        </w:rPr>
        <w:annotationRef/>
      </w:r>
      <w:r>
        <w:rPr>
          <w:sz w:val="20"/>
          <w:szCs w:val="20"/>
        </w:rPr>
        <w:t>maybe overkill, but if we have time a summary view of DMGs "VERY HIGH  IMPORTANCE" criteria only might be interesting.</w:t>
      </w:r>
    </w:p>
  </w:comment>
  <w:comment w:id="265" w:author="Matthew Wright" w:date="2026-04-22T15:23:00Z" w:initials="MW">
    <w:p w14:paraId="7CB75BDB" w14:textId="77777777" w:rsidR="00F74A11" w:rsidRDefault="00F74A11" w:rsidP="00F74A11">
      <w:pPr>
        <w:pStyle w:val="CommentText"/>
      </w:pPr>
      <w:r>
        <w:rPr>
          <w:rStyle w:val="CommentReference"/>
        </w:rPr>
        <w:annotationRef/>
      </w:r>
      <w:r>
        <w:t>CRITICAL. These numbers are from the old scoring matrix. The revised matrix shows AWS 845, Azure 844, GCP 813 (AWS 82.4%, Azure 82.3%, GCP 79.3%). AWS now leads Azure by 0.1 percentage points. Update all figures in this section: the scoring table per strategic goal, the overall percentages, and the narrative. The old text says "Azure narrowly leads by 0.6 percentage points over AWS" which is now inverted. Note: two dials (FIT-10 Database Migration Path and VEL-6 Container &amp; Kubernetes Maturity) are scored 0 for all three clouds despite high weightings. Confirm whether these are excluded or pending, and adjust the denominator accordingly. Also confirm the per-goal summary scores in the table match the rolled-up dial scores from the revised matrix.</w:t>
      </w:r>
    </w:p>
  </w:comment>
  <w:comment w:id="271" w:author="Matthew Wright" w:date="2026-04-22T15:24:00Z" w:initials="MW">
    <w:p w14:paraId="25597239" w14:textId="77777777" w:rsidR="00730B95" w:rsidRDefault="00730B95" w:rsidP="00730B95">
      <w:pPr>
        <w:pStyle w:val="CommentText"/>
      </w:pPr>
      <w:r>
        <w:rPr>
          <w:rStyle w:val="CommentReference"/>
        </w:rPr>
        <w:annotationRef/>
      </w:r>
      <w:r>
        <w:t>CRITICAL. The recommendation rationale currently rests too heavily on multicast (3.6% of the estate). The full case is now stronger than before because the revised scoring puts AWS first. This section should bring together ALL the factors in one place:</w:t>
      </w:r>
    </w:p>
    <w:p w14:paraId="737FC973" w14:textId="77777777" w:rsidR="00730B95" w:rsidRDefault="00730B95" w:rsidP="00730B95">
      <w:pPr>
        <w:pStyle w:val="CommentText"/>
      </w:pPr>
      <w:r>
        <w:t>- AWS leads on the revised weighted scoring (82.4% vs Azure 82.3%, GCP 79.3%).</w:t>
      </w:r>
    </w:p>
    <w:p w14:paraId="08602B54" w14:textId="77777777" w:rsidR="00730B95" w:rsidRDefault="00730B95" w:rsidP="00730B95">
      <w:pPr>
        <w:pStyle w:val="CommentText"/>
      </w:pPr>
      <w:r>
        <w:t>- Azure costs roughly £1M/yr more than AWS. Its near-identical scoring does not justify that premium.</w:t>
      </w:r>
    </w:p>
    <w:p w14:paraId="6C6AF461" w14:textId="77777777" w:rsidR="00730B95" w:rsidRDefault="00730B95" w:rsidP="00730B95">
      <w:pPr>
        <w:pStyle w:val="CommentText"/>
      </w:pPr>
      <w:r>
        <w:t>- GCP is 3.7% cheaper but also lacks multicast. The cost gap is too small to outweigh the practical advantages.</w:t>
      </w:r>
    </w:p>
    <w:p w14:paraId="5E2E1649" w14:textId="77777777" w:rsidR="00730B95" w:rsidRDefault="00730B95" w:rsidP="00730B95">
      <w:pPr>
        <w:pStyle w:val="CommentText"/>
      </w:pPr>
      <w:r>
        <w:t>- Oracle is identical on all three clouds (Exadata@Cloud, same OCI pricing). Not a differentiator.</w:t>
      </w:r>
    </w:p>
    <w:p w14:paraId="2919E1D6" w14:textId="77777777" w:rsidR="00730B95" w:rsidRDefault="00730B95" w:rsidP="00730B95">
      <w:pPr>
        <w:pStyle w:val="CommentText"/>
      </w:pPr>
      <w:r>
        <w:t>- Video streaming already on AWS.</w:t>
      </w:r>
    </w:p>
    <w:p w14:paraId="60F9971F" w14:textId="77777777" w:rsidR="00730B95" w:rsidRDefault="00730B95" w:rsidP="00730B95">
      <w:pPr>
        <w:pStyle w:val="CommentText"/>
      </w:pPr>
      <w:r>
        <w:t>- Largest partner ecosystem for the upskilling model.</w:t>
      </w:r>
    </w:p>
    <w:p w14:paraId="62276BEF" w14:textId="77777777" w:rsidR="00730B95" w:rsidRDefault="00730B95" w:rsidP="00730B95">
      <w:pPr>
        <w:pStyle w:val="CommentText"/>
      </w:pPr>
      <w:r>
        <w:t>- The trade-offs are managed: analytics stays on GCP (validated exception), security gap addressable without Azure's premium.</w:t>
      </w:r>
    </w:p>
    <w:p w14:paraId="1DA8D88C" w14:textId="77777777" w:rsidR="00730B95" w:rsidRDefault="00730B95" w:rsidP="00730B95">
      <w:pPr>
        <w:pStyle w:val="CommentText"/>
      </w:pPr>
      <w:r>
        <w:t>The narrative should now read "first on scoring, second on cost, first on constraints" which is a cleaner position than the old "second on scoring" framing. Use it.</w:t>
      </w:r>
    </w:p>
  </w:comment>
  <w:comment w:id="272" w:author="Scott Beckford" w:date="2026-04-22T17:07:00Z" w:initials="SB">
    <w:p w14:paraId="383D289B" w14:textId="77777777" w:rsidR="004C440B" w:rsidRDefault="004C440B" w:rsidP="004C440B">
      <w:r>
        <w:rPr>
          <w:rStyle w:val="CommentReference"/>
        </w:rPr>
        <w:annotationRef/>
      </w:r>
      <w:r>
        <w:rPr>
          <w:sz w:val="20"/>
          <w:szCs w:val="20"/>
        </w:rPr>
        <w:t>with discounts and credits applied .. how does that picture change?</w:t>
      </w:r>
    </w:p>
  </w:comment>
  <w:comment w:id="275" w:author="Scott Beckford" w:date="2026-04-22T17:22:00Z" w:initials="SB">
    <w:p w14:paraId="39A8DEA0" w14:textId="77777777" w:rsidR="005B0C15" w:rsidRDefault="005B0C15" w:rsidP="005B0C15">
      <w:r>
        <w:rPr>
          <w:rStyle w:val="CommentReference"/>
        </w:rPr>
        <w:annotationRef/>
      </w:r>
      <w:r>
        <w:rPr>
          <w:sz w:val="20"/>
          <w:szCs w:val="20"/>
        </w:rPr>
        <w:t>need to mention the Azure workloads.  do they stay in Azure?  --yes!</w:t>
      </w:r>
    </w:p>
  </w:comment>
  <w:comment w:id="276" w:author="Matthew Wright" w:date="2026-04-22T12:28:00Z" w:initials="MW">
    <w:p w14:paraId="77BF78FF" w14:textId="7C6C9D80" w:rsidR="00182533" w:rsidRDefault="00182533" w:rsidP="00182533">
      <w:pPr>
        <w:pStyle w:val="CommentText"/>
      </w:pPr>
      <w:r>
        <w:rPr>
          <w:rStyle w:val="CommentReference"/>
        </w:rPr>
        <w:annotationRef/>
      </w:r>
      <w:r>
        <w:t>This doesn’t make sense. AWS = AWS for everything else AWS?</w:t>
      </w:r>
    </w:p>
  </w:comment>
  <w:comment w:id="288" w:author="Matthew Wright" w:date="2026-04-22T12:29:00Z" w:initials="MW">
    <w:p w14:paraId="4F97A23E" w14:textId="77777777" w:rsidR="00F16B50" w:rsidRDefault="00F16B50" w:rsidP="00F16B50">
      <w:pPr>
        <w:pStyle w:val="CommentText"/>
      </w:pPr>
      <w:r>
        <w:rPr>
          <w:rStyle w:val="CommentReference"/>
        </w:rPr>
        <w:annotationRef/>
      </w:r>
      <w:r>
        <w:t xml:space="preserve">How easily? </w:t>
      </w:r>
    </w:p>
  </w:comment>
  <w:comment w:id="291" w:author="Matthew Wright" w:date="2026-04-22T15:25:00Z" w:initials="MW">
    <w:p w14:paraId="650C8505" w14:textId="77777777" w:rsidR="00895020" w:rsidRDefault="00895020" w:rsidP="00895020">
      <w:pPr>
        <w:pStyle w:val="CommentText"/>
      </w:pPr>
      <w:r>
        <w:rPr>
          <w:rStyle w:val="CommentReference"/>
        </w:rPr>
        <w:annotationRef/>
      </w:r>
      <w:r>
        <w:t>State the assessment methodology. Was this questionnaire-based, workshop-based, or desk assessment? The reader needs to know how the scores were produced</w:t>
      </w:r>
    </w:p>
  </w:comment>
  <w:comment w:id="294" w:author="Scott Beckford" w:date="2026-04-22T17:12:00Z" w:initials="SB">
    <w:p w14:paraId="635D92A6" w14:textId="77777777" w:rsidR="00F717F5" w:rsidRDefault="00F717F5" w:rsidP="00F717F5">
      <w:r>
        <w:rPr>
          <w:rStyle w:val="CommentReference"/>
        </w:rPr>
        <w:annotationRef/>
      </w:r>
      <w:r>
        <w:rPr>
          <w:sz w:val="20"/>
          <w:szCs w:val="20"/>
        </w:rPr>
        <w:t>where do these numbers come from exactly?</w:t>
      </w:r>
    </w:p>
  </w:comment>
  <w:comment w:id="295" w:author="Matthew Wright" w:date="2026-04-22T15:26:00Z" w:initials="MW">
    <w:p w14:paraId="2DE3B412" w14:textId="77777777" w:rsidR="00344D83" w:rsidRDefault="00344D83" w:rsidP="00344D83">
      <w:pPr>
        <w:pStyle w:val="CommentText"/>
      </w:pPr>
      <w:r>
        <w:rPr>
          <w:rStyle w:val="CommentReference"/>
        </w:rPr>
        <w:annotationRef/>
      </w:r>
      <w:r>
        <w:t>Add a practical consequence statement. What does 1.2 mean for Phase 2 in practice? Does it mean external resource is needed to start the landing zone build? State it plainly. Also: lead with the team's existing strengths (VMware, Oracle, networking expertise) before showing the number, not after. The infrastructure leads in the room will take this personally if it lands cold.</w:t>
      </w:r>
    </w:p>
  </w:comment>
  <w:comment w:id="296" w:author="Matthew Wright" w:date="2026-04-22T15:25:00Z" w:initials="MW">
    <w:p w14:paraId="0A81D160" w14:textId="77777777" w:rsidR="00202F55" w:rsidRDefault="00202F55" w:rsidP="00202F55">
      <w:pPr>
        <w:pStyle w:val="CommentText"/>
      </w:pPr>
      <w:r>
        <w:rPr>
          <w:rStyle w:val="CommentReference"/>
        </w:rPr>
        <w:annotationRef/>
      </w:r>
      <w:r>
        <w:t>Drop "approximately." You calculated this score. If it is 2.1, say 2.1.</w:t>
      </w:r>
    </w:p>
  </w:comment>
  <w:comment w:id="305" w:author="Scott Beckford" w:date="2026-04-22T17:23:00Z" w:initials="SB">
    <w:p w14:paraId="5A824A42" w14:textId="77777777" w:rsidR="009C661C" w:rsidRDefault="009C661C" w:rsidP="009C661C">
      <w:r>
        <w:rPr>
          <w:rStyle w:val="CommentReference"/>
        </w:rPr>
        <w:annotationRef/>
      </w:r>
      <w:r>
        <w:rPr>
          <w:sz w:val="20"/>
          <w:szCs w:val="20"/>
        </w:rPr>
        <w:t>network monitoring vs app monitoring is ok IMHO, different tools for different purposes, but i get the point</w:t>
      </w:r>
    </w:p>
  </w:comment>
  <w:comment w:id="306" w:author="Scott Beckford" w:date="2026-04-22T17:23:00Z" w:initials="SB">
    <w:p w14:paraId="032FC5D2" w14:textId="77777777" w:rsidR="00EA10F7" w:rsidRDefault="00EA10F7" w:rsidP="00EA10F7">
      <w:r>
        <w:rPr>
          <w:rStyle w:val="CommentReference"/>
        </w:rPr>
        <w:annotationRef/>
      </w:r>
      <w:r>
        <w:rPr>
          <w:sz w:val="20"/>
          <w:szCs w:val="20"/>
        </w:rPr>
        <w:t>eg?</w:t>
      </w:r>
    </w:p>
  </w:comment>
  <w:comment w:id="313" w:author="Scott Beckford" w:date="2026-04-22T17:25:00Z" w:initials="SB">
    <w:p w14:paraId="15420A1B" w14:textId="77777777" w:rsidR="00F26E48" w:rsidRDefault="00F26E48" w:rsidP="00F26E48">
      <w:r>
        <w:rPr>
          <w:rStyle w:val="CommentReference"/>
        </w:rPr>
        <w:annotationRef/>
      </w:r>
      <w:r>
        <w:rPr>
          <w:sz w:val="20"/>
          <w:szCs w:val="20"/>
        </w:rPr>
        <w:t>not sure this fits in this section?</w:t>
      </w:r>
    </w:p>
    <w:p w14:paraId="1D27B48E" w14:textId="77777777" w:rsidR="00F26E48" w:rsidRDefault="00F26E48" w:rsidP="00F26E48">
      <w:r>
        <w:rPr>
          <w:sz w:val="20"/>
          <w:szCs w:val="20"/>
        </w:rPr>
        <w:t>also we dont mention ad-hoc networking currently configured in AWS which needs remediation.</w:t>
      </w:r>
    </w:p>
  </w:comment>
  <w:comment w:id="316" w:author="Scott Beckford" w:date="2026-04-22T17:15:00Z" w:initials="SB">
    <w:p w14:paraId="09EEF401" w14:textId="77777777" w:rsidR="00C61F7C" w:rsidRDefault="00C61F7C" w:rsidP="00C61F7C">
      <w:r>
        <w:rPr>
          <w:rStyle w:val="CommentReference"/>
        </w:rPr>
        <w:annotationRef/>
      </w:r>
      <w:r>
        <w:rPr>
          <w:sz w:val="20"/>
          <w:szCs w:val="20"/>
        </w:rPr>
        <w:t>how do we substantiate this?  what does 4 mean?</w:t>
      </w:r>
    </w:p>
  </w:comment>
  <w:comment w:id="319" w:author="Matthew Wright" w:date="2026-04-22T16:47:00Z" w:initials="MW">
    <w:p w14:paraId="46843B44" w14:textId="77777777" w:rsidR="00812DC2" w:rsidRDefault="00812DC2" w:rsidP="00812DC2">
      <w:pPr>
        <w:pStyle w:val="CommentText"/>
      </w:pPr>
      <w:r>
        <w:rPr>
          <w:rStyle w:val="CommentReference"/>
        </w:rPr>
        <w:annotationRef/>
      </w:r>
      <w:r>
        <w:t xml:space="preserve">Please confirm if Ubuntu 14.04 falls into beyond end of life </w:t>
      </w:r>
    </w:p>
  </w:comment>
  <w:comment w:id="322" w:author="Upendra Kumar" w:date="2026-04-22T16:24:00Z" w:initials="UK">
    <w:p w14:paraId="0F161CCB" w14:textId="269F5780" w:rsidR="00A5179A" w:rsidRDefault="001C4AD0" w:rsidP="00A5179A">
      <w:pPr>
        <w:pStyle w:val="CommentText"/>
      </w:pPr>
      <w:r>
        <w:rPr>
          <w:rStyle w:val="CommentReference"/>
        </w:rPr>
        <w:annotationRef/>
      </w:r>
      <w:r w:rsidR="00A5179A">
        <w:fldChar w:fldCharType="begin"/>
      </w:r>
      <w:r w:rsidR="00A5179A">
        <w:instrText>HYPERLINK "mailto:scott.beckford@rackspace.com"</w:instrText>
      </w:r>
      <w:bookmarkStart w:id="324" w:name="_@_4E0DD5AC949A497CAC925A70A6C04A04Z"/>
      <w:r w:rsidR="00A5179A">
        <w:fldChar w:fldCharType="separate"/>
      </w:r>
      <w:bookmarkEnd w:id="324"/>
      <w:r w:rsidR="00A5179A" w:rsidRPr="00A5179A">
        <w:rPr>
          <w:rStyle w:val="Mention"/>
          <w:noProof/>
        </w:rPr>
        <w:t>@Scott Beckford</w:t>
      </w:r>
      <w:r w:rsidR="00A5179A">
        <w:fldChar w:fldCharType="end"/>
      </w:r>
      <w:r w:rsidR="00A5179A">
        <w:t xml:space="preserve">  do you know the exact names of the seven technology operating areas, and who leads each one?</w:t>
      </w:r>
    </w:p>
  </w:comment>
  <w:comment w:id="323" w:author="Scott Beckford" w:date="2026-04-22T17:17:00Z" w:initials="SB">
    <w:p w14:paraId="7A0F03B4" w14:textId="77777777" w:rsidR="00305C9B" w:rsidRDefault="00305C9B" w:rsidP="00305C9B">
      <w:r>
        <w:rPr>
          <w:rStyle w:val="CommentReference"/>
        </w:rPr>
        <w:annotationRef/>
      </w:r>
      <w:r>
        <w:rPr>
          <w:sz w:val="20"/>
          <w:szCs w:val="20"/>
        </w:rPr>
        <w:t>good shout, i assume it means the 7 brands? (MOL, Mail (paper),DailyMail (paper), Metro, NewScientist, etc)</w:t>
      </w:r>
    </w:p>
  </w:comment>
  <w:comment w:id="332" w:author="Matthew Wright" w:date="2026-04-22T15:13:00Z" w:initials="MW">
    <w:p w14:paraId="435DC266" w14:textId="77777777" w:rsidR="00174DCD" w:rsidRDefault="00174DCD" w:rsidP="00174DCD">
      <w:pPr>
        <w:pStyle w:val="CommentText"/>
      </w:pPr>
      <w:r>
        <w:rPr>
          <w:rStyle w:val="CommentReference"/>
        </w:rPr>
        <w:annotationRef/>
      </w:r>
      <w:r>
        <w:t>This says "40+" but elsewhere the report consistently says "91 identified sub-components." If these are different things (40+ interdependent vs 91 total), explain the difference. If they are the same thing, use 91 consistently.</w:t>
      </w:r>
    </w:p>
    <w:p w14:paraId="25BC19FC" w14:textId="77777777" w:rsidR="007639E4" w:rsidRDefault="007639E4" w:rsidP="00174DCD">
      <w:pPr>
        <w:pStyle w:val="CommentText"/>
      </w:pPr>
    </w:p>
  </w:comment>
  <w:comment w:id="335" w:author="Matthew Wright" w:date="2026-04-22T16:38:00Z" w:initials="MW">
    <w:p w14:paraId="64D0FAEA" w14:textId="77777777" w:rsidR="00415A38" w:rsidRDefault="00415A38" w:rsidP="00415A38">
      <w:pPr>
        <w:pStyle w:val="CommentText"/>
      </w:pPr>
      <w:r>
        <w:rPr>
          <w:rStyle w:val="CommentReference"/>
        </w:rPr>
        <w:annotationRef/>
      </w:r>
      <w:r>
        <w:t>Two-thirds of 3,038 is approximately 2,025, not 1,960. Either use the precise number without the fraction, or adjust to "nearly two-thirds."</w:t>
      </w:r>
    </w:p>
  </w:comment>
  <w:comment w:id="340" w:author="Scott Beckford" w:date="2026-04-22T17:27:00Z" w:initials="SB">
    <w:p w14:paraId="41AA322B" w14:textId="385CBF09" w:rsidR="00776302" w:rsidRDefault="00776302" w:rsidP="00776302">
      <w:r>
        <w:rPr>
          <w:rStyle w:val="CommentReference"/>
        </w:rPr>
        <w:annotationRef/>
      </w:r>
      <w:r>
        <w:rPr>
          <w:sz w:val="20"/>
          <w:szCs w:val="20"/>
        </w:rPr>
        <w:t xml:space="preserve">its mostly not possible because of all the legacy OS.  </w:t>
      </w:r>
    </w:p>
  </w:comment>
  <w:comment w:id="351" w:author="Matthew Wright" w:date="2026-04-22T16:38:00Z" w:initials="MW">
    <w:p w14:paraId="7A59FA17" w14:textId="77777777" w:rsidR="0030294B" w:rsidRDefault="0030294B" w:rsidP="0030294B">
      <w:pPr>
        <w:pStyle w:val="CommentText"/>
      </w:pPr>
      <w:r>
        <w:rPr>
          <w:rStyle w:val="CommentReference"/>
        </w:rPr>
        <w:annotationRef/>
      </w:r>
      <w:r>
        <w:t>The report already knows which applications are affected (MOL sub-components, Wikidata, ESCC). Make the action specific: confirm which sub-components, assess replatform effort</w:t>
      </w:r>
    </w:p>
  </w:comment>
  <w:comment w:id="363" w:author="Scott Beckford" w:date="2026-04-22T17:33:00Z" w:initials="SB">
    <w:p w14:paraId="24D14965" w14:textId="1825577F" w:rsidR="00B1459C" w:rsidRDefault="00B1459C" w:rsidP="00B1459C">
      <w:r>
        <w:rPr>
          <w:rStyle w:val="CommentReference"/>
        </w:rPr>
        <w:annotationRef/>
      </w:r>
      <w:r>
        <w:rPr>
          <w:sz w:val="20"/>
          <w:szCs w:val="20"/>
        </w:rPr>
        <w:t>although the NCS strategy of shared hosting certainly is well optimised for licensing. (cores based)</w:t>
      </w:r>
    </w:p>
  </w:comment>
  <w:comment w:id="364" w:author="Scott Beckford" w:date="2026-04-22T17:34:00Z" w:initials="SB">
    <w:p w14:paraId="6430FC5D" w14:textId="77777777" w:rsidR="00826F7F" w:rsidRDefault="00826F7F" w:rsidP="00826F7F">
      <w:r>
        <w:rPr>
          <w:rStyle w:val="CommentReference"/>
        </w:rPr>
        <w:annotationRef/>
      </w:r>
      <w:r>
        <w:rPr>
          <w:sz w:val="20"/>
          <w:szCs w:val="20"/>
        </w:rPr>
        <w:t>this position could be addressed at a later phase, with specific funding.</w:t>
      </w:r>
    </w:p>
  </w:comment>
  <w:comment w:id="371" w:author="Matthew Wright" w:date="2026-04-22T16:39:00Z" w:initials="MW">
    <w:p w14:paraId="7F4D17BD" w14:textId="77777777" w:rsidR="00147A1A" w:rsidRDefault="00147A1A" w:rsidP="00147A1A">
      <w:pPr>
        <w:pStyle w:val="CommentText"/>
      </w:pPr>
      <w:r>
        <w:rPr>
          <w:rStyle w:val="CommentReference"/>
        </w:rPr>
        <w:annotationRef/>
      </w:r>
      <w:r>
        <w:t>Clarify the composition. This saving comes primarily from eliminating the £650K/yr Oracle support contract, not from infrastructure cost reduction. State this explicitly. Also cross-reference comment 19: the conversion cost to achieve this saving is not estimated.</w:t>
      </w:r>
    </w:p>
  </w:comment>
  <w:comment w:id="380" w:author="Matthew Wright" w:date="2026-04-22T12:38:00Z" w:initials="MW">
    <w:p w14:paraId="18D59E91" w14:textId="2FC1C8F2" w:rsidR="008368B8" w:rsidRDefault="008368B8" w:rsidP="008368B8">
      <w:pPr>
        <w:pStyle w:val="CommentText"/>
      </w:pPr>
      <w:r>
        <w:rPr>
          <w:rStyle w:val="CommentReference"/>
        </w:rPr>
        <w:annotationRef/>
      </w:r>
      <w:r>
        <w:t xml:space="preserve">Isn’t it? </w:t>
      </w:r>
    </w:p>
  </w:comment>
  <w:comment w:id="381" w:author="Upendra Kumar" w:date="2026-04-22T17:23:00Z" w:initials="UK">
    <w:p w14:paraId="3DE37104" w14:textId="77777777" w:rsidR="008B424E" w:rsidRDefault="00DA410D" w:rsidP="008B424E">
      <w:pPr>
        <w:pStyle w:val="CommentText"/>
      </w:pPr>
      <w:r>
        <w:rPr>
          <w:rStyle w:val="CommentReference"/>
        </w:rPr>
        <w:annotationRef/>
      </w:r>
      <w:r w:rsidR="008B424E">
        <w:t>We are still awaiting confirmation from Microsoft’s licensing specialists.</w:t>
      </w:r>
    </w:p>
  </w:comment>
  <w:comment w:id="384" w:author="Matthew Wright" w:date="2026-04-22T16:39:00Z" w:initials="MW">
    <w:p w14:paraId="4B2C6EBE" w14:textId="77777777" w:rsidR="000765B4" w:rsidRDefault="000765B4" w:rsidP="000765B4">
      <w:pPr>
        <w:pStyle w:val="CommentText"/>
      </w:pPr>
      <w:r>
        <w:rPr>
          <w:rStyle w:val="CommentReference"/>
        </w:rPr>
        <w:annotationRef/>
      </w:r>
      <w:r>
        <w:t>This and the Observability Consolidation opportunity below have no quantification and no "what Phase 2 would validate" statement. They read as generic cloud benefits. Either ground them in something specific from discovery (e.g. "replacing SolarWinds and Zabbix removes X servers from migration scope") or demote to a brief "additional opportunities" note</w:t>
      </w:r>
    </w:p>
  </w:comment>
  <w:comment w:id="388" w:author="Scott Beckford" w:date="2026-04-22T12:17:00Z" w:initials="SB">
    <w:p w14:paraId="6082F49E" w14:textId="37DA00BC" w:rsidR="00FD22B8" w:rsidRDefault="00FD22B8" w:rsidP="00FD22B8">
      <w:r>
        <w:rPr>
          <w:rStyle w:val="CommentReference"/>
        </w:rPr>
        <w:annotationRef/>
      </w:r>
      <w:r>
        <w:rPr>
          <w:sz w:val="20"/>
          <w:szCs w:val="20"/>
        </w:rPr>
        <w:t>Rishabh/Akash have just completed an Akamai to Cloudfront project.   We could draw from that and suggest that it is further investigated in partnership with AWS in a later phase.</w:t>
      </w:r>
    </w:p>
  </w:comment>
  <w:comment w:id="389" w:author="Akashdeep Singh" w:date="2026-04-22T18:09:00Z" w:initials="AS">
    <w:p w14:paraId="08ED48AE" w14:textId="526AB7E6" w:rsidR="007C5CE1" w:rsidRDefault="007C5CE1">
      <w:pPr>
        <w:pStyle w:val="CommentText"/>
      </w:pPr>
      <w:r>
        <w:rPr>
          <w:rStyle w:val="CommentReference"/>
        </w:rPr>
        <w:annotationRef/>
      </w:r>
      <w:r>
        <w:fldChar w:fldCharType="begin"/>
      </w:r>
      <w:r>
        <w:instrText xml:space="preserve"> HYPERLINK "mailto:scott.beckford@rackspace.com"</w:instrText>
      </w:r>
      <w:bookmarkStart w:id="390" w:name="_@_ED89193FC8704E909CDC6CA69A55C131Z"/>
      <w:r>
        <w:fldChar w:fldCharType="separate"/>
      </w:r>
      <w:bookmarkEnd w:id="390"/>
      <w:r w:rsidRPr="7783F131">
        <w:rPr>
          <w:rStyle w:val="Mention"/>
          <w:noProof/>
        </w:rPr>
        <w:t>@Scott Beckford</w:t>
      </w:r>
      <w:r>
        <w:fldChar w:fldCharType="end"/>
      </w:r>
      <w:r w:rsidRPr="336401B5">
        <w:t xml:space="preserve">  Yes, Apart from big savings from the License and support costs that Akamai has, The data Transfer out cost can also reduce by 50-80% for the web traffic. </w:t>
      </w:r>
    </w:p>
    <w:p w14:paraId="5F8FFD9B" w14:textId="3BE0C3AC" w:rsidR="007C5CE1" w:rsidRDefault="007C5CE1">
      <w:pPr>
        <w:pStyle w:val="CommentText"/>
      </w:pPr>
      <w:r w:rsidRPr="20367A6F">
        <w:t xml:space="preserve">AWS has also provided this as one of the point on the ppt. </w:t>
      </w:r>
    </w:p>
  </w:comment>
  <w:comment w:id="400" w:author="Matthew Wright" w:date="2026-04-22T16:35:00Z" w:initials="MW">
    <w:p w14:paraId="3BA55ECF" w14:textId="2282F900" w:rsidR="00BF03F4" w:rsidRDefault="00BF03F4" w:rsidP="00BF03F4">
      <w:pPr>
        <w:pStyle w:val="CommentText"/>
      </w:pPr>
      <w:r>
        <w:rPr>
          <w:rStyle w:val="CommentReference"/>
        </w:rPr>
        <w:annotationRef/>
      </w:r>
      <w:r>
        <w:t xml:space="preserve">Hey </w:t>
      </w:r>
      <w:r>
        <w:fldChar w:fldCharType="begin"/>
      </w:r>
      <w:r>
        <w:instrText>HYPERLINK "mailto:scott.beckford@rackspace.com"</w:instrText>
      </w:r>
      <w:bookmarkStart w:id="401" w:name="_@_43239B0AE9F7459D87C1A15312DB5CB4Z"/>
      <w:r>
        <w:fldChar w:fldCharType="separate"/>
      </w:r>
      <w:bookmarkEnd w:id="401"/>
      <w:r w:rsidRPr="00BF03F4">
        <w:rPr>
          <w:rStyle w:val="Mention"/>
          <w:noProof/>
        </w:rPr>
        <w:t>@Scott Beckford</w:t>
      </w:r>
      <w:r>
        <w:fldChar w:fldCharType="end"/>
      </w:r>
      <w:r>
        <w:t xml:space="preserve"> I believe this needs detailed review and alignment with </w:t>
      </w:r>
      <w:r>
        <w:fldChar w:fldCharType="begin"/>
      </w:r>
      <w:r>
        <w:instrText>HYPERLINK "mailto:Steven.Bianciardi@rackspace.com"</w:instrText>
      </w:r>
      <w:bookmarkStart w:id="402" w:name="_@_F7B4A25DABEB4CD9A8B4C48D18C9B5C6Z"/>
      <w:r>
        <w:fldChar w:fldCharType="separate"/>
      </w:r>
      <w:bookmarkEnd w:id="402"/>
      <w:r w:rsidRPr="00BF03F4">
        <w:rPr>
          <w:rStyle w:val="Mention"/>
          <w:noProof/>
        </w:rPr>
        <w:t>@Steven Bianciardi</w:t>
      </w:r>
      <w:r>
        <w:fldChar w:fldCharType="end"/>
      </w:r>
      <w:r>
        <w:t xml:space="preserve"> , </w:t>
      </w:r>
      <w:r>
        <w:fldChar w:fldCharType="begin"/>
      </w:r>
      <w:r>
        <w:instrText>HYPERLINK "mailto:anshuman.nath@rackspace.com"</w:instrText>
      </w:r>
      <w:bookmarkStart w:id="403" w:name="_@_8A93D5FB18244C6080FDA2B2B4DBC76BZ"/>
      <w:r>
        <w:fldChar w:fldCharType="separate"/>
      </w:r>
      <w:bookmarkEnd w:id="403"/>
      <w:r w:rsidRPr="00BF03F4">
        <w:rPr>
          <w:rStyle w:val="Mention"/>
          <w:noProof/>
        </w:rPr>
        <w:t>@Anshuman Nath</w:t>
      </w:r>
      <w:r>
        <w:fldChar w:fldCharType="end"/>
      </w:r>
      <w:r>
        <w:t xml:space="preserve">  and </w:t>
      </w:r>
      <w:r>
        <w:fldChar w:fldCharType="begin"/>
      </w:r>
      <w:r>
        <w:instrText>HYPERLINK "mailto:max.hurn@rackspace.com"</w:instrText>
      </w:r>
      <w:bookmarkStart w:id="404" w:name="_@_B5AEFB2509BD43D69540CA6CDFE03929Z"/>
      <w:r>
        <w:fldChar w:fldCharType="separate"/>
      </w:r>
      <w:bookmarkEnd w:id="404"/>
      <w:r w:rsidRPr="00BF03F4">
        <w:rPr>
          <w:rStyle w:val="Mention"/>
          <w:noProof/>
        </w:rPr>
        <w:t>@Max Hurn</w:t>
      </w:r>
      <w:r>
        <w:fldChar w:fldCharType="end"/>
      </w:r>
      <w:r>
        <w:t xml:space="preserve"> . </w:t>
      </w:r>
    </w:p>
  </w:comment>
  <w:comment w:id="409" w:author="Matthew Wright" w:date="2026-04-22T12:39:00Z" w:initials="MW">
    <w:p w14:paraId="0584A957" w14:textId="77777777" w:rsidR="003F3ED9" w:rsidRDefault="003F3ED9" w:rsidP="003F3ED9">
      <w:pPr>
        <w:pStyle w:val="CommentText"/>
      </w:pPr>
      <w:r>
        <w:rPr>
          <w:rStyle w:val="CommentReference"/>
        </w:rPr>
        <w:annotationRef/>
      </w:r>
      <w:r>
        <w:t>Update with commercials from cloud providers</w:t>
      </w:r>
    </w:p>
  </w:comment>
  <w:comment w:id="410" w:author="Scott Beckford" w:date="2026-04-22T17:42:00Z" w:initials="SB">
    <w:p w14:paraId="7D97E8DD" w14:textId="77777777" w:rsidR="00F12A44" w:rsidRDefault="00F12A44" w:rsidP="00F12A44">
      <w:r>
        <w:rPr>
          <w:rStyle w:val="CommentReference"/>
        </w:rPr>
        <w:annotationRef/>
      </w:r>
      <w:r>
        <w:rPr>
          <w:sz w:val="20"/>
          <w:szCs w:val="20"/>
        </w:rPr>
        <w:t>maybe something like 400k/year  = nearly 1M by 2028 when the next refresh occurs and considerably more after.</w:t>
      </w:r>
    </w:p>
  </w:comment>
  <w:comment w:id="411" w:author="Scott Beckford" w:date="2026-04-22T17:44:00Z" w:initials="SB">
    <w:p w14:paraId="044711E2" w14:textId="77777777" w:rsidR="00194173" w:rsidRDefault="00194173" w:rsidP="00194173">
      <w:r>
        <w:rPr>
          <w:rStyle w:val="CommentReference"/>
        </w:rPr>
        <w:annotationRef/>
      </w:r>
      <w:r>
        <w:rPr>
          <w:sz w:val="20"/>
          <w:szCs w:val="20"/>
        </w:rPr>
        <w:t>also, its not just a $ thing.  doing nothing means continuing with fragmented support, limited scalability options, unpatched instances, and potential further shadow IT.</w:t>
      </w:r>
    </w:p>
  </w:comment>
  <w:comment w:id="412" w:author="Matthew Wright" w:date="2026-04-22T16:40:00Z" w:initials="MW">
    <w:p w14:paraId="67B87C3D" w14:textId="77777777" w:rsidR="004A103C" w:rsidRDefault="004A103C" w:rsidP="004A103C">
      <w:pPr>
        <w:pStyle w:val="CommentText"/>
      </w:pPr>
      <w:r>
        <w:rPr>
          <w:rStyle w:val="CommentReference"/>
        </w:rPr>
        <w:annotationRef/>
      </w:r>
      <w:r>
        <w:t>CRITICAL. Do not leave this as a bare [PENDING]. Even without numbers, describe the structure: "Year 1 includes three cost layers: migration investment (one-time), dual-run overlap (temporary), and cloud run-rate (ongoing). Year 1 is expected to be a net cost increase. Savings accrue as workloads migrate and on-premises costs drop. The crossover point depends on cohort velocity and commercial terms. Phase 2 models this precisely." The CTO's finance stakeholders will ask "what does Year 1 cost?" and cannot receive silence.</w:t>
      </w:r>
    </w:p>
  </w:comment>
  <w:comment w:id="415" w:author="Scott Beckford" w:date="2026-04-22T17:53:00Z" w:initials="SB">
    <w:p w14:paraId="6A4A964D" w14:textId="77777777" w:rsidR="00255F15" w:rsidRDefault="00255F15" w:rsidP="00255F15">
      <w:r>
        <w:rPr>
          <w:rStyle w:val="CommentReference"/>
        </w:rPr>
        <w:annotationRef/>
      </w:r>
      <w:r>
        <w:rPr>
          <w:sz w:val="20"/>
          <w:szCs w:val="20"/>
        </w:rPr>
        <w:t>watch for USD vs GBP.. its easy to be misled.</w:t>
      </w:r>
    </w:p>
  </w:comment>
  <w:comment w:id="424" w:author="Scott Beckford" w:date="2026-04-22T17:45:00Z" w:initials="SB">
    <w:p w14:paraId="33805269" w14:textId="77777777" w:rsidR="006860A9" w:rsidRDefault="006860A9" w:rsidP="006860A9">
      <w:r>
        <w:rPr>
          <w:rStyle w:val="CommentReference"/>
        </w:rPr>
        <w:annotationRef/>
      </w:r>
      <w:r>
        <w:rPr>
          <w:sz w:val="20"/>
          <w:szCs w:val="20"/>
        </w:rPr>
        <w:t>Microsoft again I asume?</w:t>
      </w:r>
    </w:p>
    <w:p w14:paraId="3001EB53" w14:textId="77777777" w:rsidR="006860A9" w:rsidRDefault="006860A9" w:rsidP="006860A9"/>
  </w:comment>
  <w:comment w:id="427" w:author="Scott Beckford" w:date="2026-04-22T17:46:00Z" w:initials="SB">
    <w:p w14:paraId="6599253A" w14:textId="77777777" w:rsidR="00AB10D7" w:rsidRDefault="00AB10D7" w:rsidP="00AB10D7">
      <w:r>
        <w:rPr>
          <w:rStyle w:val="CommentReference"/>
        </w:rPr>
        <w:annotationRef/>
      </w:r>
      <w:r>
        <w:rPr>
          <w:sz w:val="20"/>
          <w:szCs w:val="20"/>
        </w:rPr>
        <w:t>what does architect-led mean here?</w:t>
      </w:r>
    </w:p>
  </w:comment>
  <w:comment w:id="444" w:author="Matthew Wright" w:date="2026-04-22T16:41:00Z" w:initials="MW">
    <w:p w14:paraId="4CA70522" w14:textId="77777777" w:rsidR="006F5E3D" w:rsidRDefault="006F5E3D" w:rsidP="006F5E3D">
      <w:pPr>
        <w:pStyle w:val="CommentText"/>
      </w:pPr>
      <w:r>
        <w:rPr>
          <w:rStyle w:val="CommentReference"/>
        </w:rPr>
        <w:annotationRef/>
      </w:r>
      <w:r>
        <w:t>Group these into three or four workstreams rather than listing eleven items flat. Suggested groupings: discovery and profiling, architecture and design, planning and governance, data and modernisation. Specific items sit beneath each. Currently reads as a menu, not a plan.</w:t>
      </w:r>
    </w:p>
  </w:comment>
  <w:comment w:id="445" w:author="Matthew Wright" w:date="2026-04-22T12:40:00Z" w:initials="MW">
    <w:p w14:paraId="5592E739" w14:textId="77777777" w:rsidR="000A32D1" w:rsidRDefault="000A32D1" w:rsidP="000A32D1">
      <w:pPr>
        <w:pStyle w:val="CommentText"/>
      </w:pPr>
      <w:r>
        <w:rPr>
          <w:rStyle w:val="CommentReference"/>
        </w:rPr>
        <w:annotationRef/>
      </w:r>
      <w:r>
        <w:t>Really?</w:t>
      </w:r>
    </w:p>
  </w:comment>
  <w:comment w:id="446" w:author="Scott Beckford" w:date="2026-04-22T17:48:00Z" w:initials="SB">
    <w:p w14:paraId="7DBCD936" w14:textId="77777777" w:rsidR="00723435" w:rsidRDefault="00723435" w:rsidP="00723435">
      <w:r>
        <w:rPr>
          <w:rStyle w:val="CommentReference"/>
        </w:rPr>
        <w:annotationRef/>
      </w:r>
      <w:r>
        <w:rPr>
          <w:sz w:val="20"/>
          <w:szCs w:val="20"/>
        </w:rPr>
        <w:t>including NAS shares</w:t>
      </w:r>
    </w:p>
  </w:comment>
  <w:comment w:id="447" w:author="Matthew Wright" w:date="2026-04-22T16:40:00Z" w:initials="MW">
    <w:p w14:paraId="1D9BFF07" w14:textId="77777777" w:rsidR="00ED7484" w:rsidRDefault="00ED7484" w:rsidP="00ED7484">
      <w:pPr>
        <w:pStyle w:val="CommentText"/>
      </w:pPr>
      <w:r>
        <w:rPr>
          <w:rStyle w:val="CommentReference"/>
        </w:rPr>
        <w:annotationRef/>
      </w:r>
      <w:r>
        <w:t>Provide at minimum an indicative duration (e.g. "12-16 week engagement"), indicative team composition, and the three critical-path items (MOL B-cluster DMA, landing zone design, Oracle path decision). Precise pricing follows in the separate proposal. A completely blank Phase 2 commercial section undermines the "what happens next" outcome.</w:t>
      </w:r>
    </w:p>
  </w:comment>
  <w:comment w:id="452" w:author="Scott Beckford" w:date="2026-04-22T17:50:00Z" w:initials="SB">
    <w:p w14:paraId="12037856" w14:textId="77777777" w:rsidR="00906732" w:rsidRDefault="00906732" w:rsidP="00906732">
      <w:r>
        <w:rPr>
          <w:rStyle w:val="CommentReference"/>
        </w:rPr>
        <w:annotationRef/>
      </w:r>
      <w:r>
        <w:rPr>
          <w:sz w:val="20"/>
          <w:szCs w:val="20"/>
        </w:rPr>
        <w:t>is this not the same as "</w:t>
      </w:r>
      <w:r>
        <w:rPr>
          <w:b/>
          <w:bCs/>
          <w:sz w:val="20"/>
          <w:szCs w:val="20"/>
        </w:rPr>
        <w:t>Cost of doing nothing</w:t>
      </w:r>
      <w:r>
        <w:rPr>
          <w:sz w:val="20"/>
          <w:szCs w:val="20"/>
        </w:rPr>
        <w:t xml:space="preserve"> " in the previous section?</w:t>
      </w:r>
    </w:p>
  </w:comment>
  <w:comment w:id="474" w:author="Matthew Wright" w:date="2026-04-22T15:25:00Z" w:initials="MW">
    <w:p w14:paraId="146B3ED6" w14:textId="1F49DBDD" w:rsidR="00BF03F4" w:rsidRDefault="00106C59" w:rsidP="00BF03F4">
      <w:pPr>
        <w:pStyle w:val="CommentText"/>
      </w:pPr>
      <w:r>
        <w:rPr>
          <w:rStyle w:val="CommentReference"/>
        </w:rPr>
        <w:annotationRef/>
      </w:r>
      <w:r w:rsidR="00BF03F4">
        <w:t xml:space="preserve">Update to match revised scoring matrix. AWS now leads Just. The old table shows Azure first. Also confirm whether the two zero-scored dials (FIT-10, VEL-6) are reflected in the appendix totals and methodology notes. </w:t>
      </w:r>
    </w:p>
  </w:comment>
  <w:comment w:id="477" w:author="Matthew Wright" w:date="2026-04-22T16:46:00Z" w:initials="MW">
    <w:p w14:paraId="5EE3E6C0" w14:textId="77777777" w:rsidR="00AA43E6" w:rsidRDefault="00AA43E6" w:rsidP="00AA43E6">
      <w:pPr>
        <w:pStyle w:val="CommentText"/>
      </w:pPr>
      <w:r>
        <w:rPr>
          <w:rStyle w:val="CommentReference"/>
        </w:rPr>
        <w:annotationRef/>
      </w:r>
      <w:r>
        <w:t>Do you add some outline numbers?</w:t>
      </w:r>
    </w:p>
  </w:comment>
  <w:comment w:id="484" w:author="Matthew Wright" w:date="2026-04-22T16:42:00Z" w:initials="MW">
    <w:p w14:paraId="35D694A3" w14:textId="165A5654" w:rsidR="007C4714" w:rsidRDefault="007C4714" w:rsidP="007C4714">
      <w:pPr>
        <w:pStyle w:val="CommentText"/>
      </w:pPr>
      <w:r>
        <w:rPr>
          <w:rStyle w:val="CommentReference"/>
        </w:rPr>
        <w:annotationRef/>
      </w:r>
      <w:r>
        <w:t>Check consistency of "Phase 2" vs "Part 2" throughout. Pick one, use it everywhere.</w:t>
      </w:r>
    </w:p>
  </w:comment>
  <w:comment w:id="485" w:author="Matthew Wright" w:date="2026-04-22T16:41:00Z" w:initials="MW">
    <w:p w14:paraId="5EB52DC3" w14:textId="77777777" w:rsidR="001430FA" w:rsidRDefault="001430FA" w:rsidP="001430FA">
      <w:pPr>
        <w:pStyle w:val="CommentText"/>
      </w:pPr>
      <w:r>
        <w:rPr>
          <w:rStyle w:val="CommentReference"/>
        </w:rPr>
        <w:annotationRef/>
      </w:r>
      <w:r>
        <w:t>Most readers will not understand this. Add one sentence explaining what it could mean for DMG MEDIA (potential Windows Server licensing parity across clouds), or remove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C06B9F" w15:done="0"/>
  <w15:commentEx w15:paraId="59F6A837" w15:done="0"/>
  <w15:commentEx w15:paraId="361ABFEE" w15:done="0"/>
  <w15:commentEx w15:paraId="4F6D69B5" w15:paraIdParent="361ABFEE" w15:done="0"/>
  <w15:commentEx w15:paraId="79FA6541" w15:done="0"/>
  <w15:commentEx w15:paraId="0178213B" w15:paraIdParent="79FA6541" w15:done="0"/>
  <w15:commentEx w15:paraId="6AEEDF39" w15:done="0"/>
  <w15:commentEx w15:paraId="02F59A74" w15:done="0"/>
  <w15:commentEx w15:paraId="6A2319E6" w15:done="0"/>
  <w15:commentEx w15:paraId="230E42B7" w15:paraIdParent="6A2319E6" w15:done="0"/>
  <w15:commentEx w15:paraId="72E588C0" w15:paraIdParent="6A2319E6" w15:done="0"/>
  <w15:commentEx w15:paraId="655AF5CE" w15:done="0"/>
  <w15:commentEx w15:paraId="5AB5FD5F" w15:done="0"/>
  <w15:commentEx w15:paraId="50801D9E" w15:done="0"/>
  <w15:commentEx w15:paraId="3A5B4025" w15:done="0"/>
  <w15:commentEx w15:paraId="020D9330" w15:done="0"/>
  <w15:commentEx w15:paraId="7880277C" w15:paraIdParent="020D9330" w15:done="0"/>
  <w15:commentEx w15:paraId="11C20CA0" w15:done="0"/>
  <w15:commentEx w15:paraId="7018B114" w15:done="0"/>
  <w15:commentEx w15:paraId="21EB127E" w15:paraIdParent="7018B114" w15:done="0"/>
  <w15:commentEx w15:paraId="70E41715" w15:done="0"/>
  <w15:commentEx w15:paraId="5210D060" w15:done="0"/>
  <w15:commentEx w15:paraId="03D363CB" w15:done="0"/>
  <w15:commentEx w15:paraId="047E5F75" w15:done="0"/>
  <w15:commentEx w15:paraId="3A131069" w15:done="0"/>
  <w15:commentEx w15:paraId="6FBA04AD" w15:done="0"/>
  <w15:commentEx w15:paraId="297B50A3" w15:paraIdParent="6FBA04AD" w15:done="0"/>
  <w15:commentEx w15:paraId="4CCB94A4" w15:done="0"/>
  <w15:commentEx w15:paraId="25C6E515" w15:done="0"/>
  <w15:commentEx w15:paraId="27C967A7" w15:paraIdParent="25C6E515" w15:done="0"/>
  <w15:commentEx w15:paraId="6DD70EF4" w15:paraIdParent="25C6E515" w15:done="0"/>
  <w15:commentEx w15:paraId="0EBB8109" w15:done="0"/>
  <w15:commentEx w15:paraId="01D08EE8" w15:done="0"/>
  <w15:commentEx w15:paraId="1992E9F3" w15:done="0"/>
  <w15:commentEx w15:paraId="40F417DF" w15:done="0"/>
  <w15:commentEx w15:paraId="4B4390E4" w15:paraIdParent="40F417DF" w15:done="0"/>
  <w15:commentEx w15:paraId="42CAB7E5" w15:done="0"/>
  <w15:commentEx w15:paraId="6D7CED67" w15:done="0"/>
  <w15:commentEx w15:paraId="1B50D5EF" w15:paraIdParent="6D7CED67" w15:done="0"/>
  <w15:commentEx w15:paraId="39403CBB" w15:done="0"/>
  <w15:commentEx w15:paraId="64BB9CE2" w15:paraIdParent="39403CBB" w15:done="0"/>
  <w15:commentEx w15:paraId="168E6D76" w15:done="0"/>
  <w15:commentEx w15:paraId="72A43AB7" w15:done="0"/>
  <w15:commentEx w15:paraId="1FA89CA3" w15:done="0"/>
  <w15:commentEx w15:paraId="6135A151" w15:done="0"/>
  <w15:commentEx w15:paraId="00D51905" w15:done="0"/>
  <w15:commentEx w15:paraId="75F1921B" w15:done="0"/>
  <w15:commentEx w15:paraId="6A2B4914" w15:done="0"/>
  <w15:commentEx w15:paraId="2D11E07B" w15:paraIdParent="6A2B4914" w15:done="0"/>
  <w15:commentEx w15:paraId="1A646157" w15:done="0"/>
  <w15:commentEx w15:paraId="5B51ADF6" w15:done="0"/>
  <w15:commentEx w15:paraId="5BF8C325" w15:done="0"/>
  <w15:commentEx w15:paraId="1373DD68" w15:done="0"/>
  <w15:commentEx w15:paraId="1DB1B014" w15:done="0"/>
  <w15:commentEx w15:paraId="1FC01A51" w15:paraIdParent="1DB1B014" w15:done="0"/>
  <w15:commentEx w15:paraId="4461A65D" w15:paraIdParent="1DB1B014" w15:done="0"/>
  <w15:commentEx w15:paraId="0BDD3E90" w15:done="0"/>
  <w15:commentEx w15:paraId="24B54E45" w15:done="0"/>
  <w15:commentEx w15:paraId="119807B2" w15:done="0"/>
  <w15:commentEx w15:paraId="6846BBDA" w15:done="0"/>
  <w15:commentEx w15:paraId="4C00B000" w15:done="0"/>
  <w15:commentEx w15:paraId="3D5DC533" w15:done="0"/>
  <w15:commentEx w15:paraId="1FF230A6" w15:done="0"/>
  <w15:commentEx w15:paraId="4EB842CC" w15:done="0"/>
  <w15:commentEx w15:paraId="3073776F" w15:done="0"/>
  <w15:commentEx w15:paraId="58FC7B25" w15:done="0"/>
  <w15:commentEx w15:paraId="78473351" w15:done="0"/>
  <w15:commentEx w15:paraId="465687FE" w15:done="0"/>
  <w15:commentEx w15:paraId="20625330" w15:done="0"/>
  <w15:commentEx w15:paraId="30E80572" w15:done="0"/>
  <w15:commentEx w15:paraId="055AB28D" w15:done="0"/>
  <w15:commentEx w15:paraId="426DA1D1" w15:done="0"/>
  <w15:commentEx w15:paraId="32D535B3" w15:done="0"/>
  <w15:commentEx w15:paraId="1E8D2A43" w15:done="0"/>
  <w15:commentEx w15:paraId="6E0769BC" w15:done="0"/>
  <w15:commentEx w15:paraId="36D04D0D" w15:done="0"/>
  <w15:commentEx w15:paraId="3671F95B" w15:done="0"/>
  <w15:commentEx w15:paraId="1314EE43" w15:done="0"/>
  <w15:commentEx w15:paraId="6D763495" w15:done="0"/>
  <w15:commentEx w15:paraId="790AEEC0" w15:paraIdParent="6D763495" w15:done="0"/>
  <w15:commentEx w15:paraId="15C9114B" w15:done="0"/>
  <w15:commentEx w15:paraId="2EB77AFE" w15:done="0"/>
  <w15:commentEx w15:paraId="66D3560B" w15:done="0"/>
  <w15:commentEx w15:paraId="2383CE13" w15:paraIdParent="66D3560B" w15:done="0"/>
  <w15:commentEx w15:paraId="674B9AF6" w15:done="0"/>
  <w15:commentEx w15:paraId="24E1C6F5" w15:done="0"/>
  <w15:commentEx w15:paraId="1F2AA51B" w15:done="0"/>
  <w15:commentEx w15:paraId="0C4EA542" w15:done="0"/>
  <w15:commentEx w15:paraId="0744D434" w15:done="0"/>
  <w15:commentEx w15:paraId="798587A4" w15:done="0"/>
  <w15:commentEx w15:paraId="7445BFFC" w15:done="0"/>
  <w15:commentEx w15:paraId="091CC6BE" w15:done="0"/>
  <w15:commentEx w15:paraId="7D608F1C" w15:done="0"/>
  <w15:commentEx w15:paraId="42170A92" w15:done="0"/>
  <w15:commentEx w15:paraId="7CB75BDB" w15:done="0"/>
  <w15:commentEx w15:paraId="1DA8D88C" w15:done="0"/>
  <w15:commentEx w15:paraId="383D289B" w15:done="0"/>
  <w15:commentEx w15:paraId="39A8DEA0" w15:done="0"/>
  <w15:commentEx w15:paraId="77BF78FF" w15:done="0"/>
  <w15:commentEx w15:paraId="4F97A23E" w15:done="0"/>
  <w15:commentEx w15:paraId="650C8505" w15:done="0"/>
  <w15:commentEx w15:paraId="635D92A6" w15:done="0"/>
  <w15:commentEx w15:paraId="2DE3B412" w15:done="0"/>
  <w15:commentEx w15:paraId="0A81D160" w15:done="0"/>
  <w15:commentEx w15:paraId="5A824A42" w15:done="0"/>
  <w15:commentEx w15:paraId="032FC5D2" w15:done="0"/>
  <w15:commentEx w15:paraId="1D27B48E" w15:done="0"/>
  <w15:commentEx w15:paraId="09EEF401" w15:done="0"/>
  <w15:commentEx w15:paraId="46843B44" w15:done="0"/>
  <w15:commentEx w15:paraId="0F161CCB" w15:done="0"/>
  <w15:commentEx w15:paraId="7A0F03B4" w15:paraIdParent="0F161CCB" w15:done="0"/>
  <w15:commentEx w15:paraId="25BC19FC" w15:done="0"/>
  <w15:commentEx w15:paraId="64D0FAEA" w15:done="0"/>
  <w15:commentEx w15:paraId="41AA322B" w15:done="0"/>
  <w15:commentEx w15:paraId="7A59FA17" w15:done="0"/>
  <w15:commentEx w15:paraId="24D14965" w15:done="0"/>
  <w15:commentEx w15:paraId="6430FC5D" w15:paraIdParent="24D14965" w15:done="0"/>
  <w15:commentEx w15:paraId="7F4D17BD" w15:done="0"/>
  <w15:commentEx w15:paraId="18D59E91" w15:done="0"/>
  <w15:commentEx w15:paraId="3DE37104" w15:paraIdParent="18D59E91" w15:done="0"/>
  <w15:commentEx w15:paraId="4B2C6EBE" w15:done="0"/>
  <w15:commentEx w15:paraId="6082F49E" w15:done="0"/>
  <w15:commentEx w15:paraId="5F8FFD9B" w15:paraIdParent="6082F49E" w15:done="0"/>
  <w15:commentEx w15:paraId="3BA55ECF" w15:done="0"/>
  <w15:commentEx w15:paraId="0584A957" w15:done="0"/>
  <w15:commentEx w15:paraId="7D97E8DD" w15:done="0"/>
  <w15:commentEx w15:paraId="044711E2" w15:paraIdParent="7D97E8DD" w15:done="0"/>
  <w15:commentEx w15:paraId="67B87C3D" w15:done="0"/>
  <w15:commentEx w15:paraId="6A4A964D" w15:done="0"/>
  <w15:commentEx w15:paraId="3001EB53" w15:done="0"/>
  <w15:commentEx w15:paraId="6599253A" w15:done="0"/>
  <w15:commentEx w15:paraId="4CA70522" w15:done="0"/>
  <w15:commentEx w15:paraId="5592E739" w15:done="0"/>
  <w15:commentEx w15:paraId="7DBCD936" w15:done="0"/>
  <w15:commentEx w15:paraId="1D9BFF07" w15:done="0"/>
  <w15:commentEx w15:paraId="12037856" w15:done="0"/>
  <w15:commentEx w15:paraId="146B3ED6" w15:done="0"/>
  <w15:commentEx w15:paraId="5EE3E6C0" w15:done="0"/>
  <w15:commentEx w15:paraId="35D694A3" w15:done="0"/>
  <w15:commentEx w15:paraId="5EB52D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951467" w16cex:dateUtc="2026-04-22T16:18:00Z"/>
  <w16cex:commentExtensible w16cex:durableId="4DCD0529" w16cex:dateUtc="2026-04-22T13:11:00Z"/>
  <w16cex:commentExtensible w16cex:durableId="67FAB400" w16cex:dateUtc="2026-04-22T09:45:00Z"/>
  <w16cex:commentExtensible w16cex:durableId="617FC441" w16cex:dateUtc="2026-04-22T11:03:00Z"/>
  <w16cex:commentExtensible w16cex:durableId="2C8DA48D" w16cex:dateUtc="2026-04-22T09:52:00Z"/>
  <w16cex:commentExtensible w16cex:durableId="5EE43C81" w16cex:dateUtc="2026-04-22T10:58:00Z"/>
  <w16cex:commentExtensible w16cex:durableId="53E4FFA2" w16cex:dateUtc="2026-04-22T09:53:00Z"/>
  <w16cex:commentExtensible w16cex:durableId="0F06C07E" w16cex:dateUtc="2026-04-22T13:12:00Z"/>
  <w16cex:commentExtensible w16cex:durableId="05350833" w16cex:dateUtc="2026-04-22T09:54:00Z">
    <w16cex:extLst>
      <w16:ext w16:uri="{CE6994B0-6A32-4C9F-8C6B-6E91EDA988CE}">
        <cr:reactions xmlns:cr="http://schemas.microsoft.com/office/comments/2020/reactions">
          <cr:reaction reactionType="1">
            <cr:reactionInfo dateUtc="2026-04-22T09:57:35Z">
              <cr:user userId="S::scott.beckford@rackspace.com::97f88ce4-fa8b-4163-b87d-92edb22d088f" userProvider="AD" userName="Scott Beckford"/>
            </cr:reactionInfo>
          </cr:reaction>
        </cr:reactions>
      </w16:ext>
    </w16cex:extLst>
  </w16cex:commentExtensible>
  <w16cex:commentExtensible w16cex:durableId="3A6B4C7B" w16cex:dateUtc="2026-04-22T09:57:00Z"/>
  <w16cex:commentExtensible w16cex:durableId="2A1B58D3" w16cex:dateUtc="2026-04-22T13:12:00Z"/>
  <w16cex:commentExtensible w16cex:durableId="1561CB9B" w16cex:dateUtc="2026-04-22T15:44:00Z"/>
  <w16cex:commentExtensible w16cex:durableId="1F35C5E2" w16cex:dateUtc="2026-04-22T09:42:00Z"/>
  <w16cex:commentExtensible w16cex:durableId="561A1EB1" w16cex:dateUtc="2026-04-22T13:11:00Z"/>
  <w16cex:commentExtensible w16cex:durableId="2DBAC5E9" w16cex:dateUtc="2026-04-22T15:21:00Z"/>
  <w16cex:commentExtensible w16cex:durableId="725EC0CB" w16cex:dateUtc="2026-04-22T10:13:00Z"/>
  <w16cex:commentExtensible w16cex:durableId="2C2CD9D9" w16cex:dateUtc="2026-04-22T10:14:00Z"/>
  <w16cex:commentExtensible w16cex:durableId="53C77082" w16cex:dateUtc="2026-04-22T09:44:00Z"/>
  <w16cex:commentExtensible w16cex:durableId="207C14CF" w16cex:dateUtc="2026-04-22T09:45:00Z">
    <w16cex:extLst>
      <w16:ext w16:uri="{CE6994B0-6A32-4C9F-8C6B-6E91EDA988CE}">
        <cr:reactions xmlns:cr="http://schemas.microsoft.com/office/comments/2020/reactions">
          <cr:reaction reactionType="1">
            <cr:reactionInfo dateUtc="2026-04-22T11:08:45Z">
              <cr:user userId="S::akashdeep.singh@rackspace.com::d2590587-5ff1-494d-8c8d-ff464b87708a" userProvider="AD" userName="Akashdeep Singh"/>
            </cr:reactionInfo>
          </cr:reaction>
        </cr:reactions>
      </w16:ext>
    </w16cex:extLst>
  </w16cex:commentExtensible>
  <w16cex:commentExtensible w16cex:durableId="625A42DF" w16cex:dateUtc="2026-04-22T11:15:00Z"/>
  <w16cex:commentExtensible w16cex:durableId="1A1D12C7" w16cex:dateUtc="2026-04-22T09:56:00Z"/>
  <w16cex:commentExtensible w16cex:durableId="4DAF0908" w16cex:dateUtc="2026-04-22T09:47:00Z"/>
  <w16cex:commentExtensible w16cex:durableId="7C17CAB1" w16cex:dateUtc="2026-04-22T09:54:00Z"/>
  <w16cex:commentExtensible w16cex:durableId="446945B7" w16cex:dateUtc="2026-04-22T09:48:00Z"/>
  <w16cex:commentExtensible w16cex:durableId="13886ADF" w16cex:dateUtc="2026-04-22T15:45:00Z"/>
  <w16cex:commentExtensible w16cex:durableId="5BAAF170" w16cex:dateUtc="2026-04-22T09:50:00Z"/>
  <w16cex:commentExtensible w16cex:durableId="2DFF7A99" w16cex:dateUtc="2026-04-22T09:58:00Z"/>
  <w16cex:commentExtensible w16cex:durableId="2EE4A752" w16cex:dateUtc="2026-04-22T13:15:00Z"/>
  <w16cex:commentExtensible w16cex:durableId="21AD5502" w16cex:dateUtc="2026-04-22T09:58:00Z"/>
  <w16cex:commentExtensible w16cex:durableId="54F7FD17" w16cex:dateUtc="2026-04-22T10:39:00Z"/>
  <w16cex:commentExtensible w16cex:durableId="66B5A5A6" w16cex:dateUtc="2026-04-22T10:43:00Z"/>
  <w16cex:commentExtensible w16cex:durableId="7897467D" w16cex:dateUtc="2026-04-22T11:52:00Z"/>
  <w16cex:commentExtensible w16cex:durableId="63BDBBAC" w16cex:dateUtc="2026-04-22T09:53:00Z"/>
  <w16cex:commentExtensible w16cex:durableId="77B4F326" w16cex:dateUtc="2026-04-22T09:59:00Z"/>
  <w16cex:commentExtensible w16cex:durableId="5A46ACD9" w16cex:dateUtc="2026-04-22T10:01:00Z"/>
  <w16cex:commentExtensible w16cex:durableId="1CB92FA0" w16cex:dateUtc="2026-04-22T11:56:00Z"/>
  <w16cex:commentExtensible w16cex:durableId="1955BF78" w16cex:dateUtc="2026-04-22T14:01:00Z"/>
  <w16cex:commentExtensible w16cex:durableId="6747C540" w16cex:dateUtc="2026-04-22T10:03:00Z"/>
  <w16cex:commentExtensible w16cex:durableId="070DF307" w16cex:dateUtc="2026-04-22T10:03:00Z"/>
  <w16cex:commentExtensible w16cex:durableId="285DB58A" w16cex:dateUtc="2026-04-22T10:04:00Z">
    <w16cex:extLst>
      <w16:ext w16:uri="{CE6994B0-6A32-4C9F-8C6B-6E91EDA988CE}">
        <cr:reactions xmlns:cr="http://schemas.microsoft.com/office/comments/2020/reactions">
          <cr:reaction reactionType="1">
            <cr:reactionInfo dateUtc="2026-04-22T11:57:12Z">
              <cr:user userId="S::akashdeep.singh@rackspace.com::d2590587-5ff1-494d-8c8d-ff464b87708a" userProvider="AD" userName="Akashdeep Singh"/>
            </cr:reactionInfo>
          </cr:reaction>
        </cr:reactions>
      </w16:ext>
    </w16cex:extLst>
  </w16cex:commentExtensible>
  <w16cex:commentExtensible w16cex:durableId="24645FE8" w16cex:dateUtc="2026-04-22T11:57:00Z"/>
  <w16cex:commentExtensible w16cex:durableId="1F5FE68A" w16cex:dateUtc="2026-04-22T10:28:00Z"/>
  <w16cex:commentExtensible w16cex:durableId="38E182E9" w16cex:dateUtc="2026-04-22T13:16:00Z"/>
  <w16cex:commentExtensible w16cex:durableId="766A80C0" w16cex:dateUtc="2026-04-22T10:06:00Z"/>
  <w16cex:commentExtensible w16cex:durableId="46F420C7" w16cex:dateUtc="2026-04-22T10:08:00Z"/>
  <w16cex:commentExtensible w16cex:durableId="3331D598" w16cex:dateUtc="2026-04-22T10:30:00Z"/>
  <w16cex:commentExtensible w16cex:durableId="7081A1D5" w16cex:dateUtc="2026-04-22T14:02:00Z"/>
  <w16cex:commentExtensible w16cex:durableId="740FFAE8" w16cex:dateUtc="2026-04-22T15:06:00Z"/>
  <w16cex:commentExtensible w16cex:durableId="022B54A4" w16cex:dateUtc="2026-04-23T14:18:00Z"/>
  <w16cex:commentExtensible w16cex:durableId="0EC4D8C7" w16cex:dateUtc="2026-04-22T10:22:00Z"/>
  <w16cex:commentExtensible w16cex:durableId="1EBD446B" w16cex:dateUtc="2026-04-22T10:25:00Z"/>
  <w16cex:commentExtensible w16cex:durableId="559984B2" w16cex:dateUtc="2026-04-22T14:09:00Z"/>
  <w16cex:commentExtensible w16cex:durableId="393DE73D" w16cex:dateUtc="2026-04-22T10:23:00Z"/>
  <w16cex:commentExtensible w16cex:durableId="5FB9897A" w16cex:dateUtc="2026-04-22T10:25:00Z"/>
  <w16cex:commentExtensible w16cex:durableId="7DF1FB67" w16cex:dateUtc="2026-04-22T10:32:00Z"/>
  <w16cex:commentExtensible w16cex:durableId="5C4D1BB2" w16cex:dateUtc="2026-04-22T10:42:00Z"/>
  <w16cex:commentExtensible w16cex:durableId="7FDD0C93" w16cex:dateUtc="2026-04-22T10:32:00Z"/>
  <w16cex:commentExtensible w16cex:durableId="21238A77" w16cex:dateUtc="2026-04-22T14:10:00Z"/>
  <w16cex:commentExtensible w16cex:durableId="4FAC8352" w16cex:dateUtc="2026-04-22T10:32:00Z"/>
  <w16cex:commentExtensible w16cex:durableId="33764C8C" w16cex:dateUtc="2026-04-22T10:33:00Z"/>
  <w16cex:commentExtensible w16cex:durableId="365494A7" w16cex:dateUtc="2026-04-22T10:35:00Z"/>
  <w16cex:commentExtensible w16cex:durableId="1463D767" w16cex:dateUtc="2026-04-22T10:36:00Z"/>
  <w16cex:commentExtensible w16cex:durableId="74AF4EFE" w16cex:dateUtc="2026-04-22T14:18:00Z"/>
  <w16cex:commentExtensible w16cex:durableId="74D13958" w16cex:dateUtc="2026-04-22T10:38:00Z"/>
  <w16cex:commentExtensible w16cex:durableId="3890C9B6" w16cex:dateUtc="2026-04-22T10:39:00Z"/>
  <w16cex:commentExtensible w16cex:durableId="060D493C" w16cex:dateUtc="2026-04-22T10:37:00Z"/>
  <w16cex:commentExtensible w16cex:durableId="3656E2C2" w16cex:dateUtc="2026-04-22T14:18:00Z"/>
  <w16cex:commentExtensible w16cex:durableId="5D8AE030" w16cex:dateUtc="2026-04-22T10:42:00Z"/>
  <w16cex:commentExtensible w16cex:durableId="2ADC13D8" w16cex:dateUtc="2026-04-22T10:39:00Z"/>
  <w16cex:commentExtensible w16cex:durableId="1FC36D9E" w16cex:dateUtc="2026-04-22T10:47:00Z"/>
  <w16cex:commentExtensible w16cex:durableId="7F7F191E" w16cex:dateUtc="2026-04-22T10:46:00Z"/>
  <w16cex:commentExtensible w16cex:durableId="33A8FD92" w16cex:dateUtc="2026-04-22T10:49:00Z"/>
  <w16cex:commentExtensible w16cex:durableId="0D1DF75F" w16cex:dateUtc="2026-04-22T10:50:00Z"/>
  <w16cex:commentExtensible w16cex:durableId="646B6582" w16cex:dateUtc="2026-04-22T14:21:00Z"/>
  <w16cex:commentExtensible w16cex:durableId="5B61ED49" w16cex:dateUtc="2026-04-22T11:04:00Z"/>
  <w16cex:commentExtensible w16cex:durableId="7CD798C5" w16cex:dateUtc="2026-04-22T14:19:00Z"/>
  <w16cex:commentExtensible w16cex:durableId="0B979D4F" w16cex:dateUtc="2026-04-22T11:06:00Z"/>
  <w16cex:commentExtensible w16cex:durableId="551B7D2F" w16cex:dateUtc="2026-04-22T10:42:00Z"/>
  <w16cex:commentExtensible w16cex:durableId="1BCB858D" w16cex:dateUtc="2026-04-22T11:19:00Z"/>
  <w16cex:commentExtensible w16cex:durableId="2AB5525D" w16cex:dateUtc="2026-04-22T12:02:00Z"/>
  <w16cex:commentExtensible w16cex:durableId="3BB3015E" w16cex:dateUtc="2026-04-22T14:20:00Z"/>
  <w16cex:commentExtensible w16cex:durableId="2C0668C4" w16cex:dateUtc="2026-04-22T14:20:00Z"/>
  <w16cex:commentExtensible w16cex:durableId="795F522A" w16cex:dateUtc="2026-04-22T11:22:00Z"/>
  <w16cex:commentExtensible w16cex:durableId="159262BB" w16cex:dateUtc="2026-04-24T10:40:00Z"/>
  <w16cex:commentExtensible w16cex:durableId="3E75109A" w16cex:dateUtc="2026-04-22T14:48:00Z"/>
  <w16cex:commentExtensible w16cex:durableId="6B15A5FA" w16cex:dateUtc="2026-04-22T14:22:00Z"/>
  <w16cex:commentExtensible w16cex:durableId="25366C1A" w16cex:dateUtc="2026-04-22T14:23:00Z">
    <w16cex:extLst>
      <w16:ext w16:uri="{CE6994B0-6A32-4C9F-8C6B-6E91EDA988CE}">
        <cr:reactions xmlns:cr="http://schemas.microsoft.com/office/comments/2020/reactions">
          <cr:reaction reactionType="1">
            <cr:reactionInfo dateUtc="2026-04-22T14:51:32Z">
              <cr:user userId="S::scott.beckford@rackspace.com::97f88ce4-fa8b-4163-b87d-92edb22d088f" userProvider="AD" userName="Scott Beckford"/>
            </cr:reactionInfo>
          </cr:reaction>
        </cr:reactions>
      </w16:ext>
    </w16cex:extLst>
  </w16cex:commentExtensible>
  <w16cex:commentExtensible w16cex:durableId="312C994F" w16cex:dateUtc="2026-04-22T14:22:00Z"/>
  <w16cex:commentExtensible w16cex:durableId="36E5F532" w16cex:dateUtc="2026-04-22T11:25:00Z"/>
  <w16cex:commentExtensible w16cex:durableId="28343945" w16cex:dateUtc="2026-04-22T14:24:00Z"/>
  <w16cex:commentExtensible w16cex:durableId="40C83198" w16cex:dateUtc="2026-04-22T14:24:00Z"/>
  <w16cex:commentExtensible w16cex:durableId="2B8A4B13" w16cex:dateUtc="2026-04-22T14:55:00Z"/>
  <w16cex:commentExtensible w16cex:durableId="2AD69782" w16cex:dateUtc="2026-04-22T11:26:00Z"/>
  <w16cex:commentExtensible w16cex:durableId="03D66E25" w16cex:dateUtc="2026-04-22T14:57:00Z"/>
  <w16cex:commentExtensible w16cex:durableId="06DFA85C" w16cex:dateUtc="2026-04-22T14:23:00Z"/>
  <w16cex:commentExtensible w16cex:durableId="783E6551" w16cex:dateUtc="2026-04-22T14:24:00Z"/>
  <w16cex:commentExtensible w16cex:durableId="6D20782E" w16cex:dateUtc="2026-04-22T15:07:00Z"/>
  <w16cex:commentExtensible w16cex:durableId="7D6EDA02" w16cex:dateUtc="2026-04-22T15:22:00Z"/>
  <w16cex:commentExtensible w16cex:durableId="0F4EE405" w16cex:dateUtc="2026-04-22T11:28:00Z"/>
  <w16cex:commentExtensible w16cex:durableId="121E2910" w16cex:dateUtc="2026-04-22T11:29:00Z"/>
  <w16cex:commentExtensible w16cex:durableId="0C1EA918" w16cex:dateUtc="2026-04-22T14:25:00Z"/>
  <w16cex:commentExtensible w16cex:durableId="362EB823" w16cex:dateUtc="2026-04-22T15:12:00Z"/>
  <w16cex:commentExtensible w16cex:durableId="330D7D5D" w16cex:dateUtc="2026-04-22T14:26:00Z"/>
  <w16cex:commentExtensible w16cex:durableId="3ACC3648" w16cex:dateUtc="2026-04-22T14:25:00Z"/>
  <w16cex:commentExtensible w16cex:durableId="09EAC780" w16cex:dateUtc="2026-04-22T15:23:00Z"/>
  <w16cex:commentExtensible w16cex:durableId="67CF6120" w16cex:dateUtc="2026-04-22T15:23:00Z"/>
  <w16cex:commentExtensible w16cex:durableId="25B66BB4" w16cex:dateUtc="2026-04-22T15:25:00Z"/>
  <w16cex:commentExtensible w16cex:durableId="2A3992EF" w16cex:dateUtc="2026-04-22T15:15:00Z"/>
  <w16cex:commentExtensible w16cex:durableId="1F022418" w16cex:dateUtc="2026-04-22T15:47:00Z"/>
  <w16cex:commentExtensible w16cex:durableId="778B8F94" w16cex:dateUtc="2026-04-22T10:54:00Z"/>
  <w16cex:commentExtensible w16cex:durableId="6B7FD412" w16cex:dateUtc="2026-04-22T15:17:00Z"/>
  <w16cex:commentExtensible w16cex:durableId="336A8560" w16cex:dateUtc="2026-04-22T14:13:00Z"/>
  <w16cex:commentExtensible w16cex:durableId="2D696DB0" w16cex:dateUtc="2026-04-22T15:38:00Z"/>
  <w16cex:commentExtensible w16cex:durableId="5D7A4542" w16cex:dateUtc="2026-04-22T15:27:00Z"/>
  <w16cex:commentExtensible w16cex:durableId="2BFE8E68" w16cex:dateUtc="2026-04-22T15:38:00Z"/>
  <w16cex:commentExtensible w16cex:durableId="06025B10" w16cex:dateUtc="2026-04-22T15:33:00Z"/>
  <w16cex:commentExtensible w16cex:durableId="671F0CAA" w16cex:dateUtc="2026-04-22T15:34:00Z"/>
  <w16cex:commentExtensible w16cex:durableId="5B2230ED" w16cex:dateUtc="2026-04-22T15:39:00Z"/>
  <w16cex:commentExtensible w16cex:durableId="044263C2" w16cex:dateUtc="2026-04-22T11:38:00Z"/>
  <w16cex:commentExtensible w16cex:durableId="0C0AFFFF" w16cex:dateUtc="2026-04-22T11:53:00Z"/>
  <w16cex:commentExtensible w16cex:durableId="4DB365FC" w16cex:dateUtc="2026-04-22T15:39:00Z"/>
  <w16cex:commentExtensible w16cex:durableId="42AEFCF2" w16cex:dateUtc="2026-04-22T10:17:00Z"/>
  <w16cex:commentExtensible w16cex:durableId="2D80CD27" w16cex:dateUtc="2026-04-22T16:09:00Z"/>
  <w16cex:commentExtensible w16cex:durableId="639F12CE" w16cex:dateUtc="2026-04-22T15:35:00Z"/>
  <w16cex:commentExtensible w16cex:durableId="5289864E" w16cex:dateUtc="2026-04-22T11:39:00Z"/>
  <w16cex:commentExtensible w16cex:durableId="0F4D5F99" w16cex:dateUtc="2026-04-22T15:42:00Z"/>
  <w16cex:commentExtensible w16cex:durableId="3AF3B6BA" w16cex:dateUtc="2026-04-22T15:44:00Z"/>
  <w16cex:commentExtensible w16cex:durableId="6326A731" w16cex:dateUtc="2026-04-22T15:40:00Z"/>
  <w16cex:commentExtensible w16cex:durableId="3A21C616" w16cex:dateUtc="2026-04-22T15:53:00Z"/>
  <w16cex:commentExtensible w16cex:durableId="5F5BC537" w16cex:dateUtc="2026-04-22T15:45:00Z"/>
  <w16cex:commentExtensible w16cex:durableId="0EFA8442" w16cex:dateUtc="2026-04-22T15:46:00Z"/>
  <w16cex:commentExtensible w16cex:durableId="17790836" w16cex:dateUtc="2026-04-22T15:41:00Z"/>
  <w16cex:commentExtensible w16cex:durableId="7DA24DD1" w16cex:dateUtc="2026-04-22T11:40:00Z"/>
  <w16cex:commentExtensible w16cex:durableId="3B558C21" w16cex:dateUtc="2026-04-22T15:48:00Z"/>
  <w16cex:commentExtensible w16cex:durableId="7778BD2F" w16cex:dateUtc="2026-04-22T15:40:00Z"/>
  <w16cex:commentExtensible w16cex:durableId="576F19E6" w16cex:dateUtc="2026-04-22T15:50:00Z"/>
  <w16cex:commentExtensible w16cex:durableId="080DF411" w16cex:dateUtc="2026-04-22T14:25:00Z"/>
  <w16cex:commentExtensible w16cex:durableId="35C41A78" w16cex:dateUtc="2026-04-22T15:46:00Z"/>
  <w16cex:commentExtensible w16cex:durableId="540CFCF4" w16cex:dateUtc="2026-04-22T15:42:00Z"/>
  <w16cex:commentExtensible w16cex:durableId="12060E91" w16cex:dateUtc="2026-04-22T1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C06B9F" w16cid:durableId="41951467"/>
  <w16cid:commentId w16cid:paraId="59F6A837" w16cid:durableId="4DCD0529"/>
  <w16cid:commentId w16cid:paraId="361ABFEE" w16cid:durableId="67FAB400"/>
  <w16cid:commentId w16cid:paraId="4F6D69B5" w16cid:durableId="617FC441"/>
  <w16cid:commentId w16cid:paraId="79FA6541" w16cid:durableId="2C8DA48D"/>
  <w16cid:commentId w16cid:paraId="0178213B" w16cid:durableId="5EE43C81"/>
  <w16cid:commentId w16cid:paraId="6AEEDF39" w16cid:durableId="53E4FFA2"/>
  <w16cid:commentId w16cid:paraId="02F59A74" w16cid:durableId="0F06C07E"/>
  <w16cid:commentId w16cid:paraId="6A2319E6" w16cid:durableId="05350833"/>
  <w16cid:commentId w16cid:paraId="230E42B7" w16cid:durableId="3A6B4C7B"/>
  <w16cid:commentId w16cid:paraId="72E588C0" w16cid:durableId="2A1B58D3"/>
  <w16cid:commentId w16cid:paraId="655AF5CE" w16cid:durableId="1561CB9B"/>
  <w16cid:commentId w16cid:paraId="5AB5FD5F" w16cid:durableId="1F35C5E2"/>
  <w16cid:commentId w16cid:paraId="50801D9E" w16cid:durableId="561A1EB1"/>
  <w16cid:commentId w16cid:paraId="3A5B4025" w16cid:durableId="2DBAC5E9"/>
  <w16cid:commentId w16cid:paraId="020D9330" w16cid:durableId="725EC0CB"/>
  <w16cid:commentId w16cid:paraId="7880277C" w16cid:durableId="2C2CD9D9"/>
  <w16cid:commentId w16cid:paraId="11C20CA0" w16cid:durableId="53C77082"/>
  <w16cid:commentId w16cid:paraId="7018B114" w16cid:durableId="207C14CF"/>
  <w16cid:commentId w16cid:paraId="21EB127E" w16cid:durableId="625A42DF"/>
  <w16cid:commentId w16cid:paraId="70E41715" w16cid:durableId="1A1D12C7"/>
  <w16cid:commentId w16cid:paraId="5210D060" w16cid:durableId="4DAF0908"/>
  <w16cid:commentId w16cid:paraId="03D363CB" w16cid:durableId="7C17CAB1"/>
  <w16cid:commentId w16cid:paraId="047E5F75" w16cid:durableId="446945B7"/>
  <w16cid:commentId w16cid:paraId="3A131069" w16cid:durableId="13886ADF"/>
  <w16cid:commentId w16cid:paraId="6FBA04AD" w16cid:durableId="5BAAF170"/>
  <w16cid:commentId w16cid:paraId="297B50A3" w16cid:durableId="2DFF7A99"/>
  <w16cid:commentId w16cid:paraId="4CCB94A4" w16cid:durableId="2EE4A752"/>
  <w16cid:commentId w16cid:paraId="25C6E515" w16cid:durableId="21AD5502"/>
  <w16cid:commentId w16cid:paraId="27C967A7" w16cid:durableId="54F7FD17"/>
  <w16cid:commentId w16cid:paraId="6DD70EF4" w16cid:durableId="66B5A5A6"/>
  <w16cid:commentId w16cid:paraId="0EBB8109" w16cid:durableId="7897467D"/>
  <w16cid:commentId w16cid:paraId="01D08EE8" w16cid:durableId="63BDBBAC"/>
  <w16cid:commentId w16cid:paraId="1992E9F3" w16cid:durableId="77B4F326"/>
  <w16cid:commentId w16cid:paraId="40F417DF" w16cid:durableId="5A46ACD9"/>
  <w16cid:commentId w16cid:paraId="4B4390E4" w16cid:durableId="1CB92FA0"/>
  <w16cid:commentId w16cid:paraId="42CAB7E5" w16cid:durableId="1955BF78"/>
  <w16cid:commentId w16cid:paraId="6D7CED67" w16cid:durableId="6747C540"/>
  <w16cid:commentId w16cid:paraId="1B50D5EF" w16cid:durableId="070DF307"/>
  <w16cid:commentId w16cid:paraId="39403CBB" w16cid:durableId="285DB58A"/>
  <w16cid:commentId w16cid:paraId="64BB9CE2" w16cid:durableId="24645FE8"/>
  <w16cid:commentId w16cid:paraId="168E6D76" w16cid:durableId="1F5FE68A"/>
  <w16cid:commentId w16cid:paraId="72A43AB7" w16cid:durableId="38E182E9"/>
  <w16cid:commentId w16cid:paraId="1FA89CA3" w16cid:durableId="766A80C0"/>
  <w16cid:commentId w16cid:paraId="6135A151" w16cid:durableId="46F420C7"/>
  <w16cid:commentId w16cid:paraId="00D51905" w16cid:durableId="3331D598"/>
  <w16cid:commentId w16cid:paraId="75F1921B" w16cid:durableId="7081A1D5"/>
  <w16cid:commentId w16cid:paraId="6A2B4914" w16cid:durableId="740FFAE8"/>
  <w16cid:commentId w16cid:paraId="2D11E07B" w16cid:durableId="022B54A4"/>
  <w16cid:commentId w16cid:paraId="1A646157" w16cid:durableId="0EC4D8C7"/>
  <w16cid:commentId w16cid:paraId="5B51ADF6" w16cid:durableId="1EBD446B"/>
  <w16cid:commentId w16cid:paraId="5BF8C325" w16cid:durableId="559984B2"/>
  <w16cid:commentId w16cid:paraId="1373DD68" w16cid:durableId="393DE73D"/>
  <w16cid:commentId w16cid:paraId="1DB1B014" w16cid:durableId="5FB9897A"/>
  <w16cid:commentId w16cid:paraId="1FC01A51" w16cid:durableId="7DF1FB67"/>
  <w16cid:commentId w16cid:paraId="4461A65D" w16cid:durableId="5C4D1BB2"/>
  <w16cid:commentId w16cid:paraId="0BDD3E90" w16cid:durableId="7FDD0C93"/>
  <w16cid:commentId w16cid:paraId="24B54E45" w16cid:durableId="21238A77"/>
  <w16cid:commentId w16cid:paraId="119807B2" w16cid:durableId="4FAC8352"/>
  <w16cid:commentId w16cid:paraId="6846BBDA" w16cid:durableId="33764C8C"/>
  <w16cid:commentId w16cid:paraId="4C00B000" w16cid:durableId="365494A7"/>
  <w16cid:commentId w16cid:paraId="3D5DC533" w16cid:durableId="1463D767"/>
  <w16cid:commentId w16cid:paraId="1FF230A6" w16cid:durableId="74AF4EFE"/>
  <w16cid:commentId w16cid:paraId="4EB842CC" w16cid:durableId="74D13958"/>
  <w16cid:commentId w16cid:paraId="3073776F" w16cid:durableId="3890C9B6"/>
  <w16cid:commentId w16cid:paraId="58FC7B25" w16cid:durableId="060D493C"/>
  <w16cid:commentId w16cid:paraId="78473351" w16cid:durableId="3656E2C2"/>
  <w16cid:commentId w16cid:paraId="465687FE" w16cid:durableId="5D8AE030"/>
  <w16cid:commentId w16cid:paraId="20625330" w16cid:durableId="2ADC13D8"/>
  <w16cid:commentId w16cid:paraId="30E80572" w16cid:durableId="1FC36D9E"/>
  <w16cid:commentId w16cid:paraId="055AB28D" w16cid:durableId="7F7F191E"/>
  <w16cid:commentId w16cid:paraId="426DA1D1" w16cid:durableId="33A8FD92"/>
  <w16cid:commentId w16cid:paraId="32D535B3" w16cid:durableId="0D1DF75F"/>
  <w16cid:commentId w16cid:paraId="1E8D2A43" w16cid:durableId="646B6582"/>
  <w16cid:commentId w16cid:paraId="6E0769BC" w16cid:durableId="5B61ED49"/>
  <w16cid:commentId w16cid:paraId="36D04D0D" w16cid:durableId="7CD798C5"/>
  <w16cid:commentId w16cid:paraId="3671F95B" w16cid:durableId="0B979D4F"/>
  <w16cid:commentId w16cid:paraId="1314EE43" w16cid:durableId="551B7D2F"/>
  <w16cid:commentId w16cid:paraId="6D763495" w16cid:durableId="1BCB858D"/>
  <w16cid:commentId w16cid:paraId="790AEEC0" w16cid:durableId="2AB5525D"/>
  <w16cid:commentId w16cid:paraId="15C9114B" w16cid:durableId="3BB3015E"/>
  <w16cid:commentId w16cid:paraId="2EB77AFE" w16cid:durableId="2C0668C4"/>
  <w16cid:commentId w16cid:paraId="66D3560B" w16cid:durableId="795F522A"/>
  <w16cid:commentId w16cid:paraId="2383CE13" w16cid:durableId="159262BB"/>
  <w16cid:commentId w16cid:paraId="674B9AF6" w16cid:durableId="3E75109A"/>
  <w16cid:commentId w16cid:paraId="24E1C6F5" w16cid:durableId="6B15A5FA"/>
  <w16cid:commentId w16cid:paraId="1F2AA51B" w16cid:durableId="25366C1A"/>
  <w16cid:commentId w16cid:paraId="0C4EA542" w16cid:durableId="312C994F"/>
  <w16cid:commentId w16cid:paraId="0744D434" w16cid:durableId="36E5F532"/>
  <w16cid:commentId w16cid:paraId="798587A4" w16cid:durableId="28343945"/>
  <w16cid:commentId w16cid:paraId="7445BFFC" w16cid:durableId="40C83198"/>
  <w16cid:commentId w16cid:paraId="091CC6BE" w16cid:durableId="2B8A4B13"/>
  <w16cid:commentId w16cid:paraId="7D608F1C" w16cid:durableId="2AD69782"/>
  <w16cid:commentId w16cid:paraId="42170A92" w16cid:durableId="03D66E25"/>
  <w16cid:commentId w16cid:paraId="7CB75BDB" w16cid:durableId="06DFA85C"/>
  <w16cid:commentId w16cid:paraId="1DA8D88C" w16cid:durableId="783E6551"/>
  <w16cid:commentId w16cid:paraId="383D289B" w16cid:durableId="6D20782E"/>
  <w16cid:commentId w16cid:paraId="39A8DEA0" w16cid:durableId="7D6EDA02"/>
  <w16cid:commentId w16cid:paraId="77BF78FF" w16cid:durableId="0F4EE405"/>
  <w16cid:commentId w16cid:paraId="4F97A23E" w16cid:durableId="121E2910"/>
  <w16cid:commentId w16cid:paraId="650C8505" w16cid:durableId="0C1EA918"/>
  <w16cid:commentId w16cid:paraId="635D92A6" w16cid:durableId="362EB823"/>
  <w16cid:commentId w16cid:paraId="2DE3B412" w16cid:durableId="330D7D5D"/>
  <w16cid:commentId w16cid:paraId="0A81D160" w16cid:durableId="3ACC3648"/>
  <w16cid:commentId w16cid:paraId="5A824A42" w16cid:durableId="09EAC780"/>
  <w16cid:commentId w16cid:paraId="032FC5D2" w16cid:durableId="67CF6120"/>
  <w16cid:commentId w16cid:paraId="1D27B48E" w16cid:durableId="25B66BB4"/>
  <w16cid:commentId w16cid:paraId="09EEF401" w16cid:durableId="2A3992EF"/>
  <w16cid:commentId w16cid:paraId="46843B44" w16cid:durableId="1F022418"/>
  <w16cid:commentId w16cid:paraId="0F161CCB" w16cid:durableId="778B8F94"/>
  <w16cid:commentId w16cid:paraId="7A0F03B4" w16cid:durableId="6B7FD412"/>
  <w16cid:commentId w16cid:paraId="25BC19FC" w16cid:durableId="336A8560"/>
  <w16cid:commentId w16cid:paraId="64D0FAEA" w16cid:durableId="2D696DB0"/>
  <w16cid:commentId w16cid:paraId="41AA322B" w16cid:durableId="5D7A4542"/>
  <w16cid:commentId w16cid:paraId="7A59FA17" w16cid:durableId="2BFE8E68"/>
  <w16cid:commentId w16cid:paraId="24D14965" w16cid:durableId="06025B10"/>
  <w16cid:commentId w16cid:paraId="6430FC5D" w16cid:durableId="671F0CAA"/>
  <w16cid:commentId w16cid:paraId="7F4D17BD" w16cid:durableId="5B2230ED"/>
  <w16cid:commentId w16cid:paraId="18D59E91" w16cid:durableId="044263C2"/>
  <w16cid:commentId w16cid:paraId="3DE37104" w16cid:durableId="0C0AFFFF"/>
  <w16cid:commentId w16cid:paraId="4B2C6EBE" w16cid:durableId="4DB365FC"/>
  <w16cid:commentId w16cid:paraId="6082F49E" w16cid:durableId="42AEFCF2"/>
  <w16cid:commentId w16cid:paraId="5F8FFD9B" w16cid:durableId="2D80CD27"/>
  <w16cid:commentId w16cid:paraId="3BA55ECF" w16cid:durableId="639F12CE"/>
  <w16cid:commentId w16cid:paraId="0584A957" w16cid:durableId="5289864E"/>
  <w16cid:commentId w16cid:paraId="7D97E8DD" w16cid:durableId="0F4D5F99"/>
  <w16cid:commentId w16cid:paraId="044711E2" w16cid:durableId="3AF3B6BA"/>
  <w16cid:commentId w16cid:paraId="67B87C3D" w16cid:durableId="6326A731"/>
  <w16cid:commentId w16cid:paraId="6A4A964D" w16cid:durableId="3A21C616"/>
  <w16cid:commentId w16cid:paraId="3001EB53" w16cid:durableId="5F5BC537"/>
  <w16cid:commentId w16cid:paraId="6599253A" w16cid:durableId="0EFA8442"/>
  <w16cid:commentId w16cid:paraId="4CA70522" w16cid:durableId="17790836"/>
  <w16cid:commentId w16cid:paraId="5592E739" w16cid:durableId="7DA24DD1"/>
  <w16cid:commentId w16cid:paraId="7DBCD936" w16cid:durableId="3B558C21"/>
  <w16cid:commentId w16cid:paraId="1D9BFF07" w16cid:durableId="7778BD2F"/>
  <w16cid:commentId w16cid:paraId="12037856" w16cid:durableId="576F19E6"/>
  <w16cid:commentId w16cid:paraId="146B3ED6" w16cid:durableId="080DF411"/>
  <w16cid:commentId w16cid:paraId="5EE3E6C0" w16cid:durableId="35C41A78"/>
  <w16cid:commentId w16cid:paraId="35D694A3" w16cid:durableId="540CFCF4"/>
  <w16cid:commentId w16cid:paraId="5EB52DC3" w16cid:durableId="12060E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FDC20" w14:textId="77777777" w:rsidR="00596C22" w:rsidRDefault="00596C22" w:rsidP="00550B03">
      <w:pPr>
        <w:spacing w:after="0" w:line="240" w:lineRule="auto"/>
      </w:pPr>
      <w:r>
        <w:separator/>
      </w:r>
    </w:p>
  </w:endnote>
  <w:endnote w:type="continuationSeparator" w:id="0">
    <w:p w14:paraId="596835AC" w14:textId="77777777" w:rsidR="00596C22" w:rsidRDefault="00596C22" w:rsidP="00550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pitch w:val="variable"/>
    <w:sig w:usb0="00002000" w:usb1="00000000" w:usb2="00000000" w:usb3="00000000" w:csb0="00000000"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charset w:val="00"/>
    <w:family w:val="roman"/>
    <w:pitch w:val="default"/>
  </w:font>
  <w:font w:name="ArialNova-Light">
    <w:altName w:val="Arial"/>
    <w:charset w:val="00"/>
    <w:family w:val="swiss"/>
    <w:pitch w:val="variable"/>
    <w:sig w:usb0="810002EF" w:usb1="0000000A" w:usb2="00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125F" w14:textId="583ED677" w:rsidR="005362B3" w:rsidRDefault="0073480C">
    <w:r>
      <w:rPr>
        <w:noProof/>
      </w:rPr>
      <mc:AlternateContent>
        <mc:Choice Requires="wpg">
          <w:drawing>
            <wp:anchor distT="0" distB="0" distL="114300" distR="114300" simplePos="0" relativeHeight="251658245" behindDoc="0" locked="0" layoutInCell="1" allowOverlap="1" wp14:anchorId="7DB66EF0" wp14:editId="70C298B1">
              <wp:simplePos x="0" y="0"/>
              <wp:positionH relativeFrom="column">
                <wp:posOffset>1709420</wp:posOffset>
              </wp:positionH>
              <wp:positionV relativeFrom="paragraph">
                <wp:posOffset>358140</wp:posOffset>
              </wp:positionV>
              <wp:extent cx="5156790" cy="457200"/>
              <wp:effectExtent l="0" t="0" r="0" b="0"/>
              <wp:wrapNone/>
              <wp:docPr id="5" name="Group 5"/>
              <wp:cNvGraphicFramePr/>
              <a:graphic xmlns:a="http://schemas.openxmlformats.org/drawingml/2006/main">
                <a:graphicData uri="http://schemas.microsoft.com/office/word/2010/wordprocessingGroup">
                  <wpg:wgp>
                    <wpg:cNvGrpSpPr/>
                    <wpg:grpSpPr>
                      <a:xfrm>
                        <a:off x="0" y="0"/>
                        <a:ext cx="5156790" cy="457200"/>
                        <a:chOff x="0" y="0"/>
                        <a:chExt cx="5156790" cy="457200"/>
                      </a:xfrm>
                    </wpg:grpSpPr>
                    <wps:wsp>
                      <wps:cNvPr id="11" name="Rectangle 11"/>
                      <wps:cNvSpPr/>
                      <wps:spPr>
                        <a:xfrm>
                          <a:off x="4699590"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 Box 15"/>
                      <wps:cNvSpPr txBox="1">
                        <a:spLocks noChangeAspect="1" noEditPoints="1" noChangeArrowheads="1" noChangeShapeType="1" noTextEdit="1"/>
                      </wps:cNvSpPr>
                      <wps:spPr bwMode="auto">
                        <a:xfrm>
                          <a:off x="0" y="63796"/>
                          <a:ext cx="41751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97382" w14:textId="06ACBC5E" w:rsidR="0073480C" w:rsidRPr="00D27175" w:rsidRDefault="0073480C" w:rsidP="0073480C">
                            <w:pPr>
                              <w:spacing w:before="20"/>
                              <w:ind w:left="20"/>
                              <w:jc w:val="right"/>
                              <w:rPr>
                                <w:rFonts w:cs="Arial"/>
                                <w:sz w:val="16"/>
                                <w:szCs w:val="16"/>
                              </w:rPr>
                            </w:pPr>
                            <w:r w:rsidRPr="00E40351">
                              <w:rPr>
                                <w:sz w:val="16"/>
                                <w:szCs w:val="16"/>
                              </w:rPr>
                              <w:t xml:space="preserve">Sales: </w:t>
                            </w:r>
                            <w:r w:rsidR="000F2E76" w:rsidRPr="000F2E76">
                              <w:rPr>
                                <w:sz w:val="16"/>
                                <w:szCs w:val="16"/>
                              </w:rPr>
                              <w:t>0800 988 0100</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wps:txbx>
                      <wps:bodyPr rot="0" vert="horz" wrap="square" lIns="0" tIns="0" rIns="0" bIns="0" anchor="t" anchorCtr="0" upright="1">
                        <a:noAutofit/>
                      </wps:bodyPr>
                    </wps:wsp>
                    <wps:wsp>
                      <wps:cNvPr id="20" name="Text Box 20"/>
                      <wps:cNvSpPr txBox="1">
                        <a:spLocks noEditPoints="1" noChangeArrowheads="1" noChangeShapeType="1" noTextEdit="1"/>
                      </wps:cNvSpPr>
                      <wps:spPr bwMode="auto">
                        <a:xfrm>
                          <a:off x="4316818" y="63796"/>
                          <a:ext cx="37592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10238" w14:textId="77777777" w:rsidR="0073480C" w:rsidRPr="00D13FFA" w:rsidRDefault="0073480C" w:rsidP="0073480C">
                            <w:pPr>
                              <w:spacing w:before="20"/>
                              <w:ind w:left="20"/>
                              <w:jc w:val="right"/>
                              <w:rPr>
                                <w:rFonts w:cs="Arial"/>
                                <w:sz w:val="16"/>
                                <w:szCs w:val="16"/>
                              </w:rPr>
                            </w:pPr>
                            <w:r w:rsidRPr="00D13FFA">
                              <w:rPr>
                                <w:rFonts w:cs="Arial"/>
                                <w:sz w:val="16"/>
                                <w:szCs w:val="16"/>
                              </w:rPr>
                              <w:fldChar w:fldCharType="begin"/>
                            </w:r>
                            <w:r w:rsidRPr="00D13FFA">
                              <w:rPr>
                                <w:rFonts w:cs="Arial"/>
                                <w:sz w:val="16"/>
                                <w:szCs w:val="16"/>
                              </w:rPr>
                              <w:instrText xml:space="preserve"> PAGE </w:instrText>
                            </w:r>
                            <w:r w:rsidRPr="00D13FFA">
                              <w:rPr>
                                <w:rFonts w:cs="Arial"/>
                                <w:sz w:val="16"/>
                                <w:szCs w:val="16"/>
                              </w:rPr>
                              <w:fldChar w:fldCharType="separate"/>
                            </w:r>
                            <w:r w:rsidRPr="00D13FFA">
                              <w:rPr>
                                <w:rFonts w:cs="Arial"/>
                                <w:noProof/>
                                <w:sz w:val="16"/>
                                <w:szCs w:val="16"/>
                              </w:rPr>
                              <w:t>1</w:t>
                            </w:r>
                            <w:r w:rsidRPr="00D13FFA">
                              <w:rPr>
                                <w:rFonts w:cs="Arial"/>
                                <w:sz w:val="16"/>
                                <w:szCs w:val="16"/>
                              </w:rPr>
                              <w:fldChar w:fldCharType="end"/>
                            </w:r>
                            <w:r w:rsidRPr="00D13FFA">
                              <w:rPr>
                                <w:rFonts w:cs="Arial"/>
                                <w:sz w:val="16"/>
                                <w:szCs w:val="16"/>
                              </w:rPr>
                              <w:t xml:space="preserve"> of </w:t>
                            </w:r>
                            <w:r w:rsidRPr="00D13FFA">
                              <w:rPr>
                                <w:rFonts w:cs="Arial"/>
                                <w:sz w:val="16"/>
                                <w:szCs w:val="16"/>
                              </w:rPr>
                              <w:fldChar w:fldCharType="begin"/>
                            </w:r>
                            <w:r w:rsidRPr="00D13FFA">
                              <w:rPr>
                                <w:rFonts w:cs="Arial"/>
                                <w:sz w:val="16"/>
                                <w:szCs w:val="16"/>
                              </w:rPr>
                              <w:instrText xml:space="preserve"> NUMPAGES </w:instrText>
                            </w:r>
                            <w:r w:rsidRPr="00D13FFA">
                              <w:rPr>
                                <w:rFonts w:cs="Arial"/>
                                <w:sz w:val="16"/>
                                <w:szCs w:val="16"/>
                              </w:rPr>
                              <w:fldChar w:fldCharType="separate"/>
                            </w:r>
                            <w:r w:rsidRPr="00D13FFA">
                              <w:rPr>
                                <w:rFonts w:cs="Arial"/>
                                <w:noProof/>
                                <w:sz w:val="16"/>
                                <w:szCs w:val="16"/>
                              </w:rPr>
                              <w:t>2</w:t>
                            </w:r>
                            <w:r w:rsidRPr="00D13FFA">
                              <w:rPr>
                                <w:rFonts w:cs="Arial"/>
                                <w:sz w:val="16"/>
                                <w:szCs w:val="16"/>
                              </w:rPr>
                              <w:fldChar w:fldCharType="end"/>
                            </w:r>
                          </w:p>
                        </w:txbxContent>
                      </wps:txbx>
                      <wps:bodyPr rot="0" vert="horz" wrap="square" lIns="0" tIns="0" rIns="0" bIns="0" anchor="t" anchorCtr="0" upright="1">
                        <a:noAutofit/>
                      </wps:bodyPr>
                    </wps:wsp>
                  </wpg:wgp>
                </a:graphicData>
              </a:graphic>
            </wp:anchor>
          </w:drawing>
        </mc:Choice>
        <mc:Fallback xmlns:a="http://schemas.openxmlformats.org/drawingml/2006/main" xmlns:a14="http://schemas.microsoft.com/office/drawing/2010/main" xmlns:a16="http://schemas.microsoft.com/office/drawing/2014/main" xmlns:arto="http://schemas.microsoft.com/office/word/2006/arto">
          <w:pict w14:anchorId="17361585">
            <v:group id="Group 5" style="position:absolute;margin-left:134.6pt;margin-top:28.2pt;width:406.05pt;height:36pt;z-index:251658245" coordsize="51567,4572" o:spid="_x0000_s1026" w14:anchorId="7DB66E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">
              <v:rect id="Rectangle 11" style="position:absolute;left:46995;width:4572;height:4572;visibility:visible;mso-wrap-style:square;v-text-anchor:middle"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"/>
              <v:shapetype id="_x0000_t202" coordsize="21600,21600" o:spt="202" path="m,l,21600r21600,l21600,xe">
                <v:stroke joinstyle="miter"/>
                <v:path gradientshapeok="t" o:connecttype="rect"/>
              </v:shapetype>
              <v:shape id="Text Box 15" style="position:absolute;top:637;width:41751;height:1391;visibility:visible;mso-wrap-style:square;v-text-anchor:top" o:spid="_x0000_s102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o:lock v:ext="edit" verticies="t" text="t" aspectratio="t" shapetype="t"/>
                <v:textbox inset="0,0,0,0">
                  <w:txbxContent>
                    <w:p w:rsidRPr="00D27175" w:rsidR="0073480C" w:rsidP="0073480C" w:rsidRDefault="0073480C" w14:paraId="7F04CDE9" w14:textId="06ACBC5E">
                      <w:pPr>
                        <w:spacing w:before="20"/>
                        <w:ind w:left="20"/>
                        <w:jc w:val="right"/>
                        <w:rPr>
                          <w:rFonts w:cs="Arial"/>
                          <w:sz w:val="16"/>
                          <w:szCs w:val="16"/>
                        </w:rPr>
                      </w:pPr>
                      <w:r w:rsidRPr="00E40351">
                        <w:rPr>
                          <w:sz w:val="16"/>
                          <w:szCs w:val="16"/>
                        </w:rPr>
                        <w:t xml:space="preserve">Sales: </w:t>
                      </w:r>
                      <w:r w:rsidRPr="000F2E76" w:rsidR="000F2E76">
                        <w:rPr>
                          <w:sz w:val="16"/>
                          <w:szCs w:val="16"/>
                        </w:rPr>
                        <w:t>0800 988 0100</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v:textbox>
              </v:shape>
              <v:shape id="Text Box 20" style="position:absolute;left:43168;top:637;width:3759;height:1537;visibility:visible;mso-wrap-style:square;v-text-anchor:top" o:spid="_x0000_s10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o:lock v:ext="edit" verticies="t" text="t" shapetype="t"/>
                <v:textbox inset="0,0,0,0">
                  <w:txbxContent>
                    <w:p w:rsidRPr="00D13FFA" w:rsidR="0073480C" w:rsidP="0073480C" w:rsidRDefault="0073480C" w14:paraId="63995388" w14:textId="77777777">
                      <w:pPr>
                        <w:spacing w:before="20"/>
                        <w:ind w:left="20"/>
                        <w:jc w:val="right"/>
                        <w:rPr>
                          <w:rFonts w:cs="Arial"/>
                          <w:sz w:val="16"/>
                          <w:szCs w:val="16"/>
                        </w:rPr>
                      </w:pPr>
                      <w:r w:rsidRPr="00D13FFA">
                        <w:rPr>
                          <w:rFonts w:cs="Arial"/>
                          <w:sz w:val="16"/>
                          <w:szCs w:val="16"/>
                        </w:rPr>
                        <w:fldChar w:fldCharType="begin"/>
                      </w:r>
                      <w:r w:rsidRPr="00D13FFA">
                        <w:rPr>
                          <w:rFonts w:cs="Arial"/>
                          <w:sz w:val="16"/>
                          <w:szCs w:val="16"/>
                        </w:rPr>
                        <w:instrText xml:space="preserve"> PAGE </w:instrText>
                      </w:r>
                      <w:r w:rsidRPr="00D13FFA">
                        <w:rPr>
                          <w:rFonts w:cs="Arial"/>
                          <w:sz w:val="16"/>
                          <w:szCs w:val="16"/>
                        </w:rPr>
                        <w:fldChar w:fldCharType="separate"/>
                      </w:r>
                      <w:r w:rsidRPr="00D13FFA">
                        <w:rPr>
                          <w:rFonts w:cs="Arial"/>
                          <w:noProof/>
                          <w:sz w:val="16"/>
                          <w:szCs w:val="16"/>
                        </w:rPr>
                        <w:t>1</w:t>
                      </w:r>
                      <w:r w:rsidRPr="00D13FFA">
                        <w:rPr>
                          <w:rFonts w:cs="Arial"/>
                          <w:sz w:val="16"/>
                          <w:szCs w:val="16"/>
                        </w:rPr>
                        <w:fldChar w:fldCharType="end"/>
                      </w:r>
                      <w:r w:rsidRPr="00D13FFA">
                        <w:rPr>
                          <w:rFonts w:cs="Arial"/>
                          <w:sz w:val="16"/>
                          <w:szCs w:val="16"/>
                        </w:rPr>
                        <w:t xml:space="preserve"> of </w:t>
                      </w:r>
                      <w:r w:rsidRPr="00D13FFA">
                        <w:rPr>
                          <w:rFonts w:cs="Arial"/>
                          <w:sz w:val="16"/>
                          <w:szCs w:val="16"/>
                        </w:rPr>
                        <w:fldChar w:fldCharType="begin"/>
                      </w:r>
                      <w:r w:rsidRPr="00D13FFA">
                        <w:rPr>
                          <w:rFonts w:cs="Arial"/>
                          <w:sz w:val="16"/>
                          <w:szCs w:val="16"/>
                        </w:rPr>
                        <w:instrText xml:space="preserve"> NUMPAGES </w:instrText>
                      </w:r>
                      <w:r w:rsidRPr="00D13FFA">
                        <w:rPr>
                          <w:rFonts w:cs="Arial"/>
                          <w:sz w:val="16"/>
                          <w:szCs w:val="16"/>
                        </w:rPr>
                        <w:fldChar w:fldCharType="separate"/>
                      </w:r>
                      <w:r w:rsidRPr="00D13FFA">
                        <w:rPr>
                          <w:rFonts w:cs="Arial"/>
                          <w:noProof/>
                          <w:sz w:val="16"/>
                          <w:szCs w:val="16"/>
                        </w:rPr>
                        <w:t>2</w:t>
                      </w:r>
                      <w:r w:rsidRPr="00D13FFA">
                        <w:rPr>
                          <w:rFonts w:cs="Arial"/>
                          <w:sz w:val="16"/>
                          <w:szCs w:val="16"/>
                        </w:rPr>
                        <w:fldChar w:fldCharType="end"/>
                      </w:r>
                    </w:p>
                  </w:txbxContent>
                </v:textbox>
              </v:shape>
            </v:group>
          </w:pict>
        </mc:Fallback>
      </mc:AlternateContent>
    </w:r>
    <w:r w:rsidR="00CA5EAA">
      <w:rPr>
        <w:noProof/>
      </w:rPr>
      <mc:AlternateContent>
        <mc:Choice Requires="wpg">
          <w:drawing>
            <wp:anchor distT="0" distB="0" distL="114300" distR="114300" simplePos="0" relativeHeight="251658241" behindDoc="0" locked="0" layoutInCell="1" allowOverlap="1" wp14:anchorId="24182B4B" wp14:editId="01D9041D">
              <wp:simplePos x="0" y="0"/>
              <wp:positionH relativeFrom="column">
                <wp:posOffset>-685800</wp:posOffset>
              </wp:positionH>
              <wp:positionV relativeFrom="paragraph">
                <wp:posOffset>269875</wp:posOffset>
              </wp:positionV>
              <wp:extent cx="1470175" cy="537587"/>
              <wp:effectExtent l="0" t="0" r="3175" b="0"/>
              <wp:wrapNone/>
              <wp:docPr id="16" name="Group 16"/>
              <wp:cNvGraphicFramePr/>
              <a:graphic xmlns:a="http://schemas.openxmlformats.org/drawingml/2006/main">
                <a:graphicData uri="http://schemas.microsoft.com/office/word/2010/wordprocessingGroup">
                  <wpg:wgp>
                    <wpg:cNvGrpSpPr/>
                    <wpg:grpSpPr>
                      <a:xfrm>
                        <a:off x="0" y="0"/>
                        <a:ext cx="1470175" cy="537587"/>
                        <a:chOff x="0" y="0"/>
                        <a:chExt cx="1470175" cy="537587"/>
                      </a:xfrm>
                    </wpg:grpSpPr>
                    <wps:wsp>
                      <wps:cNvPr id="36" name="Rectangle 36"/>
                      <wps:cNvSpPr/>
                      <wps:spPr>
                        <a:xfrm>
                          <a:off x="0" y="80387"/>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reeform 16">
                        <a:extLst>
                          <a:ext uri="{FF2B5EF4-FFF2-40B4-BE49-F238E27FC236}">
                            <a16:creationId xmlns:a16="http://schemas.microsoft.com/office/drawing/2014/main" id="{62BC96CC-4E15-BE80-7741-9A7BE54CBA2F}"/>
                          </a:ext>
                        </a:extLst>
                      </wps:cNvPr>
                      <wps:cNvSpPr>
                        <a:spLocks noChangeAspect="1"/>
                      </wps:cNvSpPr>
                      <wps:spPr>
                        <a:xfrm>
                          <a:off x="462224" y="0"/>
                          <a:ext cx="1007951" cy="310896"/>
                        </a:xfrm>
                        <a:custGeom>
                          <a:avLst/>
                          <a:gdLst>
                            <a:gd name="connsiteX0" fmla="*/ 1242411 w 2371650"/>
                            <a:gd name="connsiteY0" fmla="*/ 294278 h 731520"/>
                            <a:gd name="connsiteX1" fmla="*/ 1215305 w 2371650"/>
                            <a:gd name="connsiteY1" fmla="*/ 362356 h 731520"/>
                            <a:gd name="connsiteX2" fmla="*/ 1105967 w 2371650"/>
                            <a:gd name="connsiteY2" fmla="*/ 398675 h 731520"/>
                            <a:gd name="connsiteX3" fmla="*/ 1019545 w 2371650"/>
                            <a:gd name="connsiteY3" fmla="*/ 378229 h 731520"/>
                            <a:gd name="connsiteX4" fmla="*/ 1032291 w 2371650"/>
                            <a:gd name="connsiteY4" fmla="*/ 311182 h 731520"/>
                            <a:gd name="connsiteX5" fmla="*/ 1114431 w 2371650"/>
                            <a:gd name="connsiteY5" fmla="*/ 334337 h 731520"/>
                            <a:gd name="connsiteX6" fmla="*/ 1150862 w 2371650"/>
                            <a:gd name="connsiteY6" fmla="*/ 308183 h 731520"/>
                            <a:gd name="connsiteX7" fmla="*/ 1114225 w 2371650"/>
                            <a:gd name="connsiteY7" fmla="*/ 270491 h 731520"/>
                            <a:gd name="connsiteX8" fmla="*/ 1051741 w 2371650"/>
                            <a:gd name="connsiteY8" fmla="*/ 192152 h 731520"/>
                            <a:gd name="connsiteX9" fmla="*/ 1182121 w 2371650"/>
                            <a:gd name="connsiteY9" fmla="*/ 89559 h 731520"/>
                            <a:gd name="connsiteX10" fmla="*/ 1265412 w 2371650"/>
                            <a:gd name="connsiteY10" fmla="*/ 108904 h 731520"/>
                            <a:gd name="connsiteX11" fmla="*/ 1252690 w 2371650"/>
                            <a:gd name="connsiteY11" fmla="*/ 175819 h 731520"/>
                            <a:gd name="connsiteX12" fmla="*/ 1177909 w 2371650"/>
                            <a:gd name="connsiteY12" fmla="*/ 154501 h 731520"/>
                            <a:gd name="connsiteX13" fmla="*/ 1140257 w 2371650"/>
                            <a:gd name="connsiteY13" fmla="*/ 180040 h 731520"/>
                            <a:gd name="connsiteX14" fmla="*/ 1175674 w 2371650"/>
                            <a:gd name="connsiteY14" fmla="*/ 213510 h 731520"/>
                            <a:gd name="connsiteX15" fmla="*/ 1242411 w 2371650"/>
                            <a:gd name="connsiteY15" fmla="*/ 294278 h 731520"/>
                            <a:gd name="connsiteX16" fmla="*/ 700127 w 2371650"/>
                            <a:gd name="connsiteY16" fmla="*/ 90173 h 731520"/>
                            <a:gd name="connsiteX17" fmla="*/ 506875 w 2371650"/>
                            <a:gd name="connsiteY17" fmla="*/ 277377 h 731520"/>
                            <a:gd name="connsiteX18" fmla="*/ 631821 w 2371650"/>
                            <a:gd name="connsiteY18" fmla="*/ 398675 h 731520"/>
                            <a:gd name="connsiteX19" fmla="*/ 716237 w 2371650"/>
                            <a:gd name="connsiteY19" fmla="*/ 382823 h 731520"/>
                            <a:gd name="connsiteX20" fmla="*/ 730160 w 2371650"/>
                            <a:gd name="connsiteY20" fmla="*/ 309292 h 731520"/>
                            <a:gd name="connsiteX21" fmla="*/ 656602 w 2371650"/>
                            <a:gd name="connsiteY21" fmla="*/ 328310 h 731520"/>
                            <a:gd name="connsiteX22" fmla="*/ 599017 w 2371650"/>
                            <a:gd name="connsiteY22" fmla="*/ 267701 h 731520"/>
                            <a:gd name="connsiteX23" fmla="*/ 698907 w 2371650"/>
                            <a:gd name="connsiteY23" fmla="*/ 160549 h 731520"/>
                            <a:gd name="connsiteX24" fmla="*/ 747443 w 2371650"/>
                            <a:gd name="connsiteY24" fmla="*/ 172102 h 731520"/>
                            <a:gd name="connsiteX25" fmla="*/ 761069 w 2371650"/>
                            <a:gd name="connsiteY25" fmla="*/ 100610 h 731520"/>
                            <a:gd name="connsiteX26" fmla="*/ 700127 w 2371650"/>
                            <a:gd name="connsiteY26" fmla="*/ 90173 h 731520"/>
                            <a:gd name="connsiteX27" fmla="*/ 2245494 w 2371650"/>
                            <a:gd name="connsiteY27" fmla="*/ 330114 h 731520"/>
                            <a:gd name="connsiteX28" fmla="*/ 2348811 w 2371650"/>
                            <a:gd name="connsiteY28" fmla="*/ 300958 h 731520"/>
                            <a:gd name="connsiteX29" fmla="*/ 2334727 w 2371650"/>
                            <a:gd name="connsiteY29" fmla="*/ 374974 h 731520"/>
                            <a:gd name="connsiteX30" fmla="*/ 2224343 w 2371650"/>
                            <a:gd name="connsiteY30" fmla="*/ 398697 h 731520"/>
                            <a:gd name="connsiteX31" fmla="*/ 2095748 w 2371650"/>
                            <a:gd name="connsiteY31" fmla="*/ 273749 h 731520"/>
                            <a:gd name="connsiteX32" fmla="*/ 2141886 w 2371650"/>
                            <a:gd name="connsiteY32" fmla="*/ 147809 h 731520"/>
                            <a:gd name="connsiteX33" fmla="*/ 2268462 w 2371650"/>
                            <a:gd name="connsiteY33" fmla="*/ 89568 h 731520"/>
                            <a:gd name="connsiteX34" fmla="*/ 2371651 w 2371650"/>
                            <a:gd name="connsiteY34" fmla="*/ 178851 h 731520"/>
                            <a:gd name="connsiteX35" fmla="*/ 2347824 w 2371650"/>
                            <a:gd name="connsiteY35" fmla="*/ 239192 h 731520"/>
                            <a:gd name="connsiteX36" fmla="*/ 2179041 w 2371650"/>
                            <a:gd name="connsiteY36" fmla="*/ 271119 h 731520"/>
                            <a:gd name="connsiteX37" fmla="*/ 2245494 w 2371650"/>
                            <a:gd name="connsiteY37" fmla="*/ 330114 h 731520"/>
                            <a:gd name="connsiteX38" fmla="*/ 2188658 w 2371650"/>
                            <a:gd name="connsiteY38" fmla="*/ 214066 h 731520"/>
                            <a:gd name="connsiteX39" fmla="*/ 2281969 w 2371650"/>
                            <a:gd name="connsiteY39" fmla="*/ 196724 h 731520"/>
                            <a:gd name="connsiteX40" fmla="*/ 2257578 w 2371650"/>
                            <a:gd name="connsiteY40" fmla="*/ 153896 h 731520"/>
                            <a:gd name="connsiteX41" fmla="*/ 2188658 w 2371650"/>
                            <a:gd name="connsiteY41" fmla="*/ 214066 h 731520"/>
                            <a:gd name="connsiteX42" fmla="*/ 2051252 w 2371650"/>
                            <a:gd name="connsiteY42" fmla="*/ 90173 h 731520"/>
                            <a:gd name="connsiteX43" fmla="*/ 1858000 w 2371650"/>
                            <a:gd name="connsiteY43" fmla="*/ 277377 h 731520"/>
                            <a:gd name="connsiteX44" fmla="*/ 1982946 w 2371650"/>
                            <a:gd name="connsiteY44" fmla="*/ 398675 h 731520"/>
                            <a:gd name="connsiteX45" fmla="*/ 2067362 w 2371650"/>
                            <a:gd name="connsiteY45" fmla="*/ 382823 h 731520"/>
                            <a:gd name="connsiteX46" fmla="*/ 2081285 w 2371650"/>
                            <a:gd name="connsiteY46" fmla="*/ 309292 h 731520"/>
                            <a:gd name="connsiteX47" fmla="*/ 2007727 w 2371650"/>
                            <a:gd name="connsiteY47" fmla="*/ 328310 h 731520"/>
                            <a:gd name="connsiteX48" fmla="*/ 1950142 w 2371650"/>
                            <a:gd name="connsiteY48" fmla="*/ 267702 h 731520"/>
                            <a:gd name="connsiteX49" fmla="*/ 2050032 w 2371650"/>
                            <a:gd name="connsiteY49" fmla="*/ 160549 h 731520"/>
                            <a:gd name="connsiteX50" fmla="*/ 2098568 w 2371650"/>
                            <a:gd name="connsiteY50" fmla="*/ 172102 h 731520"/>
                            <a:gd name="connsiteX51" fmla="*/ 2112194 w 2371650"/>
                            <a:gd name="connsiteY51" fmla="*/ 100611 h 731520"/>
                            <a:gd name="connsiteX52" fmla="*/ 2051252 w 2371650"/>
                            <a:gd name="connsiteY52" fmla="*/ 90173 h 731520"/>
                            <a:gd name="connsiteX53" fmla="*/ 1843528 w 2371650"/>
                            <a:gd name="connsiteY53" fmla="*/ 226669 h 731520"/>
                            <a:gd name="connsiteX54" fmla="*/ 1811816 w 2371650"/>
                            <a:gd name="connsiteY54" fmla="*/ 392639 h 731520"/>
                            <a:gd name="connsiteX55" fmla="*/ 1727820 w 2371650"/>
                            <a:gd name="connsiteY55" fmla="*/ 392639 h 731520"/>
                            <a:gd name="connsiteX56" fmla="*/ 1738736 w 2371650"/>
                            <a:gd name="connsiteY56" fmla="*/ 335513 h 731520"/>
                            <a:gd name="connsiteX57" fmla="*/ 1650105 w 2371650"/>
                            <a:gd name="connsiteY57" fmla="*/ 399290 h 731520"/>
                            <a:gd name="connsiteX58" fmla="*/ 1565228 w 2371650"/>
                            <a:gd name="connsiteY58" fmla="*/ 295498 h 731520"/>
                            <a:gd name="connsiteX59" fmla="*/ 1627168 w 2371650"/>
                            <a:gd name="connsiteY59" fmla="*/ 139273 h 731520"/>
                            <a:gd name="connsiteX60" fmla="*/ 1748539 w 2371650"/>
                            <a:gd name="connsiteY60" fmla="*/ 89560 h 731520"/>
                            <a:gd name="connsiteX61" fmla="*/ 1827163 w 2371650"/>
                            <a:gd name="connsiteY61" fmla="*/ 120078 h 731520"/>
                            <a:gd name="connsiteX62" fmla="*/ 1843528 w 2371650"/>
                            <a:gd name="connsiteY62" fmla="*/ 226669 h 731520"/>
                            <a:gd name="connsiteX63" fmla="*/ 1762661 w 2371650"/>
                            <a:gd name="connsiteY63" fmla="*/ 188485 h 731520"/>
                            <a:gd name="connsiteX64" fmla="*/ 1731209 w 2371650"/>
                            <a:gd name="connsiteY64" fmla="*/ 156274 h 731520"/>
                            <a:gd name="connsiteX65" fmla="*/ 1654041 w 2371650"/>
                            <a:gd name="connsiteY65" fmla="*/ 277317 h 731520"/>
                            <a:gd name="connsiteX66" fmla="*/ 1685554 w 2371650"/>
                            <a:gd name="connsiteY66" fmla="*/ 327655 h 731520"/>
                            <a:gd name="connsiteX67" fmla="*/ 1754585 w 2371650"/>
                            <a:gd name="connsiteY67" fmla="*/ 245198 h 731520"/>
                            <a:gd name="connsiteX68" fmla="*/ 1762661 w 2371650"/>
                            <a:gd name="connsiteY68" fmla="*/ 188485 h 731520"/>
                            <a:gd name="connsiteX69" fmla="*/ 492406 w 2371650"/>
                            <a:gd name="connsiteY69" fmla="*/ 226669 h 731520"/>
                            <a:gd name="connsiteX70" fmla="*/ 460693 w 2371650"/>
                            <a:gd name="connsiteY70" fmla="*/ 392639 h 731520"/>
                            <a:gd name="connsiteX71" fmla="*/ 376698 w 2371650"/>
                            <a:gd name="connsiteY71" fmla="*/ 392639 h 731520"/>
                            <a:gd name="connsiteX72" fmla="*/ 387613 w 2371650"/>
                            <a:gd name="connsiteY72" fmla="*/ 335513 h 731520"/>
                            <a:gd name="connsiteX73" fmla="*/ 298982 w 2371650"/>
                            <a:gd name="connsiteY73" fmla="*/ 399290 h 731520"/>
                            <a:gd name="connsiteX74" fmla="*/ 214106 w 2371650"/>
                            <a:gd name="connsiteY74" fmla="*/ 295498 h 731520"/>
                            <a:gd name="connsiteX75" fmla="*/ 276045 w 2371650"/>
                            <a:gd name="connsiteY75" fmla="*/ 139273 h 731520"/>
                            <a:gd name="connsiteX76" fmla="*/ 397417 w 2371650"/>
                            <a:gd name="connsiteY76" fmla="*/ 89560 h 731520"/>
                            <a:gd name="connsiteX77" fmla="*/ 476040 w 2371650"/>
                            <a:gd name="connsiteY77" fmla="*/ 120078 h 731520"/>
                            <a:gd name="connsiteX78" fmla="*/ 492406 w 2371650"/>
                            <a:gd name="connsiteY78" fmla="*/ 226669 h 731520"/>
                            <a:gd name="connsiteX79" fmla="*/ 411539 w 2371650"/>
                            <a:gd name="connsiteY79" fmla="*/ 188485 h 731520"/>
                            <a:gd name="connsiteX80" fmla="*/ 380086 w 2371650"/>
                            <a:gd name="connsiteY80" fmla="*/ 156274 h 731520"/>
                            <a:gd name="connsiteX81" fmla="*/ 302918 w 2371650"/>
                            <a:gd name="connsiteY81" fmla="*/ 277317 h 731520"/>
                            <a:gd name="connsiteX82" fmla="*/ 334431 w 2371650"/>
                            <a:gd name="connsiteY82" fmla="*/ 327655 h 731520"/>
                            <a:gd name="connsiteX83" fmla="*/ 403462 w 2371650"/>
                            <a:gd name="connsiteY83" fmla="*/ 245198 h 731520"/>
                            <a:gd name="connsiteX84" fmla="*/ 411539 w 2371650"/>
                            <a:gd name="connsiteY84" fmla="*/ 188485 h 731520"/>
                            <a:gd name="connsiteX85" fmla="*/ 1559358 w 2371650"/>
                            <a:gd name="connsiteY85" fmla="*/ 202421 h 731520"/>
                            <a:gd name="connsiteX86" fmla="*/ 1462337 w 2371650"/>
                            <a:gd name="connsiteY86" fmla="*/ 381725 h 731520"/>
                            <a:gd name="connsiteX87" fmla="*/ 1398411 w 2371650"/>
                            <a:gd name="connsiteY87" fmla="*/ 399293 h 731520"/>
                            <a:gd name="connsiteX88" fmla="*/ 1339675 w 2371650"/>
                            <a:gd name="connsiteY88" fmla="*/ 369610 h 731520"/>
                            <a:gd name="connsiteX89" fmla="*/ 1317337 w 2371650"/>
                            <a:gd name="connsiteY89" fmla="*/ 487670 h 731520"/>
                            <a:gd name="connsiteX90" fmla="*/ 1229398 w 2371650"/>
                            <a:gd name="connsiteY90" fmla="*/ 487670 h 731520"/>
                            <a:gd name="connsiteX91" fmla="*/ 1304052 w 2371650"/>
                            <a:gd name="connsiteY91" fmla="*/ 95023 h 731520"/>
                            <a:gd name="connsiteX92" fmla="*/ 1381506 w 2371650"/>
                            <a:gd name="connsiteY92" fmla="*/ 95023 h 731520"/>
                            <a:gd name="connsiteX93" fmla="*/ 1372451 w 2371650"/>
                            <a:gd name="connsiteY93" fmla="*/ 142685 h 731520"/>
                            <a:gd name="connsiteX94" fmla="*/ 1463423 w 2371650"/>
                            <a:gd name="connsiteY94" fmla="*/ 89560 h 731520"/>
                            <a:gd name="connsiteX95" fmla="*/ 1559357 w 2371650"/>
                            <a:gd name="connsiteY95" fmla="*/ 202421 h 731520"/>
                            <a:gd name="connsiteX96" fmla="*/ 1467902 w 2371650"/>
                            <a:gd name="connsiteY96" fmla="*/ 209082 h 731520"/>
                            <a:gd name="connsiteX97" fmla="*/ 1432391 w 2371650"/>
                            <a:gd name="connsiteY97" fmla="*/ 161162 h 731520"/>
                            <a:gd name="connsiteX98" fmla="*/ 1361269 w 2371650"/>
                            <a:gd name="connsiteY98" fmla="*/ 255076 h 731520"/>
                            <a:gd name="connsiteX99" fmla="*/ 1387791 w 2371650"/>
                            <a:gd name="connsiteY99" fmla="*/ 332534 h 731520"/>
                            <a:gd name="connsiteX100" fmla="*/ 1467902 w 2371650"/>
                            <a:gd name="connsiteY100" fmla="*/ 209082 h 731520"/>
                            <a:gd name="connsiteX101" fmla="*/ 122511 w 2371650"/>
                            <a:gd name="connsiteY101" fmla="*/ 161001 h 731520"/>
                            <a:gd name="connsiteX102" fmla="*/ 135047 w 2371650"/>
                            <a:gd name="connsiteY102" fmla="*/ 95022 h 731520"/>
                            <a:gd name="connsiteX103" fmla="*/ 57600 w 2371650"/>
                            <a:gd name="connsiteY103" fmla="*/ 95022 h 731520"/>
                            <a:gd name="connsiteX104" fmla="*/ 0 w 2371650"/>
                            <a:gd name="connsiteY104" fmla="*/ 397876 h 731520"/>
                            <a:gd name="connsiteX105" fmla="*/ 87953 w 2371650"/>
                            <a:gd name="connsiteY105" fmla="*/ 397876 h 731520"/>
                            <a:gd name="connsiteX106" fmla="*/ 111703 w 2371650"/>
                            <a:gd name="connsiteY106" fmla="*/ 273006 h 731520"/>
                            <a:gd name="connsiteX107" fmla="*/ 228071 w 2371650"/>
                            <a:gd name="connsiteY107" fmla="*/ 179010 h 731520"/>
                            <a:gd name="connsiteX108" fmla="*/ 245247 w 2371650"/>
                            <a:gd name="connsiteY108" fmla="*/ 88676 h 731520"/>
                            <a:gd name="connsiteX109" fmla="*/ 122511 w 2371650"/>
                            <a:gd name="connsiteY109" fmla="*/ 161001 h 731520"/>
                            <a:gd name="connsiteX110" fmla="*/ 827930 w 2371650"/>
                            <a:gd name="connsiteY110" fmla="*/ 392638 h 731520"/>
                            <a:gd name="connsiteX111" fmla="*/ 858223 w 2371650"/>
                            <a:gd name="connsiteY111" fmla="*/ 233285 h 731520"/>
                            <a:gd name="connsiteX112" fmla="*/ 920576 w 2371650"/>
                            <a:gd name="connsiteY112" fmla="*/ 392638 h 731520"/>
                            <a:gd name="connsiteX113" fmla="*/ 1015149 w 2371650"/>
                            <a:gd name="connsiteY113" fmla="*/ 392638 h 731520"/>
                            <a:gd name="connsiteX114" fmla="*/ 950636 w 2371650"/>
                            <a:gd name="connsiteY114" fmla="*/ 232019 h 731520"/>
                            <a:gd name="connsiteX115" fmla="*/ 1068043 w 2371650"/>
                            <a:gd name="connsiteY115" fmla="*/ 95022 h 731520"/>
                            <a:gd name="connsiteX116" fmla="*/ 972037 w 2371650"/>
                            <a:gd name="connsiteY116" fmla="*/ 95022 h 731520"/>
                            <a:gd name="connsiteX117" fmla="*/ 858750 w 2371650"/>
                            <a:gd name="connsiteY117" fmla="*/ 230516 h 731520"/>
                            <a:gd name="connsiteX118" fmla="*/ 902570 w 2371650"/>
                            <a:gd name="connsiteY118" fmla="*/ 0 h 731520"/>
                            <a:gd name="connsiteX119" fmla="*/ 815233 w 2371650"/>
                            <a:gd name="connsiteY119" fmla="*/ 0 h 731520"/>
                            <a:gd name="connsiteX120" fmla="*/ 740583 w 2371650"/>
                            <a:gd name="connsiteY120" fmla="*/ 392638 h 731520"/>
                            <a:gd name="connsiteX121" fmla="*/ 1839859 w 2371650"/>
                            <a:gd name="connsiteY121" fmla="*/ 600836 h 731520"/>
                            <a:gd name="connsiteX122" fmla="*/ 1767287 w 2371650"/>
                            <a:gd name="connsiteY122" fmla="*/ 680372 h 731520"/>
                            <a:gd name="connsiteX123" fmla="*/ 1715912 w 2371650"/>
                            <a:gd name="connsiteY123" fmla="*/ 628492 h 731520"/>
                            <a:gd name="connsiteX124" fmla="*/ 1788483 w 2371650"/>
                            <a:gd name="connsiteY124" fmla="*/ 548956 h 731520"/>
                            <a:gd name="connsiteX125" fmla="*/ 1839859 w 2371650"/>
                            <a:gd name="connsiteY125" fmla="*/ 600836 h 731520"/>
                            <a:gd name="connsiteX126" fmla="*/ 1746898 w 2371650"/>
                            <a:gd name="connsiteY126" fmla="*/ 627709 h 731520"/>
                            <a:gd name="connsiteX127" fmla="*/ 1771426 w 2371650"/>
                            <a:gd name="connsiteY127" fmla="*/ 657157 h 731520"/>
                            <a:gd name="connsiteX128" fmla="*/ 1808872 w 2371650"/>
                            <a:gd name="connsiteY128" fmla="*/ 601088 h 731520"/>
                            <a:gd name="connsiteX129" fmla="*/ 1784850 w 2371650"/>
                            <a:gd name="connsiteY129" fmla="*/ 572170 h 731520"/>
                            <a:gd name="connsiteX130" fmla="*/ 1746898 w 2371650"/>
                            <a:gd name="connsiteY130" fmla="*/ 627709 h 731520"/>
                            <a:gd name="connsiteX131" fmla="*/ 2044503 w 2371650"/>
                            <a:gd name="connsiteY131" fmla="*/ 600836 h 731520"/>
                            <a:gd name="connsiteX132" fmla="*/ 1971931 w 2371650"/>
                            <a:gd name="connsiteY132" fmla="*/ 680372 h 731520"/>
                            <a:gd name="connsiteX133" fmla="*/ 1920555 w 2371650"/>
                            <a:gd name="connsiteY133" fmla="*/ 628492 h 731520"/>
                            <a:gd name="connsiteX134" fmla="*/ 1993127 w 2371650"/>
                            <a:gd name="connsiteY134" fmla="*/ 548956 h 731520"/>
                            <a:gd name="connsiteX135" fmla="*/ 2044503 w 2371650"/>
                            <a:gd name="connsiteY135" fmla="*/ 600836 h 731520"/>
                            <a:gd name="connsiteX136" fmla="*/ 1951542 w 2371650"/>
                            <a:gd name="connsiteY136" fmla="*/ 627709 h 731520"/>
                            <a:gd name="connsiteX137" fmla="*/ 1976069 w 2371650"/>
                            <a:gd name="connsiteY137" fmla="*/ 657157 h 731520"/>
                            <a:gd name="connsiteX138" fmla="*/ 2013516 w 2371650"/>
                            <a:gd name="connsiteY138" fmla="*/ 601088 h 731520"/>
                            <a:gd name="connsiteX139" fmla="*/ 1989494 w 2371650"/>
                            <a:gd name="connsiteY139" fmla="*/ 572170 h 731520"/>
                            <a:gd name="connsiteX140" fmla="*/ 1951542 w 2371650"/>
                            <a:gd name="connsiteY140" fmla="*/ 627709 h 731520"/>
                            <a:gd name="connsiteX141" fmla="*/ 1884855 w 2371650"/>
                            <a:gd name="connsiteY141" fmla="*/ 510629 h 731520"/>
                            <a:gd name="connsiteX142" fmla="*/ 1853107 w 2371650"/>
                            <a:gd name="connsiteY142" fmla="*/ 677545 h 731520"/>
                            <a:gd name="connsiteX143" fmla="*/ 1883083 w 2371650"/>
                            <a:gd name="connsiteY143" fmla="*/ 677545 h 731520"/>
                            <a:gd name="connsiteX144" fmla="*/ 1915062 w 2371650"/>
                            <a:gd name="connsiteY144" fmla="*/ 510629 h 731520"/>
                            <a:gd name="connsiteX145" fmla="*/ 1400114 w 2371650"/>
                            <a:gd name="connsiteY145" fmla="*/ 549208 h 731520"/>
                            <a:gd name="connsiteX146" fmla="*/ 1320326 w 2371650"/>
                            <a:gd name="connsiteY146" fmla="*/ 630031 h 731520"/>
                            <a:gd name="connsiteX147" fmla="*/ 1371196 w 2371650"/>
                            <a:gd name="connsiteY147" fmla="*/ 680120 h 731520"/>
                            <a:gd name="connsiteX148" fmla="*/ 1408275 w 2371650"/>
                            <a:gd name="connsiteY148" fmla="*/ 672445 h 731520"/>
                            <a:gd name="connsiteX149" fmla="*/ 1413237 w 2371650"/>
                            <a:gd name="connsiteY149" fmla="*/ 646349 h 731520"/>
                            <a:gd name="connsiteX150" fmla="*/ 1379448 w 2371650"/>
                            <a:gd name="connsiteY150" fmla="*/ 655845 h 731520"/>
                            <a:gd name="connsiteX151" fmla="*/ 1351817 w 2371650"/>
                            <a:gd name="connsiteY151" fmla="*/ 626423 h 731520"/>
                            <a:gd name="connsiteX152" fmla="*/ 1399080 w 2371650"/>
                            <a:gd name="connsiteY152" fmla="*/ 573483 h 731520"/>
                            <a:gd name="connsiteX153" fmla="*/ 1422249 w 2371650"/>
                            <a:gd name="connsiteY153" fmla="*/ 579346 h 731520"/>
                            <a:gd name="connsiteX154" fmla="*/ 1427004 w 2371650"/>
                            <a:gd name="connsiteY154" fmla="*/ 554336 h 731520"/>
                            <a:gd name="connsiteX155" fmla="*/ 1400114 w 2371650"/>
                            <a:gd name="connsiteY155" fmla="*/ 549208 h 731520"/>
                            <a:gd name="connsiteX156" fmla="*/ 1228324 w 2371650"/>
                            <a:gd name="connsiteY156" fmla="*/ 643733 h 731520"/>
                            <a:gd name="connsiteX157" fmla="*/ 1224968 w 2371650"/>
                            <a:gd name="connsiteY157" fmla="*/ 625893 h 731520"/>
                            <a:gd name="connsiteX158" fmla="*/ 1307330 w 2371650"/>
                            <a:gd name="connsiteY158" fmla="*/ 584333 h 731520"/>
                            <a:gd name="connsiteX159" fmla="*/ 1266780 w 2371650"/>
                            <a:gd name="connsiteY159" fmla="*/ 548956 h 731520"/>
                            <a:gd name="connsiteX160" fmla="*/ 1195521 w 2371650"/>
                            <a:gd name="connsiteY160" fmla="*/ 628214 h 731520"/>
                            <a:gd name="connsiteX161" fmla="*/ 1247174 w 2371650"/>
                            <a:gd name="connsiteY161" fmla="*/ 680372 h 731520"/>
                            <a:gd name="connsiteX162" fmla="*/ 1294703 w 2371650"/>
                            <a:gd name="connsiteY162" fmla="*/ 668583 h 731520"/>
                            <a:gd name="connsiteX163" fmla="*/ 1299850 w 2371650"/>
                            <a:gd name="connsiteY163" fmla="*/ 641509 h 731520"/>
                            <a:gd name="connsiteX164" fmla="*/ 1254138 w 2371650"/>
                            <a:gd name="connsiteY164" fmla="*/ 656627 h 731520"/>
                            <a:gd name="connsiteX165" fmla="*/ 1228324 w 2371650"/>
                            <a:gd name="connsiteY165" fmla="*/ 643733 h 731520"/>
                            <a:gd name="connsiteX166" fmla="*/ 1262919 w 2371650"/>
                            <a:gd name="connsiteY166" fmla="*/ 571414 h 731520"/>
                            <a:gd name="connsiteX167" fmla="*/ 1278918 w 2371650"/>
                            <a:gd name="connsiteY167" fmla="*/ 584333 h 731520"/>
                            <a:gd name="connsiteX168" fmla="*/ 1228047 w 2371650"/>
                            <a:gd name="connsiteY168" fmla="*/ 603410 h 731520"/>
                            <a:gd name="connsiteX169" fmla="*/ 1262919 w 2371650"/>
                            <a:gd name="connsiteY169" fmla="*/ 571414 h 731520"/>
                            <a:gd name="connsiteX170" fmla="*/ 1695170 w 2371650"/>
                            <a:gd name="connsiteY170" fmla="*/ 583525 h 731520"/>
                            <a:gd name="connsiteX171" fmla="*/ 1663149 w 2371650"/>
                            <a:gd name="connsiteY171" fmla="*/ 548955 h 731520"/>
                            <a:gd name="connsiteX172" fmla="*/ 1617217 w 2371650"/>
                            <a:gd name="connsiteY172" fmla="*/ 575329 h 731520"/>
                            <a:gd name="connsiteX173" fmla="*/ 1621873 w 2371650"/>
                            <a:gd name="connsiteY173" fmla="*/ 551024 h 731520"/>
                            <a:gd name="connsiteX174" fmla="*/ 1594758 w 2371650"/>
                            <a:gd name="connsiteY174" fmla="*/ 551024 h 731520"/>
                            <a:gd name="connsiteX175" fmla="*/ 1570693 w 2371650"/>
                            <a:gd name="connsiteY175" fmla="*/ 677545 h 731520"/>
                            <a:gd name="connsiteX176" fmla="*/ 1600669 w 2371650"/>
                            <a:gd name="connsiteY176" fmla="*/ 677545 h 731520"/>
                            <a:gd name="connsiteX177" fmla="*/ 1611798 w 2371650"/>
                            <a:gd name="connsiteY177" fmla="*/ 619458 h 731520"/>
                            <a:gd name="connsiteX178" fmla="*/ 1648160 w 2371650"/>
                            <a:gd name="connsiteY178" fmla="*/ 573483 h 731520"/>
                            <a:gd name="connsiteX179" fmla="*/ 1663931 w 2371650"/>
                            <a:gd name="connsiteY179" fmla="*/ 591550 h 731520"/>
                            <a:gd name="connsiteX180" fmla="*/ 1662448 w 2371650"/>
                            <a:gd name="connsiteY180" fmla="*/ 606538 h 731520"/>
                            <a:gd name="connsiteX181" fmla="*/ 1648942 w 2371650"/>
                            <a:gd name="connsiteY181" fmla="*/ 677545 h 731520"/>
                            <a:gd name="connsiteX182" fmla="*/ 1678918 w 2371650"/>
                            <a:gd name="connsiteY182" fmla="*/ 677545 h 731520"/>
                            <a:gd name="connsiteX183" fmla="*/ 1692967 w 2371650"/>
                            <a:gd name="connsiteY183" fmla="*/ 604217 h 731520"/>
                            <a:gd name="connsiteX184" fmla="*/ 1695170 w 2371650"/>
                            <a:gd name="connsiteY184" fmla="*/ 583525 h 731520"/>
                            <a:gd name="connsiteX185" fmla="*/ 1521033 w 2371650"/>
                            <a:gd name="connsiteY185" fmla="*/ 548955 h 731520"/>
                            <a:gd name="connsiteX186" fmla="*/ 1479203 w 2371650"/>
                            <a:gd name="connsiteY186" fmla="*/ 569759 h 731520"/>
                            <a:gd name="connsiteX187" fmla="*/ 1490532 w 2371650"/>
                            <a:gd name="connsiteY187" fmla="*/ 510629 h 731520"/>
                            <a:gd name="connsiteX188" fmla="*/ 1460325 w 2371650"/>
                            <a:gd name="connsiteY188" fmla="*/ 510629 h 731520"/>
                            <a:gd name="connsiteX189" fmla="*/ 1428577 w 2371650"/>
                            <a:gd name="connsiteY189" fmla="*/ 677545 h 731520"/>
                            <a:gd name="connsiteX190" fmla="*/ 1458554 w 2371650"/>
                            <a:gd name="connsiteY190" fmla="*/ 677545 h 731520"/>
                            <a:gd name="connsiteX191" fmla="*/ 1469682 w 2371650"/>
                            <a:gd name="connsiteY191" fmla="*/ 619458 h 731520"/>
                            <a:gd name="connsiteX192" fmla="*/ 1506044 w 2371650"/>
                            <a:gd name="connsiteY192" fmla="*/ 573482 h 731520"/>
                            <a:gd name="connsiteX193" fmla="*/ 1521815 w 2371650"/>
                            <a:gd name="connsiteY193" fmla="*/ 591550 h 731520"/>
                            <a:gd name="connsiteX194" fmla="*/ 1520332 w 2371650"/>
                            <a:gd name="connsiteY194" fmla="*/ 606538 h 731520"/>
                            <a:gd name="connsiteX195" fmla="*/ 1506827 w 2371650"/>
                            <a:gd name="connsiteY195" fmla="*/ 677545 h 731520"/>
                            <a:gd name="connsiteX196" fmla="*/ 1536803 w 2371650"/>
                            <a:gd name="connsiteY196" fmla="*/ 677545 h 731520"/>
                            <a:gd name="connsiteX197" fmla="*/ 1550851 w 2371650"/>
                            <a:gd name="connsiteY197" fmla="*/ 604217 h 731520"/>
                            <a:gd name="connsiteX198" fmla="*/ 1553054 w 2371650"/>
                            <a:gd name="connsiteY198" fmla="*/ 583525 h 731520"/>
                            <a:gd name="connsiteX199" fmla="*/ 1521033 w 2371650"/>
                            <a:gd name="connsiteY199" fmla="*/ 548955 h 731520"/>
                            <a:gd name="connsiteX200" fmla="*/ 1171990 w 2371650"/>
                            <a:gd name="connsiteY200" fmla="*/ 519414 h 731520"/>
                            <a:gd name="connsiteX201" fmla="*/ 1142748 w 2371650"/>
                            <a:gd name="connsiteY201" fmla="*/ 519414 h 731520"/>
                            <a:gd name="connsiteX202" fmla="*/ 1136323 w 2371650"/>
                            <a:gd name="connsiteY202" fmla="*/ 551782 h 731520"/>
                            <a:gd name="connsiteX203" fmla="*/ 1119542 w 2371650"/>
                            <a:gd name="connsiteY203" fmla="*/ 551782 h 731520"/>
                            <a:gd name="connsiteX204" fmla="*/ 1115151 w 2371650"/>
                            <a:gd name="connsiteY204" fmla="*/ 575022 h 731520"/>
                            <a:gd name="connsiteX205" fmla="*/ 1131958 w 2371650"/>
                            <a:gd name="connsiteY205" fmla="*/ 575022 h 731520"/>
                            <a:gd name="connsiteX206" fmla="*/ 1121106 w 2371650"/>
                            <a:gd name="connsiteY206" fmla="*/ 631066 h 731520"/>
                            <a:gd name="connsiteX207" fmla="*/ 1118507 w 2371650"/>
                            <a:gd name="connsiteY207" fmla="*/ 654305 h 731520"/>
                            <a:gd name="connsiteX208" fmla="*/ 1148208 w 2371650"/>
                            <a:gd name="connsiteY208" fmla="*/ 680120 h 731520"/>
                            <a:gd name="connsiteX209" fmla="*/ 1167840 w 2371650"/>
                            <a:gd name="connsiteY209" fmla="*/ 677546 h 731520"/>
                            <a:gd name="connsiteX210" fmla="*/ 1167840 w 2371650"/>
                            <a:gd name="connsiteY210" fmla="*/ 677542 h 731520"/>
                            <a:gd name="connsiteX211" fmla="*/ 1172375 w 2371650"/>
                            <a:gd name="connsiteY211" fmla="*/ 653703 h 731520"/>
                            <a:gd name="connsiteX212" fmla="*/ 1160345 w 2371650"/>
                            <a:gd name="connsiteY212" fmla="*/ 654835 h 731520"/>
                            <a:gd name="connsiteX213" fmla="*/ 1149243 w 2371650"/>
                            <a:gd name="connsiteY213" fmla="*/ 643455 h 731520"/>
                            <a:gd name="connsiteX214" fmla="*/ 1151563 w 2371650"/>
                            <a:gd name="connsiteY214" fmla="*/ 625640 h 731520"/>
                            <a:gd name="connsiteX215" fmla="*/ 1161380 w 2371650"/>
                            <a:gd name="connsiteY215" fmla="*/ 575022 h 731520"/>
                            <a:gd name="connsiteX216" fmla="*/ 1189541 w 2371650"/>
                            <a:gd name="connsiteY216" fmla="*/ 575022 h 731520"/>
                            <a:gd name="connsiteX217" fmla="*/ 1194183 w 2371650"/>
                            <a:gd name="connsiteY217" fmla="*/ 551782 h 731520"/>
                            <a:gd name="connsiteX218" fmla="*/ 1166023 w 2371650"/>
                            <a:gd name="connsiteY218" fmla="*/ 551782 h 731520"/>
                            <a:gd name="connsiteX219" fmla="*/ 2182235 w 2371650"/>
                            <a:gd name="connsiteY219" fmla="*/ 724544 h 731520"/>
                            <a:gd name="connsiteX220" fmla="*/ 2244439 w 2371650"/>
                            <a:gd name="connsiteY220" fmla="*/ 701035 h 731520"/>
                            <a:gd name="connsiteX221" fmla="*/ 2244439 w 2371650"/>
                            <a:gd name="connsiteY221" fmla="*/ 700986 h 731520"/>
                            <a:gd name="connsiteX222" fmla="*/ 2328568 w 2371650"/>
                            <a:gd name="connsiteY222" fmla="*/ 551024 h 731520"/>
                            <a:gd name="connsiteX223" fmla="*/ 2296546 w 2371650"/>
                            <a:gd name="connsiteY223" fmla="*/ 551024 h 731520"/>
                            <a:gd name="connsiteX224" fmla="*/ 2248768 w 2371650"/>
                            <a:gd name="connsiteY224" fmla="*/ 644640 h 731520"/>
                            <a:gd name="connsiteX225" fmla="*/ 2237166 w 2371650"/>
                            <a:gd name="connsiteY225" fmla="*/ 551024 h 731520"/>
                            <a:gd name="connsiteX226" fmla="*/ 2205649 w 2371650"/>
                            <a:gd name="connsiteY226" fmla="*/ 551024 h 731520"/>
                            <a:gd name="connsiteX227" fmla="*/ 2228062 w 2371650"/>
                            <a:gd name="connsiteY227" fmla="*/ 674169 h 731520"/>
                            <a:gd name="connsiteX228" fmla="*/ 2218252 w 2371650"/>
                            <a:gd name="connsiteY228" fmla="*/ 693826 h 731520"/>
                            <a:gd name="connsiteX229" fmla="*/ 2186900 w 2371650"/>
                            <a:gd name="connsiteY229" fmla="*/ 700003 h 731520"/>
                            <a:gd name="connsiteX230" fmla="*/ 2182235 w 2371650"/>
                            <a:gd name="connsiteY230" fmla="*/ 724545 h 731520"/>
                            <a:gd name="connsiteX231" fmla="*/ 2141307 w 2371650"/>
                            <a:gd name="connsiteY231" fmla="*/ 548955 h 731520"/>
                            <a:gd name="connsiteX232" fmla="*/ 2060440 w 2371650"/>
                            <a:gd name="connsiteY232" fmla="*/ 636027 h 731520"/>
                            <a:gd name="connsiteX233" fmla="*/ 2098421 w 2371650"/>
                            <a:gd name="connsiteY233" fmla="*/ 680467 h 731520"/>
                            <a:gd name="connsiteX234" fmla="*/ 2140224 w 2371650"/>
                            <a:gd name="connsiteY234" fmla="*/ 658013 h 731520"/>
                            <a:gd name="connsiteX235" fmla="*/ 2137816 w 2371650"/>
                            <a:gd name="connsiteY235" fmla="*/ 669017 h 731520"/>
                            <a:gd name="connsiteX236" fmla="*/ 2097014 w 2371650"/>
                            <a:gd name="connsiteY236" fmla="*/ 707498 h 731520"/>
                            <a:gd name="connsiteX237" fmla="*/ 2063958 w 2371650"/>
                            <a:gd name="connsiteY237" fmla="*/ 700003 h 731520"/>
                            <a:gd name="connsiteX238" fmla="*/ 2059292 w 2371650"/>
                            <a:gd name="connsiteY238" fmla="*/ 724545 h 731520"/>
                            <a:gd name="connsiteX239" fmla="*/ 2096388 w 2371650"/>
                            <a:gd name="connsiteY239" fmla="*/ 731520 h 731520"/>
                            <a:gd name="connsiteX240" fmla="*/ 2143349 w 2371650"/>
                            <a:gd name="connsiteY240" fmla="*/ 717566 h 731520"/>
                            <a:gd name="connsiteX241" fmla="*/ 2169456 w 2371650"/>
                            <a:gd name="connsiteY241" fmla="*/ 661548 h 731520"/>
                            <a:gd name="connsiteX242" fmla="*/ 2180842 w 2371650"/>
                            <a:gd name="connsiteY242" fmla="*/ 604510 h 731520"/>
                            <a:gd name="connsiteX243" fmla="*/ 2183423 w 2371650"/>
                            <a:gd name="connsiteY243" fmla="*/ 582806 h 731520"/>
                            <a:gd name="connsiteX244" fmla="*/ 2141307 w 2371650"/>
                            <a:gd name="connsiteY244" fmla="*/ 548955 h 731520"/>
                            <a:gd name="connsiteX245" fmla="*/ 2150868 w 2371650"/>
                            <a:gd name="connsiteY245" fmla="*/ 602956 h 731520"/>
                            <a:gd name="connsiteX246" fmla="*/ 2148545 w 2371650"/>
                            <a:gd name="connsiteY246" fmla="*/ 614582 h 731520"/>
                            <a:gd name="connsiteX247" fmla="*/ 2111855 w 2371650"/>
                            <a:gd name="connsiteY247" fmla="*/ 655924 h 731520"/>
                            <a:gd name="connsiteX248" fmla="*/ 2091958 w 2371650"/>
                            <a:gd name="connsiteY248" fmla="*/ 630602 h 731520"/>
                            <a:gd name="connsiteX249" fmla="*/ 2135623 w 2371650"/>
                            <a:gd name="connsiteY249" fmla="*/ 571955 h 731520"/>
                            <a:gd name="connsiteX250" fmla="*/ 2152417 w 2371650"/>
                            <a:gd name="connsiteY250" fmla="*/ 587974 h 731520"/>
                            <a:gd name="connsiteX251" fmla="*/ 2150868 w 2371650"/>
                            <a:gd name="connsiteY251" fmla="*/ 602956 h 731520"/>
                            <a:gd name="connsiteX252" fmla="*/ 2362069 w 2371650"/>
                            <a:gd name="connsiteY252" fmla="*/ 651612 h 731520"/>
                            <a:gd name="connsiteX253" fmla="*/ 2335848 w 2371650"/>
                            <a:gd name="connsiteY253" fmla="*/ 622732 h 731520"/>
                            <a:gd name="connsiteX254" fmla="*/ 2304430 w 2371650"/>
                            <a:gd name="connsiteY254" fmla="*/ 651612 h 731520"/>
                            <a:gd name="connsiteX255" fmla="*/ 2330651 w 2371650"/>
                            <a:gd name="connsiteY255" fmla="*/ 680371 h 731520"/>
                            <a:gd name="connsiteX256" fmla="*/ 2362069 w 2371650"/>
                            <a:gd name="connsiteY256" fmla="*/ 651612 h 731520"/>
                            <a:gd name="connsiteX257" fmla="*/ 2357960 w 2371650"/>
                            <a:gd name="connsiteY257" fmla="*/ 651249 h 731520"/>
                            <a:gd name="connsiteX258" fmla="*/ 2330652 w 2371650"/>
                            <a:gd name="connsiteY258" fmla="*/ 676262 h 731520"/>
                            <a:gd name="connsiteX259" fmla="*/ 2308538 w 2371650"/>
                            <a:gd name="connsiteY259" fmla="*/ 651974 h 731520"/>
                            <a:gd name="connsiteX260" fmla="*/ 2335847 w 2371650"/>
                            <a:gd name="connsiteY260" fmla="*/ 626961 h 731520"/>
                            <a:gd name="connsiteX261" fmla="*/ 2357960 w 2371650"/>
                            <a:gd name="connsiteY261" fmla="*/ 651249 h 731520"/>
                            <a:gd name="connsiteX262" fmla="*/ 2338022 w 2371650"/>
                            <a:gd name="connsiteY262" fmla="*/ 655116 h 731520"/>
                            <a:gd name="connsiteX263" fmla="*/ 2342614 w 2371650"/>
                            <a:gd name="connsiteY263" fmla="*/ 668529 h 731520"/>
                            <a:gd name="connsiteX264" fmla="*/ 2338143 w 2371650"/>
                            <a:gd name="connsiteY264" fmla="*/ 668529 h 731520"/>
                            <a:gd name="connsiteX265" fmla="*/ 2333672 w 2371650"/>
                            <a:gd name="connsiteY265" fmla="*/ 655479 h 731520"/>
                            <a:gd name="connsiteX266" fmla="*/ 2327268 w 2371650"/>
                            <a:gd name="connsiteY266" fmla="*/ 655479 h 731520"/>
                            <a:gd name="connsiteX267" fmla="*/ 2324851 w 2371650"/>
                            <a:gd name="connsiteY267" fmla="*/ 668529 h 731520"/>
                            <a:gd name="connsiteX268" fmla="*/ 2320622 w 2371650"/>
                            <a:gd name="connsiteY268" fmla="*/ 668529 h 731520"/>
                            <a:gd name="connsiteX269" fmla="*/ 2327026 w 2371650"/>
                            <a:gd name="connsiteY269" fmla="*/ 634574 h 731520"/>
                            <a:gd name="connsiteX270" fmla="*/ 2338143 w 2371650"/>
                            <a:gd name="connsiteY270" fmla="*/ 634574 h 731520"/>
                            <a:gd name="connsiteX271" fmla="*/ 2347206 w 2371650"/>
                            <a:gd name="connsiteY271" fmla="*/ 643153 h 731520"/>
                            <a:gd name="connsiteX272" fmla="*/ 2338023 w 2371650"/>
                            <a:gd name="connsiteY272" fmla="*/ 655116 h 731520"/>
                            <a:gd name="connsiteX273" fmla="*/ 2338022 w 2371650"/>
                            <a:gd name="connsiteY273" fmla="*/ 655116 h 731520"/>
                            <a:gd name="connsiteX274" fmla="*/ 2338143 w 2371650"/>
                            <a:gd name="connsiteY274" fmla="*/ 638682 h 731520"/>
                            <a:gd name="connsiteX275" fmla="*/ 2330410 w 2371650"/>
                            <a:gd name="connsiteY275" fmla="*/ 638682 h 731520"/>
                            <a:gd name="connsiteX276" fmla="*/ 2327993 w 2371650"/>
                            <a:gd name="connsiteY276" fmla="*/ 651370 h 731520"/>
                            <a:gd name="connsiteX277" fmla="*/ 2335001 w 2371650"/>
                            <a:gd name="connsiteY277" fmla="*/ 651370 h 731520"/>
                            <a:gd name="connsiteX278" fmla="*/ 2342977 w 2371650"/>
                            <a:gd name="connsiteY278" fmla="*/ 644604 h 731520"/>
                            <a:gd name="connsiteX279" fmla="*/ 2338143 w 2371650"/>
                            <a:gd name="connsiteY279" fmla="*/ 638683 h 731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Lst>
                          <a:rect l="l" t="t" r="r" b="b"/>
                          <a:pathLst>
                            <a:path w="2371650" h="731520">
                              <a:moveTo>
                                <a:pt x="1242411" y="294278"/>
                              </a:moveTo>
                              <a:cubicBezTo>
                                <a:pt x="1242411" y="321638"/>
                                <a:pt x="1233280" y="344523"/>
                                <a:pt x="1215305" y="362356"/>
                              </a:cubicBezTo>
                              <a:cubicBezTo>
                                <a:pt x="1191395" y="386091"/>
                                <a:pt x="1152606" y="399033"/>
                                <a:pt x="1105967" y="398675"/>
                              </a:cubicBezTo>
                              <a:cubicBezTo>
                                <a:pt x="1072495" y="398121"/>
                                <a:pt x="1038678" y="389985"/>
                                <a:pt x="1019545" y="378229"/>
                              </a:cubicBezTo>
                              <a:lnTo>
                                <a:pt x="1032291" y="311182"/>
                              </a:lnTo>
                              <a:cubicBezTo>
                                <a:pt x="1052571" y="322706"/>
                                <a:pt x="1088000" y="334337"/>
                                <a:pt x="1114431" y="334337"/>
                              </a:cubicBezTo>
                              <a:cubicBezTo>
                                <a:pt x="1136198" y="334337"/>
                                <a:pt x="1150862" y="324294"/>
                                <a:pt x="1150862" y="308183"/>
                              </a:cubicBezTo>
                              <a:cubicBezTo>
                                <a:pt x="1150862" y="293579"/>
                                <a:pt x="1140554" y="283373"/>
                                <a:pt x="1114225" y="270491"/>
                              </a:cubicBezTo>
                              <a:cubicBezTo>
                                <a:pt x="1072578" y="249666"/>
                                <a:pt x="1051741" y="223266"/>
                                <a:pt x="1051741" y="192152"/>
                              </a:cubicBezTo>
                              <a:cubicBezTo>
                                <a:pt x="1051741" y="130931"/>
                                <a:pt x="1103886" y="89559"/>
                                <a:pt x="1182121" y="89559"/>
                              </a:cubicBezTo>
                              <a:cubicBezTo>
                                <a:pt x="1223519" y="89559"/>
                                <a:pt x="1250469" y="99314"/>
                                <a:pt x="1265412" y="108904"/>
                              </a:cubicBezTo>
                              <a:lnTo>
                                <a:pt x="1252690" y="175819"/>
                              </a:lnTo>
                              <a:cubicBezTo>
                                <a:pt x="1240846" y="166918"/>
                                <a:pt x="1210743" y="154501"/>
                                <a:pt x="1177909" y="154501"/>
                              </a:cubicBezTo>
                              <a:cubicBezTo>
                                <a:pt x="1155107" y="154501"/>
                                <a:pt x="1140257" y="164051"/>
                                <a:pt x="1140257" y="180040"/>
                              </a:cubicBezTo>
                              <a:cubicBezTo>
                                <a:pt x="1140257" y="191509"/>
                                <a:pt x="1151620" y="201785"/>
                                <a:pt x="1175674" y="213510"/>
                              </a:cubicBezTo>
                              <a:cubicBezTo>
                                <a:pt x="1207014" y="229169"/>
                                <a:pt x="1242411" y="252350"/>
                                <a:pt x="1242411" y="294278"/>
                              </a:cubicBezTo>
                              <a:close/>
                              <a:moveTo>
                                <a:pt x="700127" y="90173"/>
                              </a:moveTo>
                              <a:cubicBezTo>
                                <a:pt x="589917" y="90173"/>
                                <a:pt x="506875" y="170652"/>
                                <a:pt x="506875" y="277377"/>
                              </a:cubicBezTo>
                              <a:cubicBezTo>
                                <a:pt x="506875" y="351082"/>
                                <a:pt x="555850" y="398675"/>
                                <a:pt x="631821" y="398675"/>
                              </a:cubicBezTo>
                              <a:cubicBezTo>
                                <a:pt x="664315" y="398675"/>
                                <a:pt x="695900" y="392721"/>
                                <a:pt x="716237" y="382823"/>
                              </a:cubicBezTo>
                              <a:lnTo>
                                <a:pt x="730160" y="309292"/>
                              </a:lnTo>
                              <a:cubicBezTo>
                                <a:pt x="702964" y="322774"/>
                                <a:pt x="681685" y="328310"/>
                                <a:pt x="656602" y="328310"/>
                              </a:cubicBezTo>
                              <a:cubicBezTo>
                                <a:pt x="628820" y="328310"/>
                                <a:pt x="599017" y="312324"/>
                                <a:pt x="599017" y="267701"/>
                              </a:cubicBezTo>
                              <a:cubicBezTo>
                                <a:pt x="599017" y="215119"/>
                                <a:pt x="636310" y="160549"/>
                                <a:pt x="698907" y="160549"/>
                              </a:cubicBezTo>
                              <a:cubicBezTo>
                                <a:pt x="717876" y="160549"/>
                                <a:pt x="733752" y="164314"/>
                                <a:pt x="747443" y="172102"/>
                              </a:cubicBezTo>
                              <a:lnTo>
                                <a:pt x="761069" y="100610"/>
                              </a:lnTo>
                              <a:cubicBezTo>
                                <a:pt x="745316" y="94092"/>
                                <a:pt x="722493" y="90173"/>
                                <a:pt x="700127" y="90173"/>
                              </a:cubicBezTo>
                              <a:close/>
                              <a:moveTo>
                                <a:pt x="2245494" y="330114"/>
                              </a:moveTo>
                              <a:cubicBezTo>
                                <a:pt x="2282274" y="330114"/>
                                <a:pt x="2314105" y="321118"/>
                                <a:pt x="2348811" y="300958"/>
                              </a:cubicBezTo>
                              <a:lnTo>
                                <a:pt x="2334727" y="374974"/>
                              </a:lnTo>
                              <a:cubicBezTo>
                                <a:pt x="2292814" y="396374"/>
                                <a:pt x="2243574" y="398697"/>
                                <a:pt x="2224343" y="398697"/>
                              </a:cubicBezTo>
                              <a:cubicBezTo>
                                <a:pt x="2142522" y="398697"/>
                                <a:pt x="2095748" y="353194"/>
                                <a:pt x="2095748" y="273749"/>
                              </a:cubicBezTo>
                              <a:cubicBezTo>
                                <a:pt x="2095748" y="227940"/>
                                <a:pt x="2112576" y="182038"/>
                                <a:pt x="2141886" y="147809"/>
                              </a:cubicBezTo>
                              <a:cubicBezTo>
                                <a:pt x="2174044" y="110240"/>
                                <a:pt x="2219003" y="89568"/>
                                <a:pt x="2268462" y="89568"/>
                              </a:cubicBezTo>
                              <a:cubicBezTo>
                                <a:pt x="2330362" y="89568"/>
                                <a:pt x="2371651" y="125530"/>
                                <a:pt x="2371651" y="178851"/>
                              </a:cubicBezTo>
                              <a:cubicBezTo>
                                <a:pt x="2371651" y="203510"/>
                                <a:pt x="2363628" y="223791"/>
                                <a:pt x="2347824" y="239192"/>
                              </a:cubicBezTo>
                              <a:cubicBezTo>
                                <a:pt x="2318261" y="268004"/>
                                <a:pt x="2245399" y="284151"/>
                                <a:pt x="2179041" y="271119"/>
                              </a:cubicBezTo>
                              <a:cubicBezTo>
                                <a:pt x="2175880" y="308509"/>
                                <a:pt x="2204027" y="330114"/>
                                <a:pt x="2245494" y="330114"/>
                              </a:cubicBezTo>
                              <a:close/>
                              <a:moveTo>
                                <a:pt x="2188658" y="214066"/>
                              </a:moveTo>
                              <a:cubicBezTo>
                                <a:pt x="2240269" y="214490"/>
                                <a:pt x="2269300" y="209269"/>
                                <a:pt x="2281969" y="196724"/>
                              </a:cubicBezTo>
                              <a:cubicBezTo>
                                <a:pt x="2295685" y="183096"/>
                                <a:pt x="2291390" y="153896"/>
                                <a:pt x="2257578" y="153896"/>
                              </a:cubicBezTo>
                              <a:cubicBezTo>
                                <a:pt x="2219535" y="153896"/>
                                <a:pt x="2195315" y="185085"/>
                                <a:pt x="2188658" y="214066"/>
                              </a:cubicBezTo>
                              <a:close/>
                              <a:moveTo>
                                <a:pt x="2051252" y="90173"/>
                              </a:moveTo>
                              <a:cubicBezTo>
                                <a:pt x="1941042" y="90173"/>
                                <a:pt x="1858000" y="170652"/>
                                <a:pt x="1858000" y="277377"/>
                              </a:cubicBezTo>
                              <a:cubicBezTo>
                                <a:pt x="1858000" y="351082"/>
                                <a:pt x="1906976" y="398675"/>
                                <a:pt x="1982946" y="398675"/>
                              </a:cubicBezTo>
                              <a:cubicBezTo>
                                <a:pt x="2015440" y="398675"/>
                                <a:pt x="2047025" y="392721"/>
                                <a:pt x="2067362" y="382823"/>
                              </a:cubicBezTo>
                              <a:lnTo>
                                <a:pt x="2081285" y="309292"/>
                              </a:lnTo>
                              <a:cubicBezTo>
                                <a:pt x="2054089" y="322774"/>
                                <a:pt x="2032810" y="328310"/>
                                <a:pt x="2007727" y="328310"/>
                              </a:cubicBezTo>
                              <a:cubicBezTo>
                                <a:pt x="1979945" y="328310"/>
                                <a:pt x="1950142" y="312325"/>
                                <a:pt x="1950142" y="267702"/>
                              </a:cubicBezTo>
                              <a:cubicBezTo>
                                <a:pt x="1950142" y="215119"/>
                                <a:pt x="1987435" y="160549"/>
                                <a:pt x="2050032" y="160549"/>
                              </a:cubicBezTo>
                              <a:cubicBezTo>
                                <a:pt x="2069001" y="160549"/>
                                <a:pt x="2084877" y="164314"/>
                                <a:pt x="2098568" y="172102"/>
                              </a:cubicBezTo>
                              <a:lnTo>
                                <a:pt x="2112194" y="100611"/>
                              </a:lnTo>
                              <a:cubicBezTo>
                                <a:pt x="2096441" y="94093"/>
                                <a:pt x="2073618" y="90173"/>
                                <a:pt x="2051252" y="90173"/>
                              </a:cubicBezTo>
                              <a:close/>
                              <a:moveTo>
                                <a:pt x="1843528" y="226669"/>
                              </a:moveTo>
                              <a:lnTo>
                                <a:pt x="1811816" y="392639"/>
                              </a:lnTo>
                              <a:lnTo>
                                <a:pt x="1727820" y="392639"/>
                              </a:lnTo>
                              <a:lnTo>
                                <a:pt x="1738736" y="335513"/>
                              </a:lnTo>
                              <a:cubicBezTo>
                                <a:pt x="1726954" y="371115"/>
                                <a:pt x="1698254" y="399290"/>
                                <a:pt x="1650105" y="399290"/>
                              </a:cubicBezTo>
                              <a:cubicBezTo>
                                <a:pt x="1591669" y="399290"/>
                                <a:pt x="1565259" y="347414"/>
                                <a:pt x="1565228" y="295498"/>
                              </a:cubicBezTo>
                              <a:cubicBezTo>
                                <a:pt x="1565188" y="236519"/>
                                <a:pt x="1588359" y="178113"/>
                                <a:pt x="1627168" y="139273"/>
                              </a:cubicBezTo>
                              <a:cubicBezTo>
                                <a:pt x="1659678" y="106745"/>
                                <a:pt x="1701634" y="89560"/>
                                <a:pt x="1748539" y="89560"/>
                              </a:cubicBezTo>
                              <a:cubicBezTo>
                                <a:pt x="1784225" y="89702"/>
                                <a:pt x="1810622" y="100031"/>
                                <a:pt x="1827163" y="120078"/>
                              </a:cubicBezTo>
                              <a:cubicBezTo>
                                <a:pt x="1851647" y="149747"/>
                                <a:pt x="1849638" y="194285"/>
                                <a:pt x="1843528" y="226669"/>
                              </a:cubicBezTo>
                              <a:close/>
                              <a:moveTo>
                                <a:pt x="1762661" y="188485"/>
                              </a:moveTo>
                              <a:cubicBezTo>
                                <a:pt x="1761636" y="167557"/>
                                <a:pt x="1750742" y="156274"/>
                                <a:pt x="1731209" y="156274"/>
                              </a:cubicBezTo>
                              <a:cubicBezTo>
                                <a:pt x="1689845" y="156274"/>
                                <a:pt x="1654009" y="227668"/>
                                <a:pt x="1654041" y="277317"/>
                              </a:cubicBezTo>
                              <a:cubicBezTo>
                                <a:pt x="1654052" y="308337"/>
                                <a:pt x="1665550" y="327655"/>
                                <a:pt x="1685554" y="327655"/>
                              </a:cubicBezTo>
                              <a:cubicBezTo>
                                <a:pt x="1717548" y="327655"/>
                                <a:pt x="1745105" y="294195"/>
                                <a:pt x="1754585" y="245198"/>
                              </a:cubicBezTo>
                              <a:cubicBezTo>
                                <a:pt x="1757813" y="228640"/>
                                <a:pt x="1763250" y="201459"/>
                                <a:pt x="1762661" y="188485"/>
                              </a:cubicBezTo>
                              <a:close/>
                              <a:moveTo>
                                <a:pt x="492406" y="226669"/>
                              </a:moveTo>
                              <a:lnTo>
                                <a:pt x="460693" y="392639"/>
                              </a:lnTo>
                              <a:lnTo>
                                <a:pt x="376698" y="392639"/>
                              </a:lnTo>
                              <a:lnTo>
                                <a:pt x="387613" y="335513"/>
                              </a:lnTo>
                              <a:cubicBezTo>
                                <a:pt x="375832" y="371115"/>
                                <a:pt x="347131" y="399290"/>
                                <a:pt x="298982" y="399290"/>
                              </a:cubicBezTo>
                              <a:cubicBezTo>
                                <a:pt x="240545" y="399290"/>
                                <a:pt x="214137" y="347414"/>
                                <a:pt x="214106" y="295498"/>
                              </a:cubicBezTo>
                              <a:cubicBezTo>
                                <a:pt x="214065" y="236519"/>
                                <a:pt x="237236" y="178113"/>
                                <a:pt x="276045" y="139273"/>
                              </a:cubicBezTo>
                              <a:cubicBezTo>
                                <a:pt x="308555" y="106745"/>
                                <a:pt x="350510" y="89560"/>
                                <a:pt x="397417" y="89560"/>
                              </a:cubicBezTo>
                              <a:cubicBezTo>
                                <a:pt x="433101" y="89702"/>
                                <a:pt x="459499" y="100031"/>
                                <a:pt x="476040" y="120078"/>
                              </a:cubicBezTo>
                              <a:cubicBezTo>
                                <a:pt x="500525" y="149747"/>
                                <a:pt x="498516" y="194285"/>
                                <a:pt x="492406" y="226669"/>
                              </a:cubicBezTo>
                              <a:close/>
                              <a:moveTo>
                                <a:pt x="411539" y="188485"/>
                              </a:moveTo>
                              <a:cubicBezTo>
                                <a:pt x="410513" y="167557"/>
                                <a:pt x="399619" y="156274"/>
                                <a:pt x="380086" y="156274"/>
                              </a:cubicBezTo>
                              <a:cubicBezTo>
                                <a:pt x="338722" y="156274"/>
                                <a:pt x="302887" y="227668"/>
                                <a:pt x="302918" y="277317"/>
                              </a:cubicBezTo>
                              <a:cubicBezTo>
                                <a:pt x="302930" y="308337"/>
                                <a:pt x="314426" y="327655"/>
                                <a:pt x="334431" y="327655"/>
                              </a:cubicBezTo>
                              <a:cubicBezTo>
                                <a:pt x="366426" y="327655"/>
                                <a:pt x="393983" y="294195"/>
                                <a:pt x="403462" y="245198"/>
                              </a:cubicBezTo>
                              <a:cubicBezTo>
                                <a:pt x="406691" y="228640"/>
                                <a:pt x="412127" y="201459"/>
                                <a:pt x="411539" y="188485"/>
                              </a:cubicBezTo>
                              <a:close/>
                              <a:moveTo>
                                <a:pt x="1559358" y="202421"/>
                              </a:moveTo>
                              <a:cubicBezTo>
                                <a:pt x="1559358" y="274528"/>
                                <a:pt x="1524738" y="348460"/>
                                <a:pt x="1462337" y="381725"/>
                              </a:cubicBezTo>
                              <a:cubicBezTo>
                                <a:pt x="1439414" y="393945"/>
                                <a:pt x="1417476" y="399076"/>
                                <a:pt x="1398411" y="399293"/>
                              </a:cubicBezTo>
                              <a:cubicBezTo>
                                <a:pt x="1367172" y="399291"/>
                                <a:pt x="1349660" y="387614"/>
                                <a:pt x="1339675" y="369610"/>
                              </a:cubicBezTo>
                              <a:lnTo>
                                <a:pt x="1317337" y="487670"/>
                              </a:lnTo>
                              <a:lnTo>
                                <a:pt x="1229398" y="487670"/>
                              </a:lnTo>
                              <a:lnTo>
                                <a:pt x="1304052" y="95023"/>
                              </a:lnTo>
                              <a:lnTo>
                                <a:pt x="1381506" y="95023"/>
                              </a:lnTo>
                              <a:lnTo>
                                <a:pt x="1372451" y="142685"/>
                              </a:lnTo>
                              <a:cubicBezTo>
                                <a:pt x="1394333" y="110853"/>
                                <a:pt x="1426741" y="89560"/>
                                <a:pt x="1463423" y="89560"/>
                              </a:cubicBezTo>
                              <a:cubicBezTo>
                                <a:pt x="1521623" y="89560"/>
                                <a:pt x="1559357" y="133667"/>
                                <a:pt x="1559357" y="202421"/>
                              </a:cubicBezTo>
                              <a:close/>
                              <a:moveTo>
                                <a:pt x="1467902" y="209082"/>
                              </a:moveTo>
                              <a:cubicBezTo>
                                <a:pt x="1467902" y="195105"/>
                                <a:pt x="1464602" y="161162"/>
                                <a:pt x="1432391" y="161162"/>
                              </a:cubicBezTo>
                              <a:cubicBezTo>
                                <a:pt x="1399638" y="161162"/>
                                <a:pt x="1371988" y="198477"/>
                                <a:pt x="1361269" y="255076"/>
                              </a:cubicBezTo>
                              <a:cubicBezTo>
                                <a:pt x="1357600" y="274427"/>
                                <a:pt x="1347332" y="332534"/>
                                <a:pt x="1387791" y="332534"/>
                              </a:cubicBezTo>
                              <a:cubicBezTo>
                                <a:pt x="1433981" y="332534"/>
                                <a:pt x="1467902" y="266966"/>
                                <a:pt x="1467902" y="209082"/>
                              </a:cubicBezTo>
                              <a:close/>
                              <a:moveTo>
                                <a:pt x="122511" y="161001"/>
                              </a:moveTo>
                              <a:lnTo>
                                <a:pt x="135047" y="95022"/>
                              </a:lnTo>
                              <a:lnTo>
                                <a:pt x="57600" y="95022"/>
                              </a:lnTo>
                              <a:lnTo>
                                <a:pt x="0" y="397876"/>
                              </a:lnTo>
                              <a:lnTo>
                                <a:pt x="87953" y="397876"/>
                              </a:lnTo>
                              <a:lnTo>
                                <a:pt x="111703" y="273006"/>
                              </a:lnTo>
                              <a:cubicBezTo>
                                <a:pt x="125707" y="199373"/>
                                <a:pt x="167951" y="169908"/>
                                <a:pt x="228071" y="179010"/>
                              </a:cubicBezTo>
                              <a:lnTo>
                                <a:pt x="245247" y="88676"/>
                              </a:lnTo>
                              <a:cubicBezTo>
                                <a:pt x="191123" y="83740"/>
                                <a:pt x="142846" y="114704"/>
                                <a:pt x="122511" y="161001"/>
                              </a:cubicBezTo>
                              <a:close/>
                              <a:moveTo>
                                <a:pt x="827930" y="392638"/>
                              </a:moveTo>
                              <a:lnTo>
                                <a:pt x="858223" y="233285"/>
                              </a:lnTo>
                              <a:lnTo>
                                <a:pt x="920576" y="392638"/>
                              </a:lnTo>
                              <a:lnTo>
                                <a:pt x="1015149" y="392638"/>
                              </a:lnTo>
                              <a:lnTo>
                                <a:pt x="950636" y="232019"/>
                              </a:lnTo>
                              <a:lnTo>
                                <a:pt x="1068043" y="95022"/>
                              </a:lnTo>
                              <a:lnTo>
                                <a:pt x="972037" y="95022"/>
                              </a:lnTo>
                              <a:lnTo>
                                <a:pt x="858750" y="230516"/>
                              </a:lnTo>
                              <a:lnTo>
                                <a:pt x="902570" y="0"/>
                              </a:lnTo>
                              <a:lnTo>
                                <a:pt x="815233" y="0"/>
                              </a:lnTo>
                              <a:lnTo>
                                <a:pt x="740583" y="392638"/>
                              </a:lnTo>
                              <a:close/>
                              <a:moveTo>
                                <a:pt x="1839859" y="600836"/>
                              </a:moveTo>
                              <a:cubicBezTo>
                                <a:pt x="1839859" y="643733"/>
                                <a:pt x="1810159" y="680372"/>
                                <a:pt x="1767287" y="680372"/>
                              </a:cubicBezTo>
                              <a:cubicBezTo>
                                <a:pt x="1735543" y="680372"/>
                                <a:pt x="1715912" y="658419"/>
                                <a:pt x="1715912" y="628492"/>
                              </a:cubicBezTo>
                              <a:cubicBezTo>
                                <a:pt x="1715912" y="585872"/>
                                <a:pt x="1745611" y="548956"/>
                                <a:pt x="1788483" y="548956"/>
                              </a:cubicBezTo>
                              <a:cubicBezTo>
                                <a:pt x="1822296" y="548956"/>
                                <a:pt x="1839859" y="573230"/>
                                <a:pt x="1839859" y="600836"/>
                              </a:cubicBezTo>
                              <a:close/>
                              <a:moveTo>
                                <a:pt x="1746898" y="627709"/>
                              </a:moveTo>
                              <a:cubicBezTo>
                                <a:pt x="1746898" y="644994"/>
                                <a:pt x="1755932" y="657157"/>
                                <a:pt x="1771426" y="657157"/>
                              </a:cubicBezTo>
                              <a:cubicBezTo>
                                <a:pt x="1793908" y="657157"/>
                                <a:pt x="1808872" y="626170"/>
                                <a:pt x="1808872" y="601088"/>
                              </a:cubicBezTo>
                              <a:cubicBezTo>
                                <a:pt x="1808872" y="588194"/>
                                <a:pt x="1802942" y="572170"/>
                                <a:pt x="1784850" y="572170"/>
                              </a:cubicBezTo>
                              <a:cubicBezTo>
                                <a:pt x="1760853" y="572170"/>
                                <a:pt x="1746898" y="604217"/>
                                <a:pt x="1746898" y="627709"/>
                              </a:cubicBezTo>
                              <a:close/>
                              <a:moveTo>
                                <a:pt x="2044503" y="600836"/>
                              </a:moveTo>
                              <a:cubicBezTo>
                                <a:pt x="2044503" y="643733"/>
                                <a:pt x="2014803" y="680372"/>
                                <a:pt x="1971931" y="680372"/>
                              </a:cubicBezTo>
                              <a:cubicBezTo>
                                <a:pt x="1940187" y="680372"/>
                                <a:pt x="1920555" y="658419"/>
                                <a:pt x="1920555" y="628492"/>
                              </a:cubicBezTo>
                              <a:cubicBezTo>
                                <a:pt x="1920555" y="585872"/>
                                <a:pt x="1950255" y="548956"/>
                                <a:pt x="1993127" y="548956"/>
                              </a:cubicBezTo>
                              <a:cubicBezTo>
                                <a:pt x="2026940" y="548956"/>
                                <a:pt x="2044503" y="573230"/>
                                <a:pt x="2044503" y="600836"/>
                              </a:cubicBezTo>
                              <a:close/>
                              <a:moveTo>
                                <a:pt x="1951542" y="627709"/>
                              </a:moveTo>
                              <a:cubicBezTo>
                                <a:pt x="1951542" y="644994"/>
                                <a:pt x="1960576" y="657157"/>
                                <a:pt x="1976069" y="657157"/>
                              </a:cubicBezTo>
                              <a:cubicBezTo>
                                <a:pt x="1998552" y="657157"/>
                                <a:pt x="2013516" y="626170"/>
                                <a:pt x="2013516" y="601088"/>
                              </a:cubicBezTo>
                              <a:cubicBezTo>
                                <a:pt x="2013516" y="588194"/>
                                <a:pt x="2007586" y="572170"/>
                                <a:pt x="1989494" y="572170"/>
                              </a:cubicBezTo>
                              <a:cubicBezTo>
                                <a:pt x="1965496" y="572170"/>
                                <a:pt x="1951542" y="604217"/>
                                <a:pt x="1951542" y="627709"/>
                              </a:cubicBezTo>
                              <a:close/>
                              <a:moveTo>
                                <a:pt x="1884855" y="510629"/>
                              </a:moveTo>
                              <a:lnTo>
                                <a:pt x="1853107" y="677545"/>
                              </a:lnTo>
                              <a:lnTo>
                                <a:pt x="1883083" y="677545"/>
                              </a:lnTo>
                              <a:lnTo>
                                <a:pt x="1915062" y="510629"/>
                              </a:lnTo>
                              <a:close/>
                              <a:moveTo>
                                <a:pt x="1400114" y="549208"/>
                              </a:moveTo>
                              <a:cubicBezTo>
                                <a:pt x="1353634" y="549208"/>
                                <a:pt x="1320326" y="586125"/>
                                <a:pt x="1320326" y="630031"/>
                              </a:cubicBezTo>
                              <a:cubicBezTo>
                                <a:pt x="1320326" y="659983"/>
                                <a:pt x="1339680" y="680120"/>
                                <a:pt x="1371196" y="680120"/>
                              </a:cubicBezTo>
                              <a:cubicBezTo>
                                <a:pt x="1387872" y="680120"/>
                                <a:pt x="1400923" y="676199"/>
                                <a:pt x="1408275" y="672445"/>
                              </a:cubicBezTo>
                              <a:lnTo>
                                <a:pt x="1413237" y="646349"/>
                              </a:lnTo>
                              <a:cubicBezTo>
                                <a:pt x="1408869" y="648803"/>
                                <a:pt x="1396488" y="655845"/>
                                <a:pt x="1379448" y="655845"/>
                              </a:cubicBezTo>
                              <a:cubicBezTo>
                                <a:pt x="1362668" y="655845"/>
                                <a:pt x="1351817" y="645247"/>
                                <a:pt x="1351817" y="626423"/>
                              </a:cubicBezTo>
                              <a:cubicBezTo>
                                <a:pt x="1351817" y="600079"/>
                                <a:pt x="1370162" y="573483"/>
                                <a:pt x="1399080" y="573483"/>
                              </a:cubicBezTo>
                              <a:cubicBezTo>
                                <a:pt x="1410312" y="573483"/>
                                <a:pt x="1417035" y="576590"/>
                                <a:pt x="1422249" y="579346"/>
                              </a:cubicBezTo>
                              <a:lnTo>
                                <a:pt x="1427004" y="554336"/>
                              </a:lnTo>
                              <a:cubicBezTo>
                                <a:pt x="1422592" y="552209"/>
                                <a:pt x="1412104" y="549208"/>
                                <a:pt x="1400114" y="549208"/>
                              </a:cubicBezTo>
                              <a:close/>
                              <a:moveTo>
                                <a:pt x="1228324" y="643733"/>
                              </a:moveTo>
                              <a:cubicBezTo>
                                <a:pt x="1225473" y="638812"/>
                                <a:pt x="1224438" y="630283"/>
                                <a:pt x="1224968" y="625893"/>
                              </a:cubicBezTo>
                              <a:cubicBezTo>
                                <a:pt x="1273517" y="626927"/>
                                <a:pt x="1307330" y="616582"/>
                                <a:pt x="1307330" y="584333"/>
                              </a:cubicBezTo>
                              <a:cubicBezTo>
                                <a:pt x="1307330" y="563137"/>
                                <a:pt x="1291585" y="548956"/>
                                <a:pt x="1266780" y="548956"/>
                              </a:cubicBezTo>
                              <a:cubicBezTo>
                                <a:pt x="1223404" y="548956"/>
                                <a:pt x="1195521" y="590263"/>
                                <a:pt x="1195521" y="628214"/>
                              </a:cubicBezTo>
                              <a:cubicBezTo>
                                <a:pt x="1195521" y="658949"/>
                                <a:pt x="1212301" y="680372"/>
                                <a:pt x="1247174" y="680372"/>
                              </a:cubicBezTo>
                              <a:cubicBezTo>
                                <a:pt x="1263709" y="680372"/>
                                <a:pt x="1282121" y="676139"/>
                                <a:pt x="1294703" y="668583"/>
                              </a:cubicBezTo>
                              <a:lnTo>
                                <a:pt x="1299850" y="641509"/>
                              </a:lnTo>
                              <a:cubicBezTo>
                                <a:pt x="1289613" y="648898"/>
                                <a:pt x="1274929" y="656627"/>
                                <a:pt x="1254138" y="656627"/>
                              </a:cubicBezTo>
                              <a:cubicBezTo>
                                <a:pt x="1242253" y="656627"/>
                                <a:pt x="1233220" y="652236"/>
                                <a:pt x="1228324" y="643733"/>
                              </a:cubicBezTo>
                              <a:close/>
                              <a:moveTo>
                                <a:pt x="1262919" y="571414"/>
                              </a:moveTo>
                              <a:cubicBezTo>
                                <a:pt x="1272483" y="571414"/>
                                <a:pt x="1278918" y="576309"/>
                                <a:pt x="1278918" y="584333"/>
                              </a:cubicBezTo>
                              <a:cubicBezTo>
                                <a:pt x="1278918" y="599549"/>
                                <a:pt x="1259033" y="603687"/>
                                <a:pt x="1228047" y="603410"/>
                              </a:cubicBezTo>
                              <a:cubicBezTo>
                                <a:pt x="1231680" y="588194"/>
                                <a:pt x="1244070" y="571414"/>
                                <a:pt x="1262919" y="571414"/>
                              </a:cubicBezTo>
                              <a:close/>
                              <a:moveTo>
                                <a:pt x="1695170" y="583525"/>
                              </a:moveTo>
                              <a:cubicBezTo>
                                <a:pt x="1695170" y="559781"/>
                                <a:pt x="1681216" y="548955"/>
                                <a:pt x="1663149" y="548955"/>
                              </a:cubicBezTo>
                              <a:cubicBezTo>
                                <a:pt x="1645210" y="548955"/>
                                <a:pt x="1628878" y="557828"/>
                                <a:pt x="1617217" y="575329"/>
                              </a:cubicBezTo>
                              <a:lnTo>
                                <a:pt x="1621873" y="551024"/>
                              </a:lnTo>
                              <a:lnTo>
                                <a:pt x="1594758" y="551024"/>
                              </a:lnTo>
                              <a:lnTo>
                                <a:pt x="1570693" y="677545"/>
                              </a:lnTo>
                              <a:lnTo>
                                <a:pt x="1600669" y="677545"/>
                              </a:lnTo>
                              <a:lnTo>
                                <a:pt x="1611798" y="619458"/>
                              </a:lnTo>
                              <a:cubicBezTo>
                                <a:pt x="1617223" y="589985"/>
                                <a:pt x="1634483" y="573483"/>
                                <a:pt x="1648160" y="573483"/>
                              </a:cubicBezTo>
                              <a:cubicBezTo>
                                <a:pt x="1660045" y="573483"/>
                                <a:pt x="1663931" y="580952"/>
                                <a:pt x="1663931" y="591550"/>
                              </a:cubicBezTo>
                              <a:cubicBezTo>
                                <a:pt x="1663931" y="596445"/>
                                <a:pt x="1663330" y="601885"/>
                                <a:pt x="1662448" y="606538"/>
                              </a:cubicBezTo>
                              <a:lnTo>
                                <a:pt x="1648942" y="677545"/>
                              </a:lnTo>
                              <a:lnTo>
                                <a:pt x="1678918" y="677545"/>
                              </a:lnTo>
                              <a:lnTo>
                                <a:pt x="1692967" y="604217"/>
                              </a:lnTo>
                              <a:cubicBezTo>
                                <a:pt x="1694254" y="598010"/>
                                <a:pt x="1695170" y="589228"/>
                                <a:pt x="1695170" y="583525"/>
                              </a:cubicBezTo>
                              <a:close/>
                              <a:moveTo>
                                <a:pt x="1521033" y="548955"/>
                              </a:moveTo>
                              <a:cubicBezTo>
                                <a:pt x="1505109" y="548955"/>
                                <a:pt x="1490452" y="555948"/>
                                <a:pt x="1479203" y="569759"/>
                              </a:cubicBezTo>
                              <a:lnTo>
                                <a:pt x="1490532" y="510629"/>
                              </a:lnTo>
                              <a:lnTo>
                                <a:pt x="1460325" y="510629"/>
                              </a:lnTo>
                              <a:lnTo>
                                <a:pt x="1428577" y="677545"/>
                              </a:lnTo>
                              <a:lnTo>
                                <a:pt x="1458554" y="677545"/>
                              </a:lnTo>
                              <a:lnTo>
                                <a:pt x="1469682" y="619458"/>
                              </a:lnTo>
                              <a:cubicBezTo>
                                <a:pt x="1475107" y="589985"/>
                                <a:pt x="1492368" y="573482"/>
                                <a:pt x="1506044" y="573482"/>
                              </a:cubicBezTo>
                              <a:cubicBezTo>
                                <a:pt x="1517930" y="573482"/>
                                <a:pt x="1521815" y="580952"/>
                                <a:pt x="1521815" y="591550"/>
                              </a:cubicBezTo>
                              <a:cubicBezTo>
                                <a:pt x="1521815" y="596445"/>
                                <a:pt x="1521215" y="601885"/>
                                <a:pt x="1520332" y="606538"/>
                              </a:cubicBezTo>
                              <a:lnTo>
                                <a:pt x="1506827" y="677545"/>
                              </a:lnTo>
                              <a:lnTo>
                                <a:pt x="1536803" y="677545"/>
                              </a:lnTo>
                              <a:lnTo>
                                <a:pt x="1550851" y="604217"/>
                              </a:lnTo>
                              <a:cubicBezTo>
                                <a:pt x="1552138" y="598010"/>
                                <a:pt x="1553054" y="589228"/>
                                <a:pt x="1553054" y="583525"/>
                              </a:cubicBezTo>
                              <a:cubicBezTo>
                                <a:pt x="1553054" y="559780"/>
                                <a:pt x="1539100" y="548955"/>
                                <a:pt x="1521033" y="548955"/>
                              </a:cubicBezTo>
                              <a:close/>
                              <a:moveTo>
                                <a:pt x="1171990" y="519414"/>
                              </a:moveTo>
                              <a:lnTo>
                                <a:pt x="1142748" y="519414"/>
                              </a:lnTo>
                              <a:lnTo>
                                <a:pt x="1136323" y="551782"/>
                              </a:lnTo>
                              <a:lnTo>
                                <a:pt x="1119542" y="551782"/>
                              </a:lnTo>
                              <a:lnTo>
                                <a:pt x="1115151" y="575022"/>
                              </a:lnTo>
                              <a:lnTo>
                                <a:pt x="1131958" y="575022"/>
                              </a:lnTo>
                              <a:lnTo>
                                <a:pt x="1121106" y="631066"/>
                              </a:lnTo>
                              <a:cubicBezTo>
                                <a:pt x="1119291" y="640351"/>
                                <a:pt x="1118507" y="647315"/>
                                <a:pt x="1118507" y="654305"/>
                              </a:cubicBezTo>
                              <a:cubicBezTo>
                                <a:pt x="1118507" y="668765"/>
                                <a:pt x="1127567" y="680120"/>
                                <a:pt x="1148208" y="680120"/>
                              </a:cubicBezTo>
                              <a:cubicBezTo>
                                <a:pt x="1155449" y="680120"/>
                                <a:pt x="1163449" y="679363"/>
                                <a:pt x="1167840" y="677546"/>
                              </a:cubicBezTo>
                              <a:lnTo>
                                <a:pt x="1167840" y="677542"/>
                              </a:lnTo>
                              <a:lnTo>
                                <a:pt x="1172375" y="653703"/>
                              </a:lnTo>
                              <a:cubicBezTo>
                                <a:pt x="1168933" y="654444"/>
                                <a:pt x="1164660" y="654835"/>
                                <a:pt x="1160345" y="654835"/>
                              </a:cubicBezTo>
                              <a:cubicBezTo>
                                <a:pt x="1152345" y="654835"/>
                                <a:pt x="1149243" y="650445"/>
                                <a:pt x="1149243" y="643455"/>
                              </a:cubicBezTo>
                              <a:cubicBezTo>
                                <a:pt x="1149243" y="638030"/>
                                <a:pt x="1150277" y="631571"/>
                                <a:pt x="1151563" y="625640"/>
                              </a:cubicBezTo>
                              <a:lnTo>
                                <a:pt x="1161380" y="575022"/>
                              </a:lnTo>
                              <a:lnTo>
                                <a:pt x="1189541" y="575022"/>
                              </a:lnTo>
                              <a:lnTo>
                                <a:pt x="1194183" y="551782"/>
                              </a:lnTo>
                              <a:lnTo>
                                <a:pt x="1166023" y="551782"/>
                              </a:lnTo>
                              <a:close/>
                              <a:moveTo>
                                <a:pt x="2182235" y="724544"/>
                              </a:moveTo>
                              <a:cubicBezTo>
                                <a:pt x="2205272" y="735202"/>
                                <a:pt x="2227976" y="730485"/>
                                <a:pt x="2244439" y="701035"/>
                              </a:cubicBezTo>
                              <a:lnTo>
                                <a:pt x="2244439" y="700986"/>
                              </a:lnTo>
                              <a:lnTo>
                                <a:pt x="2328568" y="551024"/>
                              </a:lnTo>
                              <a:lnTo>
                                <a:pt x="2296546" y="551024"/>
                              </a:lnTo>
                              <a:lnTo>
                                <a:pt x="2248768" y="644640"/>
                              </a:lnTo>
                              <a:lnTo>
                                <a:pt x="2237166" y="551024"/>
                              </a:lnTo>
                              <a:lnTo>
                                <a:pt x="2205649" y="551024"/>
                              </a:lnTo>
                              <a:lnTo>
                                <a:pt x="2228062" y="674169"/>
                              </a:lnTo>
                              <a:lnTo>
                                <a:pt x="2218252" y="693826"/>
                              </a:lnTo>
                              <a:cubicBezTo>
                                <a:pt x="2209437" y="708887"/>
                                <a:pt x="2194055" y="703972"/>
                                <a:pt x="2186900" y="700003"/>
                              </a:cubicBezTo>
                              <a:lnTo>
                                <a:pt x="2182235" y="724545"/>
                              </a:lnTo>
                              <a:close/>
                              <a:moveTo>
                                <a:pt x="2141307" y="548955"/>
                              </a:moveTo>
                              <a:cubicBezTo>
                                <a:pt x="2087828" y="548955"/>
                                <a:pt x="2060440" y="596239"/>
                                <a:pt x="2060440" y="636027"/>
                              </a:cubicBezTo>
                              <a:cubicBezTo>
                                <a:pt x="2060440" y="658505"/>
                                <a:pt x="2071550" y="680467"/>
                                <a:pt x="2098421" y="680467"/>
                              </a:cubicBezTo>
                              <a:cubicBezTo>
                                <a:pt x="2115094" y="680467"/>
                                <a:pt x="2130135" y="672336"/>
                                <a:pt x="2140224" y="658013"/>
                              </a:cubicBezTo>
                              <a:lnTo>
                                <a:pt x="2137816" y="669017"/>
                              </a:lnTo>
                              <a:cubicBezTo>
                                <a:pt x="2131634" y="698212"/>
                                <a:pt x="2116645" y="707498"/>
                                <a:pt x="2097014" y="707498"/>
                              </a:cubicBezTo>
                              <a:cubicBezTo>
                                <a:pt x="2085128" y="707498"/>
                                <a:pt x="2071200" y="704394"/>
                                <a:pt x="2063958" y="700003"/>
                              </a:cubicBezTo>
                              <a:lnTo>
                                <a:pt x="2059292" y="724545"/>
                              </a:lnTo>
                              <a:cubicBezTo>
                                <a:pt x="2067991" y="728825"/>
                                <a:pt x="2081655" y="731520"/>
                                <a:pt x="2096388" y="731520"/>
                              </a:cubicBezTo>
                              <a:cubicBezTo>
                                <a:pt x="2112297" y="731520"/>
                                <a:pt x="2130041" y="728417"/>
                                <a:pt x="2143349" y="717566"/>
                              </a:cubicBezTo>
                              <a:cubicBezTo>
                                <a:pt x="2157703" y="705706"/>
                                <a:pt x="2164765" y="686075"/>
                                <a:pt x="2169456" y="661548"/>
                              </a:cubicBezTo>
                              <a:lnTo>
                                <a:pt x="2180842" y="604510"/>
                              </a:lnTo>
                              <a:cubicBezTo>
                                <a:pt x="2182391" y="597530"/>
                                <a:pt x="2183423" y="589781"/>
                                <a:pt x="2183423" y="582806"/>
                              </a:cubicBezTo>
                              <a:cubicBezTo>
                                <a:pt x="2183423" y="560070"/>
                                <a:pt x="2167662" y="548955"/>
                                <a:pt x="2141307" y="548955"/>
                              </a:cubicBezTo>
                              <a:close/>
                              <a:moveTo>
                                <a:pt x="2150868" y="602956"/>
                              </a:moveTo>
                              <a:lnTo>
                                <a:pt x="2148545" y="614582"/>
                              </a:lnTo>
                              <a:cubicBezTo>
                                <a:pt x="2143377" y="639905"/>
                                <a:pt x="2127358" y="655924"/>
                                <a:pt x="2111855" y="655924"/>
                              </a:cubicBezTo>
                              <a:cubicBezTo>
                                <a:pt x="2097905" y="655924"/>
                                <a:pt x="2091958" y="644298"/>
                                <a:pt x="2091958" y="630602"/>
                              </a:cubicBezTo>
                              <a:cubicBezTo>
                                <a:pt x="2091958" y="605801"/>
                                <a:pt x="2109273" y="571955"/>
                                <a:pt x="2135623" y="571955"/>
                              </a:cubicBezTo>
                              <a:cubicBezTo>
                                <a:pt x="2146217" y="571955"/>
                                <a:pt x="2152159" y="577639"/>
                                <a:pt x="2152417" y="587974"/>
                              </a:cubicBezTo>
                              <a:cubicBezTo>
                                <a:pt x="2152675" y="593916"/>
                                <a:pt x="2151653" y="598375"/>
                                <a:pt x="2150868" y="602956"/>
                              </a:cubicBezTo>
                              <a:close/>
                              <a:moveTo>
                                <a:pt x="2362069" y="651612"/>
                              </a:moveTo>
                              <a:cubicBezTo>
                                <a:pt x="2363519" y="635661"/>
                                <a:pt x="2351798" y="622732"/>
                                <a:pt x="2335848" y="622732"/>
                              </a:cubicBezTo>
                              <a:cubicBezTo>
                                <a:pt x="2319897" y="622732"/>
                                <a:pt x="2305880" y="635661"/>
                                <a:pt x="2304430" y="651612"/>
                              </a:cubicBezTo>
                              <a:cubicBezTo>
                                <a:pt x="2302859" y="666233"/>
                                <a:pt x="2313613" y="680371"/>
                                <a:pt x="2330651" y="680371"/>
                              </a:cubicBezTo>
                              <a:cubicBezTo>
                                <a:pt x="2346602" y="680492"/>
                                <a:pt x="2360619" y="667562"/>
                                <a:pt x="2362069" y="651612"/>
                              </a:cubicBezTo>
                              <a:close/>
                              <a:moveTo>
                                <a:pt x="2357960" y="651249"/>
                              </a:moveTo>
                              <a:cubicBezTo>
                                <a:pt x="2356752" y="665025"/>
                                <a:pt x="2344427" y="676262"/>
                                <a:pt x="2330652" y="676262"/>
                              </a:cubicBezTo>
                              <a:cubicBezTo>
                                <a:pt x="2317118" y="676262"/>
                                <a:pt x="2307330" y="665387"/>
                                <a:pt x="2308538" y="651974"/>
                              </a:cubicBezTo>
                              <a:cubicBezTo>
                                <a:pt x="2309747" y="638320"/>
                                <a:pt x="2321951" y="626961"/>
                                <a:pt x="2335847" y="626961"/>
                              </a:cubicBezTo>
                              <a:cubicBezTo>
                                <a:pt x="2349260" y="626961"/>
                                <a:pt x="2359169" y="637836"/>
                                <a:pt x="2357960" y="651249"/>
                              </a:cubicBezTo>
                              <a:close/>
                              <a:moveTo>
                                <a:pt x="2338022" y="655116"/>
                              </a:moveTo>
                              <a:lnTo>
                                <a:pt x="2342614" y="668529"/>
                              </a:lnTo>
                              <a:lnTo>
                                <a:pt x="2338143" y="668529"/>
                              </a:lnTo>
                              <a:lnTo>
                                <a:pt x="2333672" y="655479"/>
                              </a:lnTo>
                              <a:lnTo>
                                <a:pt x="2327268" y="655479"/>
                              </a:lnTo>
                              <a:lnTo>
                                <a:pt x="2324851" y="668529"/>
                              </a:lnTo>
                              <a:lnTo>
                                <a:pt x="2320622" y="668529"/>
                              </a:lnTo>
                              <a:lnTo>
                                <a:pt x="2327026" y="634574"/>
                              </a:lnTo>
                              <a:lnTo>
                                <a:pt x="2338143" y="634574"/>
                              </a:lnTo>
                              <a:cubicBezTo>
                                <a:pt x="2343218" y="634574"/>
                                <a:pt x="2347085" y="638320"/>
                                <a:pt x="2347206" y="643153"/>
                              </a:cubicBezTo>
                              <a:cubicBezTo>
                                <a:pt x="2347327" y="647624"/>
                                <a:pt x="2344185" y="653425"/>
                                <a:pt x="2338023" y="655116"/>
                              </a:cubicBezTo>
                              <a:lnTo>
                                <a:pt x="2338022" y="655116"/>
                              </a:lnTo>
                              <a:close/>
                              <a:moveTo>
                                <a:pt x="2338143" y="638682"/>
                              </a:moveTo>
                              <a:lnTo>
                                <a:pt x="2330410" y="638682"/>
                              </a:lnTo>
                              <a:lnTo>
                                <a:pt x="2327993" y="651370"/>
                              </a:lnTo>
                              <a:lnTo>
                                <a:pt x="2335001" y="651370"/>
                              </a:lnTo>
                              <a:cubicBezTo>
                                <a:pt x="2338747" y="651370"/>
                                <a:pt x="2342010" y="648470"/>
                                <a:pt x="2342977" y="644604"/>
                              </a:cubicBezTo>
                              <a:cubicBezTo>
                                <a:pt x="2343702" y="641583"/>
                                <a:pt x="2341285" y="638683"/>
                                <a:pt x="2338143" y="638683"/>
                              </a:cubicBezTo>
                              <a:close/>
                            </a:path>
                          </a:pathLst>
                        </a:custGeom>
                        <a:solidFill>
                          <a:srgbClr val="000000"/>
                        </a:solidFill>
                        <a:ln w="12192" cap="flat">
                          <a:noFill/>
                          <a:prstDash val="solid"/>
                          <a:miter/>
                        </a:ln>
                      </wps:spPr>
                      <wps:bodyPr rtlCol="0" anchor="ctr"/>
                    </wps:wsp>
                  </wpg:wgp>
                </a:graphicData>
              </a:graphic>
            </wp:anchor>
          </w:drawing>
        </mc:Choice>
        <mc:Fallback xmlns:a="http://schemas.openxmlformats.org/drawingml/2006/main" xmlns:a14="http://schemas.microsoft.com/office/drawing/2010/main" xmlns:a16="http://schemas.microsoft.com/office/drawing/2014/main" xmlns:arto="http://schemas.microsoft.com/office/word/2006/arto">
          <w:pict w14:anchorId="06CB67D4">
            <v:group id="Group 16" style="position:absolute;margin-left:-54pt;margin-top:21.25pt;width:115.75pt;height:42.35pt;z-index:251636736" coordsize="14701,5375" o:spid="_x0000_s1026" w14:anchorId="7B2B2FD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MNvfZTUAALckAQAOAAAAZHJzL2Uyb0RvYy54bWy8nVtvJUdyoN8X2P9A8NHATtf90piWodXs DBYY2IJnFrYfj9jsbmLZPNzDI7XkX+8vKjOrIvIcsiK1gPUgNpkVeY2IjHv+8R9//fp488v96eXh +PThtv5DdXtz/3R3/Pjw9PnD7f/5+5//x3R783I+PH08PB6f7j/c/nb/cvuP3/33//bHb8/v75vj l+Pjx/vTDZ08vbz/9vzh9sv5/Pz+3buXuy/3Xw8vfzg+3z/R+Ol4+no48+vp87uPp8M3ev/6+K6p quHdt+Pp4/PpeHf/8sJf/xQab79b+v/06f7u/M+fPr3cn28eP9wyt/Py/9Py/5/k/+++++Ph/efT 4fnLw12cxuF3zOLr4eGJQdeu/nQ4H25+Pj1cdPX14e50fDl+Ov/h7vj13fHTp4e7+2UNrKaustX8 5XT8+XlZy+f33z4/r9vE1mb79Lu7vfunX/5yev7b848nduLb82f2YvlN1vLrp9NX+cksb35dtuy3 dcvufz3f3PHHuhureuxvb+5o69uxn8awp3df2PgLsLsv/+ttwHdp2HdmMt+eQY+XbQde/v924G9f Ds/3y8a+vGcHfjzdPHz8cNsOtzdPh69g6b+AN4enz4/3N/xt2Zjlu3WbXt6/sGOv7tFUtWkb0j51 /Qi6hm2K/6bfdbWH98+nl/Nf7o9fb+QfH25PzGBBqMMvf305h0/TJzLuy/Hx4eOfHx4fl1+EWu5/ eDzd/HIAz3/6XMuk6dx89fgk3z4dBSo0y1/Y57Sa5V/n3x7v5bvHp3+5/8S2cMbNMpGFJLdBDnd3 90/nOjR9OXy8D2P3Ff+l0dO0lrksHUrPnxh/7Tt2kL4MnaS+wyzj9wJ6v1D0Cly9NbEAvEIsIx+f zivw14en4+laB4+sKo4cvk+bFLZGdumn48ffQJrTMfCTl+e7Pz9wbH89vJx/PJxgIJw0TPH8z/zv 0+Px24fbY/zX7c2X4+k/rv1dvgerab29+QZD+nD78v9+Ppzub28e//cT+D7XXSccbPllQaHbm5Nu +Um3PP389YcjuFDDfp/vln8CfDo/pn9+Oh2//iu883sZlabD0x1jf7i9O5/SLz+cA6OE+97df//9 8hlc6/lw/uvT357vpHPZVUHLv//6r4fTc8TdM0j/T8dEY4f3GQqHbwXy6fj9z+fjp4cFv7d9jfsN vQtL+i8g/HpMhP/n0/29XDY3dU73Mt+X578e7/7vy83T8YcvsIf771+eIVPZB8EXmSrMRJhEmPcr PKIbmqbpbm+uMNOqGueeIxNm2tbVNC+zUFzi7ufAJWQ2aVu5dD7CI+RPnz9GBnZ3fHp6eTjf/xsn ++nrIxj5D+9u6qZrurq++XbTtGM99On2y4H+XQM1c9eM082Xm7Gt++Y1kH9j0mqcum+rfn8cDdQO TdsPu+M0epy66udh3B9HA7XzNIz97jitHqeq575zrEcDtePUNPPuOODBtm9VC4jjfDRQW9f11OyO ww29jVPDSlrHOBqobbu2HXfH4QpV4/TVNDT756OB2mqqp3Z3HChWjVN3TeM4Hw3UjFXHXu/hNeLr Nk7V12Pn2DcDNDfQze44sx6HA60bxzgaaJr7fh/dak3adTP0Xe04HwsFW6q63QXVmrjrpm+GudrH BAuFNFk71qTJu67Hca5mx0gGCvKu9pGh1gQOEVVN7+A+Fmqqqq7a3z1N4qypH8bOsSYN1dRtXztG 0kTuviFqDeW9IjSZj1VVN57N00AzqsY+a5DbfKXZvhom2P3ulWeAmnFsx31eV2s6H1qhWsdAGsh5 GdWa0Lm5ub4dA2mgdmqmZn/ruN+3rRvbqh4cNGuA2mpu5n1212juMPTDUDnYkAFqmwkJaZeQGk3m /SwYtL91BqgZRlTc/YE0bxhmeKRnIA3EZvfdPrsT0XFF77EbucodK9JA9djU7Pfe1ddoGh+Huhoc bNUA1RhoPGekadzLGBoN5GMMjWYMiODstoOpGqgWmqj3L79GE3nTdtPkEbsNVFtVc78vdzeayhuE tLHx4J2Gasdu5nbZQ4dW8wbRYBAI9xHPQAm7m/f5aquZQ8M2jN3kGMlAwcAdtNRq7tDUXT1Ng2Mk DYUBbELe2N09TelNM0xogY6RNBQS3rCPEK2m9KDnOW4lA1WP09Tvc7xW8weQHIXHQU4Z1Fw7bgsx zK0sr6kR8DxSuIUa0ZMcx/S7WESroZwsojUsQhAPat8VUzKorhr2VeZWE3vTIFJ7GLmBAmTkcPeQ XOxT2zkhHPdYDnbXZKCwHGD12B/JELt39zoL5dq9ThN7gwaIKuNYk4by3U6dpvV66lEUHMKXgXLK rZ1mEfU8Ib87uJ6BcgqunWER1TBi5XFsnoZySq6dYRHYEJrJIfUbKKfo2mlix6Y/um5cA+WUXTvN IjBBVZg5HLunoRbhdV/U6wyLqDDit56RNJRTesXoqFhENU9yp+2yCAPlFF/FjroxoxqDikfaM1CL /Lp/Efaa2N0swkD5WERvWUTX9o1n8zQUoscA+9/j5L1hEUivU+1gEQaqnZuhdYykiZ2jRYpwsL1e Q3lH0iwCQ8IEN3KgnoZq276v99XoXrMIMbRjqHaMpKHaGT16X73tNbHX/dBzvztG0lANtu15X67s LbE3mCE8IxkoDsphvxk0i8DgOvWg0S6LMFAiKu9v3qA5BNYbluTQaCyUXAD7mzdoDlFPTsI1UE7C HTSx1+MAuTvEfws1Tez5LosYDIvAO4Sm5jgmA9UPjUPzHDSxQ06dS/w3UCIZYfnZY3uDJnYQvO97 h0pjoNpmHHrH7mlix77b9R55ZdBQGDAQ3vbXpIndjxEGyokRmti7uUG+diCEBnIi+ag5RDdgmHLQ rQFyXhmj5hDtyM3p4HkWyHcLjppBcDMN3DK7LM8C+a6mUfOHBjMlvsP9gTSQ82YaNaGLacWDDBbI dzFJ8NEm541D5fHUGqDady+Nmjm0mMw8pmQD5LuWRk3knSzIIRAZIFix51YaNY176dUAeelV0zgR CK4LfdRAaPieO2nSjKFFg/aY8wwQMpTnSpoMY6jw2jsYgwFy3kiTYQytz29vgXwX0qRpvKtal33S ADnvo0kzBi8yGCAvMmjGUOMdbz0WtklDNRUhM/sK4KQ5Q83OSaTELlc1UO2E7rMvNhBWuDE7+Nbk iucxUAv/3tdhJs0c6rbFAujQYQxUO8we989kCB0xzbd7Gqrjxhz3Bf5Zs4eaWBs2cP+cDJR3JM0f 6hYW7rEazhoKe4/DYztr/lCDRTi8HUvSUM6BNH+oW8zBuAh2cXw2UB1+j30cnzWDgJrajn3YH0lD +S7aWZN6YBAOsjVQTgZBHJ8i227Ag+EQuwwU2lXliPOaDYPo2qb1BJRZqKEmxGBXr5gtgxiIJnLo fwaq6ftq3Df2z5rUwXEifDyop6HatunbfQcGBr/fc1AWzHlSdaWpHW7Ue3zEGRT81RGbgLdfL6vt q86B6BZKuMQ+UtSVJvge4dUhu1og70Ca3l2DaADEd66MXRzHbqc2biI418GJLJB7JMMiCPmqXENp KIxrBFw4FqV5BAbDanSQU11pKPHBOiI7CGFW+8eV0fgQT0PhGXWdlCZ3PzUZKCc1mXBIzIZz68E/ A7XYH/ZtN/is1f7hE2w8V6GFQhgVX9ie6QsHiRpqxo3Bru/euhbKvSrNJOBofU2shmMsDeYeS5M9 vGXwGP2J8VGb0bTkZu17MtBrFRD2jqnyRMhYMCf3Iz1hEyhmUos8CgfXuobyMXQTGAkGjr0L2TWz aEgGwH20j4Ga7JGQekR6B1ZoqH0dgCgQtQnIy9CHZxQN5RjFBEWOiP/EtO+vxUB5MdyERRI7j0/V Q00GjHt6gjB2j8hERmJMHpvJI0kYMOgC9cExlib3eqz72RWr3miwoZkwbDnG0vQu8U+d77w0WN+J 2uEYy7AJ/3lpMPd5aYrHlzZg8PXgoQbDIDY6ItwI51aERRg+0QqeG8SADT3nvO+nIbpDjzVV0wRG OehLgw1IMJPjDjYhluAGhkgPXzJgZH8i0e3jhgmX9J+XAfOeVxZm2ZEC4eFRBsyLhybQsp7Hevbk H9UGzMs3Ws0ACC+s8OI5cMOAefmGjZucWVXj4YcGzMs3bORk5T6v38M3TOwkoUd17wk9qg2YGw8N 35jRGT2GBExQigV4+YaNn6wkRcbDowyYl29kEZTT7Ao3x6ir1uXlGzaG0n1eBsx7XiaKMtjiPfRl wMhMGhzZkVwhajMIiiTlw0NfBoz8Dcne3JVtTCgl6yIT0cMPDZh7LC041LNYbT33l4nBdO+hZgAk rS0ZDPt3pYndJESoqRx3pQmohH0TR+ihLwM2YMXgdtg/L80AYAdI9q6xNBh3Cs5Sx1hacGAP0fpd OK/BJITahYeaAeA4x4brwnkNNojZ3KGy2sDKdpw7T6oF6KrIknCXybMuG1oJ58Xl5biXDRjxTOIN 2MUNE1wJS8V27pHZDFg/krjjGcvIG2QiNy5rhgnm7DEiEYS9vy7DN8jMJ5vUs4cajJim1qPrmRhL P98wYF6+0WuFA+vd1HpySXDWazzsWlyHjj3UDICxutkTyYhaosdq+omgo/3z0gwAPyATdOGhBoO6 Wte6NAPAGzOQmOTBDQ3mlUVNtCWMt+9dua8GDBmbuKD9PcwCLrsRvcixLgPm1R1MyGVNYoTPDG/A BpycHr5hgy6bGbuN57wM2NDBix183gZrNqT9tx47gAGTNN3GoZubwEs/LRuwwUnLJvQSnCcQx2P7 MmCYHDoXHmoGgJ43uYJ+ahOz6aXlQTMA2UOfx86ADQTxeHw0g2YABXuowbx7aIIw6wFFxWXjNWAQ V+8IlcFiqBh2PZCg77qXDdjCDx26gwnFrAdJUfHINgaMdLnWoxOZEE489TWJDA5+aMBIYyC0aZ/3 moBMLLAdJTk8Y1l5wzmW0VMw/rvCepfic2v8p1f/MmGZpC6RR+nhGwbMPZbhGwRXjC4brInoHEhe cmSDY500ON+RtuO5UwyYV+61AZrQl8+mZ8Cw6RMDso+HNkaTe8inpxgw7EoklzrGsnwDq77L9mWi O724YSI1uSqcd4oBc49l9JSB/CJP7SwcSgqlCEYWzrYr99p4TTefN2BePm8iNvHnEU7i4YcGzMvn Tcwmqf9YRVxjaT2lpwaCp1STidrk7qq4Hhy814B5bUQmbpOYO+w2HvuGAXOPpQUHLHxTT62dfXuU CRP14ryJ3awlycaT0FMbMPdYhm90BL96cisw/mn6cvJ5G/aJ9RB3gGMPDdjC5x2+URvDCX3hNPeM pfmGl8/b2E/qDRK84hlLyxtePm8COcUCi1HPM5YWU9y4oRkA+Q+ij3rG0mDusYy8wfUqxTz26cvE gHr5vAnn5Con0sOFh1pM8fJ5Gwbq5vMGzMnnl1K9q1CJxFZjQdzfQwtGdp5HryS2SDEAIo/IP3HI 2BbMPZbxp+Cvw7jsWZcGQ3cgSXtXBoB2zbqkhqaDli2YeyzNAIh/w2HpwPmm0mDoX54QV/zJZl0t C3OdlwZzj6UZgNQwcKXRNZUGQ/H1lIlpbIAnKf8EZ3twQ7MbknOl8uuefIgvyexhR9K/aw81mNN3 Qzi2GQsh25NQZ8EW3rtvn0f2/F1jGbBlLAd9mdhQeBRuIse9DAqpKaIRiYVz97xMcChxhJiWXGNp vgFuYLlxjGX5hiQmeniUKbOJ/bBzZGFjf1absbANTwkACzY0/eAo6UkZWDMWKb4e+7wF8/INE+kJ KcN7PfzQgLnH0gwAXwBV1FznpcG8fN6U3AQPqRvpGkvzDfdYmm8g9RJ77cJ5DSZpUkjmu/RlAj9x SZHn6bBHNQaMKpWVh75M4GfBWJpv4Heklp9jXZoBEEftK/eDC1WRCuflsVVyPAqI5D74jSMewIK5 x9J8gz0kmcRzf5nanUPXufiGKanJdClT4lqXZjfudWnBAfSCs7nwUIO5x9IMgCOfXDEwjY0XJQvf Uc6Izg1uQMyefEwLhjl6Ippln5Y1A4BvUPjaozuYeFHoiyCY/bFM4KefRxmwhUc57mUT+CkVHXBn O+RDA+bVv0zgJ+Is5g3PHhowMj2qZt9WSfy/xg34mqR87+rLFgxZlKxOx3kZviEVxD1xDhTXVFOk UCSBi46xNAOgGvjoquHFJafHAnkd9t7GBH4iOnMXOewAFmysKNm6b5+HAaoJghutT/8yYG76MnyD 5yakuLUDNzSYm74M36jmoSU63TGWBguPdOzjhgn8hJYpHOzh8waMOAwiAhxjacGhgV13ZEnsr8vE i1LFCtbhGEsLDvDDCmL2jKXBYDZIHI6xDN9A6HXlqaPMKPQlo49rzzGWZgB+3mvjRSU/xcHnTeAn 6gdFVDx4aMDgvJ5cmMYEfrKuyfXOigUbxK7v0JdNCU7UYAwcHnnegBHriDrqOC/NAOCHThuRqfhJ HKyUxd+VN2zxTkLaqT/iwXnNN4jfcOGGCfyUh01cRZAaA0YOoafeOPnwilD8eGjAvHhoAj+5lrhW PPzQgA3kEpChtnteJvATMYKYIA99GTCekBrxjOyPZfgGdUgwzzlwwxTydK9LCw6sC3e7R44y8aJL nN5+7DcWF40b/vPSYO51GXmjJVTXE1NB9qqaImNJVPD+eRm+seyh5/4yZUBJlycQzjGWZgDk6JJd 4cJDDca6XLRsAj8Dznt0BwPGqqgntL8uE/iJOOs8LwPmPS8T+Mm6JvEg7Ms2Bow7BUuWY11acEAl aLj4PGNpMIlNdcSYEWWvkFfWhYjoGUuDucfK+EZLooRnLA3GHhKM4dhDzQCwR41UJPKMpcHcY2kG wFgINx5+aOJF3Xto+QbXlw8PNZh7LM0AZA8rT44PxKtQiuwUXvXYPy8T+OnHQwPmHsvIG/KSiqeU FlWD9bp4V48aMbt83gR+Br7hoS8D5uUbJvDTz6MMmHsszQAKzkuDofdK5Mz+HmoGwFhUBfbINqb0 p3sszQAE50n1dfANGy9K6XBHDjjZ9gqhWBfV+D18w4Bxf/nG0gxA7pTZE4tF7LuaotixHQ8CsmcK qAA3NNhyXpa+eB11ff/08CU8lnx4f/frU3wTlX/xuC1PZofXgp+PL/IqtX4glcdW06//nt4uBkoe VN0BhvQ1cHo32AeMzUEDN/HRYR8wl7oGbouAoTYN3BUBQ3UauC8Chow0cHre1rdm6EIDLw+Nc/o+ YDBWA09F0wYFNfBcBCzOfQ3N7+F5ad/ExV9vwMuwTDz3BrwMz8SrbsDLME386wa8DNfEZW7Ay7BN 3NkGvAzfpPSRAS/DOPFVG/AynJM6RQa8DOvENazB+b0E68RJbMDLsE4cuAa8DOvElWvAy7Auvq69 MnV+L1p7hnU4YIvAM6zjpcIi8Azr8HcWgWdYh+ezCDzDOrySJeDiWNQHx+9F4BnW4TssAs+wDndg EXiGdTgGi8AzXofTrgg8wzr8cEXgGdbhkSsCz7AOb1kReIZ1FEwpAs+wjhooJeDiltJYx+9F4BnW 4XkqAs+wjuIjReAZ1uEfKgLPsA6XTxF4hnV4cYrAM6zDn1MEnmEdvpYi8AzrcJ8UgWdYhyOlBFyc Ghrr+L0IPMM6/BZF4BnW4YooAs+wDu9CEXiGdTgMisAzrMMHUASeYR3egCLwDOuw1BeBZ1iH8b0I PMM6HtYqAReTuMY6fi8Cz7AOq3cReIZ1GLKLwDOso5ZBEXiGdVipi8AzrKPiQBF4hnUUESgCz7AO O28ReIZ1pPoXgWdYhzW2BFwMqhrr+L0IPMM6bKZF4BnWYQYtAs+wDstmEXiGdeTEF4FnWIf9sQg8 wzpMikXgGdZhJSwCz7AOw18ReIZ1mABLwCV9W2MdvxeBZ1hHhnYReIZ1JF0XgWdYRx51EXiGdaRG F4FnWEe2cxF4hnXkPReBZ1hHTnIReIZ1pBkXgWdYR+ZwCbgk/2qs4/ci8AzryO8tAs+wjpTdIvAM 60jeLQLPsI583CLwDOtIsS0Cz7COB1CKwDOsI6O1CDzDOnJbi8AzrCPvtAR8eUNEo538oayDDPHk qZCyDjLUkwdAyjrIkE8e9ijrIEO/mgTNsg4yBJS3OMo6yFCQ1MnCDjIklHczymaQoaG8oVHWQYaI NQmQRR1cOCyKPRY5JuLDKJtBjol4Mco6yDERP0ZZBzkm4sko6yDHRHwZZR3kmIg3o6yDHBPxZ5R1 kGMiHo2yDnJMxKdR1EHuxKBWa2EHOSbi1yibQY6JeDbKOsgxEd9GWQc5JhZ6M2rJHzMXS6E/g5Jw eQeFmCgpW3YGhZgo6Vu2g0JMlOQq20EhJuaODZKfyo5R0qDMDAp9G0stfNtBISZKnpPtoBATJQvJ dlDIEyW1yHZQyBMlzch2UIiJkgRkOyjERKkEbzsoxEQp7247KMTE3NlBElkZJkpijZlBob9jKcpu OyjEREmBsR0UYqLktdgOCjFRklVsB4WYKIkrtoNCTJS0EttBISZKrojtoBATJW/EdlCIibkDRMqC F11tkqphZlDoAyH/JO+gEBMlqcLOoBATJVPCdlCIiZL+YDsoxERJhbAdFGKiJCrYDgoxUbIPbAeF mIgLJOugEBNzpwgFSsowUYL/zRIK/SKUYc07KMREKetsZ1CIiRKybzsoxEQpwGw7KMREqapsOyjE RAl9tx0UYqLUP7YdFGKiBKnbDgoxMXeUUN+4DBMlnNzMoNBXQh2gvINCTJTAbzuDQkyUosG2g0JM lBBt20EhJkrcte2gEBMlmNp2UIiJEiFtOyjERImWth0UYmLuPCEZugwTpaCtmUGh/4QiG3kHhZgo pWftDAoxUerJ2g4KMVGKxNoOCjFRCsbaDgoxUcq52g4KMVFqtNoOCjFRCq/aDgoxMXeoSHnVIjlR SqSaGRT6VHgELu+gEBOlBqqdQSEmSmFT20EhJkq1UttBISbKa/K2g0JMlAKhtoNCTJRiobaDQkyU Up62gzJMXOpz6g7kDyWYuBTdtB2U2RMbeYnddlCGiUt5TNtBGSYuNS9tB2WYuNS/tB2UYSJpdfke lGHiUqnSzqAME5fyk7aDMkxcikPaDgoxMfexSOXIIkzM00KkrmNZBzkmFvpYqCiUHWOhj4VyH3kH hZiYp4dIrcSyPcgxsdDHQi38fAmFmJgniVCzpnAJGU9sCn0sSw1Bg8qFPpbmIlWk0MeyVPuzMyjk iRfpIoU+FopwZcdY6GNpch+L/KEIE3MfS1OaNZL7WKROXtkMsttZit+VdZBjYmHuCCUoslMo9LE0 uY9F/lC0BKkfZzCxMIOErNa8g8LbOfexSOm3siVkcqLUcyvrIOeJhZkkS302u4mFmJj7WJrCbJIm 97HIH4r2IPexNIU+FsoiZXhQ6GNp5AVbs4mFWSVLmTHbQSEm5j4WitIWbmKOiYW5JUuVL7uEQjkx 97E0hfkllOzIT6GQJ+Y+FooAlW1i7mORUlpFqJz7WKSsVlkHOSYWZpo0uY9F/lA2g/x2Lsw2aXIf i/yhbAY5TyzMOFmKQRlULsw54bnRDBMLs06a3Mcifyjag9zH0hT6WChXlC2h0MdCUau8g0I5Mfex NIX5J0tZJHOMhRkoTe5jkT+UnUKOiYVZKE3uY5E/lM0gx8TCTJSlEJDdxEJMzH0sVCAqW0LuY5Ea PkV7kPtYqCNV2EEuJxbmpPBGTEYLhVkpvF+ed1CIibmPpSnMTFnq3Bg8KMxNWarQ2A4Kb+fcxyIl ahQehNoisYzM6f7ufPP44fbx9ub84fZ8e3P6cHu6vfnpw+1PAnN4/3w4S/WZ9M+bbx9ul1rtcoN/ +XAbKvPeSvPX4y/3fz8uH56lFg2lAREYA3fkyWFZV5jF9uHdzz893P3P+/94Daylrm6QkplI7JSn s6IPqOXd+aASb62UqZKHbNg/qidSMzQt3Ax0dVheLKPkcgCdBmqbxvWHYYnJ4AGu0MqjSSGHfh2W eGxeHYyt07DlQu0PW1FHOQ07TzyFY4atKBoVfW7tJE8p21Z5fChOmbeLNsXUDPv4ZLaXN/B4TjjM VarFJhJPn13dnIqnaSN7AZw3TO08pom67qHLlqLLC+vdNqemPGcccG0VJDSztL/Fw+Ylpzqa1ynl fNGx1PANlydl6EAxM6mlwm9srSZ57zHSgGPYreNmlkqLtuOuoizfsloedOdxdttKHFk0m7BP3ebS 2R8WVOjjYcvr7eEKXLex4n2qqH/xWgLvoJthVStuIYkgcq9Wg7YVr52ajkl2mKK3T+osZ1vBU+fR TrY2+k6WJVBjc9nEFXJdKtoA7wwujRQkCyHqWyMPYMTqP+QQzFsqhdnghM2Ja0C+0V9Hee9pNSam z65iH+rxFAPieJuCZ7HNxmDaHmPEH0W8+5CVss6yHsdZXmiCEW2tvq3hvTnJrrCgW8cU14+hTTXv bAS152orNLnp92Zzrq5Wqvanjnm+NmRXbB1TBTiGreMtGjNGJCXT49WN/Zzp+7EPrwdF9ZfVCl8K CbzrsPoKgdcHLfFqq75g7PruHo8v91DD5Q1FuXwePA94xqISh3j7furhw3UGlGYkry1GCYQImSFQ 4ZVGhIR2Ewt2z0Z1K5sbWPbabc/zn5H58nhNuHtSI4+kQaLLCtu10YWGA29NRUfEBrl2O/e8/hG7 RUo0LIOHXJKxjJdFps1obdaZKC8Q6NhWEty23NuVvEYQESh9ZU80wlCMPUaHyZ0UJMV1hrwKEaMc kBd4Kk7T7kCB/+ix3Bp9u9JMvOkW5nnRbY9gEDGjraUyqh5TNaKbgPNuEtGQvP8XeNe6Tt46jE43 NrAPdpi1cYY/Rk6yNrrWySMIvP2zrPOy25FLL4aowoIy/jx2I9d9gAQxtly7t05/IB8tMkveLF/Z x5un3/VtLIQ2d6CM3usRz0cMbZATMRf0KzRvEex1lkHPbHLgV9Tm5F3LeI5vMw28DqBoDpbOCYM+ RT6jILeU8NerwVY+TVGObnmgajORvLGlmOyp9BrOvuUBklWPemtPYcANJZEDevNQhyUplo4slFp5 /8eIebi7eJwuHLwwjC1L1czS7nMgZDymvFsURbUVdN0cVszToWFSnLkV83BZr63UjmelbroyoOhI 4bJch+VZyj6RADRv1RB5qyKJRbyXPW25iI7Vjh0F6wOFyBNghjXhdoSzhm1EMApGiHVOlHXuosS7 NrroGXSoUIiWQVfItVt5eysaVFk0GpRFP9U6TlR79u+w6pgdjHLBNixPGcUUKHn/y2pcYD0qTdgm HB0S6+SVaCEnXrSKiiel94OIuA4LBbcx5KaZOjiqWW2N3JbE7BH9qACfRLJMqill560EhUMaASsS 5Mo49KSushVLL2/wJUHHaE0FOXkZNW7XHl9iUpH1AsZr7GYzaILjLFgDtciHixwVyRZeMSe2jfq7 OZf3aUCeUYnXM5oZjwLZjkUVD8Oiz095Ky84RjVpa/VRAcTVx2ytDXQ9A2mMIo+8EmtlXCIYrm+w +4SQ1WFzy2autxLTfvuA5N3JKnrNVqg0Y2a5Kt6X8qZuLRQ4NeilxAmHgr0nY0gucqKwo4rnrb7z qdCV4IeLGLiKq2m1EBA12eMtOedSJ+FXY+JwbrGTiKmaxxvDgF65k0gxFMMgrlwKnvA56OI1EZHI vHG9llcB0rU5vEgx88ZUmOsKmjYH3EWNineoCJ/WUqRaF+nTz0x1x9gVMvGTw0YJDpO6FBTZKe6y MKmt1bVajpN7MPDwDTStlnPjbcok2eYiKKxKHuRcdoq8AZ8MitgFd4jXsgih6Zp7U2CCc3XxthAp 1EiaaLaYr8I0LkiXrbnKDbzcpJ7Y9vXyxFaU7qmNnaSJB25dI0KiE0XawkWUANJn6Wf8HCxdNR04 /+7n7cRqQ+8tBoykS6de7brWMQYMmAFI7lqLswOMJLXO6ITmakJg4V3YxAxSqwu16h4zQ7y3EATy jnvU9uhVRAThqXt9NdXSmraduW/FVHbvPAHlDllWy1NMYv1Sl2mN6NDGYdG96rCBCd/RqBHCIka3 8L60vXZb7W9xkwcxTUdQeGSIVlg7RhHlIYllUiIX2j1G7EZUso2+LeYx8mQFnXg10WhnoKG847F0 SzWYKjM4TrLUqEAKu0xeA7s4+1tCcYxUMTiiFpXHKChQjLw9GIbFWmSv91fpyQ70ugBWy/NEUejk mNk5OV52ayNI21WigYHVBsKpMd4EB/p2PDxWH7k6+CMapMYZnC/wurCitdV3QMPEg6CRb6+g67CY WFE0l45RW3lBxQwrrauIzBxWT+s+DQholIF4mSk36A+8x5FMWQwbwhm2SfGwXeIHa6tvtfKmY1Ih V9C1Y2gisRIkFy48s1ogMbCFveDDEooXOTWGE8M0sNbajgdu6SRc89if5QevoZNFotfxUd6Xjw4r gi737wceu0DYX5YJg9nj9y1IkRwzjq+xJcV94N0P3+WAiWmKogNaZHY3wJjr5FK64OANVq+Yo7Wx dxeesGOrP+2yW3kaOOpvF/eC2APSbpddC4uyFtHr4lZAK14ekxUvwsWlACLzpGeg/rI7QR5Fi8FD zDq7EjCyi6IuMvjFjdDCVCF30+baWXx3UrcrAGb3AZjfRX388jroZJFhNvC6ktsA0ZOLPGzPxWXA xc1dERov7oLXSMdNemBrvDYLbgKxAEYiubwIQGQ8oWG+F+ya59lwhGaNrmPhBTRspRlk4otthbE7 HPblJUCjOMTkQEW3LLgDBDKGRF9eARhCeQBu6ZbXiLIbAJPm6kheG33rxJvxercz9srA+S7Zf1e1 yeKG3aiE+4sNJvrZL5k/HszkecKdlvF+giau4o8X/3Ag4rWOh4OBMbhn2KgdUUSDwRRCoHzCBnkU dYziEwZprgtzmbFJcpsLPvCqHo5saXWdDU/wcelGLYCjyARU+A08IHSMf4V/agmIk0shJguvL5CL eY8vJZUvoMYMWPNwND6iuB5uLyt4tS0ydeAtrbzeuOzFxWqT7hMlPYgkbRHK67BGd6XP0s/4OcZ4 VrfMwPM574QlyQplf3W6pU7TzzSXCQ9v2FXP1/LWd9TFoaNVtE2dWsRMQ8ww/SjH47MM0bErNtFN ima4uGXqDpWEFZRfMyCpOB8t5Drmgt8BR+u2HUKE4LVW0hk3orGLe13gYtaYjgMzRSqPXtp9qlNg iJ4iiGoE7wYoLVlQeE/TalJdK6bxZbk80htbL/DQrmA9nk0bWkHXzUDkmqOuyj+64KveWnkQOCrQ uAsiTTqHxaeSLMo4CkM2z9YxLCYJfQjHIUlka8XkE1fLV7HVNyyoSHDVslEb6NqxOgJEZQg/O4Lr 52q39Q3EQBOO7jsOSYxagTVu3DjRUToawl8CmgptJlNd+ij9DB9v27n/bWRn8+LaDXNInaWfoVNe so7R7Qh84gd+62Nk8zE6rLBLYDnLvrbbFJeIay05ponwsR5apB/oICI1LN8on1ylVQxEE0+Ni/PC vCRFYmEnWKtdE5wxB0Y+glMxu+twG0VxC9+f9S7Vrxy23YXXkQXrxyodiWKVrB+vIQseAHxny9q4 gKNRA5pIB5p+hn2fMTuul6nqPX2VfsZTwhyPHSVQjZ5M+iz9jJ1zo0RLBvbnavWcpa/Sz9Q5nrno L95H3ZlXS6N4sf8xezImxZpo0DX5NU0g/YzTlrCnQBrpGk8fpJ/hQ65MtnjZjbc/BF/QXV/fttdP H18YiknYcdjktOaobcdvESnupQbrICdjhxZ7GzbPZT7LQ+T2DkESaaKYv7X6uOqIMh+PcANdueoo htZwdeGZxK5iuKpuhZ4K3Lu1AsUygwZjO+56Md4LtWPzwaZpW8U0F85ma/WtFkIj4Oi1jtUR9Lxh b33or56rPc03EGPsxGIXzhCFa4032EEMDYZ318ZOYBRDUUgnxK5ae+k44lAK6x0I/g2tvq2Chwnf ljPYQFfEmCr0yjgsfvogCF9thb9vRfL3rYuqY8zpWaRIzSPmqPrh/PAKZcNisU5hdP3a6lztsIi3 C8atoOt69BHgya2zTX7lXL2IgVOU2NOA0AUcw4BdcAxRSafUKf/IKGxGOIzWt43sfVuFk6y+YDbr Vsn1FO1SVziGbi3kGAr0CseQGyUOu/GEbVKsNcZtbK2u1aJGDBJVdJ0V6SO45Bi61ZyrFzFEl+gj uuM4cHMMDXbJMWbCCKMAcYWwCQpIcXxbq2urasltiI6BDTSdAfhIFEJkRRccw7SWcQwNeskxxN7Y R8PaxhPSpNCLsFsGu8XW6lwtfpB0lVxyDH0ElxxDt+pzdSPG4pwKxgvUzWHNGtmuEiv3EAyC8TbI z0SuioX8TX0ARyaSS2D+js8l1jxGppnppEm8cSnipJIAzEBf0PilsGw3JUpLbU/QbA62HiuiK9kV odMJRdfq46p1QNkJvkvfoWtQYnrZIrZxGxaTUgwe42esCL+14gKJCLO1OoedUOHibXvZsfj5ov6A ZgQZmkkR55Iy6iS+az15u63ppOL24iZJ8d8YLzCkZehigRMQF300KQyEu3L5mM0hzCKaI7AJi+PS tBK7Gb17W6tzc8RpmwSVy45x2NcR8YMOaYZVraTQsou0OodVoHjAswQjnrgXU06QJ7C15nuBaBUv lTG1+obFxcBd9lrHWFqJ0YytRA3kSq8EVcfWGaP41dXmqEAKFPrxshI0hVWdSZ9dRwVUaNSBAETY ZIaSWM5Tl2gN1jpA4ON1jmAHeoOlYF+QwH0ZnND2qEmxuxtztF1F9GXKmK4CGPlSoebUSr3sXBdN 5zANRjDoK/uacJCE+BBE5DtQDC5khYVhkTVyaxoBSNHTQpABhgIzbLu1gvhiqvWjrwIl/SDL98Mx lBzmm8C07QV214S+q3rmXC0xwevRX2h2CDxYfwPaYIcNOfDrsKqVmGOcrv7ValCOJ/CztWP8OETz hiO4FJWxO+G/yFqdqyX+PsZgbFL2NuyWeSd8O4Rnba0zdqmIjpjrA8JdDJuoMOGwyGCBsQyERa8q ZvrsOuITnRu9lsKiQ3TENg/i8eMbFZJzk+EnNFMnslhbL2Z5fVgJL4oLXEG3YbGExSwdCdcKbGdr fYXE7UBv8QhkpuiMRS+OEWLMe49HcINyEoGtJ7BtVuOUHKpI2IREG2IlGG9tLSRWDTpLbILtGD4f jVoDGQLoZvqKE2trtJzSyvXhpxqC8JM8cylZkxrekff36l68ssHuEyKsUPT7ZasJq1u9kTsnpMF6 LN/WJThIdray/1ghZIARpvtR+FoSkrM5GyNGJLwB2SJGXCwMM+tYvPBBRCE6jIQ6c0KYT1K1PsLi 21WYt8MmEk4DEswebyvJNV0D99Nn6Wf8nPgM9KCwm57PyXyMkUQedQHtVqKTlhvXoS5g2xuTIQwL z5oMleZsF54WzC5FKVfSN7PQP2TUjTCTRLUSJmyNAOSIqqnVx6XwIKcIHTT8XJADY5IZhTD+Ge1X k55u5UKFMbuvZwNKfHKGTwN3fWTzGGPyvRggzSgQk8C6+h/stqbNTtsLwidTg+cIN2bmQhCukFhc gVigaEDjANIk7NTSlJhQDBbsZ9QeK8xqQp9muJzd+le4hx3ojQtCyDky1Y2g9y+IJfAqitgrC1nx kNwc+ESkQkjSzrkbkYXj5UJyRggmvMDStGVxk+gSlhG61JaA9Fn6mT7nDogRVVc19fxzvFExRt9z zBJlGU/M9Tl+2hjlh9rq5APwsWTJuMIHkFW4ATdKtwSJlSKl7S3EvLRe7LDFkbhxXEbJqbeBrgcL tuBaCsNe8gHdWsgHDOgFH6BVCssufPeSD/RgU3INuPkAW4S9IHTp4AOYYVYrs+dzScmKkrabD4hO EGXMK3xAch0Tl7jkA6ZVSRH2jO1v6cRVxyJJWPZDdJc8g7qIJ5eEzoyvcg870BvsBwcZbvPQPaSx 6jqb9JNRKn6elGFLiNsGkD5LP+PiqMqChSf0D2oHvVIx5PxzFKjkd3F9juE66nG4cXfiH0iUoPtE tI7PyfOJgU+SOL+mSaY5201OCyb7NAaeEMSNym2uC/JqiIEJWI8RIMti0a2YQEJ4j49taFAk81BT bWUbOCUouhGGvbTr4cAR28hC3Wurc1jYcJRkN1vjNqxIS0lcm8EEuxco99HjsTBxl5WIgA8DlDhr OpP0M50GMdEx+A4BRfTcIBmlz64fIe7TpOewvFD0Uy2qS9F+WObRGLJFoftETrm2evcSm0UOug3L jZP858T8ZIIa6sTaSmp9iUahQYkOzpzR6PY4DgJugK6hStw2Kcgv5t8MTR+TFi5WmzY7nQlGgGTV 8RAtClLMIEFr2adxeFLSnD0cRKp7vMGfXmed3MToCeG8JOZxrQ27sc5r2IWxoZdaeUJtWOTkNQQl yhM2MKZ0WQKkYmZQ2m+xDRIBG2CRUwPu7ey3BSLdMdFZOpb0MxwP4ThrQqRD4ZMwhz5GOLk+l/jU yGs6AhaTqpImkX7GyUC95N8tC3b1XoGEUSre1z7Z7Cm5kyTCFM3Scod8Mpx48jvO5A3nG/nKcRPb GghoxG9hjSaSRYobOx4oAXQWGWrcHPHuxzYupR6u6XXZLHO0TMaF9NlbGI2NLd5OBboId8diargu opCcC7eKEsZMwK2xKelWAsKk6MG1JV7dWdUxBmsUIkNIRP6l/DBuJqI2bSuBqtEAvLVeENLVYQm4 r6IrdwNdKZQNxP+8HChesOjF2FqpoJA8BujxGEOvrTadVKQBbOYpGRfjh1QNslh6fZaY1KLfUnJj rZMBuYYkh4R22F2NfogXZS2zReRlSd4qqECqciDvDXRdPmeCnzxiu4Ty2zPBxhGlMz+2U0xRKkAt 3FSY8AW2XzGiSfo/dbkiEEWaMsxhtxNNcuWFtyC2NUgodFzh2urFHLhlZAUr6NoxmJMyJQmyk9Qp jnlrxesSOZskKK6yqD18+1vCHzTrqO6PRGSEoNutY7JgY0negVKWtiQYNkzU5RhMMRAjsiDKxWpz hCW2Kpl4sEOsluD02fVZUvwrnglKUF5Xhis9RfmjjGfWVm5i1So8/SpZvTLsBooFzgZ6sXxyF6PR 40L5kjy+q+zSDvQWv5XakfEyJOBsrUC6SRBpy9JRIhAkEZFMoAttyo68ApFKkkQ4lD2L7agGKf8H rEeKtGgnekVkZ2vrxflfHRYuImMtWsUKuqIdNVMTsWNtIA3TDKtbW/h8kvLtQPa3uFoNSmhtiKBf h62JYEjWbDTfICdvrRSBTcLg2upbLRkdm239smP09BhVCzHGhNltWELO63BARKhu5bfs+uxv6Wyp VRn1G8IzqVVgthHdGK1nOQIMGqIIGZbyCvbZgd5AX0qobCFcpCukU9rQ13YV54weKAUNFsRgw0MJ 9HUzxEmdbPYIw9iV9JxJCSb2MsCurb4TQveHc2Sg27DgSlRKmN7FpBBhkh2cPV1Xatdnf0urxYef AqrhJcF1vg0rVWvDCSFMIOxmq8WcpvzFKRvEDmR/S8OKkho4l0gpIWR6G5bYu3QE4I/NFMKwef1c 7UBvIQZlcKMbhPlLKEiQWPYQAxtFkq8p2ZFdy5gSJAVoQRtJeM8RYymhaVu9iEHAVMSpKx1v8QuU HCAH1p6QRPNGWJA61FxwDguDTP7SlkASY/ZDC4OJxKMnWiMnEiGDhMup1TksuJDO5krHUu8k0eYY cwo2tHnlXP2IgeIfc4i5bJBCLxAju/C4nCWfcjlWghNWl2X6LP1MWE8+aTKSuD4nsTMSCYastfR5 6jX9TL2jt6fr2vU5t3U8Qs9kILq0N67PSY2PkhkGnxXz0pzTzzR3tTPXPrdHmIDIGUyUsQJt2EDc SCx2gUh8gcCUlEzGU6kOe13VeWVY2H7EboTTTCSBDyCTBJQgry/nEoJhkaFqDLMDXW7OVbRMn73F 6vS+Isxd3oGpk7SnWHWiA59d2wDSZ+ln+hx7UHKQk/If5FMoPX2WfqbPqciQIoyufW63YQWiMFfc 7xVIHTORz0Fpw73NmVsGiOyWhEvsOSHBzcuJWE6kPmKIbKQbptC12tqyTwv+bJPKtv0V7IrVnJmP PE2wRFyubxQsk3w5/+X++FX0rJfj48PHPz88Pi6/nD7/9MPj6eaXA88diOUFrTVcYeazxyd54gDX mGigd4fnD7efHg/n5YGDp6P0FUSX08v5T4eXL6G3pYOwhV8fzven0O3jE5P79vzy/uX5x9N3f5R/ /XT8+NuPp5vT+fGHo8zi9ubwdPflyJsLd+fTMhv56tvL8wL5+f23z/Kvw/vPp8Pzl4e7Px3OB/37 8tX7++b45fj48f703X8CAAD//wMAUEsDBBQABgAIAAAAIQCrR6eG5QAAABABAAAPAAAAZHJzL2Rv d25yZXYueG1sTI9Pb8IwDMXvk/YdIk/aDdKWsaHSFCH254SQBpMQt9CatqJxqia05dvPPW0X61m2 n98vWQ2mFh22rrKkIJwGIJAym1dUKPg5fE4WIJzXlOvaEiq4o4NV+viQ6Di3PX1jt/eFYBNysVZQ et/EUrqsRKPd1DZIPLvY1mjPbVvIvNU9m5taRkHwKo2uiD+UusFNidl1fzMKvnrdr2fhR7e9Xjb3 02G+O25DVOr5aXhfclkvQXgc/N8FjAycH1IOdrY3yp2oFUzCYMFEXsFLNAcxbkQzFudRvEUg00T+ B0l/AQAA//8DAFBLAQItABQABgAIAAAAIQC2gziS/gAAAOEBAAATAAAAAAAAAAAAAAAAAAAAAABb Q29udGVudF9UeXBlc10ueG1sUEsBAi0AFAAGAAgAAAAhADj9If/WAAAAlAEAAAsAAAAAAAAAAAAA AAAALwEAAF9yZWxzLy5yZWxzUEsBAi0AFAAGAAgAAAAhAAgw299lNQAAtyQBAA4AAAAAAAAAAAAA AAAALgIAAGRycy9lMm9Eb2MueG1sUEsBAi0AFAAGAAgAAAAhAKtHp4blAAAAEAEAAA8AAAAAAAAA AAAAAAAAvzcAAGRycy9kb3ducmV2LnhtbFBLBQYAAAAABAAEAPMAAADROAAAAAA= ">
              <v:rect id="Rectangle 36" style="position:absolute;top:803;width:4572;height:4572;visibility:visible;mso-wrap-style:square;v-text-anchor:middle" o:spid="_x0000_s1027" fillcolor="white [3212]" stroked="f" strokeweight="1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eeNQyAAAAOAAAAAPAAAAZHJzL2Rvd25yZXYueG1sRI9BawIx FITvhf6H8ApeSs22AZHVKG2l4MVDVUqPj83rJrh5WTZxd/XXm0Khl4FhmG+Y5Xr0jeipiy6whudp AYK4CsZxreF4+Hiag4gJ2WATmDRcKMJ6dX+3xNKEgT+p36daZAjHEjXYlNpSylhZ8hinoSXO2U/o PKZsu1qaDocM9418KYqZ9Og4L1hs6d1SddqfvYbdRalt/6hOw9Gp2l3l99uXDVpPHsbNIsvrAkSi Mf03/hBbo0HN4PdQPgNydQMAAP//AwBQSwECLQAUAAYACAAAACEA2+H2y+4AAACFAQAAEwAAAAAA AAAAAAAAAAAAAAAAW0NvbnRlbnRfVHlwZXNdLnhtbFBLAQItABQABgAIAAAAIQBa9CxbvwAAABUB AAALAAAAAAAAAAAAAAAAAB8BAABfcmVscy8ucmVsc1BLAQItABQABgAIAAAAIQCfeeNQyAAAAOAA AAAPAAAAAAAAAAAAAAAAAAcCAABkcnMvZG93bnJldi54bWxQSwUGAAAAAAMAAwC3AAAA/AIAAAAA "/>
              <v:shape id="Freeform 16" style="position:absolute;left:4622;width:10079;height:3108;visibility:visible;mso-wrap-style:square;v-text-anchor:middle" coordsize="2371650,731520" o:spid="_x0000_s1028" fillcolor="black" stroked="f" strokeweight=".96pt" path="m1242411,294278v,27360,-9131,50245,-27106,68078c1191395,386091,1152606,399033,1105967,398675v-33472,-554,-67289,-8690,-86422,-20446l1032291,311182v20280,11524,55709,23155,82140,23155c1136198,334337,1150862,324294,1150862,308183v,-14604,-10308,-24810,-36637,-37692c1072578,249666,1051741,223266,1051741,192152v,-61221,52145,-102593,130380,-102593c1223519,89559,1250469,99314,1265412,108904r-12722,66915c1240846,166918,1210743,154501,1177909,154501v-22802,,-37652,9550,-37652,25539c1140257,191509,1151620,201785,1175674,213510v31340,15659,66737,38840,66737,80768xm700127,90173v-110210,,-193252,80479,-193252,187204c506875,351082,555850,398675,631821,398675v32494,,64079,-5954,84416,-15852l730160,309292v-27196,13482,-48475,19018,-73558,19018c628820,328310,599017,312324,599017,267701v,-52582,37293,-107152,99890,-107152c717876,160549,733752,164314,747443,172102r13626,-71492c745316,94092,722493,90173,700127,90173xm2245494,330114v36780,,68611,-8996,103317,-29156l2334727,374974v-41913,21400,-91153,23723,-110384,23723c2142522,398697,2095748,353194,2095748,273749v,-45809,16828,-91711,46138,-125940c2174044,110240,2219003,89568,2268462,89568v61900,,103189,35962,103189,89283c2371651,203510,2363628,223791,2347824,239192v-29563,28812,-102425,44959,-168783,31927c2175880,308509,2204027,330114,2245494,330114xm2188658,214066v51611,424,80642,-4797,93311,-17342c2295685,183096,2291390,153896,2257578,153896v-38043,,-62263,31189,-68920,60170xm2051252,90173v-110210,,-193252,80479,-193252,187204c1858000,351082,1906976,398675,1982946,398675v32494,,64079,-5954,84416,-15852l2081285,309292v-27196,13482,-48475,19018,-73558,19018c1979945,328310,1950142,312325,1950142,267702v,-52583,37293,-107153,99890,-107153c2069001,160549,2084877,164314,2098568,172102r13626,-71491c2096441,94093,2073618,90173,2051252,90173xm1843528,226669r-31712,165970l1727820,392639r10916,-57126c1726954,371115,1698254,399290,1650105,399290v-58436,,-84846,-51876,-84877,-103792c1565188,236519,1588359,178113,1627168,139273v32510,-32528,74466,-49713,121371,-49713c1784225,89702,1810622,100031,1827163,120078v24484,29669,22475,74207,16365,106591xm1762661,188485v-1025,-20928,-11919,-32211,-31452,-32211c1689845,156274,1654009,227668,1654041,277317v11,31020,11509,50338,31513,50338c1717548,327655,1745105,294195,1754585,245198v3228,-16558,8665,-43739,8076,-56713xm492406,226669l460693,392639r-83995,l387613,335513v-11781,35602,-40482,63777,-88631,63777c240545,399290,214137,347414,214106,295498v-41,-58979,23130,-117385,61939,-156225c308555,106745,350510,89560,397417,89560v35684,142,62082,10471,78623,30518c500525,149747,498516,194285,492406,226669xm411539,188485v-1026,-20928,-11920,-32211,-31453,-32211c338722,156274,302887,227668,302918,277317v12,31020,11508,50338,31513,50338c366426,327655,393983,294195,403462,245198v3229,-16558,8665,-43739,8077,-56713xm1559358,202421v,72107,-34620,146039,-97021,179304c1439414,393945,1417476,399076,1398411,399293v-31239,-2,-48751,-11679,-58736,-29683l1317337,487670r-87939,l1304052,95023r77454,l1372451,142685v21882,-31832,54290,-53125,90972,-53125c1521623,89560,1559357,133667,1559357,202421r1,xm1467902,209082v,-13977,-3300,-47920,-35511,-47920c1399638,161162,1371988,198477,1361269,255076v-3669,19351,-13937,77458,26522,77458c1433981,332534,1467902,266966,1467902,209082xm122511,161001l135047,95022r-77447,l,397876r87953,l111703,273006v14004,-73633,56248,-103098,116368,-93996l245247,88676c191123,83740,142846,114704,122511,161001xm827930,392638l858223,233285r62353,159353l1015149,392638,950636,232019,1068043,95022r-96006,l858750,230516,902570,,815233,,740583,392638r87347,xm1839859,600836v,42897,-29700,79536,-72572,79536c1735543,680372,1715912,658419,1715912,628492v,-42620,29699,-79536,72571,-79536c1822296,548956,1839859,573230,1839859,600836xm1746898,627709v,17285,9034,29448,24528,29448c1793908,657157,1808872,626170,1808872,601088v,-12894,-5930,-28918,-24022,-28918c1760853,572170,1746898,604217,1746898,627709xm2044503,600836v,42897,-29700,79536,-72572,79536c1940187,680372,1920555,658419,1920555,628492v,-42620,29700,-79536,72572,-79536c2026940,548956,2044503,573230,2044503,600836xm1951542,627709v,17285,9034,29448,24527,29448c1998552,657157,2013516,626170,2013516,601088v,-12894,-5930,-28918,-24022,-28918c1965496,572170,1951542,604217,1951542,627709xm1884855,510629r-31748,166916l1883083,677545r31979,-166916l1884855,510629xm1400114,549208v-46480,,-79788,36917,-79788,80823c1320326,659983,1339680,680120,1371196,680120v16676,,29727,-3921,37079,-7675l1413237,646349v-4368,2454,-16749,9496,-33789,9496c1362668,655845,1351817,645247,1351817,626423v,-26344,18345,-52940,47263,-52940c1410312,573483,1417035,576590,1422249,579346r4755,-25010c1422592,552209,1412104,549208,1400114,549208xm1228324,643733v-2851,-4921,-3886,-13450,-3356,-17840c1273517,626927,1307330,616582,1307330,584333v,-21196,-15745,-35377,-40550,-35377c1223404,548956,1195521,590263,1195521,628214v,30735,16780,52158,51653,52158c1263709,680372,1282121,676139,1294703,668583r5147,-27074c1289613,648898,1274929,656627,1254138,656627v-11885,,-20918,-4391,-25814,-12894xm1262919,571414v9564,,15999,4895,15999,12919c1278918,599549,1259033,603687,1228047,603410v3633,-15216,16023,-31996,34872,-31996xm1695170,583525v,-23744,-13954,-34570,-32021,-34570c1645210,548955,1628878,557828,1617217,575329r4656,-24305l1594758,551024r-24065,126521l1600669,677545r11129,-58087c1617223,589985,1634483,573483,1648160,573483v11885,,15771,7469,15771,18067c1663931,596445,1663330,601885,1662448,606538r-13506,71007l1678918,677545r14049,-73328c1694254,598010,1695170,589228,1695170,583525xm1521033,548955v-15924,,-30581,6993,-41830,20804l1490532,510629r-30207,l1428577,677545r29977,l1469682,619458v5425,-29473,22686,-45976,36362,-45976c1517930,573482,1521815,580952,1521815,591550v,4895,-600,10335,-1483,14988l1506827,677545r29976,l1550851,604217v1287,-6207,2203,-14989,2203,-20692c1553054,559780,1539100,548955,1521033,548955xm1171990,519414r-29242,l1136323,551782r-16781,l1115151,575022r16807,l1121106,631066v-1815,9285,-2599,16249,-2599,23239c1118507,668765,1127567,680120,1148208,680120v7241,,15241,-757,19632,-2574l1167840,677542r4535,-23839c1168933,654444,1164660,654835,1160345,654835v-8000,,-11102,-4390,-11102,-11380c1149243,638030,1150277,631571,1151563,625640r9817,-50618l1189541,575022r4642,-23240l1166023,551782r5967,-32368xm2182235,724544v23037,10658,45741,5941,62204,-23509l2244439,700986r84129,-149962l2296546,551024r-47778,93616l2237166,551024r-31517,l2228062,674169r-9810,19657c2209437,708887,2194055,703972,2186900,700003r-4665,24542l2182235,724544xm2141307,548955v-53479,,-80867,47284,-80867,87072c2060440,658505,2071550,680467,2098421,680467v16673,,31714,-8131,41803,-22454l2137816,669017v-6182,29195,-21171,38481,-40802,38481c2085128,707498,2071200,704394,2063958,700003r-4666,24542c2067991,728825,2081655,731520,2096388,731520v15909,,33653,-3103,46961,-13954c2157703,705706,2164765,686075,2169456,661548r11386,-57038c2182391,597530,2183423,589781,2183423,582806v,-22736,-15761,-33851,-42116,-33851xm2150868,602956r-2323,11626c2143377,639905,2127358,655924,2111855,655924v-13950,,-19897,-11626,-19897,-25322c2091958,605801,2109273,571955,2135623,571955v10594,,16536,5684,16794,16019c2152675,593916,2151653,598375,2150868,602956xm2362069,651612v1450,-15951,-10271,-28880,-26221,-28880c2319897,622732,2305880,635661,2304430,651612v-1571,14621,9183,28759,26221,28759c2346602,680492,2360619,667562,2362069,651612xm2357960,651249v-1208,13776,-13533,25013,-27308,25013c2317118,676262,2307330,665387,2308538,651974v1209,-13654,13413,-25013,27309,-25013c2349260,626961,2359169,637836,2357960,651249xm2338022,655116r4592,13413l2338143,668529r-4471,-13050l2327268,655479r-2417,13050l2320622,668529r6404,-33955l2338143,634574v5075,,8942,3746,9063,8579c2347327,647624,2344185,653425,2338023,655116r-1,xm2338143,638682r-7733,l2327993,651370r7008,c2338747,651370,2342010,648470,2342977,644604v725,-3021,-1692,-5921,-4834,-5921l2338143,63868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cAIxgAAAOAAAAAPAAAAZHJzL2Rvd25yZXYueG1sRI/BagIx EIbvBd8hjOCtZpViZTWKKBbprSqIt2EzmyxuJusm6vr2plDoZZjh5/+Gb77sXC3u1IbKs4LRMANB XHhdsVFwPGzfpyBCRNZYeyYFTwqwXPTe5phr/+Afuu+jEQnCIUcFNsYmlzIUlhyGoW+IU1b61mFM Z2ukbvGR4K6W4yybSIcVpw8WG1pbKi77m1NgbrYuzVd2up7XE9OcwvdHub0qNeh3m1kaqxmISF38 b/whdjo5fMKvUFpALl4AAAD//wMAUEsBAi0AFAAGAAgAAAAhANvh9svuAAAAhQEAABMAAAAAAAAA AAAAAAAAAAAAAFtDb250ZW50X1R5cGVzXS54bWxQSwECLQAUAAYACAAAACEAWvQsW78AAAAVAQAA CwAAAAAAAAAAAAAAAAAfAQAAX3JlbHMvLnJlbHNQSwECLQAUAAYACAAAACEA/hXACMYAAADgAAAA DwAAAAAAAAAAAAAAAAAHAgAAZHJzL2Rvd25yZXYueG1sUEsFBgAAAAADAAMAtwAAAPoCAAAAAA== ">
                <v:stroke joinstyle="miter"/>
                <v:path arrowok="t" o:connecttype="custom" o:connectlocs="528025,125068;516504,154001;470036,169437;433307,160747;438724,132252;473633,142093;489116,130978;473546,114959;446990,81665;502401,38063;537800,46284;532393,74723;500611,65663;484609,76517;499661,90742;528025,125068;297554,38324;215422,117885;268524,169437;304401,162700;310318,131449;279056,139532;254582,113773;297035,68233;317663,73143;323454,42759;297554,38324;954335,140298;998244,127907;992259,159364;945346,169446;890693,116343;910301,62819;964096,38066;1007951,76012;997825,101657;926092,115226;954335,140298;930179,90978;969837,83608;959470,65406;930179,90978;871782,38324;789650,117885;842752,169437;878629,162700;884546,131449;853284,139532;828810,113773;871263,68233;891891,73143;897682,42760;871782,38324;783499,96334;770022,166872;734323,166872;738963,142593;701294,169698;665222,125587;691546,59191;743129,38063;776544,51033;783499,96334;749131,80106;735764,66416;702967,117860;716360,139253;745698,104209;749131,80106;209272,96334;195794,166872;160097,166872;164735,142593;127067,169698;90995,125587;117319,59191;168902,38063;202317,51033;209272,96334;174904,80106;161537,66416;128740,117860;142133,139253;171471,104209;174904,80106;662727,86029;621493,162233;594325,169700;569362,157084;559868,207260;522494,207260;554222,40385;587140,40385;583292,60641;621955,38063;662727,86029;623858,88860;608766,68494;578539,108407;589811,141327;623858,88860;52067,68425;57395,40384;24480,40384;0,169097;37380,169097;47474,116028;96930,76079;104230,37687;52067,68425;351870,166871;364745,99146;391245,166871;431438,166871;404020,98608;453918,40384;413116,40384;364969,97969;383592,0;346474,0;314748,166871;781940,255355;751097,289158;729262,267109;760105,233306;781940,255355;742431,266776;752856,279292;768770,255462;758561,243172;742431,266776;868914,255355;838070,289158;816236,267109;847079,233306;868914,255355;829405,266776;839829,279292;855744,255462;845535,243172;829405,266776;801063,217017;787570,287957;800310,287957;813901,217017;595048,233413;561138,267763;582758,289051;598517,285789;600626,274698;586265,278734;574522,266230;594609,243730;604456,246222;606477,235593;595048,233413;522038,273587;520611,266005;555615,248342;538381,233306;508096,266991;530049,289158;550249,284148;552436,272641;533009,279066;522038,273587;536740,242851;543540,248342;521920,256449;536740,242851;720447,247998;706838,233306;687317,244515;689296,234185;677772,234185;667544,287957;680284,287957;685014,263270;700468,243730;707170,251409;706540,257779;700800,287957;713540,287957;719511,256792;720447,247998;646439,233306;628661,242148;633476,217017;620638,217017;607145,287957;619885,287957;624615,263270;640069,243730;646771,251409;646141,257779;640401,287957;653141,287957;659112,256792;660048,247998;646439,233306;498096,220751;485668,220751;482937,234507;475805,234507;473939,244384;481082,244384;476470,268203;475365,278080;487988,289051;496332,287957;496332,287955;498259,277824;493147,278305;488428,273468;489414,265897;493586,244384;505555,244384;507528,234507;495560,234507;927450,307931;953886,297940;953886,297919;989641,234185;976032,234185;955726,273972;950795,234185;937401,234185;946926,286522;942757,294876;929432,297501;927450,307932;910055,233306;875687,270311;891829,289198;909595,279656;908572,284332;891231,300687;877182,297501;875199,307932;890965,310896;910923,304966;922019,281158;926858,256917;927955,247693;910055,233306;914119,256256;913131,261197;897538,278768;889082,268006;907640,243081;914777,249889;914119,256256;1003879,276935;992735,264661;979383,276935;990526,289158;1003879,276935;1002133,276781;990527,287411;981128,277089;992735,266458;1002133,276781;993659,278424;995611,284125;993711,284125;991810,278579;989089,278579;988061,284125;986264,284125;988986,269694;993711,269694;997562,273340;993660,278424;993659,278424;993711,271440;990424,271440;989397,276832;992375,276832;995765,273957;993711,2714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7B08" w14:textId="5F8E75E8" w:rsidR="0044247A" w:rsidRDefault="00AA107C" w:rsidP="0032314F">
    <w:r>
      <w:rPr>
        <w:noProof/>
      </w:rPr>
      <mc:AlternateContent>
        <mc:Choice Requires="wpg">
          <w:drawing>
            <wp:anchor distT="0" distB="0" distL="114300" distR="114300" simplePos="0" relativeHeight="251658244" behindDoc="0" locked="0" layoutInCell="1" allowOverlap="1" wp14:anchorId="774E37FE" wp14:editId="4E71CB13">
              <wp:simplePos x="0" y="0"/>
              <wp:positionH relativeFrom="column">
                <wp:posOffset>2227521</wp:posOffset>
              </wp:positionH>
              <wp:positionV relativeFrom="paragraph">
                <wp:posOffset>356013</wp:posOffset>
              </wp:positionV>
              <wp:extent cx="4635795" cy="457200"/>
              <wp:effectExtent l="0" t="0" r="0" b="0"/>
              <wp:wrapNone/>
              <wp:docPr id="2" name="Group 2"/>
              <wp:cNvGraphicFramePr/>
              <a:graphic xmlns:a="http://schemas.openxmlformats.org/drawingml/2006/main">
                <a:graphicData uri="http://schemas.microsoft.com/office/word/2010/wordprocessingGroup">
                  <wpg:wgp>
                    <wpg:cNvGrpSpPr/>
                    <wpg:grpSpPr>
                      <a:xfrm>
                        <a:off x="0" y="0"/>
                        <a:ext cx="4635795" cy="457200"/>
                        <a:chOff x="0" y="0"/>
                        <a:chExt cx="4635795" cy="457200"/>
                      </a:xfrm>
                    </wpg:grpSpPr>
                    <wps:wsp>
                      <wps:cNvPr id="26" name="Rectangle 26"/>
                      <wps:cNvSpPr/>
                      <wps:spPr>
                        <a:xfrm>
                          <a:off x="4178595"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Text Box 27"/>
                      <wps:cNvSpPr txBox="1">
                        <a:spLocks noChangeAspect="1" noEditPoints="1" noChangeArrowheads="1" noChangeShapeType="1" noTextEdit="1"/>
                      </wps:cNvSpPr>
                      <wps:spPr bwMode="auto">
                        <a:xfrm>
                          <a:off x="0" y="63796"/>
                          <a:ext cx="41751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F5CA7" w14:textId="67B92119" w:rsidR="0073480C" w:rsidRPr="00D27175" w:rsidRDefault="0073480C" w:rsidP="0073480C">
                            <w:pPr>
                              <w:spacing w:before="20"/>
                              <w:ind w:left="20"/>
                              <w:jc w:val="right"/>
                              <w:rPr>
                                <w:rFonts w:cs="Arial"/>
                                <w:sz w:val="16"/>
                                <w:szCs w:val="16"/>
                              </w:rPr>
                            </w:pPr>
                            <w:r w:rsidRPr="00E40351">
                              <w:rPr>
                                <w:sz w:val="16"/>
                                <w:szCs w:val="16"/>
                              </w:rPr>
                              <w:t xml:space="preserve">Sales: </w:t>
                            </w:r>
                            <w:r w:rsidR="000F2E76" w:rsidRPr="000F2E76">
                              <w:rPr>
                                <w:sz w:val="16"/>
                                <w:szCs w:val="16"/>
                              </w:rPr>
                              <w:t>0800 988 0100</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wps:txbx>
                      <wps:bodyPr rot="0" vert="horz" wrap="square" lIns="0" tIns="0" rIns="0" bIns="0" anchor="t" anchorCtr="0" upright="1">
                        <a:noAutofit/>
                      </wps:bodyPr>
                    </wps:wsp>
                  </wpg:wgp>
                </a:graphicData>
              </a:graphic>
            </wp:anchor>
          </w:drawing>
        </mc:Choice>
        <mc:Fallback xmlns:a="http://schemas.openxmlformats.org/drawingml/2006/main" xmlns:a14="http://schemas.microsoft.com/office/drawing/2010/main" xmlns:arto="http://schemas.microsoft.com/office/word/2006/arto">
          <w:pict w14:anchorId="0472D992">
            <v:group id="Group 2" style="position:absolute;margin-left:175.4pt;margin-top:28.05pt;width:365pt;height:36pt;z-index:251658244" coordsize="46357,4572" o:spid="_x0000_s1030" w14:anchorId="774E37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">
              <v:rect id="Rectangle 26" style="position:absolute;left:41785;width:4572;height:4572;visibility:visible;mso-wrap-style:square;v-text-anchor:middle" o:spid="_x0000_s1031"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"/>
              <v:shapetype id="_x0000_t202" coordsize="21600,21600" o:spt="202" path="m,l,21600r21600,l21600,xe">
                <v:stroke joinstyle="miter"/>
                <v:path gradientshapeok="t" o:connecttype="rect"/>
              </v:shapetype>
              <v:shape id="Text Box 27" style="position:absolute;top:637;width:41751;height:1391;visibility:visible;mso-wrap-style:square;v-text-anchor:top" o:spid="_x0000_s103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o:lock v:ext="edit" verticies="t" text="t" aspectratio="t" shapetype="t"/>
                <v:textbox inset="0,0,0,0">
                  <w:txbxContent>
                    <w:p w:rsidRPr="00D27175" w:rsidR="0073480C" w:rsidP="0073480C" w:rsidRDefault="0073480C" w14:paraId="2E539900" w14:textId="67B92119">
                      <w:pPr>
                        <w:spacing w:before="20"/>
                        <w:ind w:left="20"/>
                        <w:jc w:val="right"/>
                        <w:rPr>
                          <w:rFonts w:cs="Arial"/>
                          <w:sz w:val="16"/>
                          <w:szCs w:val="16"/>
                        </w:rPr>
                      </w:pPr>
                      <w:r w:rsidRPr="00E40351">
                        <w:rPr>
                          <w:sz w:val="16"/>
                          <w:szCs w:val="16"/>
                        </w:rPr>
                        <w:t xml:space="preserve">Sales: </w:t>
                      </w:r>
                      <w:r w:rsidRPr="000F2E76" w:rsidR="000F2E76">
                        <w:rPr>
                          <w:sz w:val="16"/>
                          <w:szCs w:val="16"/>
                        </w:rPr>
                        <w:t>0800 988 0100</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v:textbox>
              </v:shape>
            </v:group>
          </w:pict>
        </mc:Fallback>
      </mc:AlternateContent>
    </w:r>
    <w:r w:rsidR="00CA5EAA">
      <w:rPr>
        <w:noProof/>
      </w:rPr>
      <mc:AlternateContent>
        <mc:Choice Requires="wpg">
          <w:drawing>
            <wp:anchor distT="0" distB="0" distL="114300" distR="114300" simplePos="0" relativeHeight="251658242" behindDoc="0" locked="0" layoutInCell="1" allowOverlap="1" wp14:anchorId="2D939351" wp14:editId="20732AB8">
              <wp:simplePos x="0" y="0"/>
              <wp:positionH relativeFrom="column">
                <wp:posOffset>-685800</wp:posOffset>
              </wp:positionH>
              <wp:positionV relativeFrom="paragraph">
                <wp:posOffset>183515</wp:posOffset>
              </wp:positionV>
              <wp:extent cx="1768510" cy="628022"/>
              <wp:effectExtent l="0" t="0" r="0" b="0"/>
              <wp:wrapNone/>
              <wp:docPr id="12" name="Group 12"/>
              <wp:cNvGraphicFramePr/>
              <a:graphic xmlns:a="http://schemas.openxmlformats.org/drawingml/2006/main">
                <a:graphicData uri="http://schemas.microsoft.com/office/word/2010/wordprocessingGroup">
                  <wpg:wgp>
                    <wpg:cNvGrpSpPr/>
                    <wpg:grpSpPr>
                      <a:xfrm>
                        <a:off x="0" y="0"/>
                        <a:ext cx="1768510" cy="628022"/>
                        <a:chOff x="0" y="0"/>
                        <a:chExt cx="1768510" cy="628022"/>
                      </a:xfrm>
                    </wpg:grpSpPr>
                    <wps:wsp>
                      <wps:cNvPr id="7" name="Rectangle 7"/>
                      <wps:cNvSpPr/>
                      <wps:spPr>
                        <a:xfrm>
                          <a:off x="0" y="170822"/>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reeform 16"/>
                      <wps:cNvSpPr>
                        <a:spLocks noChangeAspect="1"/>
                      </wps:cNvSpPr>
                      <wps:spPr>
                        <a:xfrm>
                          <a:off x="462224" y="0"/>
                          <a:ext cx="1306286" cy="402504"/>
                        </a:xfrm>
                        <a:custGeom>
                          <a:avLst/>
                          <a:gdLst>
                            <a:gd name="connsiteX0" fmla="*/ 1242411 w 2371650"/>
                            <a:gd name="connsiteY0" fmla="*/ 294278 h 731520"/>
                            <a:gd name="connsiteX1" fmla="*/ 1215305 w 2371650"/>
                            <a:gd name="connsiteY1" fmla="*/ 362356 h 731520"/>
                            <a:gd name="connsiteX2" fmla="*/ 1105967 w 2371650"/>
                            <a:gd name="connsiteY2" fmla="*/ 398675 h 731520"/>
                            <a:gd name="connsiteX3" fmla="*/ 1019545 w 2371650"/>
                            <a:gd name="connsiteY3" fmla="*/ 378229 h 731520"/>
                            <a:gd name="connsiteX4" fmla="*/ 1032291 w 2371650"/>
                            <a:gd name="connsiteY4" fmla="*/ 311182 h 731520"/>
                            <a:gd name="connsiteX5" fmla="*/ 1114431 w 2371650"/>
                            <a:gd name="connsiteY5" fmla="*/ 334337 h 731520"/>
                            <a:gd name="connsiteX6" fmla="*/ 1150862 w 2371650"/>
                            <a:gd name="connsiteY6" fmla="*/ 308183 h 731520"/>
                            <a:gd name="connsiteX7" fmla="*/ 1114225 w 2371650"/>
                            <a:gd name="connsiteY7" fmla="*/ 270491 h 731520"/>
                            <a:gd name="connsiteX8" fmla="*/ 1051741 w 2371650"/>
                            <a:gd name="connsiteY8" fmla="*/ 192152 h 731520"/>
                            <a:gd name="connsiteX9" fmla="*/ 1182121 w 2371650"/>
                            <a:gd name="connsiteY9" fmla="*/ 89559 h 731520"/>
                            <a:gd name="connsiteX10" fmla="*/ 1265412 w 2371650"/>
                            <a:gd name="connsiteY10" fmla="*/ 108904 h 731520"/>
                            <a:gd name="connsiteX11" fmla="*/ 1252690 w 2371650"/>
                            <a:gd name="connsiteY11" fmla="*/ 175819 h 731520"/>
                            <a:gd name="connsiteX12" fmla="*/ 1177909 w 2371650"/>
                            <a:gd name="connsiteY12" fmla="*/ 154501 h 731520"/>
                            <a:gd name="connsiteX13" fmla="*/ 1140257 w 2371650"/>
                            <a:gd name="connsiteY13" fmla="*/ 180040 h 731520"/>
                            <a:gd name="connsiteX14" fmla="*/ 1175674 w 2371650"/>
                            <a:gd name="connsiteY14" fmla="*/ 213510 h 731520"/>
                            <a:gd name="connsiteX15" fmla="*/ 1242411 w 2371650"/>
                            <a:gd name="connsiteY15" fmla="*/ 294278 h 731520"/>
                            <a:gd name="connsiteX16" fmla="*/ 700127 w 2371650"/>
                            <a:gd name="connsiteY16" fmla="*/ 90173 h 731520"/>
                            <a:gd name="connsiteX17" fmla="*/ 506875 w 2371650"/>
                            <a:gd name="connsiteY17" fmla="*/ 277377 h 731520"/>
                            <a:gd name="connsiteX18" fmla="*/ 631821 w 2371650"/>
                            <a:gd name="connsiteY18" fmla="*/ 398675 h 731520"/>
                            <a:gd name="connsiteX19" fmla="*/ 716237 w 2371650"/>
                            <a:gd name="connsiteY19" fmla="*/ 382823 h 731520"/>
                            <a:gd name="connsiteX20" fmla="*/ 730160 w 2371650"/>
                            <a:gd name="connsiteY20" fmla="*/ 309292 h 731520"/>
                            <a:gd name="connsiteX21" fmla="*/ 656602 w 2371650"/>
                            <a:gd name="connsiteY21" fmla="*/ 328310 h 731520"/>
                            <a:gd name="connsiteX22" fmla="*/ 599017 w 2371650"/>
                            <a:gd name="connsiteY22" fmla="*/ 267701 h 731520"/>
                            <a:gd name="connsiteX23" fmla="*/ 698907 w 2371650"/>
                            <a:gd name="connsiteY23" fmla="*/ 160549 h 731520"/>
                            <a:gd name="connsiteX24" fmla="*/ 747443 w 2371650"/>
                            <a:gd name="connsiteY24" fmla="*/ 172102 h 731520"/>
                            <a:gd name="connsiteX25" fmla="*/ 761069 w 2371650"/>
                            <a:gd name="connsiteY25" fmla="*/ 100610 h 731520"/>
                            <a:gd name="connsiteX26" fmla="*/ 700127 w 2371650"/>
                            <a:gd name="connsiteY26" fmla="*/ 90173 h 731520"/>
                            <a:gd name="connsiteX27" fmla="*/ 2245494 w 2371650"/>
                            <a:gd name="connsiteY27" fmla="*/ 330114 h 731520"/>
                            <a:gd name="connsiteX28" fmla="*/ 2348811 w 2371650"/>
                            <a:gd name="connsiteY28" fmla="*/ 300958 h 731520"/>
                            <a:gd name="connsiteX29" fmla="*/ 2334727 w 2371650"/>
                            <a:gd name="connsiteY29" fmla="*/ 374974 h 731520"/>
                            <a:gd name="connsiteX30" fmla="*/ 2224343 w 2371650"/>
                            <a:gd name="connsiteY30" fmla="*/ 398697 h 731520"/>
                            <a:gd name="connsiteX31" fmla="*/ 2095748 w 2371650"/>
                            <a:gd name="connsiteY31" fmla="*/ 273749 h 731520"/>
                            <a:gd name="connsiteX32" fmla="*/ 2141886 w 2371650"/>
                            <a:gd name="connsiteY32" fmla="*/ 147809 h 731520"/>
                            <a:gd name="connsiteX33" fmla="*/ 2268462 w 2371650"/>
                            <a:gd name="connsiteY33" fmla="*/ 89568 h 731520"/>
                            <a:gd name="connsiteX34" fmla="*/ 2371651 w 2371650"/>
                            <a:gd name="connsiteY34" fmla="*/ 178851 h 731520"/>
                            <a:gd name="connsiteX35" fmla="*/ 2347824 w 2371650"/>
                            <a:gd name="connsiteY35" fmla="*/ 239192 h 731520"/>
                            <a:gd name="connsiteX36" fmla="*/ 2179041 w 2371650"/>
                            <a:gd name="connsiteY36" fmla="*/ 271119 h 731520"/>
                            <a:gd name="connsiteX37" fmla="*/ 2245494 w 2371650"/>
                            <a:gd name="connsiteY37" fmla="*/ 330114 h 731520"/>
                            <a:gd name="connsiteX38" fmla="*/ 2188658 w 2371650"/>
                            <a:gd name="connsiteY38" fmla="*/ 214066 h 731520"/>
                            <a:gd name="connsiteX39" fmla="*/ 2281969 w 2371650"/>
                            <a:gd name="connsiteY39" fmla="*/ 196724 h 731520"/>
                            <a:gd name="connsiteX40" fmla="*/ 2257578 w 2371650"/>
                            <a:gd name="connsiteY40" fmla="*/ 153896 h 731520"/>
                            <a:gd name="connsiteX41" fmla="*/ 2188658 w 2371650"/>
                            <a:gd name="connsiteY41" fmla="*/ 214066 h 731520"/>
                            <a:gd name="connsiteX42" fmla="*/ 2051252 w 2371650"/>
                            <a:gd name="connsiteY42" fmla="*/ 90173 h 731520"/>
                            <a:gd name="connsiteX43" fmla="*/ 1858000 w 2371650"/>
                            <a:gd name="connsiteY43" fmla="*/ 277377 h 731520"/>
                            <a:gd name="connsiteX44" fmla="*/ 1982946 w 2371650"/>
                            <a:gd name="connsiteY44" fmla="*/ 398675 h 731520"/>
                            <a:gd name="connsiteX45" fmla="*/ 2067362 w 2371650"/>
                            <a:gd name="connsiteY45" fmla="*/ 382823 h 731520"/>
                            <a:gd name="connsiteX46" fmla="*/ 2081285 w 2371650"/>
                            <a:gd name="connsiteY46" fmla="*/ 309292 h 731520"/>
                            <a:gd name="connsiteX47" fmla="*/ 2007727 w 2371650"/>
                            <a:gd name="connsiteY47" fmla="*/ 328310 h 731520"/>
                            <a:gd name="connsiteX48" fmla="*/ 1950142 w 2371650"/>
                            <a:gd name="connsiteY48" fmla="*/ 267702 h 731520"/>
                            <a:gd name="connsiteX49" fmla="*/ 2050032 w 2371650"/>
                            <a:gd name="connsiteY49" fmla="*/ 160549 h 731520"/>
                            <a:gd name="connsiteX50" fmla="*/ 2098568 w 2371650"/>
                            <a:gd name="connsiteY50" fmla="*/ 172102 h 731520"/>
                            <a:gd name="connsiteX51" fmla="*/ 2112194 w 2371650"/>
                            <a:gd name="connsiteY51" fmla="*/ 100611 h 731520"/>
                            <a:gd name="connsiteX52" fmla="*/ 2051252 w 2371650"/>
                            <a:gd name="connsiteY52" fmla="*/ 90173 h 731520"/>
                            <a:gd name="connsiteX53" fmla="*/ 1843528 w 2371650"/>
                            <a:gd name="connsiteY53" fmla="*/ 226669 h 731520"/>
                            <a:gd name="connsiteX54" fmla="*/ 1811816 w 2371650"/>
                            <a:gd name="connsiteY54" fmla="*/ 392639 h 731520"/>
                            <a:gd name="connsiteX55" fmla="*/ 1727820 w 2371650"/>
                            <a:gd name="connsiteY55" fmla="*/ 392639 h 731520"/>
                            <a:gd name="connsiteX56" fmla="*/ 1738736 w 2371650"/>
                            <a:gd name="connsiteY56" fmla="*/ 335513 h 731520"/>
                            <a:gd name="connsiteX57" fmla="*/ 1650105 w 2371650"/>
                            <a:gd name="connsiteY57" fmla="*/ 399290 h 731520"/>
                            <a:gd name="connsiteX58" fmla="*/ 1565228 w 2371650"/>
                            <a:gd name="connsiteY58" fmla="*/ 295498 h 731520"/>
                            <a:gd name="connsiteX59" fmla="*/ 1627168 w 2371650"/>
                            <a:gd name="connsiteY59" fmla="*/ 139273 h 731520"/>
                            <a:gd name="connsiteX60" fmla="*/ 1748539 w 2371650"/>
                            <a:gd name="connsiteY60" fmla="*/ 89560 h 731520"/>
                            <a:gd name="connsiteX61" fmla="*/ 1827163 w 2371650"/>
                            <a:gd name="connsiteY61" fmla="*/ 120078 h 731520"/>
                            <a:gd name="connsiteX62" fmla="*/ 1843528 w 2371650"/>
                            <a:gd name="connsiteY62" fmla="*/ 226669 h 731520"/>
                            <a:gd name="connsiteX63" fmla="*/ 1762661 w 2371650"/>
                            <a:gd name="connsiteY63" fmla="*/ 188485 h 731520"/>
                            <a:gd name="connsiteX64" fmla="*/ 1731209 w 2371650"/>
                            <a:gd name="connsiteY64" fmla="*/ 156274 h 731520"/>
                            <a:gd name="connsiteX65" fmla="*/ 1654041 w 2371650"/>
                            <a:gd name="connsiteY65" fmla="*/ 277317 h 731520"/>
                            <a:gd name="connsiteX66" fmla="*/ 1685554 w 2371650"/>
                            <a:gd name="connsiteY66" fmla="*/ 327655 h 731520"/>
                            <a:gd name="connsiteX67" fmla="*/ 1754585 w 2371650"/>
                            <a:gd name="connsiteY67" fmla="*/ 245198 h 731520"/>
                            <a:gd name="connsiteX68" fmla="*/ 1762661 w 2371650"/>
                            <a:gd name="connsiteY68" fmla="*/ 188485 h 731520"/>
                            <a:gd name="connsiteX69" fmla="*/ 492406 w 2371650"/>
                            <a:gd name="connsiteY69" fmla="*/ 226669 h 731520"/>
                            <a:gd name="connsiteX70" fmla="*/ 460693 w 2371650"/>
                            <a:gd name="connsiteY70" fmla="*/ 392639 h 731520"/>
                            <a:gd name="connsiteX71" fmla="*/ 376698 w 2371650"/>
                            <a:gd name="connsiteY71" fmla="*/ 392639 h 731520"/>
                            <a:gd name="connsiteX72" fmla="*/ 387613 w 2371650"/>
                            <a:gd name="connsiteY72" fmla="*/ 335513 h 731520"/>
                            <a:gd name="connsiteX73" fmla="*/ 298982 w 2371650"/>
                            <a:gd name="connsiteY73" fmla="*/ 399290 h 731520"/>
                            <a:gd name="connsiteX74" fmla="*/ 214106 w 2371650"/>
                            <a:gd name="connsiteY74" fmla="*/ 295498 h 731520"/>
                            <a:gd name="connsiteX75" fmla="*/ 276045 w 2371650"/>
                            <a:gd name="connsiteY75" fmla="*/ 139273 h 731520"/>
                            <a:gd name="connsiteX76" fmla="*/ 397417 w 2371650"/>
                            <a:gd name="connsiteY76" fmla="*/ 89560 h 731520"/>
                            <a:gd name="connsiteX77" fmla="*/ 476040 w 2371650"/>
                            <a:gd name="connsiteY77" fmla="*/ 120078 h 731520"/>
                            <a:gd name="connsiteX78" fmla="*/ 492406 w 2371650"/>
                            <a:gd name="connsiteY78" fmla="*/ 226669 h 731520"/>
                            <a:gd name="connsiteX79" fmla="*/ 411539 w 2371650"/>
                            <a:gd name="connsiteY79" fmla="*/ 188485 h 731520"/>
                            <a:gd name="connsiteX80" fmla="*/ 380086 w 2371650"/>
                            <a:gd name="connsiteY80" fmla="*/ 156274 h 731520"/>
                            <a:gd name="connsiteX81" fmla="*/ 302918 w 2371650"/>
                            <a:gd name="connsiteY81" fmla="*/ 277317 h 731520"/>
                            <a:gd name="connsiteX82" fmla="*/ 334431 w 2371650"/>
                            <a:gd name="connsiteY82" fmla="*/ 327655 h 731520"/>
                            <a:gd name="connsiteX83" fmla="*/ 403462 w 2371650"/>
                            <a:gd name="connsiteY83" fmla="*/ 245198 h 731520"/>
                            <a:gd name="connsiteX84" fmla="*/ 411539 w 2371650"/>
                            <a:gd name="connsiteY84" fmla="*/ 188485 h 731520"/>
                            <a:gd name="connsiteX85" fmla="*/ 1559358 w 2371650"/>
                            <a:gd name="connsiteY85" fmla="*/ 202421 h 731520"/>
                            <a:gd name="connsiteX86" fmla="*/ 1462337 w 2371650"/>
                            <a:gd name="connsiteY86" fmla="*/ 381725 h 731520"/>
                            <a:gd name="connsiteX87" fmla="*/ 1398411 w 2371650"/>
                            <a:gd name="connsiteY87" fmla="*/ 399293 h 731520"/>
                            <a:gd name="connsiteX88" fmla="*/ 1339675 w 2371650"/>
                            <a:gd name="connsiteY88" fmla="*/ 369610 h 731520"/>
                            <a:gd name="connsiteX89" fmla="*/ 1317337 w 2371650"/>
                            <a:gd name="connsiteY89" fmla="*/ 487670 h 731520"/>
                            <a:gd name="connsiteX90" fmla="*/ 1229398 w 2371650"/>
                            <a:gd name="connsiteY90" fmla="*/ 487670 h 731520"/>
                            <a:gd name="connsiteX91" fmla="*/ 1304052 w 2371650"/>
                            <a:gd name="connsiteY91" fmla="*/ 95023 h 731520"/>
                            <a:gd name="connsiteX92" fmla="*/ 1381506 w 2371650"/>
                            <a:gd name="connsiteY92" fmla="*/ 95023 h 731520"/>
                            <a:gd name="connsiteX93" fmla="*/ 1372451 w 2371650"/>
                            <a:gd name="connsiteY93" fmla="*/ 142685 h 731520"/>
                            <a:gd name="connsiteX94" fmla="*/ 1463423 w 2371650"/>
                            <a:gd name="connsiteY94" fmla="*/ 89560 h 731520"/>
                            <a:gd name="connsiteX95" fmla="*/ 1559357 w 2371650"/>
                            <a:gd name="connsiteY95" fmla="*/ 202421 h 731520"/>
                            <a:gd name="connsiteX96" fmla="*/ 1467902 w 2371650"/>
                            <a:gd name="connsiteY96" fmla="*/ 209082 h 731520"/>
                            <a:gd name="connsiteX97" fmla="*/ 1432391 w 2371650"/>
                            <a:gd name="connsiteY97" fmla="*/ 161162 h 731520"/>
                            <a:gd name="connsiteX98" fmla="*/ 1361269 w 2371650"/>
                            <a:gd name="connsiteY98" fmla="*/ 255076 h 731520"/>
                            <a:gd name="connsiteX99" fmla="*/ 1387791 w 2371650"/>
                            <a:gd name="connsiteY99" fmla="*/ 332534 h 731520"/>
                            <a:gd name="connsiteX100" fmla="*/ 1467902 w 2371650"/>
                            <a:gd name="connsiteY100" fmla="*/ 209082 h 731520"/>
                            <a:gd name="connsiteX101" fmla="*/ 122511 w 2371650"/>
                            <a:gd name="connsiteY101" fmla="*/ 161001 h 731520"/>
                            <a:gd name="connsiteX102" fmla="*/ 135047 w 2371650"/>
                            <a:gd name="connsiteY102" fmla="*/ 95022 h 731520"/>
                            <a:gd name="connsiteX103" fmla="*/ 57600 w 2371650"/>
                            <a:gd name="connsiteY103" fmla="*/ 95022 h 731520"/>
                            <a:gd name="connsiteX104" fmla="*/ 0 w 2371650"/>
                            <a:gd name="connsiteY104" fmla="*/ 397876 h 731520"/>
                            <a:gd name="connsiteX105" fmla="*/ 87953 w 2371650"/>
                            <a:gd name="connsiteY105" fmla="*/ 397876 h 731520"/>
                            <a:gd name="connsiteX106" fmla="*/ 111703 w 2371650"/>
                            <a:gd name="connsiteY106" fmla="*/ 273006 h 731520"/>
                            <a:gd name="connsiteX107" fmla="*/ 228071 w 2371650"/>
                            <a:gd name="connsiteY107" fmla="*/ 179010 h 731520"/>
                            <a:gd name="connsiteX108" fmla="*/ 245247 w 2371650"/>
                            <a:gd name="connsiteY108" fmla="*/ 88676 h 731520"/>
                            <a:gd name="connsiteX109" fmla="*/ 122511 w 2371650"/>
                            <a:gd name="connsiteY109" fmla="*/ 161001 h 731520"/>
                            <a:gd name="connsiteX110" fmla="*/ 827930 w 2371650"/>
                            <a:gd name="connsiteY110" fmla="*/ 392638 h 731520"/>
                            <a:gd name="connsiteX111" fmla="*/ 858223 w 2371650"/>
                            <a:gd name="connsiteY111" fmla="*/ 233285 h 731520"/>
                            <a:gd name="connsiteX112" fmla="*/ 920576 w 2371650"/>
                            <a:gd name="connsiteY112" fmla="*/ 392638 h 731520"/>
                            <a:gd name="connsiteX113" fmla="*/ 1015149 w 2371650"/>
                            <a:gd name="connsiteY113" fmla="*/ 392638 h 731520"/>
                            <a:gd name="connsiteX114" fmla="*/ 950636 w 2371650"/>
                            <a:gd name="connsiteY114" fmla="*/ 232019 h 731520"/>
                            <a:gd name="connsiteX115" fmla="*/ 1068043 w 2371650"/>
                            <a:gd name="connsiteY115" fmla="*/ 95022 h 731520"/>
                            <a:gd name="connsiteX116" fmla="*/ 972037 w 2371650"/>
                            <a:gd name="connsiteY116" fmla="*/ 95022 h 731520"/>
                            <a:gd name="connsiteX117" fmla="*/ 858750 w 2371650"/>
                            <a:gd name="connsiteY117" fmla="*/ 230516 h 731520"/>
                            <a:gd name="connsiteX118" fmla="*/ 902570 w 2371650"/>
                            <a:gd name="connsiteY118" fmla="*/ 0 h 731520"/>
                            <a:gd name="connsiteX119" fmla="*/ 815233 w 2371650"/>
                            <a:gd name="connsiteY119" fmla="*/ 0 h 731520"/>
                            <a:gd name="connsiteX120" fmla="*/ 740583 w 2371650"/>
                            <a:gd name="connsiteY120" fmla="*/ 392638 h 731520"/>
                            <a:gd name="connsiteX121" fmla="*/ 1839859 w 2371650"/>
                            <a:gd name="connsiteY121" fmla="*/ 600836 h 731520"/>
                            <a:gd name="connsiteX122" fmla="*/ 1767287 w 2371650"/>
                            <a:gd name="connsiteY122" fmla="*/ 680372 h 731520"/>
                            <a:gd name="connsiteX123" fmla="*/ 1715912 w 2371650"/>
                            <a:gd name="connsiteY123" fmla="*/ 628492 h 731520"/>
                            <a:gd name="connsiteX124" fmla="*/ 1788483 w 2371650"/>
                            <a:gd name="connsiteY124" fmla="*/ 548956 h 731520"/>
                            <a:gd name="connsiteX125" fmla="*/ 1839859 w 2371650"/>
                            <a:gd name="connsiteY125" fmla="*/ 600836 h 731520"/>
                            <a:gd name="connsiteX126" fmla="*/ 1746898 w 2371650"/>
                            <a:gd name="connsiteY126" fmla="*/ 627709 h 731520"/>
                            <a:gd name="connsiteX127" fmla="*/ 1771426 w 2371650"/>
                            <a:gd name="connsiteY127" fmla="*/ 657157 h 731520"/>
                            <a:gd name="connsiteX128" fmla="*/ 1808872 w 2371650"/>
                            <a:gd name="connsiteY128" fmla="*/ 601088 h 731520"/>
                            <a:gd name="connsiteX129" fmla="*/ 1784850 w 2371650"/>
                            <a:gd name="connsiteY129" fmla="*/ 572170 h 731520"/>
                            <a:gd name="connsiteX130" fmla="*/ 1746898 w 2371650"/>
                            <a:gd name="connsiteY130" fmla="*/ 627709 h 731520"/>
                            <a:gd name="connsiteX131" fmla="*/ 2044503 w 2371650"/>
                            <a:gd name="connsiteY131" fmla="*/ 600836 h 731520"/>
                            <a:gd name="connsiteX132" fmla="*/ 1971931 w 2371650"/>
                            <a:gd name="connsiteY132" fmla="*/ 680372 h 731520"/>
                            <a:gd name="connsiteX133" fmla="*/ 1920555 w 2371650"/>
                            <a:gd name="connsiteY133" fmla="*/ 628492 h 731520"/>
                            <a:gd name="connsiteX134" fmla="*/ 1993127 w 2371650"/>
                            <a:gd name="connsiteY134" fmla="*/ 548956 h 731520"/>
                            <a:gd name="connsiteX135" fmla="*/ 2044503 w 2371650"/>
                            <a:gd name="connsiteY135" fmla="*/ 600836 h 731520"/>
                            <a:gd name="connsiteX136" fmla="*/ 1951542 w 2371650"/>
                            <a:gd name="connsiteY136" fmla="*/ 627709 h 731520"/>
                            <a:gd name="connsiteX137" fmla="*/ 1976069 w 2371650"/>
                            <a:gd name="connsiteY137" fmla="*/ 657157 h 731520"/>
                            <a:gd name="connsiteX138" fmla="*/ 2013516 w 2371650"/>
                            <a:gd name="connsiteY138" fmla="*/ 601088 h 731520"/>
                            <a:gd name="connsiteX139" fmla="*/ 1989494 w 2371650"/>
                            <a:gd name="connsiteY139" fmla="*/ 572170 h 731520"/>
                            <a:gd name="connsiteX140" fmla="*/ 1951542 w 2371650"/>
                            <a:gd name="connsiteY140" fmla="*/ 627709 h 731520"/>
                            <a:gd name="connsiteX141" fmla="*/ 1884855 w 2371650"/>
                            <a:gd name="connsiteY141" fmla="*/ 510629 h 731520"/>
                            <a:gd name="connsiteX142" fmla="*/ 1853107 w 2371650"/>
                            <a:gd name="connsiteY142" fmla="*/ 677545 h 731520"/>
                            <a:gd name="connsiteX143" fmla="*/ 1883083 w 2371650"/>
                            <a:gd name="connsiteY143" fmla="*/ 677545 h 731520"/>
                            <a:gd name="connsiteX144" fmla="*/ 1915062 w 2371650"/>
                            <a:gd name="connsiteY144" fmla="*/ 510629 h 731520"/>
                            <a:gd name="connsiteX145" fmla="*/ 1400114 w 2371650"/>
                            <a:gd name="connsiteY145" fmla="*/ 549208 h 731520"/>
                            <a:gd name="connsiteX146" fmla="*/ 1320326 w 2371650"/>
                            <a:gd name="connsiteY146" fmla="*/ 630031 h 731520"/>
                            <a:gd name="connsiteX147" fmla="*/ 1371196 w 2371650"/>
                            <a:gd name="connsiteY147" fmla="*/ 680120 h 731520"/>
                            <a:gd name="connsiteX148" fmla="*/ 1408275 w 2371650"/>
                            <a:gd name="connsiteY148" fmla="*/ 672445 h 731520"/>
                            <a:gd name="connsiteX149" fmla="*/ 1413237 w 2371650"/>
                            <a:gd name="connsiteY149" fmla="*/ 646349 h 731520"/>
                            <a:gd name="connsiteX150" fmla="*/ 1379448 w 2371650"/>
                            <a:gd name="connsiteY150" fmla="*/ 655845 h 731520"/>
                            <a:gd name="connsiteX151" fmla="*/ 1351817 w 2371650"/>
                            <a:gd name="connsiteY151" fmla="*/ 626423 h 731520"/>
                            <a:gd name="connsiteX152" fmla="*/ 1399080 w 2371650"/>
                            <a:gd name="connsiteY152" fmla="*/ 573483 h 731520"/>
                            <a:gd name="connsiteX153" fmla="*/ 1422249 w 2371650"/>
                            <a:gd name="connsiteY153" fmla="*/ 579346 h 731520"/>
                            <a:gd name="connsiteX154" fmla="*/ 1427004 w 2371650"/>
                            <a:gd name="connsiteY154" fmla="*/ 554336 h 731520"/>
                            <a:gd name="connsiteX155" fmla="*/ 1400114 w 2371650"/>
                            <a:gd name="connsiteY155" fmla="*/ 549208 h 731520"/>
                            <a:gd name="connsiteX156" fmla="*/ 1228324 w 2371650"/>
                            <a:gd name="connsiteY156" fmla="*/ 643733 h 731520"/>
                            <a:gd name="connsiteX157" fmla="*/ 1224968 w 2371650"/>
                            <a:gd name="connsiteY157" fmla="*/ 625893 h 731520"/>
                            <a:gd name="connsiteX158" fmla="*/ 1307330 w 2371650"/>
                            <a:gd name="connsiteY158" fmla="*/ 584333 h 731520"/>
                            <a:gd name="connsiteX159" fmla="*/ 1266780 w 2371650"/>
                            <a:gd name="connsiteY159" fmla="*/ 548956 h 731520"/>
                            <a:gd name="connsiteX160" fmla="*/ 1195521 w 2371650"/>
                            <a:gd name="connsiteY160" fmla="*/ 628214 h 731520"/>
                            <a:gd name="connsiteX161" fmla="*/ 1247174 w 2371650"/>
                            <a:gd name="connsiteY161" fmla="*/ 680372 h 731520"/>
                            <a:gd name="connsiteX162" fmla="*/ 1294703 w 2371650"/>
                            <a:gd name="connsiteY162" fmla="*/ 668583 h 731520"/>
                            <a:gd name="connsiteX163" fmla="*/ 1299850 w 2371650"/>
                            <a:gd name="connsiteY163" fmla="*/ 641509 h 731520"/>
                            <a:gd name="connsiteX164" fmla="*/ 1254138 w 2371650"/>
                            <a:gd name="connsiteY164" fmla="*/ 656627 h 731520"/>
                            <a:gd name="connsiteX165" fmla="*/ 1228324 w 2371650"/>
                            <a:gd name="connsiteY165" fmla="*/ 643733 h 731520"/>
                            <a:gd name="connsiteX166" fmla="*/ 1262919 w 2371650"/>
                            <a:gd name="connsiteY166" fmla="*/ 571414 h 731520"/>
                            <a:gd name="connsiteX167" fmla="*/ 1278918 w 2371650"/>
                            <a:gd name="connsiteY167" fmla="*/ 584333 h 731520"/>
                            <a:gd name="connsiteX168" fmla="*/ 1228047 w 2371650"/>
                            <a:gd name="connsiteY168" fmla="*/ 603410 h 731520"/>
                            <a:gd name="connsiteX169" fmla="*/ 1262919 w 2371650"/>
                            <a:gd name="connsiteY169" fmla="*/ 571414 h 731520"/>
                            <a:gd name="connsiteX170" fmla="*/ 1695170 w 2371650"/>
                            <a:gd name="connsiteY170" fmla="*/ 583525 h 731520"/>
                            <a:gd name="connsiteX171" fmla="*/ 1663149 w 2371650"/>
                            <a:gd name="connsiteY171" fmla="*/ 548955 h 731520"/>
                            <a:gd name="connsiteX172" fmla="*/ 1617217 w 2371650"/>
                            <a:gd name="connsiteY172" fmla="*/ 575329 h 731520"/>
                            <a:gd name="connsiteX173" fmla="*/ 1621873 w 2371650"/>
                            <a:gd name="connsiteY173" fmla="*/ 551024 h 731520"/>
                            <a:gd name="connsiteX174" fmla="*/ 1594758 w 2371650"/>
                            <a:gd name="connsiteY174" fmla="*/ 551024 h 731520"/>
                            <a:gd name="connsiteX175" fmla="*/ 1570693 w 2371650"/>
                            <a:gd name="connsiteY175" fmla="*/ 677545 h 731520"/>
                            <a:gd name="connsiteX176" fmla="*/ 1600669 w 2371650"/>
                            <a:gd name="connsiteY176" fmla="*/ 677545 h 731520"/>
                            <a:gd name="connsiteX177" fmla="*/ 1611798 w 2371650"/>
                            <a:gd name="connsiteY177" fmla="*/ 619458 h 731520"/>
                            <a:gd name="connsiteX178" fmla="*/ 1648160 w 2371650"/>
                            <a:gd name="connsiteY178" fmla="*/ 573483 h 731520"/>
                            <a:gd name="connsiteX179" fmla="*/ 1663931 w 2371650"/>
                            <a:gd name="connsiteY179" fmla="*/ 591550 h 731520"/>
                            <a:gd name="connsiteX180" fmla="*/ 1662448 w 2371650"/>
                            <a:gd name="connsiteY180" fmla="*/ 606538 h 731520"/>
                            <a:gd name="connsiteX181" fmla="*/ 1648942 w 2371650"/>
                            <a:gd name="connsiteY181" fmla="*/ 677545 h 731520"/>
                            <a:gd name="connsiteX182" fmla="*/ 1678918 w 2371650"/>
                            <a:gd name="connsiteY182" fmla="*/ 677545 h 731520"/>
                            <a:gd name="connsiteX183" fmla="*/ 1692967 w 2371650"/>
                            <a:gd name="connsiteY183" fmla="*/ 604217 h 731520"/>
                            <a:gd name="connsiteX184" fmla="*/ 1695170 w 2371650"/>
                            <a:gd name="connsiteY184" fmla="*/ 583525 h 731520"/>
                            <a:gd name="connsiteX185" fmla="*/ 1521033 w 2371650"/>
                            <a:gd name="connsiteY185" fmla="*/ 548955 h 731520"/>
                            <a:gd name="connsiteX186" fmla="*/ 1479203 w 2371650"/>
                            <a:gd name="connsiteY186" fmla="*/ 569759 h 731520"/>
                            <a:gd name="connsiteX187" fmla="*/ 1490532 w 2371650"/>
                            <a:gd name="connsiteY187" fmla="*/ 510629 h 731520"/>
                            <a:gd name="connsiteX188" fmla="*/ 1460325 w 2371650"/>
                            <a:gd name="connsiteY188" fmla="*/ 510629 h 731520"/>
                            <a:gd name="connsiteX189" fmla="*/ 1428577 w 2371650"/>
                            <a:gd name="connsiteY189" fmla="*/ 677545 h 731520"/>
                            <a:gd name="connsiteX190" fmla="*/ 1458554 w 2371650"/>
                            <a:gd name="connsiteY190" fmla="*/ 677545 h 731520"/>
                            <a:gd name="connsiteX191" fmla="*/ 1469682 w 2371650"/>
                            <a:gd name="connsiteY191" fmla="*/ 619458 h 731520"/>
                            <a:gd name="connsiteX192" fmla="*/ 1506044 w 2371650"/>
                            <a:gd name="connsiteY192" fmla="*/ 573482 h 731520"/>
                            <a:gd name="connsiteX193" fmla="*/ 1521815 w 2371650"/>
                            <a:gd name="connsiteY193" fmla="*/ 591550 h 731520"/>
                            <a:gd name="connsiteX194" fmla="*/ 1520332 w 2371650"/>
                            <a:gd name="connsiteY194" fmla="*/ 606538 h 731520"/>
                            <a:gd name="connsiteX195" fmla="*/ 1506827 w 2371650"/>
                            <a:gd name="connsiteY195" fmla="*/ 677545 h 731520"/>
                            <a:gd name="connsiteX196" fmla="*/ 1536803 w 2371650"/>
                            <a:gd name="connsiteY196" fmla="*/ 677545 h 731520"/>
                            <a:gd name="connsiteX197" fmla="*/ 1550851 w 2371650"/>
                            <a:gd name="connsiteY197" fmla="*/ 604217 h 731520"/>
                            <a:gd name="connsiteX198" fmla="*/ 1553054 w 2371650"/>
                            <a:gd name="connsiteY198" fmla="*/ 583525 h 731520"/>
                            <a:gd name="connsiteX199" fmla="*/ 1521033 w 2371650"/>
                            <a:gd name="connsiteY199" fmla="*/ 548955 h 731520"/>
                            <a:gd name="connsiteX200" fmla="*/ 1171990 w 2371650"/>
                            <a:gd name="connsiteY200" fmla="*/ 519414 h 731520"/>
                            <a:gd name="connsiteX201" fmla="*/ 1142748 w 2371650"/>
                            <a:gd name="connsiteY201" fmla="*/ 519414 h 731520"/>
                            <a:gd name="connsiteX202" fmla="*/ 1136323 w 2371650"/>
                            <a:gd name="connsiteY202" fmla="*/ 551782 h 731520"/>
                            <a:gd name="connsiteX203" fmla="*/ 1119542 w 2371650"/>
                            <a:gd name="connsiteY203" fmla="*/ 551782 h 731520"/>
                            <a:gd name="connsiteX204" fmla="*/ 1115151 w 2371650"/>
                            <a:gd name="connsiteY204" fmla="*/ 575022 h 731520"/>
                            <a:gd name="connsiteX205" fmla="*/ 1131958 w 2371650"/>
                            <a:gd name="connsiteY205" fmla="*/ 575022 h 731520"/>
                            <a:gd name="connsiteX206" fmla="*/ 1121106 w 2371650"/>
                            <a:gd name="connsiteY206" fmla="*/ 631066 h 731520"/>
                            <a:gd name="connsiteX207" fmla="*/ 1118507 w 2371650"/>
                            <a:gd name="connsiteY207" fmla="*/ 654305 h 731520"/>
                            <a:gd name="connsiteX208" fmla="*/ 1148208 w 2371650"/>
                            <a:gd name="connsiteY208" fmla="*/ 680120 h 731520"/>
                            <a:gd name="connsiteX209" fmla="*/ 1167840 w 2371650"/>
                            <a:gd name="connsiteY209" fmla="*/ 677546 h 731520"/>
                            <a:gd name="connsiteX210" fmla="*/ 1167840 w 2371650"/>
                            <a:gd name="connsiteY210" fmla="*/ 677542 h 731520"/>
                            <a:gd name="connsiteX211" fmla="*/ 1172375 w 2371650"/>
                            <a:gd name="connsiteY211" fmla="*/ 653703 h 731520"/>
                            <a:gd name="connsiteX212" fmla="*/ 1160345 w 2371650"/>
                            <a:gd name="connsiteY212" fmla="*/ 654835 h 731520"/>
                            <a:gd name="connsiteX213" fmla="*/ 1149243 w 2371650"/>
                            <a:gd name="connsiteY213" fmla="*/ 643455 h 731520"/>
                            <a:gd name="connsiteX214" fmla="*/ 1151563 w 2371650"/>
                            <a:gd name="connsiteY214" fmla="*/ 625640 h 731520"/>
                            <a:gd name="connsiteX215" fmla="*/ 1161380 w 2371650"/>
                            <a:gd name="connsiteY215" fmla="*/ 575022 h 731520"/>
                            <a:gd name="connsiteX216" fmla="*/ 1189541 w 2371650"/>
                            <a:gd name="connsiteY216" fmla="*/ 575022 h 731520"/>
                            <a:gd name="connsiteX217" fmla="*/ 1194183 w 2371650"/>
                            <a:gd name="connsiteY217" fmla="*/ 551782 h 731520"/>
                            <a:gd name="connsiteX218" fmla="*/ 1166023 w 2371650"/>
                            <a:gd name="connsiteY218" fmla="*/ 551782 h 731520"/>
                            <a:gd name="connsiteX219" fmla="*/ 2182235 w 2371650"/>
                            <a:gd name="connsiteY219" fmla="*/ 724544 h 731520"/>
                            <a:gd name="connsiteX220" fmla="*/ 2244439 w 2371650"/>
                            <a:gd name="connsiteY220" fmla="*/ 701035 h 731520"/>
                            <a:gd name="connsiteX221" fmla="*/ 2244439 w 2371650"/>
                            <a:gd name="connsiteY221" fmla="*/ 700986 h 731520"/>
                            <a:gd name="connsiteX222" fmla="*/ 2328568 w 2371650"/>
                            <a:gd name="connsiteY222" fmla="*/ 551024 h 731520"/>
                            <a:gd name="connsiteX223" fmla="*/ 2296546 w 2371650"/>
                            <a:gd name="connsiteY223" fmla="*/ 551024 h 731520"/>
                            <a:gd name="connsiteX224" fmla="*/ 2248768 w 2371650"/>
                            <a:gd name="connsiteY224" fmla="*/ 644640 h 731520"/>
                            <a:gd name="connsiteX225" fmla="*/ 2237166 w 2371650"/>
                            <a:gd name="connsiteY225" fmla="*/ 551024 h 731520"/>
                            <a:gd name="connsiteX226" fmla="*/ 2205649 w 2371650"/>
                            <a:gd name="connsiteY226" fmla="*/ 551024 h 731520"/>
                            <a:gd name="connsiteX227" fmla="*/ 2228062 w 2371650"/>
                            <a:gd name="connsiteY227" fmla="*/ 674169 h 731520"/>
                            <a:gd name="connsiteX228" fmla="*/ 2218252 w 2371650"/>
                            <a:gd name="connsiteY228" fmla="*/ 693826 h 731520"/>
                            <a:gd name="connsiteX229" fmla="*/ 2186900 w 2371650"/>
                            <a:gd name="connsiteY229" fmla="*/ 700003 h 731520"/>
                            <a:gd name="connsiteX230" fmla="*/ 2182235 w 2371650"/>
                            <a:gd name="connsiteY230" fmla="*/ 724545 h 731520"/>
                            <a:gd name="connsiteX231" fmla="*/ 2141307 w 2371650"/>
                            <a:gd name="connsiteY231" fmla="*/ 548955 h 731520"/>
                            <a:gd name="connsiteX232" fmla="*/ 2060440 w 2371650"/>
                            <a:gd name="connsiteY232" fmla="*/ 636027 h 731520"/>
                            <a:gd name="connsiteX233" fmla="*/ 2098421 w 2371650"/>
                            <a:gd name="connsiteY233" fmla="*/ 680467 h 731520"/>
                            <a:gd name="connsiteX234" fmla="*/ 2140224 w 2371650"/>
                            <a:gd name="connsiteY234" fmla="*/ 658013 h 731520"/>
                            <a:gd name="connsiteX235" fmla="*/ 2137816 w 2371650"/>
                            <a:gd name="connsiteY235" fmla="*/ 669017 h 731520"/>
                            <a:gd name="connsiteX236" fmla="*/ 2097014 w 2371650"/>
                            <a:gd name="connsiteY236" fmla="*/ 707498 h 731520"/>
                            <a:gd name="connsiteX237" fmla="*/ 2063958 w 2371650"/>
                            <a:gd name="connsiteY237" fmla="*/ 700003 h 731520"/>
                            <a:gd name="connsiteX238" fmla="*/ 2059292 w 2371650"/>
                            <a:gd name="connsiteY238" fmla="*/ 724545 h 731520"/>
                            <a:gd name="connsiteX239" fmla="*/ 2096388 w 2371650"/>
                            <a:gd name="connsiteY239" fmla="*/ 731520 h 731520"/>
                            <a:gd name="connsiteX240" fmla="*/ 2143349 w 2371650"/>
                            <a:gd name="connsiteY240" fmla="*/ 717566 h 731520"/>
                            <a:gd name="connsiteX241" fmla="*/ 2169456 w 2371650"/>
                            <a:gd name="connsiteY241" fmla="*/ 661548 h 731520"/>
                            <a:gd name="connsiteX242" fmla="*/ 2180842 w 2371650"/>
                            <a:gd name="connsiteY242" fmla="*/ 604510 h 731520"/>
                            <a:gd name="connsiteX243" fmla="*/ 2183423 w 2371650"/>
                            <a:gd name="connsiteY243" fmla="*/ 582806 h 731520"/>
                            <a:gd name="connsiteX244" fmla="*/ 2141307 w 2371650"/>
                            <a:gd name="connsiteY244" fmla="*/ 548955 h 731520"/>
                            <a:gd name="connsiteX245" fmla="*/ 2150868 w 2371650"/>
                            <a:gd name="connsiteY245" fmla="*/ 602956 h 731520"/>
                            <a:gd name="connsiteX246" fmla="*/ 2148545 w 2371650"/>
                            <a:gd name="connsiteY246" fmla="*/ 614582 h 731520"/>
                            <a:gd name="connsiteX247" fmla="*/ 2111855 w 2371650"/>
                            <a:gd name="connsiteY247" fmla="*/ 655924 h 731520"/>
                            <a:gd name="connsiteX248" fmla="*/ 2091958 w 2371650"/>
                            <a:gd name="connsiteY248" fmla="*/ 630602 h 731520"/>
                            <a:gd name="connsiteX249" fmla="*/ 2135623 w 2371650"/>
                            <a:gd name="connsiteY249" fmla="*/ 571955 h 731520"/>
                            <a:gd name="connsiteX250" fmla="*/ 2152417 w 2371650"/>
                            <a:gd name="connsiteY250" fmla="*/ 587974 h 731520"/>
                            <a:gd name="connsiteX251" fmla="*/ 2150868 w 2371650"/>
                            <a:gd name="connsiteY251" fmla="*/ 602956 h 731520"/>
                            <a:gd name="connsiteX252" fmla="*/ 2362069 w 2371650"/>
                            <a:gd name="connsiteY252" fmla="*/ 651612 h 731520"/>
                            <a:gd name="connsiteX253" fmla="*/ 2335848 w 2371650"/>
                            <a:gd name="connsiteY253" fmla="*/ 622732 h 731520"/>
                            <a:gd name="connsiteX254" fmla="*/ 2304430 w 2371650"/>
                            <a:gd name="connsiteY254" fmla="*/ 651612 h 731520"/>
                            <a:gd name="connsiteX255" fmla="*/ 2330651 w 2371650"/>
                            <a:gd name="connsiteY255" fmla="*/ 680371 h 731520"/>
                            <a:gd name="connsiteX256" fmla="*/ 2362069 w 2371650"/>
                            <a:gd name="connsiteY256" fmla="*/ 651612 h 731520"/>
                            <a:gd name="connsiteX257" fmla="*/ 2357960 w 2371650"/>
                            <a:gd name="connsiteY257" fmla="*/ 651249 h 731520"/>
                            <a:gd name="connsiteX258" fmla="*/ 2330652 w 2371650"/>
                            <a:gd name="connsiteY258" fmla="*/ 676262 h 731520"/>
                            <a:gd name="connsiteX259" fmla="*/ 2308538 w 2371650"/>
                            <a:gd name="connsiteY259" fmla="*/ 651974 h 731520"/>
                            <a:gd name="connsiteX260" fmla="*/ 2335847 w 2371650"/>
                            <a:gd name="connsiteY260" fmla="*/ 626961 h 731520"/>
                            <a:gd name="connsiteX261" fmla="*/ 2357960 w 2371650"/>
                            <a:gd name="connsiteY261" fmla="*/ 651249 h 731520"/>
                            <a:gd name="connsiteX262" fmla="*/ 2338022 w 2371650"/>
                            <a:gd name="connsiteY262" fmla="*/ 655116 h 731520"/>
                            <a:gd name="connsiteX263" fmla="*/ 2342614 w 2371650"/>
                            <a:gd name="connsiteY263" fmla="*/ 668529 h 731520"/>
                            <a:gd name="connsiteX264" fmla="*/ 2338143 w 2371650"/>
                            <a:gd name="connsiteY264" fmla="*/ 668529 h 731520"/>
                            <a:gd name="connsiteX265" fmla="*/ 2333672 w 2371650"/>
                            <a:gd name="connsiteY265" fmla="*/ 655479 h 731520"/>
                            <a:gd name="connsiteX266" fmla="*/ 2327268 w 2371650"/>
                            <a:gd name="connsiteY266" fmla="*/ 655479 h 731520"/>
                            <a:gd name="connsiteX267" fmla="*/ 2324851 w 2371650"/>
                            <a:gd name="connsiteY267" fmla="*/ 668529 h 731520"/>
                            <a:gd name="connsiteX268" fmla="*/ 2320622 w 2371650"/>
                            <a:gd name="connsiteY268" fmla="*/ 668529 h 731520"/>
                            <a:gd name="connsiteX269" fmla="*/ 2327026 w 2371650"/>
                            <a:gd name="connsiteY269" fmla="*/ 634574 h 731520"/>
                            <a:gd name="connsiteX270" fmla="*/ 2338143 w 2371650"/>
                            <a:gd name="connsiteY270" fmla="*/ 634574 h 731520"/>
                            <a:gd name="connsiteX271" fmla="*/ 2347206 w 2371650"/>
                            <a:gd name="connsiteY271" fmla="*/ 643153 h 731520"/>
                            <a:gd name="connsiteX272" fmla="*/ 2338023 w 2371650"/>
                            <a:gd name="connsiteY272" fmla="*/ 655116 h 731520"/>
                            <a:gd name="connsiteX273" fmla="*/ 2338022 w 2371650"/>
                            <a:gd name="connsiteY273" fmla="*/ 655116 h 731520"/>
                            <a:gd name="connsiteX274" fmla="*/ 2338143 w 2371650"/>
                            <a:gd name="connsiteY274" fmla="*/ 638682 h 731520"/>
                            <a:gd name="connsiteX275" fmla="*/ 2330410 w 2371650"/>
                            <a:gd name="connsiteY275" fmla="*/ 638682 h 731520"/>
                            <a:gd name="connsiteX276" fmla="*/ 2327993 w 2371650"/>
                            <a:gd name="connsiteY276" fmla="*/ 651370 h 731520"/>
                            <a:gd name="connsiteX277" fmla="*/ 2335001 w 2371650"/>
                            <a:gd name="connsiteY277" fmla="*/ 651370 h 731520"/>
                            <a:gd name="connsiteX278" fmla="*/ 2342977 w 2371650"/>
                            <a:gd name="connsiteY278" fmla="*/ 644604 h 731520"/>
                            <a:gd name="connsiteX279" fmla="*/ 2338143 w 2371650"/>
                            <a:gd name="connsiteY279" fmla="*/ 638683 h 731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Lst>
                          <a:rect l="l" t="t" r="r" b="b"/>
                          <a:pathLst>
                            <a:path w="2371650" h="731520">
                              <a:moveTo>
                                <a:pt x="1242411" y="294278"/>
                              </a:moveTo>
                              <a:cubicBezTo>
                                <a:pt x="1242411" y="321638"/>
                                <a:pt x="1233280" y="344523"/>
                                <a:pt x="1215305" y="362356"/>
                              </a:cubicBezTo>
                              <a:cubicBezTo>
                                <a:pt x="1191395" y="386091"/>
                                <a:pt x="1152606" y="399033"/>
                                <a:pt x="1105967" y="398675"/>
                              </a:cubicBezTo>
                              <a:cubicBezTo>
                                <a:pt x="1072495" y="398121"/>
                                <a:pt x="1038678" y="389985"/>
                                <a:pt x="1019545" y="378229"/>
                              </a:cubicBezTo>
                              <a:lnTo>
                                <a:pt x="1032291" y="311182"/>
                              </a:lnTo>
                              <a:cubicBezTo>
                                <a:pt x="1052571" y="322706"/>
                                <a:pt x="1088000" y="334337"/>
                                <a:pt x="1114431" y="334337"/>
                              </a:cubicBezTo>
                              <a:cubicBezTo>
                                <a:pt x="1136198" y="334337"/>
                                <a:pt x="1150862" y="324294"/>
                                <a:pt x="1150862" y="308183"/>
                              </a:cubicBezTo>
                              <a:cubicBezTo>
                                <a:pt x="1150862" y="293579"/>
                                <a:pt x="1140554" y="283373"/>
                                <a:pt x="1114225" y="270491"/>
                              </a:cubicBezTo>
                              <a:cubicBezTo>
                                <a:pt x="1072578" y="249666"/>
                                <a:pt x="1051741" y="223266"/>
                                <a:pt x="1051741" y="192152"/>
                              </a:cubicBezTo>
                              <a:cubicBezTo>
                                <a:pt x="1051741" y="130931"/>
                                <a:pt x="1103886" y="89559"/>
                                <a:pt x="1182121" y="89559"/>
                              </a:cubicBezTo>
                              <a:cubicBezTo>
                                <a:pt x="1223519" y="89559"/>
                                <a:pt x="1250469" y="99314"/>
                                <a:pt x="1265412" y="108904"/>
                              </a:cubicBezTo>
                              <a:lnTo>
                                <a:pt x="1252690" y="175819"/>
                              </a:lnTo>
                              <a:cubicBezTo>
                                <a:pt x="1240846" y="166918"/>
                                <a:pt x="1210743" y="154501"/>
                                <a:pt x="1177909" y="154501"/>
                              </a:cubicBezTo>
                              <a:cubicBezTo>
                                <a:pt x="1155107" y="154501"/>
                                <a:pt x="1140257" y="164051"/>
                                <a:pt x="1140257" y="180040"/>
                              </a:cubicBezTo>
                              <a:cubicBezTo>
                                <a:pt x="1140257" y="191509"/>
                                <a:pt x="1151620" y="201785"/>
                                <a:pt x="1175674" y="213510"/>
                              </a:cubicBezTo>
                              <a:cubicBezTo>
                                <a:pt x="1207014" y="229169"/>
                                <a:pt x="1242411" y="252350"/>
                                <a:pt x="1242411" y="294278"/>
                              </a:cubicBezTo>
                              <a:close/>
                              <a:moveTo>
                                <a:pt x="700127" y="90173"/>
                              </a:moveTo>
                              <a:cubicBezTo>
                                <a:pt x="589917" y="90173"/>
                                <a:pt x="506875" y="170652"/>
                                <a:pt x="506875" y="277377"/>
                              </a:cubicBezTo>
                              <a:cubicBezTo>
                                <a:pt x="506875" y="351082"/>
                                <a:pt x="555850" y="398675"/>
                                <a:pt x="631821" y="398675"/>
                              </a:cubicBezTo>
                              <a:cubicBezTo>
                                <a:pt x="664315" y="398675"/>
                                <a:pt x="695900" y="392721"/>
                                <a:pt x="716237" y="382823"/>
                              </a:cubicBezTo>
                              <a:lnTo>
                                <a:pt x="730160" y="309292"/>
                              </a:lnTo>
                              <a:cubicBezTo>
                                <a:pt x="702964" y="322774"/>
                                <a:pt x="681685" y="328310"/>
                                <a:pt x="656602" y="328310"/>
                              </a:cubicBezTo>
                              <a:cubicBezTo>
                                <a:pt x="628820" y="328310"/>
                                <a:pt x="599017" y="312324"/>
                                <a:pt x="599017" y="267701"/>
                              </a:cubicBezTo>
                              <a:cubicBezTo>
                                <a:pt x="599017" y="215119"/>
                                <a:pt x="636310" y="160549"/>
                                <a:pt x="698907" y="160549"/>
                              </a:cubicBezTo>
                              <a:cubicBezTo>
                                <a:pt x="717876" y="160549"/>
                                <a:pt x="733752" y="164314"/>
                                <a:pt x="747443" y="172102"/>
                              </a:cubicBezTo>
                              <a:lnTo>
                                <a:pt x="761069" y="100610"/>
                              </a:lnTo>
                              <a:cubicBezTo>
                                <a:pt x="745316" y="94092"/>
                                <a:pt x="722493" y="90173"/>
                                <a:pt x="700127" y="90173"/>
                              </a:cubicBezTo>
                              <a:close/>
                              <a:moveTo>
                                <a:pt x="2245494" y="330114"/>
                              </a:moveTo>
                              <a:cubicBezTo>
                                <a:pt x="2282274" y="330114"/>
                                <a:pt x="2314105" y="321118"/>
                                <a:pt x="2348811" y="300958"/>
                              </a:cubicBezTo>
                              <a:lnTo>
                                <a:pt x="2334727" y="374974"/>
                              </a:lnTo>
                              <a:cubicBezTo>
                                <a:pt x="2292814" y="396374"/>
                                <a:pt x="2243574" y="398697"/>
                                <a:pt x="2224343" y="398697"/>
                              </a:cubicBezTo>
                              <a:cubicBezTo>
                                <a:pt x="2142522" y="398697"/>
                                <a:pt x="2095748" y="353194"/>
                                <a:pt x="2095748" y="273749"/>
                              </a:cubicBezTo>
                              <a:cubicBezTo>
                                <a:pt x="2095748" y="227940"/>
                                <a:pt x="2112576" y="182038"/>
                                <a:pt x="2141886" y="147809"/>
                              </a:cubicBezTo>
                              <a:cubicBezTo>
                                <a:pt x="2174044" y="110240"/>
                                <a:pt x="2219003" y="89568"/>
                                <a:pt x="2268462" y="89568"/>
                              </a:cubicBezTo>
                              <a:cubicBezTo>
                                <a:pt x="2330362" y="89568"/>
                                <a:pt x="2371651" y="125530"/>
                                <a:pt x="2371651" y="178851"/>
                              </a:cubicBezTo>
                              <a:cubicBezTo>
                                <a:pt x="2371651" y="203510"/>
                                <a:pt x="2363628" y="223791"/>
                                <a:pt x="2347824" y="239192"/>
                              </a:cubicBezTo>
                              <a:cubicBezTo>
                                <a:pt x="2318261" y="268004"/>
                                <a:pt x="2245399" y="284151"/>
                                <a:pt x="2179041" y="271119"/>
                              </a:cubicBezTo>
                              <a:cubicBezTo>
                                <a:pt x="2175880" y="308509"/>
                                <a:pt x="2204027" y="330114"/>
                                <a:pt x="2245494" y="330114"/>
                              </a:cubicBezTo>
                              <a:close/>
                              <a:moveTo>
                                <a:pt x="2188658" y="214066"/>
                              </a:moveTo>
                              <a:cubicBezTo>
                                <a:pt x="2240269" y="214490"/>
                                <a:pt x="2269300" y="209269"/>
                                <a:pt x="2281969" y="196724"/>
                              </a:cubicBezTo>
                              <a:cubicBezTo>
                                <a:pt x="2295685" y="183096"/>
                                <a:pt x="2291390" y="153896"/>
                                <a:pt x="2257578" y="153896"/>
                              </a:cubicBezTo>
                              <a:cubicBezTo>
                                <a:pt x="2219535" y="153896"/>
                                <a:pt x="2195315" y="185085"/>
                                <a:pt x="2188658" y="214066"/>
                              </a:cubicBezTo>
                              <a:close/>
                              <a:moveTo>
                                <a:pt x="2051252" y="90173"/>
                              </a:moveTo>
                              <a:cubicBezTo>
                                <a:pt x="1941042" y="90173"/>
                                <a:pt x="1858000" y="170652"/>
                                <a:pt x="1858000" y="277377"/>
                              </a:cubicBezTo>
                              <a:cubicBezTo>
                                <a:pt x="1858000" y="351082"/>
                                <a:pt x="1906976" y="398675"/>
                                <a:pt x="1982946" y="398675"/>
                              </a:cubicBezTo>
                              <a:cubicBezTo>
                                <a:pt x="2015440" y="398675"/>
                                <a:pt x="2047025" y="392721"/>
                                <a:pt x="2067362" y="382823"/>
                              </a:cubicBezTo>
                              <a:lnTo>
                                <a:pt x="2081285" y="309292"/>
                              </a:lnTo>
                              <a:cubicBezTo>
                                <a:pt x="2054089" y="322774"/>
                                <a:pt x="2032810" y="328310"/>
                                <a:pt x="2007727" y="328310"/>
                              </a:cubicBezTo>
                              <a:cubicBezTo>
                                <a:pt x="1979945" y="328310"/>
                                <a:pt x="1950142" y="312325"/>
                                <a:pt x="1950142" y="267702"/>
                              </a:cubicBezTo>
                              <a:cubicBezTo>
                                <a:pt x="1950142" y="215119"/>
                                <a:pt x="1987435" y="160549"/>
                                <a:pt x="2050032" y="160549"/>
                              </a:cubicBezTo>
                              <a:cubicBezTo>
                                <a:pt x="2069001" y="160549"/>
                                <a:pt x="2084877" y="164314"/>
                                <a:pt x="2098568" y="172102"/>
                              </a:cubicBezTo>
                              <a:lnTo>
                                <a:pt x="2112194" y="100611"/>
                              </a:lnTo>
                              <a:cubicBezTo>
                                <a:pt x="2096441" y="94093"/>
                                <a:pt x="2073618" y="90173"/>
                                <a:pt x="2051252" y="90173"/>
                              </a:cubicBezTo>
                              <a:close/>
                              <a:moveTo>
                                <a:pt x="1843528" y="226669"/>
                              </a:moveTo>
                              <a:lnTo>
                                <a:pt x="1811816" y="392639"/>
                              </a:lnTo>
                              <a:lnTo>
                                <a:pt x="1727820" y="392639"/>
                              </a:lnTo>
                              <a:lnTo>
                                <a:pt x="1738736" y="335513"/>
                              </a:lnTo>
                              <a:cubicBezTo>
                                <a:pt x="1726954" y="371115"/>
                                <a:pt x="1698254" y="399290"/>
                                <a:pt x="1650105" y="399290"/>
                              </a:cubicBezTo>
                              <a:cubicBezTo>
                                <a:pt x="1591669" y="399290"/>
                                <a:pt x="1565259" y="347414"/>
                                <a:pt x="1565228" y="295498"/>
                              </a:cubicBezTo>
                              <a:cubicBezTo>
                                <a:pt x="1565188" y="236519"/>
                                <a:pt x="1588359" y="178113"/>
                                <a:pt x="1627168" y="139273"/>
                              </a:cubicBezTo>
                              <a:cubicBezTo>
                                <a:pt x="1659678" y="106745"/>
                                <a:pt x="1701634" y="89560"/>
                                <a:pt x="1748539" y="89560"/>
                              </a:cubicBezTo>
                              <a:cubicBezTo>
                                <a:pt x="1784225" y="89702"/>
                                <a:pt x="1810622" y="100031"/>
                                <a:pt x="1827163" y="120078"/>
                              </a:cubicBezTo>
                              <a:cubicBezTo>
                                <a:pt x="1851647" y="149747"/>
                                <a:pt x="1849638" y="194285"/>
                                <a:pt x="1843528" y="226669"/>
                              </a:cubicBezTo>
                              <a:close/>
                              <a:moveTo>
                                <a:pt x="1762661" y="188485"/>
                              </a:moveTo>
                              <a:cubicBezTo>
                                <a:pt x="1761636" y="167557"/>
                                <a:pt x="1750742" y="156274"/>
                                <a:pt x="1731209" y="156274"/>
                              </a:cubicBezTo>
                              <a:cubicBezTo>
                                <a:pt x="1689845" y="156274"/>
                                <a:pt x="1654009" y="227668"/>
                                <a:pt x="1654041" y="277317"/>
                              </a:cubicBezTo>
                              <a:cubicBezTo>
                                <a:pt x="1654052" y="308337"/>
                                <a:pt x="1665550" y="327655"/>
                                <a:pt x="1685554" y="327655"/>
                              </a:cubicBezTo>
                              <a:cubicBezTo>
                                <a:pt x="1717548" y="327655"/>
                                <a:pt x="1745105" y="294195"/>
                                <a:pt x="1754585" y="245198"/>
                              </a:cubicBezTo>
                              <a:cubicBezTo>
                                <a:pt x="1757813" y="228640"/>
                                <a:pt x="1763250" y="201459"/>
                                <a:pt x="1762661" y="188485"/>
                              </a:cubicBezTo>
                              <a:close/>
                              <a:moveTo>
                                <a:pt x="492406" y="226669"/>
                              </a:moveTo>
                              <a:lnTo>
                                <a:pt x="460693" y="392639"/>
                              </a:lnTo>
                              <a:lnTo>
                                <a:pt x="376698" y="392639"/>
                              </a:lnTo>
                              <a:lnTo>
                                <a:pt x="387613" y="335513"/>
                              </a:lnTo>
                              <a:cubicBezTo>
                                <a:pt x="375832" y="371115"/>
                                <a:pt x="347131" y="399290"/>
                                <a:pt x="298982" y="399290"/>
                              </a:cubicBezTo>
                              <a:cubicBezTo>
                                <a:pt x="240545" y="399290"/>
                                <a:pt x="214137" y="347414"/>
                                <a:pt x="214106" y="295498"/>
                              </a:cubicBezTo>
                              <a:cubicBezTo>
                                <a:pt x="214065" y="236519"/>
                                <a:pt x="237236" y="178113"/>
                                <a:pt x="276045" y="139273"/>
                              </a:cubicBezTo>
                              <a:cubicBezTo>
                                <a:pt x="308555" y="106745"/>
                                <a:pt x="350510" y="89560"/>
                                <a:pt x="397417" y="89560"/>
                              </a:cubicBezTo>
                              <a:cubicBezTo>
                                <a:pt x="433101" y="89702"/>
                                <a:pt x="459499" y="100031"/>
                                <a:pt x="476040" y="120078"/>
                              </a:cubicBezTo>
                              <a:cubicBezTo>
                                <a:pt x="500525" y="149747"/>
                                <a:pt x="498516" y="194285"/>
                                <a:pt x="492406" y="226669"/>
                              </a:cubicBezTo>
                              <a:close/>
                              <a:moveTo>
                                <a:pt x="411539" y="188485"/>
                              </a:moveTo>
                              <a:cubicBezTo>
                                <a:pt x="410513" y="167557"/>
                                <a:pt x="399619" y="156274"/>
                                <a:pt x="380086" y="156274"/>
                              </a:cubicBezTo>
                              <a:cubicBezTo>
                                <a:pt x="338722" y="156274"/>
                                <a:pt x="302887" y="227668"/>
                                <a:pt x="302918" y="277317"/>
                              </a:cubicBezTo>
                              <a:cubicBezTo>
                                <a:pt x="302930" y="308337"/>
                                <a:pt x="314426" y="327655"/>
                                <a:pt x="334431" y="327655"/>
                              </a:cubicBezTo>
                              <a:cubicBezTo>
                                <a:pt x="366426" y="327655"/>
                                <a:pt x="393983" y="294195"/>
                                <a:pt x="403462" y="245198"/>
                              </a:cubicBezTo>
                              <a:cubicBezTo>
                                <a:pt x="406691" y="228640"/>
                                <a:pt x="412127" y="201459"/>
                                <a:pt x="411539" y="188485"/>
                              </a:cubicBezTo>
                              <a:close/>
                              <a:moveTo>
                                <a:pt x="1559358" y="202421"/>
                              </a:moveTo>
                              <a:cubicBezTo>
                                <a:pt x="1559358" y="274528"/>
                                <a:pt x="1524738" y="348460"/>
                                <a:pt x="1462337" y="381725"/>
                              </a:cubicBezTo>
                              <a:cubicBezTo>
                                <a:pt x="1439414" y="393945"/>
                                <a:pt x="1417476" y="399076"/>
                                <a:pt x="1398411" y="399293"/>
                              </a:cubicBezTo>
                              <a:cubicBezTo>
                                <a:pt x="1367172" y="399291"/>
                                <a:pt x="1349660" y="387614"/>
                                <a:pt x="1339675" y="369610"/>
                              </a:cubicBezTo>
                              <a:lnTo>
                                <a:pt x="1317337" y="487670"/>
                              </a:lnTo>
                              <a:lnTo>
                                <a:pt x="1229398" y="487670"/>
                              </a:lnTo>
                              <a:lnTo>
                                <a:pt x="1304052" y="95023"/>
                              </a:lnTo>
                              <a:lnTo>
                                <a:pt x="1381506" y="95023"/>
                              </a:lnTo>
                              <a:lnTo>
                                <a:pt x="1372451" y="142685"/>
                              </a:lnTo>
                              <a:cubicBezTo>
                                <a:pt x="1394333" y="110853"/>
                                <a:pt x="1426741" y="89560"/>
                                <a:pt x="1463423" y="89560"/>
                              </a:cubicBezTo>
                              <a:cubicBezTo>
                                <a:pt x="1521623" y="89560"/>
                                <a:pt x="1559357" y="133667"/>
                                <a:pt x="1559357" y="202421"/>
                              </a:cubicBezTo>
                              <a:close/>
                              <a:moveTo>
                                <a:pt x="1467902" y="209082"/>
                              </a:moveTo>
                              <a:cubicBezTo>
                                <a:pt x="1467902" y="195105"/>
                                <a:pt x="1464602" y="161162"/>
                                <a:pt x="1432391" y="161162"/>
                              </a:cubicBezTo>
                              <a:cubicBezTo>
                                <a:pt x="1399638" y="161162"/>
                                <a:pt x="1371988" y="198477"/>
                                <a:pt x="1361269" y="255076"/>
                              </a:cubicBezTo>
                              <a:cubicBezTo>
                                <a:pt x="1357600" y="274427"/>
                                <a:pt x="1347332" y="332534"/>
                                <a:pt x="1387791" y="332534"/>
                              </a:cubicBezTo>
                              <a:cubicBezTo>
                                <a:pt x="1433981" y="332534"/>
                                <a:pt x="1467902" y="266966"/>
                                <a:pt x="1467902" y="209082"/>
                              </a:cubicBezTo>
                              <a:close/>
                              <a:moveTo>
                                <a:pt x="122511" y="161001"/>
                              </a:moveTo>
                              <a:lnTo>
                                <a:pt x="135047" y="95022"/>
                              </a:lnTo>
                              <a:lnTo>
                                <a:pt x="57600" y="95022"/>
                              </a:lnTo>
                              <a:lnTo>
                                <a:pt x="0" y="397876"/>
                              </a:lnTo>
                              <a:lnTo>
                                <a:pt x="87953" y="397876"/>
                              </a:lnTo>
                              <a:lnTo>
                                <a:pt x="111703" y="273006"/>
                              </a:lnTo>
                              <a:cubicBezTo>
                                <a:pt x="125707" y="199373"/>
                                <a:pt x="167951" y="169908"/>
                                <a:pt x="228071" y="179010"/>
                              </a:cubicBezTo>
                              <a:lnTo>
                                <a:pt x="245247" y="88676"/>
                              </a:lnTo>
                              <a:cubicBezTo>
                                <a:pt x="191123" y="83740"/>
                                <a:pt x="142846" y="114704"/>
                                <a:pt x="122511" y="161001"/>
                              </a:cubicBezTo>
                              <a:close/>
                              <a:moveTo>
                                <a:pt x="827930" y="392638"/>
                              </a:moveTo>
                              <a:lnTo>
                                <a:pt x="858223" y="233285"/>
                              </a:lnTo>
                              <a:lnTo>
                                <a:pt x="920576" y="392638"/>
                              </a:lnTo>
                              <a:lnTo>
                                <a:pt x="1015149" y="392638"/>
                              </a:lnTo>
                              <a:lnTo>
                                <a:pt x="950636" y="232019"/>
                              </a:lnTo>
                              <a:lnTo>
                                <a:pt x="1068043" y="95022"/>
                              </a:lnTo>
                              <a:lnTo>
                                <a:pt x="972037" y="95022"/>
                              </a:lnTo>
                              <a:lnTo>
                                <a:pt x="858750" y="230516"/>
                              </a:lnTo>
                              <a:lnTo>
                                <a:pt x="902570" y="0"/>
                              </a:lnTo>
                              <a:lnTo>
                                <a:pt x="815233" y="0"/>
                              </a:lnTo>
                              <a:lnTo>
                                <a:pt x="740583" y="392638"/>
                              </a:lnTo>
                              <a:close/>
                              <a:moveTo>
                                <a:pt x="1839859" y="600836"/>
                              </a:moveTo>
                              <a:cubicBezTo>
                                <a:pt x="1839859" y="643733"/>
                                <a:pt x="1810159" y="680372"/>
                                <a:pt x="1767287" y="680372"/>
                              </a:cubicBezTo>
                              <a:cubicBezTo>
                                <a:pt x="1735543" y="680372"/>
                                <a:pt x="1715912" y="658419"/>
                                <a:pt x="1715912" y="628492"/>
                              </a:cubicBezTo>
                              <a:cubicBezTo>
                                <a:pt x="1715912" y="585872"/>
                                <a:pt x="1745611" y="548956"/>
                                <a:pt x="1788483" y="548956"/>
                              </a:cubicBezTo>
                              <a:cubicBezTo>
                                <a:pt x="1822296" y="548956"/>
                                <a:pt x="1839859" y="573230"/>
                                <a:pt x="1839859" y="600836"/>
                              </a:cubicBezTo>
                              <a:close/>
                              <a:moveTo>
                                <a:pt x="1746898" y="627709"/>
                              </a:moveTo>
                              <a:cubicBezTo>
                                <a:pt x="1746898" y="644994"/>
                                <a:pt x="1755932" y="657157"/>
                                <a:pt x="1771426" y="657157"/>
                              </a:cubicBezTo>
                              <a:cubicBezTo>
                                <a:pt x="1793908" y="657157"/>
                                <a:pt x="1808872" y="626170"/>
                                <a:pt x="1808872" y="601088"/>
                              </a:cubicBezTo>
                              <a:cubicBezTo>
                                <a:pt x="1808872" y="588194"/>
                                <a:pt x="1802942" y="572170"/>
                                <a:pt x="1784850" y="572170"/>
                              </a:cubicBezTo>
                              <a:cubicBezTo>
                                <a:pt x="1760853" y="572170"/>
                                <a:pt x="1746898" y="604217"/>
                                <a:pt x="1746898" y="627709"/>
                              </a:cubicBezTo>
                              <a:close/>
                              <a:moveTo>
                                <a:pt x="2044503" y="600836"/>
                              </a:moveTo>
                              <a:cubicBezTo>
                                <a:pt x="2044503" y="643733"/>
                                <a:pt x="2014803" y="680372"/>
                                <a:pt x="1971931" y="680372"/>
                              </a:cubicBezTo>
                              <a:cubicBezTo>
                                <a:pt x="1940187" y="680372"/>
                                <a:pt x="1920555" y="658419"/>
                                <a:pt x="1920555" y="628492"/>
                              </a:cubicBezTo>
                              <a:cubicBezTo>
                                <a:pt x="1920555" y="585872"/>
                                <a:pt x="1950255" y="548956"/>
                                <a:pt x="1993127" y="548956"/>
                              </a:cubicBezTo>
                              <a:cubicBezTo>
                                <a:pt x="2026940" y="548956"/>
                                <a:pt x="2044503" y="573230"/>
                                <a:pt x="2044503" y="600836"/>
                              </a:cubicBezTo>
                              <a:close/>
                              <a:moveTo>
                                <a:pt x="1951542" y="627709"/>
                              </a:moveTo>
                              <a:cubicBezTo>
                                <a:pt x="1951542" y="644994"/>
                                <a:pt x="1960576" y="657157"/>
                                <a:pt x="1976069" y="657157"/>
                              </a:cubicBezTo>
                              <a:cubicBezTo>
                                <a:pt x="1998552" y="657157"/>
                                <a:pt x="2013516" y="626170"/>
                                <a:pt x="2013516" y="601088"/>
                              </a:cubicBezTo>
                              <a:cubicBezTo>
                                <a:pt x="2013516" y="588194"/>
                                <a:pt x="2007586" y="572170"/>
                                <a:pt x="1989494" y="572170"/>
                              </a:cubicBezTo>
                              <a:cubicBezTo>
                                <a:pt x="1965496" y="572170"/>
                                <a:pt x="1951542" y="604217"/>
                                <a:pt x="1951542" y="627709"/>
                              </a:cubicBezTo>
                              <a:close/>
                              <a:moveTo>
                                <a:pt x="1884855" y="510629"/>
                              </a:moveTo>
                              <a:lnTo>
                                <a:pt x="1853107" y="677545"/>
                              </a:lnTo>
                              <a:lnTo>
                                <a:pt x="1883083" y="677545"/>
                              </a:lnTo>
                              <a:lnTo>
                                <a:pt x="1915062" y="510629"/>
                              </a:lnTo>
                              <a:close/>
                              <a:moveTo>
                                <a:pt x="1400114" y="549208"/>
                              </a:moveTo>
                              <a:cubicBezTo>
                                <a:pt x="1353634" y="549208"/>
                                <a:pt x="1320326" y="586125"/>
                                <a:pt x="1320326" y="630031"/>
                              </a:cubicBezTo>
                              <a:cubicBezTo>
                                <a:pt x="1320326" y="659983"/>
                                <a:pt x="1339680" y="680120"/>
                                <a:pt x="1371196" y="680120"/>
                              </a:cubicBezTo>
                              <a:cubicBezTo>
                                <a:pt x="1387872" y="680120"/>
                                <a:pt x="1400923" y="676199"/>
                                <a:pt x="1408275" y="672445"/>
                              </a:cubicBezTo>
                              <a:lnTo>
                                <a:pt x="1413237" y="646349"/>
                              </a:lnTo>
                              <a:cubicBezTo>
                                <a:pt x="1408869" y="648803"/>
                                <a:pt x="1396488" y="655845"/>
                                <a:pt x="1379448" y="655845"/>
                              </a:cubicBezTo>
                              <a:cubicBezTo>
                                <a:pt x="1362668" y="655845"/>
                                <a:pt x="1351817" y="645247"/>
                                <a:pt x="1351817" y="626423"/>
                              </a:cubicBezTo>
                              <a:cubicBezTo>
                                <a:pt x="1351817" y="600079"/>
                                <a:pt x="1370162" y="573483"/>
                                <a:pt x="1399080" y="573483"/>
                              </a:cubicBezTo>
                              <a:cubicBezTo>
                                <a:pt x="1410312" y="573483"/>
                                <a:pt x="1417035" y="576590"/>
                                <a:pt x="1422249" y="579346"/>
                              </a:cubicBezTo>
                              <a:lnTo>
                                <a:pt x="1427004" y="554336"/>
                              </a:lnTo>
                              <a:cubicBezTo>
                                <a:pt x="1422592" y="552209"/>
                                <a:pt x="1412104" y="549208"/>
                                <a:pt x="1400114" y="549208"/>
                              </a:cubicBezTo>
                              <a:close/>
                              <a:moveTo>
                                <a:pt x="1228324" y="643733"/>
                              </a:moveTo>
                              <a:cubicBezTo>
                                <a:pt x="1225473" y="638812"/>
                                <a:pt x="1224438" y="630283"/>
                                <a:pt x="1224968" y="625893"/>
                              </a:cubicBezTo>
                              <a:cubicBezTo>
                                <a:pt x="1273517" y="626927"/>
                                <a:pt x="1307330" y="616582"/>
                                <a:pt x="1307330" y="584333"/>
                              </a:cubicBezTo>
                              <a:cubicBezTo>
                                <a:pt x="1307330" y="563137"/>
                                <a:pt x="1291585" y="548956"/>
                                <a:pt x="1266780" y="548956"/>
                              </a:cubicBezTo>
                              <a:cubicBezTo>
                                <a:pt x="1223404" y="548956"/>
                                <a:pt x="1195521" y="590263"/>
                                <a:pt x="1195521" y="628214"/>
                              </a:cubicBezTo>
                              <a:cubicBezTo>
                                <a:pt x="1195521" y="658949"/>
                                <a:pt x="1212301" y="680372"/>
                                <a:pt x="1247174" y="680372"/>
                              </a:cubicBezTo>
                              <a:cubicBezTo>
                                <a:pt x="1263709" y="680372"/>
                                <a:pt x="1282121" y="676139"/>
                                <a:pt x="1294703" y="668583"/>
                              </a:cubicBezTo>
                              <a:lnTo>
                                <a:pt x="1299850" y="641509"/>
                              </a:lnTo>
                              <a:cubicBezTo>
                                <a:pt x="1289613" y="648898"/>
                                <a:pt x="1274929" y="656627"/>
                                <a:pt x="1254138" y="656627"/>
                              </a:cubicBezTo>
                              <a:cubicBezTo>
                                <a:pt x="1242253" y="656627"/>
                                <a:pt x="1233220" y="652236"/>
                                <a:pt x="1228324" y="643733"/>
                              </a:cubicBezTo>
                              <a:close/>
                              <a:moveTo>
                                <a:pt x="1262919" y="571414"/>
                              </a:moveTo>
                              <a:cubicBezTo>
                                <a:pt x="1272483" y="571414"/>
                                <a:pt x="1278918" y="576309"/>
                                <a:pt x="1278918" y="584333"/>
                              </a:cubicBezTo>
                              <a:cubicBezTo>
                                <a:pt x="1278918" y="599549"/>
                                <a:pt x="1259033" y="603687"/>
                                <a:pt x="1228047" y="603410"/>
                              </a:cubicBezTo>
                              <a:cubicBezTo>
                                <a:pt x="1231680" y="588194"/>
                                <a:pt x="1244070" y="571414"/>
                                <a:pt x="1262919" y="571414"/>
                              </a:cubicBezTo>
                              <a:close/>
                              <a:moveTo>
                                <a:pt x="1695170" y="583525"/>
                              </a:moveTo>
                              <a:cubicBezTo>
                                <a:pt x="1695170" y="559781"/>
                                <a:pt x="1681216" y="548955"/>
                                <a:pt x="1663149" y="548955"/>
                              </a:cubicBezTo>
                              <a:cubicBezTo>
                                <a:pt x="1645210" y="548955"/>
                                <a:pt x="1628878" y="557828"/>
                                <a:pt x="1617217" y="575329"/>
                              </a:cubicBezTo>
                              <a:lnTo>
                                <a:pt x="1621873" y="551024"/>
                              </a:lnTo>
                              <a:lnTo>
                                <a:pt x="1594758" y="551024"/>
                              </a:lnTo>
                              <a:lnTo>
                                <a:pt x="1570693" y="677545"/>
                              </a:lnTo>
                              <a:lnTo>
                                <a:pt x="1600669" y="677545"/>
                              </a:lnTo>
                              <a:lnTo>
                                <a:pt x="1611798" y="619458"/>
                              </a:lnTo>
                              <a:cubicBezTo>
                                <a:pt x="1617223" y="589985"/>
                                <a:pt x="1634483" y="573483"/>
                                <a:pt x="1648160" y="573483"/>
                              </a:cubicBezTo>
                              <a:cubicBezTo>
                                <a:pt x="1660045" y="573483"/>
                                <a:pt x="1663931" y="580952"/>
                                <a:pt x="1663931" y="591550"/>
                              </a:cubicBezTo>
                              <a:cubicBezTo>
                                <a:pt x="1663931" y="596445"/>
                                <a:pt x="1663330" y="601885"/>
                                <a:pt x="1662448" y="606538"/>
                              </a:cubicBezTo>
                              <a:lnTo>
                                <a:pt x="1648942" y="677545"/>
                              </a:lnTo>
                              <a:lnTo>
                                <a:pt x="1678918" y="677545"/>
                              </a:lnTo>
                              <a:lnTo>
                                <a:pt x="1692967" y="604217"/>
                              </a:lnTo>
                              <a:cubicBezTo>
                                <a:pt x="1694254" y="598010"/>
                                <a:pt x="1695170" y="589228"/>
                                <a:pt x="1695170" y="583525"/>
                              </a:cubicBezTo>
                              <a:close/>
                              <a:moveTo>
                                <a:pt x="1521033" y="548955"/>
                              </a:moveTo>
                              <a:cubicBezTo>
                                <a:pt x="1505109" y="548955"/>
                                <a:pt x="1490452" y="555948"/>
                                <a:pt x="1479203" y="569759"/>
                              </a:cubicBezTo>
                              <a:lnTo>
                                <a:pt x="1490532" y="510629"/>
                              </a:lnTo>
                              <a:lnTo>
                                <a:pt x="1460325" y="510629"/>
                              </a:lnTo>
                              <a:lnTo>
                                <a:pt x="1428577" y="677545"/>
                              </a:lnTo>
                              <a:lnTo>
                                <a:pt x="1458554" y="677545"/>
                              </a:lnTo>
                              <a:lnTo>
                                <a:pt x="1469682" y="619458"/>
                              </a:lnTo>
                              <a:cubicBezTo>
                                <a:pt x="1475107" y="589985"/>
                                <a:pt x="1492368" y="573482"/>
                                <a:pt x="1506044" y="573482"/>
                              </a:cubicBezTo>
                              <a:cubicBezTo>
                                <a:pt x="1517930" y="573482"/>
                                <a:pt x="1521815" y="580952"/>
                                <a:pt x="1521815" y="591550"/>
                              </a:cubicBezTo>
                              <a:cubicBezTo>
                                <a:pt x="1521815" y="596445"/>
                                <a:pt x="1521215" y="601885"/>
                                <a:pt x="1520332" y="606538"/>
                              </a:cubicBezTo>
                              <a:lnTo>
                                <a:pt x="1506827" y="677545"/>
                              </a:lnTo>
                              <a:lnTo>
                                <a:pt x="1536803" y="677545"/>
                              </a:lnTo>
                              <a:lnTo>
                                <a:pt x="1550851" y="604217"/>
                              </a:lnTo>
                              <a:cubicBezTo>
                                <a:pt x="1552138" y="598010"/>
                                <a:pt x="1553054" y="589228"/>
                                <a:pt x="1553054" y="583525"/>
                              </a:cubicBezTo>
                              <a:cubicBezTo>
                                <a:pt x="1553054" y="559780"/>
                                <a:pt x="1539100" y="548955"/>
                                <a:pt x="1521033" y="548955"/>
                              </a:cubicBezTo>
                              <a:close/>
                              <a:moveTo>
                                <a:pt x="1171990" y="519414"/>
                              </a:moveTo>
                              <a:lnTo>
                                <a:pt x="1142748" y="519414"/>
                              </a:lnTo>
                              <a:lnTo>
                                <a:pt x="1136323" y="551782"/>
                              </a:lnTo>
                              <a:lnTo>
                                <a:pt x="1119542" y="551782"/>
                              </a:lnTo>
                              <a:lnTo>
                                <a:pt x="1115151" y="575022"/>
                              </a:lnTo>
                              <a:lnTo>
                                <a:pt x="1131958" y="575022"/>
                              </a:lnTo>
                              <a:lnTo>
                                <a:pt x="1121106" y="631066"/>
                              </a:lnTo>
                              <a:cubicBezTo>
                                <a:pt x="1119291" y="640351"/>
                                <a:pt x="1118507" y="647315"/>
                                <a:pt x="1118507" y="654305"/>
                              </a:cubicBezTo>
                              <a:cubicBezTo>
                                <a:pt x="1118507" y="668765"/>
                                <a:pt x="1127567" y="680120"/>
                                <a:pt x="1148208" y="680120"/>
                              </a:cubicBezTo>
                              <a:cubicBezTo>
                                <a:pt x="1155449" y="680120"/>
                                <a:pt x="1163449" y="679363"/>
                                <a:pt x="1167840" y="677546"/>
                              </a:cubicBezTo>
                              <a:lnTo>
                                <a:pt x="1167840" y="677542"/>
                              </a:lnTo>
                              <a:lnTo>
                                <a:pt x="1172375" y="653703"/>
                              </a:lnTo>
                              <a:cubicBezTo>
                                <a:pt x="1168933" y="654444"/>
                                <a:pt x="1164660" y="654835"/>
                                <a:pt x="1160345" y="654835"/>
                              </a:cubicBezTo>
                              <a:cubicBezTo>
                                <a:pt x="1152345" y="654835"/>
                                <a:pt x="1149243" y="650445"/>
                                <a:pt x="1149243" y="643455"/>
                              </a:cubicBezTo>
                              <a:cubicBezTo>
                                <a:pt x="1149243" y="638030"/>
                                <a:pt x="1150277" y="631571"/>
                                <a:pt x="1151563" y="625640"/>
                              </a:cubicBezTo>
                              <a:lnTo>
                                <a:pt x="1161380" y="575022"/>
                              </a:lnTo>
                              <a:lnTo>
                                <a:pt x="1189541" y="575022"/>
                              </a:lnTo>
                              <a:lnTo>
                                <a:pt x="1194183" y="551782"/>
                              </a:lnTo>
                              <a:lnTo>
                                <a:pt x="1166023" y="551782"/>
                              </a:lnTo>
                              <a:close/>
                              <a:moveTo>
                                <a:pt x="2182235" y="724544"/>
                              </a:moveTo>
                              <a:cubicBezTo>
                                <a:pt x="2205272" y="735202"/>
                                <a:pt x="2227976" y="730485"/>
                                <a:pt x="2244439" y="701035"/>
                              </a:cubicBezTo>
                              <a:lnTo>
                                <a:pt x="2244439" y="700986"/>
                              </a:lnTo>
                              <a:lnTo>
                                <a:pt x="2328568" y="551024"/>
                              </a:lnTo>
                              <a:lnTo>
                                <a:pt x="2296546" y="551024"/>
                              </a:lnTo>
                              <a:lnTo>
                                <a:pt x="2248768" y="644640"/>
                              </a:lnTo>
                              <a:lnTo>
                                <a:pt x="2237166" y="551024"/>
                              </a:lnTo>
                              <a:lnTo>
                                <a:pt x="2205649" y="551024"/>
                              </a:lnTo>
                              <a:lnTo>
                                <a:pt x="2228062" y="674169"/>
                              </a:lnTo>
                              <a:lnTo>
                                <a:pt x="2218252" y="693826"/>
                              </a:lnTo>
                              <a:cubicBezTo>
                                <a:pt x="2209437" y="708887"/>
                                <a:pt x="2194055" y="703972"/>
                                <a:pt x="2186900" y="700003"/>
                              </a:cubicBezTo>
                              <a:lnTo>
                                <a:pt x="2182235" y="724545"/>
                              </a:lnTo>
                              <a:close/>
                              <a:moveTo>
                                <a:pt x="2141307" y="548955"/>
                              </a:moveTo>
                              <a:cubicBezTo>
                                <a:pt x="2087828" y="548955"/>
                                <a:pt x="2060440" y="596239"/>
                                <a:pt x="2060440" y="636027"/>
                              </a:cubicBezTo>
                              <a:cubicBezTo>
                                <a:pt x="2060440" y="658505"/>
                                <a:pt x="2071550" y="680467"/>
                                <a:pt x="2098421" y="680467"/>
                              </a:cubicBezTo>
                              <a:cubicBezTo>
                                <a:pt x="2115094" y="680467"/>
                                <a:pt x="2130135" y="672336"/>
                                <a:pt x="2140224" y="658013"/>
                              </a:cubicBezTo>
                              <a:lnTo>
                                <a:pt x="2137816" y="669017"/>
                              </a:lnTo>
                              <a:cubicBezTo>
                                <a:pt x="2131634" y="698212"/>
                                <a:pt x="2116645" y="707498"/>
                                <a:pt x="2097014" y="707498"/>
                              </a:cubicBezTo>
                              <a:cubicBezTo>
                                <a:pt x="2085128" y="707498"/>
                                <a:pt x="2071200" y="704394"/>
                                <a:pt x="2063958" y="700003"/>
                              </a:cubicBezTo>
                              <a:lnTo>
                                <a:pt x="2059292" y="724545"/>
                              </a:lnTo>
                              <a:cubicBezTo>
                                <a:pt x="2067991" y="728825"/>
                                <a:pt x="2081655" y="731520"/>
                                <a:pt x="2096388" y="731520"/>
                              </a:cubicBezTo>
                              <a:cubicBezTo>
                                <a:pt x="2112297" y="731520"/>
                                <a:pt x="2130041" y="728417"/>
                                <a:pt x="2143349" y="717566"/>
                              </a:cubicBezTo>
                              <a:cubicBezTo>
                                <a:pt x="2157703" y="705706"/>
                                <a:pt x="2164765" y="686075"/>
                                <a:pt x="2169456" y="661548"/>
                              </a:cubicBezTo>
                              <a:lnTo>
                                <a:pt x="2180842" y="604510"/>
                              </a:lnTo>
                              <a:cubicBezTo>
                                <a:pt x="2182391" y="597530"/>
                                <a:pt x="2183423" y="589781"/>
                                <a:pt x="2183423" y="582806"/>
                              </a:cubicBezTo>
                              <a:cubicBezTo>
                                <a:pt x="2183423" y="560070"/>
                                <a:pt x="2167662" y="548955"/>
                                <a:pt x="2141307" y="548955"/>
                              </a:cubicBezTo>
                              <a:close/>
                              <a:moveTo>
                                <a:pt x="2150868" y="602956"/>
                              </a:moveTo>
                              <a:lnTo>
                                <a:pt x="2148545" y="614582"/>
                              </a:lnTo>
                              <a:cubicBezTo>
                                <a:pt x="2143377" y="639905"/>
                                <a:pt x="2127358" y="655924"/>
                                <a:pt x="2111855" y="655924"/>
                              </a:cubicBezTo>
                              <a:cubicBezTo>
                                <a:pt x="2097905" y="655924"/>
                                <a:pt x="2091958" y="644298"/>
                                <a:pt x="2091958" y="630602"/>
                              </a:cubicBezTo>
                              <a:cubicBezTo>
                                <a:pt x="2091958" y="605801"/>
                                <a:pt x="2109273" y="571955"/>
                                <a:pt x="2135623" y="571955"/>
                              </a:cubicBezTo>
                              <a:cubicBezTo>
                                <a:pt x="2146217" y="571955"/>
                                <a:pt x="2152159" y="577639"/>
                                <a:pt x="2152417" y="587974"/>
                              </a:cubicBezTo>
                              <a:cubicBezTo>
                                <a:pt x="2152675" y="593916"/>
                                <a:pt x="2151653" y="598375"/>
                                <a:pt x="2150868" y="602956"/>
                              </a:cubicBezTo>
                              <a:close/>
                              <a:moveTo>
                                <a:pt x="2362069" y="651612"/>
                              </a:moveTo>
                              <a:cubicBezTo>
                                <a:pt x="2363519" y="635661"/>
                                <a:pt x="2351798" y="622732"/>
                                <a:pt x="2335848" y="622732"/>
                              </a:cubicBezTo>
                              <a:cubicBezTo>
                                <a:pt x="2319897" y="622732"/>
                                <a:pt x="2305880" y="635661"/>
                                <a:pt x="2304430" y="651612"/>
                              </a:cubicBezTo>
                              <a:cubicBezTo>
                                <a:pt x="2302859" y="666233"/>
                                <a:pt x="2313613" y="680371"/>
                                <a:pt x="2330651" y="680371"/>
                              </a:cubicBezTo>
                              <a:cubicBezTo>
                                <a:pt x="2346602" y="680492"/>
                                <a:pt x="2360619" y="667562"/>
                                <a:pt x="2362069" y="651612"/>
                              </a:cubicBezTo>
                              <a:close/>
                              <a:moveTo>
                                <a:pt x="2357960" y="651249"/>
                              </a:moveTo>
                              <a:cubicBezTo>
                                <a:pt x="2356752" y="665025"/>
                                <a:pt x="2344427" y="676262"/>
                                <a:pt x="2330652" y="676262"/>
                              </a:cubicBezTo>
                              <a:cubicBezTo>
                                <a:pt x="2317118" y="676262"/>
                                <a:pt x="2307330" y="665387"/>
                                <a:pt x="2308538" y="651974"/>
                              </a:cubicBezTo>
                              <a:cubicBezTo>
                                <a:pt x="2309747" y="638320"/>
                                <a:pt x="2321951" y="626961"/>
                                <a:pt x="2335847" y="626961"/>
                              </a:cubicBezTo>
                              <a:cubicBezTo>
                                <a:pt x="2349260" y="626961"/>
                                <a:pt x="2359169" y="637836"/>
                                <a:pt x="2357960" y="651249"/>
                              </a:cubicBezTo>
                              <a:close/>
                              <a:moveTo>
                                <a:pt x="2338022" y="655116"/>
                              </a:moveTo>
                              <a:lnTo>
                                <a:pt x="2342614" y="668529"/>
                              </a:lnTo>
                              <a:lnTo>
                                <a:pt x="2338143" y="668529"/>
                              </a:lnTo>
                              <a:lnTo>
                                <a:pt x="2333672" y="655479"/>
                              </a:lnTo>
                              <a:lnTo>
                                <a:pt x="2327268" y="655479"/>
                              </a:lnTo>
                              <a:lnTo>
                                <a:pt x="2324851" y="668529"/>
                              </a:lnTo>
                              <a:lnTo>
                                <a:pt x="2320622" y="668529"/>
                              </a:lnTo>
                              <a:lnTo>
                                <a:pt x="2327026" y="634574"/>
                              </a:lnTo>
                              <a:lnTo>
                                <a:pt x="2338143" y="634574"/>
                              </a:lnTo>
                              <a:cubicBezTo>
                                <a:pt x="2343218" y="634574"/>
                                <a:pt x="2347085" y="638320"/>
                                <a:pt x="2347206" y="643153"/>
                              </a:cubicBezTo>
                              <a:cubicBezTo>
                                <a:pt x="2347327" y="647624"/>
                                <a:pt x="2344185" y="653425"/>
                                <a:pt x="2338023" y="655116"/>
                              </a:cubicBezTo>
                              <a:lnTo>
                                <a:pt x="2338022" y="655116"/>
                              </a:lnTo>
                              <a:close/>
                              <a:moveTo>
                                <a:pt x="2338143" y="638682"/>
                              </a:moveTo>
                              <a:lnTo>
                                <a:pt x="2330410" y="638682"/>
                              </a:lnTo>
                              <a:lnTo>
                                <a:pt x="2327993" y="651370"/>
                              </a:lnTo>
                              <a:lnTo>
                                <a:pt x="2335001" y="651370"/>
                              </a:lnTo>
                              <a:cubicBezTo>
                                <a:pt x="2338747" y="651370"/>
                                <a:pt x="2342010" y="648470"/>
                                <a:pt x="2342977" y="644604"/>
                              </a:cubicBezTo>
                              <a:cubicBezTo>
                                <a:pt x="2343702" y="641583"/>
                                <a:pt x="2341285" y="638683"/>
                                <a:pt x="2338143" y="638683"/>
                              </a:cubicBezTo>
                              <a:close/>
                            </a:path>
                          </a:pathLst>
                        </a:custGeom>
                        <a:solidFill>
                          <a:srgbClr val="000000"/>
                        </a:solidFill>
                        <a:ln w="12192" cap="flat">
                          <a:noFill/>
                          <a:prstDash val="solid"/>
                          <a:miter/>
                        </a:ln>
                      </wps:spPr>
                      <wps:bodyPr rtlCol="0" anchor="ctr"/>
                    </wps:wsp>
                  </wpg:wgp>
                </a:graphicData>
              </a:graphic>
            </wp:anchor>
          </w:drawing>
        </mc:Choice>
        <mc:Fallback xmlns:a="http://schemas.openxmlformats.org/drawingml/2006/main" xmlns:a14="http://schemas.microsoft.com/office/drawing/2010/main" xmlns:arto="http://schemas.microsoft.com/office/word/2006/arto">
          <w:pict w14:anchorId="5679904C">
            <v:group id="Group 12" style="position:absolute;margin-left:-54pt;margin-top:14.45pt;width:139.25pt;height:49.45pt;z-index:251652096" coordsize="17685,6280" o:spid="_x0000_s1026" w14:anchorId="64B46C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cwi3ZTUAALYkAQAOAAAAZHJzL2Uyb0RvYy54bWy0nVtvJUdyoN8X2P9A8NHATtf90piWodXs DBYY2IJnFrYfj9jsbmLZPNzDI7XkX+8vKjOrIvIcsiK1sB7EJrMirxGRcc8//uOvXx9vfrk/vTwc nz7c1n+obm/un+6OHx+ePn+4/T9///P/mG5vXs6Hp4+Hx+PT/Yfb3+5fbv/xu//+3/747fn9fXP8 cnz8eH+6oZOnl/ffnj/cfjmfn9+/e/dy9+X+6+HlD8fn+ycaPx1PXw9nfj19fvfxdPhG718f3zVV Nbz7djx9fD4d7+5fXvjrn0Lj7XdL/58+3d+d//nTp5f7883jh1vmdl7+f1r+/5P8/913fzy8/3w6 PH95uIvTOPyOWXw9PDwx6NrVnw7nw83Pp4eLrr4+3J2OL8dP5z/cHb++O3769HB3v6yB1dRVtpq/ nI4/Py9r+fz+2+fndZvY2myffne3d//0y19Oz397/vHETnx7/sxeLL/JWn79dPoqP5nlza/Llv22 btn9r+ebO/5Yj8PU1+zsHW1DM1VNE/b07gsbfwF29+V/vQ34Lg37zkzm2zPo8bLtwMv/3w787cvh +X7Z2Jf37MCPp5uHjx9ux9ubp8NXkPRfQJvD0+fH+5tRFiOD89W6SS/vX9ivV3eoHqsp7ULapq4f wdawS/HfdLwu9vD++fRy/sv98euN/OPD7YkZLPh0+OWvL+fwafpEBn45Pj58/PPD4+PyixDL/Q+P p5tfDqD5T59rmTWdm68en+Tbp6NAhWb5C9uclrP86/zb47189/j0L/ef2BWOuFkmslDkNsjh7u7+ 6VyHpi+Hj/dh7L7ivzR6mtYyl6VD6fkT4699xw7Sl6GT1HeYZfxeQO8Xgl6Bq7cmFoBXiGXk49N5 Bf768HQ8XevgkVXFkcP3aZPC1sgu/XT8+Bs4czoGdvLyfPfnB47tr4eX84+HE/yDk4Ynnv+Z/316 PH77cHuM/7q9+XI8/ce1v8v3IDWttzff4Ecfbl/+38+H0/3tzeP/fgLd57rrhIEtvywodHtz0i0/ 6Zann7/+cAQXarjv893yT4BP58f0z0+n49d/hXV+L6PSdHi6Y+wPt3fnU/rlh3PgkzDfu/vvv18+ g2k9H85/ffrb8510LrsqaPn3X//1cHqOuHsG6f/pmEjs8D5D4fCtQD4dv//5fPz0sOD3tq9xvyH3 QHr/5XRfd4nw/3y6v5e75qYeMsKX+b48//V4939fbp6OP3yBPdx///IMmco+CL7IAiKXCPN+hUl0 Q9M0jHiFl7YVHHSIXKJq+qqLmJg48d3PgUvIbNK2cud8hEfInz5/jAzs7vj09PJwvv83TvbT10cw 8h/e3dRN13R1ffPtpmnHeujT5ZcD/bsGauauGaebLzdjW/fNayD/Bp6pceq+rfr9cTRQOzRtP+yO 0+hx6qqfh3F/HA3UztMw9rvjtHqcqp77zrEeDdSO3AHz7jjgwbZvVQuI43w0UFvX9dTsjtPrcWpY SesYRwO1bde24+44IO+2nrqvpqHZPx8N1FZTPbW743BVq3Hqrmkc56OBmrHq2Os9vEZ63cap+nrs HPtmgOYGutkdZ9bjcKB14xhHA01z3++jmwhq23qaoe9qx/lYqGqaq253QbUm7rrpm2Gu9jHBQo39 VDvWpMm7rsdxrmbHSAYK8q72kaHWBA4RwaEd3MdCTVXVVfu7p0mcNfXD2DnWpKGauu1rx0iayN03 RK2hvFeEJvOxqurGs3kaaK7qcZ811JrM+2qYYPe7V54BasaxHfd5Xa3pfGiFah0DaSDnZVRrQufm 5vp2DKSB2qmZmv2t437f2MPYVvXgoFkD1FZzM++zu0Zzh6EfhsrBhgxQ20ytA73Rw7YV9bNg0P7W GaBmGEcHb2g0bxhmeKRnIA3EZvfdPrsT0XFl4WM3cpU7VqSB6rGp2e+9q6/RND4OdTU42KoBqrHP eM5I07iXMTQayMcYGs0YEMHZbQdTNVAtNFHvX36NJvKm7abJI3YbqLaq5n5f7m40lTcIaWPjwTsN 1Y7dzO2yhw6t5g2iwSAQ7iOegRJ2N+/z1VYzh4ZtGLvJMZKBgoE7aKnV3KGpu3qaBsdIGqruxgl5 Y3f3NKU3zTChBTpG0lBIeMM+QrSa0oOe57iVDFQ9Tpj09pek+QNIjsLjIKfWQs2147ZoNa03NQKe Rwq3UCN6kuOYfheLaDWUk0W0hkUI4kHtu2JKBtVVw77K3GpibxpEag8jN1CAjBzuHpKLfWq9mtDI xh7Lwe6aDBSWg2neX1NniN27exmUa/c6TewNGiCqjGNNGsp3O3Wa1uupR1FwCF8Gyim3dppF1POE /O7gegbKKbh2htirYcTK49g8DeWUXDvDIrAhNJND6jdQTtG108SOTX903bgGyim7dppFYIKqMHM4 dk9DLcLrvqjXGRZRYcRvPSNpKKf0itFRsYhqnuRO22URBsopvvaWRWBQ8Uh7BmqRX/cvwl4Tu5tF GCgfi+gti+javvFsnoZC9Bhg/3ucvDcsAul1qh0swkC1czO0jpE0sXO0SBEOttdrKO9ImkVgSJjg Rg7U01Bt2/f1vhrdaxYhhnYM1Y6RNFQ7o0fvW296Tex1P/Tc746RNFSDbXvelyt7S+wNZgjPSAaK g3LYbwbNIjC4Tj1otMsiDJSIyvubN2gOgfWGJTk0GgslF8D+5g2aQ9STk3ANlJNwB03s+OYhd4f4 b6GmiT3fZRGDYRF4h9DUHMdkoPqhcWiegyZ2yKlzif8GSiQjLD97bG/QxA6C933vUGkMVNuMQ+/Y PU3s2He73iOvDBoKAwbC2/6aNLH7McJAOTFCE3s3N8jXDoTQQE4kHzWH6AYMUw66NUDOK2PUHKId uTkdPM8C+W7BUTMIbqaBW2aX5Vkg39U0av7QYKbEd7g/kAZy3kyjJnQxrXiQwQL5LqZRcweIr/J4 ag1Q7buXRs0cWkxmHlOyAfJdS6Mm8k4W5BCIDBCs2HMrjZrGvfRqgLz0qmmcCATXhT5qIDR8z500 acbQokF7zHkGCBnKcyVNhjFUeO0djMEAOW+kyTCG1ue3t0C+C2nSNN5Vrcs+aYCc99GkGYMXGQyQ Fxk0Y6jxjrceC9ukoZqKkJl9BVBCdla7V83OSaTELlc1UO2E7rMvNkyaN8C3Jlc8j4Fa+Pe+DjNp 5lC3LRZAhw5joNph9rh/JkPoiGm+3dNQHTfmuC/wz5o91MTasIH752SgvCNp/lC3sHCP1XDWUNh7 HB7bWfOHGizC4e1YkoZyDqT5Q91iDsZFsIvjs4Hq8Hvs4/isGQTU1Hbsw/5IGsp30c6a1AODcJCt gXIyiDljEHgwHGKXgUK7Iqp4V9qfDYPo2qb1BJRZqKEmxGB/JMsghpoIH8cxaaim76tx39g/a1IH x4nw8aCehmrbpm/3HRgY/Cwn9x2UBXOeVF1paocb9R4fcQYFf3XEJuDt18tqiSt1ILqFEi6xjxR1 pQm+R3h1yK4WyDuQpnfXIBoA8Z0rYxfHsdupjZvGuXdwIgvkHsmwCEK+KtdQGgrjGgEXjkVpHoHB sBod5FRXGkp8sI7Ijroy5N71jQ/xNBSeUddJaXL3U5OBclKTCYfEbDi3HvwzUIv9Yd92g89a419P SLEHKwwUwqj4wvZMX3WtecSMG4Nd3711LZR7VZpJwNH6mlgNx1gazD2WJnt4y+Ax+hPjo/a9aUnN 2vdkoNcqIOwdU+WJkLFgTu5HesKmccykFnkUDq51DeVj6CYwEq/02LuQXTOLhmQA3Ef7GKjJHgmp R6R3YIWG2tcBiAJRm4C8DH14RtFQjlFMUOSI+E9M+/5aDJQXw01YJLHz+FQ91GTAuKcnCGP3iExk JMbksZk8koQBgy5QHxxjaXKvx7qfXbHqNhCzmTBsOcbS9C7xT53vvDRY34na4RjLsAn/eWkw93lp iseXNmDw9eChBsMgNjoi3AjnVoRFGD7RCp4bxIANPee876chukOPNVXTBEY56EuDDUgwk+MONiGW 4AaGSA9fMmBkfyLR7eOGCZf0n5cB855XFmbZkQLh4VEGzIuHJtCynsd69uQf1QbMyzdawzdEksEf t48bBow0PBffsHGTM6tqPPzQgHn5ho2crNzn9Xv4homdJPSo7j2hR7UBc+Oh4RszOqPHkIAJSrEA L9+w8ZOVpMh4eJQB8/KNLIJyml3h5hh11bq8fMPGULrPy4B5z8tEUQZbvIe+DBiZSYMjO5IrRG0G QZGkfHjoy4CRvyHZm7uyjQmlZF1kInr4oQFzj6UFh3oWq63n/jIxmO491AyApLUlg2GfH5rYTUKE mspxV5qAStg3cYQe+jJgA1YMbof989IMAHaAZO8aS4Nxp+AsdYylBQf2EK3fhfMaTEKoXXioGQCO c2y4LpzXYIOYzR0qqw2sbMe586RagK6KLAl3mTzrsqGVcF5cXo572YARzyTegF3cMMGVsFRs5x6Z zYD1I4k7nrGMvEEmcuOyZphgzh4jEkHY++syfIPMfLJJPXuowYhpaj26nomx9PMNA+blG71WOLDe Ta0nlwRnvcbDrsV16NhDzQAYq5s9kYyoJXqspp8IOto/L80A8AMyQRceajCoq3WtSzMAvDEDiUke 3NBgXlnURFvCePvelftqwJCxiQva38Ms4LIb0Ysc6zJgXt3BhFzWJEb4zPAGbMDJ6eEbNuiymbHb eM7LgA0dvNjB522wZkPaf+uxAxgwSdNtHLq5Cbz007IBG5y0bEIvwXkCcTy2LwOGyaFz4aFmAOh5 kyvopzYxm15aHjQDkD30eewM2EAQj8dHM2gGULCHGsy7hyYIsx5QVFw2XgMGcfWOUBkshoph1wMJ +q572YAt/NChO5hQzHqQFBWPbGPASJdrPTqRCeHEU1+TyODghwaMNAZCm/Z5rwnIxALbUZLDM5aV N5xjGT0F478rrJfYaXXMXv3LhGWSukQepYdvGDD3WIZvEFwxumywJqJzIHnJkQ2OdVJtRj10pO14 7hQD5pV7bYAm9OWz6RkwbPrEgOzjoY3R5B7y6SkGDLsSyaWOsSzfwKrvsn2Z6E4vbphITa4K551i wNxjGT1lIL/IUzsLh5JCKYKRhbPtyr02XtPN5w2Yl8+biE38eYSTePihAfPyeROzSeo/VhHXWFpP 6amB4CnVZKI2ubsqrgcH7zVgXhuRidsk5g67jce+YcDcY2nBAQvf1FNrZ98eZcJEvThvYjdrSbLx JPTUBsw9luEbHcGvntwKjH+avpx83oZ9Yj3EHeDYQwO28HmHb9TGcEJfOM09Y2m+4eXzNvaTeoME r3jG0vKGl8+bQE6xwGLU84z1e+QNE8pJ/oPoo56xNN9w46GRN7hepZjHPn2ZGFAvn5+NvNFL2UcX HmowL5+3YaBuPm/AnHx+KdW7RfSjSmBB3N9DC0Z2nkevJLZIMQAij8g/ccjYFsw9lvGn4K/DuOxZ lwZDdyBJe1cGgHbNuqSGpoOWLZh7LM0AiJrDYenA+Yb6qlsYFfqXJ8QVf7ICquuWhbnOS4O5x9IM gGC72pVG11QaDMXXUyamsQGepPwTnO3BDc1uSM6Vyq978iG+JLOHHUn/rj3UYE7fDeHYZiyEbE9C nQVbeO++fR7Z83eNZcCWsRz0ZaI80SpxEznuZVBITRGNSCycu+dlgkOJI8S05BpL8w1wA8uNYyzL NyQx0cOjTJlN7IedIwsb+7PajIVteEoAWLCh6QdHSU/KwJqxSPH12OctmJdvmEhPSBne6+GHBsw9 lmYA+AKoouY6Lw3m5fOm5CZ4SN1I11iab7jH0nwDqZfYaxfOazBJk0Iy36UvE/iJS4o8T4c9qjFg VKmsPPRlAj8LxtJ8A78jtfwc69IMgDhqX7kfXKiKVDgvj62S41FAJPfBbxzxABbMPZbmG+whySSe +8vU7hy6zsU3TElNpkuZEte6NLtxr0sLDqAXnM2FhxrMPZZmABz55IqBaWy8KFn4jnJGdG5wA2L2 5GNaMMzRE9Es+7SsGQB8g8LXHt3BxItCXwTB7I9lAj/9PMqALTzKcS+bwE+p6IA72yEfGjCv/mUC PxFnMW949tCAkelRNfu2SuL/NW7A1yTle1dftmDIoh3W1F3cMIGf7CEKh0NfprimmiKFIglcdIyl GQDVwEdXDS8uOT0WyOuw9zYm8BPRmbvItS7NN8aKkq379nkYoJoguNH69C8D5qYvwzd4bkKKWztw Q4O56cvwjWoeWqLTHWNpsPBIxz5umMBP8JDCwR4+b8CIwyAiwDGWFhwa2HVHlsT+uky8KFWsYB2O sbTgAD+sIGbPWBoMZoPE4RjL8A2EXleeOsqMQl8y+rj2HGNpBuDnvTZeVPJTHHzeBH6iflBExYOH BgzO68mFaUzgJ+uaXO+sWLBB7PoOfdmU4EQNxsDhkecNGLGOqKOO89IMAH7otBGZip/EwUpZ/N07 xRbvJKSd+iMenNd8g/gNF26YwE952MRVBImHjAzOj5564+TDKyA/HhowLx6awE9uM64VDz80YAO5 BGSo7Z6XCfxEjCAmyENfBownpEY8I/tjGb5BHRLMcw7cMIU83evSggPrwt3ukaNMvOgSp7cf+43F ReOG/7w0mHtdRt5oCdX1xFSQvaqmyFgSFbx/XoZvLHvoub9MGVDS5QmEc4ylGQA5umRXuPBQg7Eu Fy2bwM+A8x7dwYCxKuoJ7a/LBH4izjrPy4B5z8sEfrIuef7SQV8GjDsFS5ZjXVpwQCVouPg8Y2kw iU11xJgRZa+QV9aFiOgZS4O5x8r4RkuihGcsDcYeEozh2EPNALBHjVQk8oylwdxjaQbAWAg3Hn5o 4kXde2j5BteXDw81mHsszQBkDytPjg/Eq1CK7BRe9dg/LxP46cdDA+Yey8gb8pKKp5QWVYP1unhX jxoxu3zeBH4GvuGhLwPm5Rsm8NPPowyYeyzNAArOS4Oh90rkzP4eagbAWFQF9sg2Nl7UO5ZmAILz pPo6+IaNF6V0uCMHnGx7hVCsi2r8Hr5hwLi/fGNpBiB3yuyJxSL2XU1R7NiOBwHZMwVUgBsabMEN S188c7y+f3r4Eh5LPry/+/UpvonKv3jclhezw2vBz8cXeZRaP5DKQ6zp139PbxcDJQ+q7gBD+ho4 vRvsA8bmoIGXZ7NZjA+YS10Dt/GdWB8w1KaB0yOzPmCoTgP3RSNDRhp4eWTXvWboQgMvT3O7gcFY DTwVTRsU1MBzEbA49zU0v4fnpX37Lf56A16GZeK5N+BleCZedQNehmniXzfgZbgmLnMDXoZt4s42 4GX4JqWPDHgZxomv2oCX4ZzUKTLgZVgnrmENzu8lWCdOYgNehnXiwDXgZVgnrlwDXoZ18XXtlanz e9HaM6zDAVsEnmEdLxUWgWdYh7+zCDzDOjyfReAZ1uGVLAEXx6I+OH4vAs+wDt9hEXiGdbgDi8Az rMMxWASe8TqcdkXgGdbhhysCz7AOj1wReIZ1eMuKwDOso2BKEXiGddRAKQEXt5TGOn4vAs+wDs9T EXiGdRQfKQLPsA7/UBF4hnW4fIrAM6zDi1MEnmEd/pwi8Azr8LUUgWdYh/ukCDzDOhwpJeDi1NBY x+9F4BnW4bcoAs+wDldEEXiGdXgXisAzrMNhUASeYR0+gCLwDOvwBhSBZ1iHpb4IPMM6jO9F4BnW 8bBWCbiYxDXW8XsReIZ1WL2LwDOsw5BdBJ5hHbUMisAzrMNKXQSeYR0VB4rAM6yjiEAReIZ12HmL wDOsI9W/CDzDOqyxJeBiUNVYx+9F4BnWYTMtAs+wDjNoEXiGdVg2i8AzrCMnvgg8wzrsj0XgGdZh UiwCz7AOK2EReIZ1GP6KwDOswwRYAi7p2xrr+L0IPMM6MrSLwDOsI+m6CDzDOvKoi8AzrCM1ugg8 wzqynYvAM6wj77kIPMM6cpKLwDOsI824CDzDOjKHS8Al+VdjHb8XgWdYR35vEXiGdaTsFoFnWEfy bhF4hnXk4xaBZ1hHim0ReIZ1ZM0WgWdYR0ZrEXiGdeS2FoFnWEfeaQn48oaIRjv5Q1kHGeLJUyFl HWSoJw+AlHWQIZ887FHWQYZ+NQmaZR1kCChvcZR1kKEgqZOFHWRIKO9mlM0gQ0N5Q6OsgwwRaxIg izq4cFgUeyxyTMSHUTaDHBPxYpR1kGMifoyyDnJMxJNR1kGOifgyyjrIMRFvRlkHOSbizyjrIMdE PBplHeSYiE+jqIPciUGt1sIOckzEr1E2gxwT8WyUdZBjIr6Nsg5yTCz0ZtSSP2YulkJ/BiXh8g4K MVFStuwMCjFR0rdsB4WYKMlVtoNCTMwdGyQ/lR2jpEGZGRT6NpZa+LaDQkyUPCfbQSEmShaS7aCQ J0pqke2gkCdKmpHtoBATJQnIdlCIiVIJ3nZQiIlS3t12UIiJubODJLIyTJTEGjODQn/HUpTddlCI iZICYzsoxETJa7EdFGKiJKvYDgoxURJXbAeFmChpJbaDQkyUXBHbQSEmSt6I7aAQE3MHiJQFL7ra JFXDzKDQB0L+Sd5BISZKUoWdQSEmSqaE7aAQEyX9wXZQiImSCmE7KMRESVSwHRRiomQf2A4KMREX SNZBISbmThEKlJRhogT/myUU+kUow5p3UIiJUtbZzqAQEyVk33ZQiIlSgNl2UIiJUlXZdlCIiRL6 bjsoxESpf2w7KMRECVK3HRRiYu4oob5xGSZKOLmZQaGvhDpAeQeFmCiB33YGhZgoRYNtB4WYKCHa toNCTJS4a9tBISZKMLXtoBATJULadlCIiRItbTsoxMTceUIydBkmSkFbM4NC/wlFNvIOCjFRSs/a GRRiotSTtR0UYqIUibUdFGKiFIy1HRRiopRztR0UYqLUaLUdFGKiFF61HRRiYu5QkfKqRXKilEg1 Myj0qdRS99R2UIiJUgPVdlCIiVLY1HZQiIlSrdR2UIiJUoLUdlCIiVIg1HZQiIlSLNR2UIiJUsrT dlCGiUt9Tt2B/KEEE5eim7aDMntiIy+x2w7KMHEpj2k7KMPEpeal7aAME5f6l7aDMkwkrS7fgzJM XCpV2hmUYeJSftJ2UIaJS3FI20EhJuY+FqkcWYSJeVqI1HUs6yDHxEIfCxWFsmMs9LFQ7iPvoBAT 8/QQqZVYtgc5Jhb6WKiFny+hEBPzJBFq1hQuIeOJTaGPZakhaFC50MfSXKSKFPpYlmp/dgaFPPEi XaTQx0IRruwYC30sTe5jkT8UYWLuY2lKs0ZyH4vUySubQXY7S/G7sg5yTCzMHaEERXYKhT6WJvex yB+KliD14wwmFmaQkNWad1B4O+c+Fin9VraETE6Uem5lHeQ8sTCTZKnPZjexEBNzH0tTmE3S5D4W +UPRHuQ+lqbQx0JZpAwPCn0sjbxgazaxMKtkKTNmOyjExNzHQlHawk3MMbEwt2Sp8mWXUCgn5j6W pjC/hJId+SkU8sTcx0IRoLJNzH0sUkqrCJVzH4uU1SrrIMfEwkyTJvexyB/KZpDfzoXZJk3uY5E/ lM0g54mFGSdLMSiDyoU5Jzw3mmFiYdZJk/tY5A9Fe5D7WJpCHwvlirIlFPpYKGqVd1AoJ+Y+lqYw /2Qpi2SOsTADpcl9LPKHslPIMbEwC6XJfSzyh7IZ5JhYmImyFAKym1iIibmPhQpEZUvIfSxSw6do D3IfC3WkCjvI5cTCnBTeiMlooTArhffL8w4KMTH3sTSFmSlLnRuDB4W5KUsVGttB4e2c+1ikRI3C g1BbJJaROd3fnW8eP9w+3t6cP9yeb29OH25Ptzc/fbj9SWAO758PZ6k+k/558+3D7VKrXW7wLx9u Q2XeW2n+evzl/u/H5cOz1KKhNCACY+COPDks6wqz2D68+/mnh7v/ef8fr4G11NUNUjITiZ3ydFb0 AbW8Ox9U4q2VMlXykA37R/VEaoamhZuBrg7Li2WUXA6g00Bt07j+MCwxGTzAFVp5NCnk0K/DEo/N q4OxdRq2XKj9YSvqKKdh54mncMywFYWcos+tneQpZdsqjw/FKfN20aaYmmEfn8z28gYezwmHuUq1 2ETi6bOrm1PxNG1kL4DzhqmdxzRR1z102VJ0eWG92+bUlOeMA66tgoRmlva3eNi85FRH8zqlnC86 lhq+4fKkDB0oZia1VPiNrdUk7z1GGnAMu3XczFJp0XbcVZTlW1bLg+48zm5biSOLZhP2qdtcOvvD ggp9PGx5vT1cges2VrxPFfUvXkvgHXQzrGrFLSQRRO7VatC24rVT0zHJDlP09kmd5WwreOo82snW Rt/JsgRqbC6buEKuS0Ub4J3BpZGCZCFEfWvkAYxY/YccgnlLpTAbnLA5cQ3IN/rrKO89rcbE9NlV 7EM9nmJAHG9T8Cy22RhM22OM+KOIdx+yUtZZ1uM4ywtNMKKt1bc1PB0r2RUWdOuY4voxtImHcDk7 MykpvZ9aoclNvzebc3W1GpTna0N2xTYsVYBj2DreojFjRFIyPV7d2M+Zvh/78HpQVH9ZrfClkMC7 DquvEHh90BKvtuoLxq7v7vH4cg81XN5QlMvnwfOAZywqcYi376cePlxnQGlG8tpilECIkBkCFV5p REhoN7Fg92xUt7K5gWWv3fY8/xmZL4/XhLsnNfJIGiS6rLBdG11oOPDWVHREbJBrt3PP6x+xW6RE g4Q85JKMZbwsMm1Ga7PORHmBQMe2kuC25d6u5DWCiEDpK3uiEYZi7DE6TO6kICmuM+RViBjlgLzA U3GaTAYK/EeP5dbo25Vm4k23MM+LbnsEg4gZbS2VUfWYqhHdBJx3k4iG5P2/wLvWdfLWYXS6sYF9 sMOsjTP8MXKStdG1Th5B4O2fZZ2X3Y5cejFEFRaU8eexG7nuAySIseXavXX6A/lokVnyZvnKPt48 /a5vYyG0uQNl9F6PeD5iaIOciLmgX6F5i2Cvswx6ZpMDv6I2J+9axnN8m2ngdQBFc7B0Thj0KfIZ BbmlhL9eDbbyaYpydMsDVZuJ5I0txWRPpddw9i0PkKx61Ft7CgNuKIkc0JuHOixJsXRkodTK+z9G zMPdxeN04eCFYWxZqmaWdp8DIeMx5d2iKKqtoOvmsGKeDg2T4sytmIfLem2ldjwrddOVAUVHCpfl OizPUvaJBKB5q4bIWxVJLOK97GnLRXSsduwoWB8oRJ4AM6wJtyOcNWwjglEwQqxzoqxzFyXetdFF z6BDhUK0DLpCrt3K21vRoMqi0aAs+qnWcaLas3+HVcfsYJQLtmF5yiimQMn7X1bjAutRacI24eiQ WCevRAs58aJVVDwpvR9ExHVYKLiNITfN1MFRzWpr5LYkZo/oRwX4JJJlUk0pO28lKBzSyGaRIFfG oSd1la1YenmDLwk6RmsqyMnLqHG79vgSk4qsFzBeYzebQRMcZ8EaqEU+XOSoSLbwijmxbdTfzbm8 TwPyjEq8ntHMeBTIdiyqeBgWfX7KW3nBMapJW6uPCiCuPmZrbaDrGUhjFHnklVgr4xLBcH2D3SeE rA6bWzZzvZWY9tsHJO9OVtFrtkKlGTPLVfG+lDd1a6HAqUEvJU44FOw9GUNykROFHVU8b/WdT4Wu BD9cxMBVXE2rhYCoyR5vyTmXOgm/GhOHc4udREzVPN4YBvTKnUSKoRgGceVS8ITPQReviYhE5o3r tbwKkK7N4UWKmTemwlxX0LQ54C5qVLxDRfi0liLVukiffmaqO8aukImfHDZKcJjUpaDITnGXhUlt ra7Vcpzcg4GHb6BptZwbb1MmyTYXQWFV8iDnslPkDfhkUMQuuEO8lkUITdfcmwITnKuLt4VIoUbS RLPFfBWmcUG6bM1VbuDlJvXEtq+XJ7aidE9t7CRNPHDrGhESnSjSFi6iBJA+Sz/j52DpqunA+Xc/ bydWG3pvMWAkXTr1ate1jjFgwAxActdanB1gJKl1Ric0VxMCC+/CJmaQWl2oVfeYGeK9hSCQd9yj tkevIiIIT93rq6mW1rTtzH0rprJ75wkod8iyWp5iEuuXukxrRIc2DovuxfvrpnXAl5MwuoX3pe21 22p/i5s8iGk6EgM8MkQrJELi1sDCHo5A5EK7x4jdiErLjNdG3xbzGHmygk68mmi0M9BQ3vFYuqUa TJUZHCdZalQghV0mr4FdnP0toThGqhgcUYvKYxQUKEbeHgzDYi2y1/ur9GQHel0Aq+V5oih0cszs nBwgu7URpO0q0cDAagPh1BhvggN9Ox4eq49cHfwRDVLjDM4XeF1Y0drqO6Bh4kHQyLdX0HVYTKwo mkvHqK28oGKGldZVRGYOq6d1nwYENMpAvMyUG/QH3uNIpiyGDeEM26R42C7xg7XVt1p50zGpkCvo 2jE0kVgJkgsXnlktkBjYwl7wYQnFi5waw4lhGlhrbccDt3QSrnnsz/KD19DJItHr+Cjvy0eHFUGX +/cDj10g7C/LhMHs8fsWpEiOGcfX2JLiPvDuh+9ywMQ0RdEBLTK7G2DMdXIpXXDwBqtXzNHa2LsL T9ix1Z922a08DRz1t4t7QewBabfLroVFWYvodXEroBUvb9CKF+HiUgCRedIzUH/ZnSCPosXgIWad XQkY2UVRFxl8ZfqJVFqYKuRu2lw7i+9O6nYFwOw+APO7qI9fXgedLDLMBl5XchsgenKRh+25uAy4 uLkrQuPFXfAa6bhJD2yN12bBTSAWwEgklxcBiIwnNMz3gl3zPBuO0KzRdSy8gIatNINcD7vC2B0O +/ISaDG+R9lWdMuCO0AgY0j05RWAIZQH4JYJ8RpRdgNg0lwdyWujb514M17vdsZeGTjfJfvvqjZZ 3LAblXB/scFEP/sl88eDmTxPuNMy3k/QxFX88eIfDkS81lHSxMAY3DNs1I4oosFgCiFQPmGDPIo6 RvEJgzTXhbnM2CS5zRfNfULpStJPNmcjIUQJqGu5dKMWwFFkAir8Bh4QOsa/wj+1BMTJpRCThdcX yMW8x5eSyhdQYwaseTgaH1FcD7eXFbzaFpk68JZWXm9c9uICE5PuE9cJkaQtQnkd1uiu9Fn6GT/H GM/qlhl4PuedsCRZoeyvTrfUafqZ5jLh4Q276vla3vqOujh0tIq2qVN7yGmIGaYf5Xh8liE6dsUm uknRDBe3TN2hkrCC8msGJBXno4Vcx1zwO+Bo3bZDiBC81ko640Y0dnGvC1zMGtNxYKZI5dFLu091 CgzRUwRRjeDdAKUlCwrvaVpNqmvFNL4sl0d6Y+sFHtoVrMezaUMr6LoZiFxz1FX5Rxd81VsrDwJH BRp3QaRJ57D4VJJFGUdhyObZOobFJKEP4TgkiWytmHziavkqtvqGBRUJrlo2agNdO1ZHgKgM4WdH cP1c7ba+gRhowtF9xyGJUStXDBMdpaMh/CWgqdBmMtWlj9LP8PG2nfvfRnY2L67dMIfUWfoZOp1G LOFhs/Y/RjYfo8MKuwSWs7i81KXdprhEXGvJMU2Ej/XQIv1ABxGpYflG+eQqrWIgmnhqXJwX5iUp Egs7wVrtmuCMOTDyEZyK2V2H2yiKW/j+rHepfuWw7S68jixYP1bpSBSrZP3Yru60r/GoeCM+TpQL OBo1oIn0VfoZvp4xO66Xqeo9fZV+xlPCHI8dJSLC7ucgYLJkYH+uVs9Z6jT9TJ3jmYv+4n3UnXm1 NIoX+x/jFRmTYk006Jr8miaQfsY9kYipQBrpGk8fpJ/hQ65MtnjZjbc/BF/QXV/fttdPH18YiknY cdjktOaobcdvESnupQbrICdrPMTehs1zmc/yELm9Q5BEmijmb60+rjqizMcj3EBXrjqKoTVcXXgm sasYrqpboacC926tQLHMoMHYjrtejPdC7dh8sGnaVjHNhbPZWn2rhdAIOHqtY3UEPW/YWx/6q+dq T/MNxBg7sdiFM0ThWuMNdhBDg+HdtbETGMVQFNIJsavWXjqOOJTCegeCf0Orb6vgYcK35Qw20BUx pgq9Mg6Lnz4Iwldb4e9bkXyjO9iNS2SwdYw5PYsUqXnEHFU/nB9eoWxYLNYpjK5fW52rHRbxdsG4 FXRdjz4CPLl1tsmvnKtd3+uIgVOU2NOA0AUcw4BdcAxRSafUKf/IKGxGOIzWt43sfVuFk6y+YDbr Vsn1FO1SVziGbi3kGAr0CseQGyUOu/GEbVKsNcZtbK2u1aJGDBJVdJ0V6SO45Bi61ZyrFzFEl+gj uuM4cHMMDXbJMWbCCKMAcYWwCQpIcXxbq2urasltiI6BDTSdAfhIFEJkRRccw7SWcQwNeskxxN7Y R8PaxhPSpNCLsFsGu8XW6lwtfpB0lVxyDH0ElxxDt+pzdSPG4pwKxgvUzWHNGtmuEiv3EAyC8TbI z0SuioX8LeUBk6fY9QLzd3wuseYxMs1MJ03idd5HmNMSgBnoCxq/FJbtpsRrou0Jmo0Hh+BhFQwK UhOyEK/5CUXX6uOqdUDZCb5L36FrUGJ62SKt6ItJKQaP8TNWhF9xTVwgEWG2VuewE/pevG0vOxY/ X9Qf0IwgQzMp4lxSRp3Ed60nb7c1nVTcXtwkKf4b4wWGtAxdLHAC4uqOJoWBcFcuH7M5hFlEcwQ2 YXFcmlZiN6N3b2t1bo44bZOgctkxDvs6In7QIc2wqpUUWnaRVuewChQPeJZgxBP3YsoJ8gS21nwv EK3ipTKmVt+wuBi4y17rGEsrMZqxlaiBXOmVoOrYOmMUv7raHBVIgUI/XlaCprCqM+mz66iACo06 EIAIm8xQEst56vKSeF/jCHagN1gK9gUJ3JfBCW2PmhS7uzFH21VEX6aM6SqAkS8Vak6t1MvOddF0 DtNgBIO+sq8JB0mID0FEvgPF4EJWWBgWWSO3phGAFD0tBBlgKDDDtlsriC+mWj/6KlDSD7J8PxxD yWG+CUzbXmB3Tei7qmfO1RITvB79hWaHwIP1N6ANdtiQA78Oq1qJOcbp6l+tBuV4Aj9bO8aPQzRv OIJLURm7E/6LrNW5WuLvYwzGJmVvw26Zd8K3Q3jW1jpjl4roiLk+INzFsIkKEw6LDBYYy0BY9Kpi ps+uIz7RudFrKSw6REds8yAeP75RITk3GX5CM3Uii7X1YpbXh5XworjAFXQbFktYzNKRcK3AdrbW V0jcDvQWj0Bmis5Y9OIYIca893gENygnEdh6AttmNU7JoYqETUi0IVaC8dbWQmLVoLPEJtiO4fPR qDWQIYBupq84sbZGyymtXB9+qiEIP8kzl5I1qeEdeX+v7sUrG+w+IcIKRb9ftpqwutUbuXNCGqzH 8m1dgoNkZyv7jxVCBhhhuh+FryUhOZuzMWJEwhuQLWLExcIws47FCx9EFKLDSKgzJ4T5JFXrIyy+ XYV5O2wi4TQgwezxtpJc0zVwP32WfsbPic9ADwq76fmczMcYSeRRF9BuJTppuXEd6gK2vTEZwrDw rMlQac524WnB7FKUciV9Mwv9Q0bdCDNJVCthwtYIQI6omlp9XAoPcorQQcPPBTkwJplRCOOf0X41 6elWLlQYs/t6NqDEJ2f4NHDXRzaPMSbfiwHSjAIxCayr/8Fua9rstL0gfDI1eI5wY2YuBOEKicUV iAWKBjQOIE3CTi1NiQnFYMF+Ru2xwqwm9GmGy9mtf4V72IHeuCCEnCNT3Qh6/4JYAq+iiL2ykBUP yc2BT0QqhCTtnLsRRTZeLiRnhGDCCyxNWxY3iS5hGaFLbQlIn6Wf6XPugBhRdVVTzz/HGxVj9D3H LFGW8cRcn+OnjVF+qK1OPgAfS5aMK3wAWYUbcKN0S5BYKVLa3kLMS+vFDlsciRvHZZScehvoerBg C66lMOwlH9CthXzAgF7wAVqlsOzCdy/5QA82JdeAmw+wRdgLQpcOPoAZZrUyez6XlKwoabv5gOgE Uca8wgck1zFxiUs+YFqVFGHP2P6WTlx1LJKEZT9Ed8kzqIt4cknozPgq97ADvcF+cJDhNg/dQxqr rrNJPxml4udJGbaEuG0A6bP0My6OqixYeEL/oHbQKxVDzj9HgUp+F9fnGK6jHocbdyf+gUQJuk9E 6/icPJ8Y+CSJ82uaZJqz3eS0YLJPY+AJQdyo3Oa6IK+GGJiA9RgBsiwW3YoJJIT3+NiGBkUyDzXV VraBU4KiG2HYS7seDhwxbC7UvbY6h4UNR0l2szVuw4q0lMS1GUywe4FyHz0eCxN3WYkI+DBAibOm M0k/02kQEx2D7xBQRM8NklH67PoR4j5Neg7LC0U/1aK6FO2HZR6NIVsUuk/klGurdy+xWeSg27Dc OMl/TsxPJqihTqytpNaXaBQalOjgzBmNbo/jIOAG6BqqxG2Tgvxi/s3Q9DFp4WK1abPTmWAESFYd D9GiIMUMErSWfRqHJyXN2cNBpLrHG/zpddbJTYyeEM5LYh7X2rAb67yGXRgbeqmVJ9SGRU5eQ1Ci PGEDY0qXJUAqZgal/RbbIBGwARY5NeDezn5bINIdE52lY0k/w/EQjrMmRDoUPglz6GOEk+tziU+N vKYjYDGpKmkS6WecDNRL/t2yYFfvFUgYpeJ97ZPNnpI7SSJM0Swtd8gnw4knv+NM3nC+ka8cN7Gt gYBG/BbWaCJZpLix44GSMWGRocbNEe9+bONS6uGaXpfNMkfLZFxIn72F0djY4u1UoItwdyymhusi Csm5cKsoYcwE3Bqbkm4lIEyKHlxb4tWdVR1jsEYhMoRE5F/KD+NmImrTthKoGg3AW+sFIV0dloD7 KrpyN9CVQtlA/M/LgeIFi16MrZUKCsljgB6PMfTaatNJRRrAZp6ScTF+SNUgi6XXZ4lJLfotJTfW OhmQa0hySGiH3dXoh3hR1jJbRF6W5K2CCqQqB/LeQNflcyb4ySO2Syi/PRNsHFE682M7xRSlAtTC TYUJX2D7FSOapP9TlysCUaQpwxx2O9EkV154C2Jbg4RCxxWurV7MgVtGVrCCrh2DOSlTkiA7SZ3i mLdWvC6Rs0mC4iqL2sO3vyX8QbOO6v5IREYIut06Jgs2luQdKGVpS4Jhw0RdjsEUAzEiC6JcrDZH WIK2kokHO8RqCU6fXZ8lxb/imaAE5XVluNJTlD/KeGZt5SZWrcLTr5LVK8NuoFjgbKAXyyd3MRo9 LpQvyeO7yi7tQG/xW6kdGS9DAs7WCqSbBJG2LB0lAkESEckEutCm7MgrEKkkSYRD2bPYjmqQ8n/A eqRIi3aiV0R2trZenP/VYeEiMtaiVaygK9pRMzURO9YG0jDNsLq1hc8nKd8OZH+Lq9WghNaGCPp1 2JoIhmTNRvMNcvLWShHYJAyurb7VktGx2dYvO0ZPj1G1EGNMmN2GJeS8DgdEhOpWfsuuz/6WzpZa lVG/ITyTWgVmG9GN0XqWI8CgIYqQYSmvYJ8d6A30pYTKFsJFukI6pQ19bVdxzuiBUtBgQQw2PJRA XzdDnNTJZo8wjF1Jz5mUYGIvA+za6jshdH84Rwa6DQuuRKWE6V1MChEm2cHZ03Wldn32t7RafPgp oBpeElzn27BStTacEMIEwm62Wsxpyl+cskHsQPa3NKwoqYFziZQSQqa3YYm9S0cA/thMIQyb18/V DvQWYlAGN7pBmL+EggSJZQ8xsFEk+ZqSHdm1jClBUoAWtJGE9xwxlhKattWLGARMRZy60vEWv0DJ AXJg7QlJNG+EBalDzQXnsDDI5C9tCSQxZj+0MJhIPHqiNXIiETJIuJxancOCC+lsrnQs9U4SbY4x p2BDm1fO1Y8YKP4xh5jLBin0AjGyC4/LWfIpl2MlOGF1WabP0s+E9S0lCSM5uT4nsTMSCYastfR5 6jX9TL2jt6fr2vU5t3U8Qs9kILq0N67PSY2PkhkGnxXz0pzTzzR3tTPXPrdHmIDIGUyUsQJt2EDc SCx2gUh8gcCUlEzGU6kOe13VeWVY2H7EboTTTCSBDyCTBJQgry/nEoJhEQM0htmBLjfnKlqmz95i dXpfEeYu78DUSdpTrDrRgc+ubQDps/QzfY49KDnISfkP8imUnj5LP9PnVGRIEUbXPrfbsAJRmCvu 9wqkjpnI56C04d7mzC0DRHZLwiX2nJDg5uVELCdSHzFENtINU+habW3ZpwV/tkll2/4KdsVqzsxH niZYIi7XNwqWSb6c/3J//Cp61svx8eHjnx8eH5dfTp9/+uHxdPPLgecOxPKC1hquMPPZ45M8cYBr TDTQu8Pzh9tPj4fz8sDB01H6CqLL6eX8p8PLl9Db0kHYwq8P5/tT6Pbxicl9e355//L84+m7P8q/ fjp+/O3H083p/PjDUWZxe3N4uvty5M2Fu/NpmY189e3leYH8/P7bZ/nX4f3n0+H5y8Pdnw7ng/59 +er9fXP8cnz8eH/67j8BAAD//wMAUEsDBBQABgAIAAAAIQD+m+oq5gAAABABAAAPAAAAZHJzL2Rv d25yZXYueG1sTI9Pb8IwDMXvk/YdIk/aDZJ2YpTSFCH254SQBpMmbqYxbUWTVE1oy7dfOG0Xy5bt 994vW426YT11rrZGQjQVwMgUVtWmlPB9+JgkwJxHo7CxhiTcyMEqf3zIMFV2MF/U733JgohxKUqo vG9Tzl1RkUY3tS2ZsDvbTqMPY1dy1eEQxHXDYyFeucbaBIcKW9pUVFz2Vy3hc8Bh/RK999vLeXM7 Hma7n21EUj4/jW/LUNZLYJ5G//cBd4aQH/IQ7GSvRjnWSJhEIglEXkKcLIDdL+ZiBuwUmnieAM8z /h8k/wUAAP//AwBQSwECLQAUAAYACAAAACEAtoM4kv4AAADhAQAAEwAAAAAAAAAAAAAAAAAAAAAA W0NvbnRlbnRfVHlwZXNdLnhtbFBLAQItABQABgAIAAAAIQA4/SH/1gAAAJQBAAALAAAAAAAAAAAA AAAAAC8BAABfcmVscy8ucmVsc1BLAQItABQABgAIAAAAIQCycwi3ZTUAALYkAQAOAAAAAAAAAAAA AAAAAC4CAABkcnMvZTJvRG9jLnhtbFBLAQItABQABgAIAAAAIQD+m+oq5gAAABABAAAPAAAAAAAA AAAAAAAAAL83AABkcnMvZG93bnJldi54bWxQSwUGAAAAAAQABADzAAAA0jgAAAAA ">
              <v:rect id="Rectangle 7" style="position:absolute;top:1708;width:4572;height:4572;visibility:visible;mso-wrap-style:square;v-text-anchor:middle" o:spid="_x0000_s1027" fillcolor="white [3212]" stroked="f" strokeweight="1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INc+yAAAAN8AAAAPAAAAZHJzL2Rvd25yZXYueG1sRI/NasMw EITvhbyD2EAvpZFTQ1OcKCE/FHLpoWkIPS7W1hKxVsZSbKdPXwUCvQwMw3zDLFaDq0VHbbCeFUwn GQji0mvLlYLj1/vzG4gQkTXWnknBlQKslqOHBRba9/xJ3SFWIkE4FKjAxNgUUobSkMMw8Q1xyn58 6zAm21ZSt9gnuKvlS5a9SoeW04LBhraGyvPh4hR8XPN83z3l5/5o88r+yu/NyXilHsfDbp5kPQcR aYj/jTtirxXM4PYnfQG5/AMAAP//AwBQSwECLQAUAAYACAAAACEA2+H2y+4AAACFAQAAEwAAAAAA AAAAAAAAAAAAAAAAW0NvbnRlbnRfVHlwZXNdLnhtbFBLAQItABQABgAIAAAAIQBa9CxbvwAAABUB AAALAAAAAAAAAAAAAAAAAB8BAABfcmVscy8ucmVsc1BLAQItABQABgAIAAAAIQAaINc+yAAAAN8A AAAPAAAAAAAAAAAAAAAAAAcCAABkcnMvZG93bnJldi54bWxQSwUGAAAAAAMAAwC3AAAA/AIAAAAA "/>
              <v:shape id="Freeform 16" style="position:absolute;left:4622;width:13063;height:4025;visibility:visible;mso-wrap-style:square;v-text-anchor:middle" coordsize="2371650,731520" o:spid="_x0000_s1028" fillcolor="black" stroked="f" strokeweight=".96pt" path="m1242411,294278v,27360,-9131,50245,-27106,68078c1191395,386091,1152606,399033,1105967,398675v-33472,-554,-67289,-8690,-86422,-20446l1032291,311182v20280,11524,55709,23155,82140,23155c1136198,334337,1150862,324294,1150862,308183v,-14604,-10308,-24810,-36637,-37692c1072578,249666,1051741,223266,1051741,192152v,-61221,52145,-102593,130380,-102593c1223519,89559,1250469,99314,1265412,108904r-12722,66915c1240846,166918,1210743,154501,1177909,154501v-22802,,-37652,9550,-37652,25539c1140257,191509,1151620,201785,1175674,213510v31340,15659,66737,38840,66737,80768xm700127,90173v-110210,,-193252,80479,-193252,187204c506875,351082,555850,398675,631821,398675v32494,,64079,-5954,84416,-15852l730160,309292v-27196,13482,-48475,19018,-73558,19018c628820,328310,599017,312324,599017,267701v,-52582,37293,-107152,99890,-107152c717876,160549,733752,164314,747443,172102r13626,-71492c745316,94092,722493,90173,700127,90173xm2245494,330114v36780,,68611,-8996,103317,-29156l2334727,374974v-41913,21400,-91153,23723,-110384,23723c2142522,398697,2095748,353194,2095748,273749v,-45809,16828,-91711,46138,-125940c2174044,110240,2219003,89568,2268462,89568v61900,,103189,35962,103189,89283c2371651,203510,2363628,223791,2347824,239192v-29563,28812,-102425,44959,-168783,31927c2175880,308509,2204027,330114,2245494,330114xm2188658,214066v51611,424,80642,-4797,93311,-17342c2295685,183096,2291390,153896,2257578,153896v-38043,,-62263,31189,-68920,60170xm2051252,90173v-110210,,-193252,80479,-193252,187204c1858000,351082,1906976,398675,1982946,398675v32494,,64079,-5954,84416,-15852l2081285,309292v-27196,13482,-48475,19018,-73558,19018c1979945,328310,1950142,312325,1950142,267702v,-52583,37293,-107153,99890,-107153c2069001,160549,2084877,164314,2098568,172102r13626,-71491c2096441,94093,2073618,90173,2051252,90173xm1843528,226669r-31712,165970l1727820,392639r10916,-57126c1726954,371115,1698254,399290,1650105,399290v-58436,,-84846,-51876,-84877,-103792c1565188,236519,1588359,178113,1627168,139273v32510,-32528,74466,-49713,121371,-49713c1784225,89702,1810622,100031,1827163,120078v24484,29669,22475,74207,16365,106591xm1762661,188485v-1025,-20928,-11919,-32211,-31452,-32211c1689845,156274,1654009,227668,1654041,277317v11,31020,11509,50338,31513,50338c1717548,327655,1745105,294195,1754585,245198v3228,-16558,8665,-43739,8076,-56713xm492406,226669l460693,392639r-83995,l387613,335513v-11781,35602,-40482,63777,-88631,63777c240545,399290,214137,347414,214106,295498v-41,-58979,23130,-117385,61939,-156225c308555,106745,350510,89560,397417,89560v35684,142,62082,10471,78623,30518c500525,149747,498516,194285,492406,226669xm411539,188485v-1026,-20928,-11920,-32211,-31453,-32211c338722,156274,302887,227668,302918,277317v12,31020,11508,50338,31513,50338c366426,327655,393983,294195,403462,245198v3229,-16558,8665,-43739,8077,-56713xm1559358,202421v,72107,-34620,146039,-97021,179304c1439414,393945,1417476,399076,1398411,399293v-31239,-2,-48751,-11679,-58736,-29683l1317337,487670r-87939,l1304052,95023r77454,l1372451,142685v21882,-31832,54290,-53125,90972,-53125c1521623,89560,1559357,133667,1559357,202421r1,xm1467902,209082v,-13977,-3300,-47920,-35511,-47920c1399638,161162,1371988,198477,1361269,255076v-3669,19351,-13937,77458,26522,77458c1433981,332534,1467902,266966,1467902,209082xm122511,161001l135047,95022r-77447,l,397876r87953,l111703,273006v14004,-73633,56248,-103098,116368,-93996l245247,88676c191123,83740,142846,114704,122511,161001xm827930,392638l858223,233285r62353,159353l1015149,392638,950636,232019,1068043,95022r-96006,l858750,230516,902570,,815233,,740583,392638r87347,xm1839859,600836v,42897,-29700,79536,-72572,79536c1735543,680372,1715912,658419,1715912,628492v,-42620,29699,-79536,72571,-79536c1822296,548956,1839859,573230,1839859,600836xm1746898,627709v,17285,9034,29448,24528,29448c1793908,657157,1808872,626170,1808872,601088v,-12894,-5930,-28918,-24022,-28918c1760853,572170,1746898,604217,1746898,627709xm2044503,600836v,42897,-29700,79536,-72572,79536c1940187,680372,1920555,658419,1920555,628492v,-42620,29700,-79536,72572,-79536c2026940,548956,2044503,573230,2044503,600836xm1951542,627709v,17285,9034,29448,24527,29448c1998552,657157,2013516,626170,2013516,601088v,-12894,-5930,-28918,-24022,-28918c1965496,572170,1951542,604217,1951542,627709xm1884855,510629r-31748,166916l1883083,677545r31979,-166916l1884855,510629xm1400114,549208v-46480,,-79788,36917,-79788,80823c1320326,659983,1339680,680120,1371196,680120v16676,,29727,-3921,37079,-7675l1413237,646349v-4368,2454,-16749,9496,-33789,9496c1362668,655845,1351817,645247,1351817,626423v,-26344,18345,-52940,47263,-52940c1410312,573483,1417035,576590,1422249,579346r4755,-25010c1422592,552209,1412104,549208,1400114,549208xm1228324,643733v-2851,-4921,-3886,-13450,-3356,-17840c1273517,626927,1307330,616582,1307330,584333v,-21196,-15745,-35377,-40550,-35377c1223404,548956,1195521,590263,1195521,628214v,30735,16780,52158,51653,52158c1263709,680372,1282121,676139,1294703,668583r5147,-27074c1289613,648898,1274929,656627,1254138,656627v-11885,,-20918,-4391,-25814,-12894xm1262919,571414v9564,,15999,4895,15999,12919c1278918,599549,1259033,603687,1228047,603410v3633,-15216,16023,-31996,34872,-31996xm1695170,583525v,-23744,-13954,-34570,-32021,-34570c1645210,548955,1628878,557828,1617217,575329r4656,-24305l1594758,551024r-24065,126521l1600669,677545r11129,-58087c1617223,589985,1634483,573483,1648160,573483v11885,,15771,7469,15771,18067c1663931,596445,1663330,601885,1662448,606538r-13506,71007l1678918,677545r14049,-73328c1694254,598010,1695170,589228,1695170,583525xm1521033,548955v-15924,,-30581,6993,-41830,20804l1490532,510629r-30207,l1428577,677545r29977,l1469682,619458v5425,-29473,22686,-45976,36362,-45976c1517930,573482,1521815,580952,1521815,591550v,4895,-600,10335,-1483,14988l1506827,677545r29976,l1550851,604217v1287,-6207,2203,-14989,2203,-20692c1553054,559780,1539100,548955,1521033,548955xm1171990,519414r-29242,l1136323,551782r-16781,l1115151,575022r16807,l1121106,631066v-1815,9285,-2599,16249,-2599,23239c1118507,668765,1127567,680120,1148208,680120v7241,,15241,-757,19632,-2574l1167840,677542r4535,-23839c1168933,654444,1164660,654835,1160345,654835v-8000,,-11102,-4390,-11102,-11380c1149243,638030,1150277,631571,1151563,625640r9817,-50618l1189541,575022r4642,-23240l1166023,551782r5967,-32368xm2182235,724544v23037,10658,45741,5941,62204,-23509l2244439,700986r84129,-149962l2296546,551024r-47778,93616l2237166,551024r-31517,l2228062,674169r-9810,19657c2209437,708887,2194055,703972,2186900,700003r-4665,24542l2182235,724544xm2141307,548955v-53479,,-80867,47284,-80867,87072c2060440,658505,2071550,680467,2098421,680467v16673,,31714,-8131,41803,-22454l2137816,669017v-6182,29195,-21171,38481,-40802,38481c2085128,707498,2071200,704394,2063958,700003r-4666,24542c2067991,728825,2081655,731520,2096388,731520v15909,,33653,-3103,46961,-13954c2157703,705706,2164765,686075,2169456,661548r11386,-57038c2182391,597530,2183423,589781,2183423,582806v,-22736,-15761,-33851,-42116,-33851xm2150868,602956r-2323,11626c2143377,639905,2127358,655924,2111855,655924v-13950,,-19897,-11626,-19897,-25322c2091958,605801,2109273,571955,2135623,571955v10594,,16536,5684,16794,16019c2152675,593916,2151653,598375,2150868,602956xm2362069,651612v1450,-15951,-10271,-28880,-26221,-28880c2319897,622732,2305880,635661,2304430,651612v-1571,14621,9183,28759,26221,28759c2346602,680492,2360619,667562,2362069,651612xm2357960,651249v-1208,13776,-13533,25013,-27308,25013c2317118,676262,2307330,665387,2308538,651974v1209,-13654,13413,-25013,27309,-25013c2349260,626961,2359169,637836,2357960,651249xm2338022,655116r4592,13413l2338143,668529r-4471,-13050l2327268,655479r-2417,13050l2320622,668529r6404,-33955l2338143,634574v5075,,8942,3746,9063,8579c2347327,647624,2344185,653425,2338023,655116r-1,xm2338143,638682r-7733,l2327993,651370r7008,c2338747,651370,2342010,648470,2342977,644604v725,-3021,-1692,-5921,-4834,-5921l2338143,63868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x15/xgAAAOAAAAAPAAAAZHJzL2Rvd25yZXYueG1sRI9Ni8Iw EIbvwv6HMAveNHURkWoUcXFZvPkBsrehmSZlm0ltotZ/bwTByzDDy/sMz3zZuVpcqQ2VZwWjYQaC uPC6YqPgeNgMpiBCRNZYeyYFdwqwXHz05phrf+MdXffRiAThkKMCG2OTSxkKSw7D0DfEKSt96zCm szVSt3hLcFfLryybSIcVpw8WG1pbKv73F6fAXGxdmp/sdP5bT0xzCttxuTkr1f/svmdprGYgInXx 3XghfnVyGMNTKC0gFw8AAAD//wMAUEsBAi0AFAAGAAgAAAAhANvh9svuAAAAhQEAABMAAAAAAAAA AAAAAAAAAAAAAFtDb250ZW50X1R5cGVzXS54bWxQSwECLQAUAAYACAAAACEAWvQsW78AAAAVAQAA CwAAAAAAAAAAAAAAAAAfAQAAX3JlbHMvLnJlbHNQSwECLQAUAAYACAAAACEADsdef8YAAADgAAAA DwAAAAAAAAAAAAAAAAAHAgAAZHJzL2Rvd25yZXYueG1sUEsFBgAAAAADAAMAtwAAAPoCAAAAAA== ">
                <v:stroke joinstyle="miter"/>
                <v:path arrowok="t" o:connecttype="custom" o:connectlocs="684310,161920;669380,199379;609158,219363;561557,208113;568578,171222;613820,183962;633886,169571;613706,148832;579291,105728;651103,49278;696979,59922;689972,96741;648783,85011;628045,99063;647552,117480;684310,161920;385624,49616;279183,152621;348002,219363;394498,210641;402166,170182;361651,180646;329934,147297;384952,88339;411686,94696;419191,55359;385624,49616;1236800,181639;1293706,165596;1285949,206322;1225150,219375;1154321,150625;1179734,81329;1249451,49283;1306287,98409;1293163,131611;1200198,149178;1236800,181639;1205495,117785;1256890,108243;1243456,84678;1205495,117785;1129813,49616;1023372,152621;1092191,219363;1138687,210641;1146355,170182;1105840,180646;1074123,147298;1129141,88339;1155875,94696;1163380,55359;1129813,49616;1015401,124720;997934,216042;951670,216042;957682,184609;908865,219701;862115,162592;896231,76632;963081,49279;1006387,66070;1015401,124720;970860,103710;953536,85987;911033,152588;928390,180285;966411,134915;970860,103710;271213,124720;253746,216042;207482,216042;213494,184609;164677,219701;117928,162592;152043,76632;218894,49279;262199,66070;271213,124720;226672,103710;209348,85987;166845,152588;184202,180285;222224,134915;226672,103710;858882,111378;805444,210036;770234,219703;737882,203370;725579,268330;677143,268330;718261,52284;760923,52284;755935,78510;806042,49279;858881,111378;808509,115043;788950,88676;749776,140350;764384,182970;808509,115043;67478,88588;74383,52284;31726,52284;0,218923;48444,218923;61525,150216;125620,98497;135080,48792;67478,88588;456017,216041;472702,128360;507046,216041;559136,216041;523603,127664;588270,52284;535390,52284;472993,126837;497128,0;449024,0;407907,216041;1013380,330598;973408,374361;945111,345815;985082,302052;1013380,330598;962178,345384;975687,361587;996312,330736;983081,314825;962178,345384;1126096,330598;1086124,374361;1057826,345815;1097799,302052;1126096,330598;1074894,345384;1088403,361587;1109029,330736;1095798,314825;1074894,345384;1038163,280963;1020677,372805;1037187,372805;1054801,280963;771172,302191;727225,346662;755244,374222;775667,369999;778400,355640;759789,360865;744570,344677;770602,315547;783363,318773;785982,305012;771172,302191;676551,354201;674703,344385;720067,321517;697732,302052;658483,345662;686934,374361;713112,367874;715947,352977;690769,361296;676551,354201;695606,314409;704418,321517;676399,332014;695606,314409;933686,321073;916049,302051;890750,316563;893315,303190;878380,303190;865125,372805;881636,372805;887766,340844;907793,315547;916480,325488;915663,333735;908224,372805;924735,372805;932473,332458;933686,321073;837773,302051;814733,313498;820973,280963;804335,280963;786849,372805;803360,372805;809489,340844;829517,315547;838204,325488;837387,333735;829948,372805;846459,372805;854196,332458;855410,321073;837773,302051;645523,285797;629417,285797;625878,303607;616635,303607;614216,316394;623473,316394;617496,347231;616065,360018;632424,374222;643237,372806;643237,372804;645735,359687;639109,360310;632994,354048;634272,344246;639679,316394;655190,316394;657747,303607;642236,303607;1201958,398666;1236219,385730;1236219,385703;1282557,303190;1264919,303190;1238604,354700;1232213,303190;1214854,303190;1227199,370948;1221796,381764;1204527,385162;1201958,398666;1179415,302051;1134874,349961;1155794,374413;1178818,362058;1177492,368113;1155019,389286;1136812,385162;1134242,398666;1154674,402504;1180540,394826;1194919,364003;1201190,332619;1202612,320677;1179415,302051;1184681,331764;1183402,338161;1163193,360909;1152234,346976;1176284,314707;1185534,323521;1184681,331764;1301009,358536;1286567,342646;1269262,358536;1283704,374360;1301009,358536;1298746,358337;1283705,372099;1271524,358735;1286566,344973;1298746,358337;1287764,360464;1290293,367844;1287831,367844;1285368,360664;1281841,360664;1280509,367844;1278180,367844;1281707,349161;1287831,349161;1292822,353882;1287765,360464;1287764,360464;1287831,351422;1283571,351422;1282240,358403;1286100,358403;1290493,354680;1287831,351422"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B5BD1" w14:textId="77777777" w:rsidR="00596C22" w:rsidRDefault="00596C22" w:rsidP="00550B03">
      <w:pPr>
        <w:spacing w:after="0" w:line="240" w:lineRule="auto"/>
      </w:pPr>
      <w:r>
        <w:separator/>
      </w:r>
    </w:p>
  </w:footnote>
  <w:footnote w:type="continuationSeparator" w:id="0">
    <w:p w14:paraId="0AE05AAD" w14:textId="77777777" w:rsidR="00596C22" w:rsidRDefault="00596C22" w:rsidP="00550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962DF" w14:textId="7F853891" w:rsidR="0044247A" w:rsidRDefault="00E74FD1" w:rsidP="0032314F">
    <w:r w:rsidRPr="00DF24DC">
      <w:rPr>
        <w:noProof/>
      </w:rPr>
      <mc:AlternateContent>
        <mc:Choice Requires="wpg">
          <w:drawing>
            <wp:anchor distT="0" distB="0" distL="114300" distR="114300" simplePos="0" relativeHeight="251658243" behindDoc="1" locked="0" layoutInCell="1" allowOverlap="1" wp14:anchorId="34D80A1D" wp14:editId="1DF1B531">
              <wp:simplePos x="0" y="0"/>
              <wp:positionH relativeFrom="column">
                <wp:posOffset>-685800</wp:posOffset>
              </wp:positionH>
              <wp:positionV relativeFrom="page">
                <wp:posOffset>813435</wp:posOffset>
              </wp:positionV>
              <wp:extent cx="1659255" cy="1143000"/>
              <wp:effectExtent l="0" t="0" r="4445" b="0"/>
              <wp:wrapNone/>
              <wp:docPr id="6" name="Group 2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659255" cy="1143000"/>
                        <a:chOff x="0" y="0"/>
                        <a:chExt cx="1235648" cy="850900"/>
                      </a:xfrm>
                    </wpg:grpSpPr>
                    <wps:wsp>
                      <wps:cNvPr id="9" name="Freeform 9"/>
                      <wps:cNvSpPr/>
                      <wps:spPr>
                        <a:xfrm>
                          <a:off x="0" y="0"/>
                          <a:ext cx="1235648" cy="850900"/>
                        </a:xfrm>
                        <a:custGeom>
                          <a:avLst/>
                          <a:gdLst>
                            <a:gd name="connsiteX0" fmla="*/ 1073421 w 1235648"/>
                            <a:gd name="connsiteY0" fmla="*/ 850900 h 850900"/>
                            <a:gd name="connsiteX1" fmla="*/ 0 w 1235648"/>
                            <a:gd name="connsiteY1" fmla="*/ 850900 h 850900"/>
                            <a:gd name="connsiteX2" fmla="*/ 0 w 1235648"/>
                            <a:gd name="connsiteY2" fmla="*/ 0 h 850900"/>
                            <a:gd name="connsiteX3" fmla="*/ 1235649 w 1235648"/>
                            <a:gd name="connsiteY3" fmla="*/ 0 h 850900"/>
                            <a:gd name="connsiteX4" fmla="*/ 1073421 w 1235648"/>
                            <a:gd name="connsiteY4" fmla="*/ 850900 h 850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35648" h="850900">
                              <a:moveTo>
                                <a:pt x="1073421" y="850900"/>
                              </a:moveTo>
                              <a:lnTo>
                                <a:pt x="0" y="850900"/>
                              </a:lnTo>
                              <a:lnTo>
                                <a:pt x="0" y="0"/>
                              </a:lnTo>
                              <a:lnTo>
                                <a:pt x="1235649" y="0"/>
                              </a:lnTo>
                              <a:lnTo>
                                <a:pt x="1073421" y="850900"/>
                              </a:lnTo>
                              <a:close/>
                            </a:path>
                          </a:pathLst>
                        </a:custGeom>
                        <a:solidFill>
                          <a:srgbClr val="EB0000"/>
                        </a:solidFill>
                        <a:ln w="945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10"/>
                      <wps:cNvSpPr/>
                      <wps:spPr>
                        <a:xfrm>
                          <a:off x="511712" y="152796"/>
                          <a:ext cx="432791" cy="545307"/>
                        </a:xfrm>
                        <a:custGeom>
                          <a:avLst/>
                          <a:gdLst>
                            <a:gd name="connsiteX0" fmla="*/ 179805 w 432791"/>
                            <a:gd name="connsiteY0" fmla="*/ 529993 h 545307"/>
                            <a:gd name="connsiteX1" fmla="*/ 179368 w 432791"/>
                            <a:gd name="connsiteY1" fmla="*/ 532288 h 545307"/>
                            <a:gd name="connsiteX2" fmla="*/ 174304 w 432791"/>
                            <a:gd name="connsiteY2" fmla="*/ 532288 h 545307"/>
                            <a:gd name="connsiteX3" fmla="*/ 171820 w 432791"/>
                            <a:gd name="connsiteY3" fmla="*/ 545308 h 545307"/>
                            <a:gd name="connsiteX4" fmla="*/ 169320 w 432791"/>
                            <a:gd name="connsiteY4" fmla="*/ 545308 h 545307"/>
                            <a:gd name="connsiteX5" fmla="*/ 171804 w 432791"/>
                            <a:gd name="connsiteY5" fmla="*/ 532288 h 545307"/>
                            <a:gd name="connsiteX6" fmla="*/ 166714 w 432791"/>
                            <a:gd name="connsiteY6" fmla="*/ 532288 h 545307"/>
                            <a:gd name="connsiteX7" fmla="*/ 167152 w 432791"/>
                            <a:gd name="connsiteY7" fmla="*/ 529993 h 545307"/>
                            <a:gd name="connsiteX8" fmla="*/ 179805 w 432791"/>
                            <a:gd name="connsiteY8" fmla="*/ 529993 h 545307"/>
                            <a:gd name="connsiteX9" fmla="*/ 198537 w 432791"/>
                            <a:gd name="connsiteY9" fmla="*/ 529993 h 545307"/>
                            <a:gd name="connsiteX10" fmla="*/ 195616 w 432791"/>
                            <a:gd name="connsiteY10" fmla="*/ 545308 h 545307"/>
                            <a:gd name="connsiteX11" fmla="*/ 193116 w 432791"/>
                            <a:gd name="connsiteY11" fmla="*/ 545308 h 545307"/>
                            <a:gd name="connsiteX12" fmla="*/ 195161 w 432791"/>
                            <a:gd name="connsiteY12" fmla="*/ 534586 h 545307"/>
                            <a:gd name="connsiteX13" fmla="*/ 188929 w 432791"/>
                            <a:gd name="connsiteY13" fmla="*/ 541852 h 545307"/>
                            <a:gd name="connsiteX14" fmla="*/ 187436 w 432791"/>
                            <a:gd name="connsiteY14" fmla="*/ 541852 h 545307"/>
                            <a:gd name="connsiteX15" fmla="*/ 183980 w 432791"/>
                            <a:gd name="connsiteY15" fmla="*/ 534565 h 545307"/>
                            <a:gd name="connsiteX16" fmla="*/ 181931 w 432791"/>
                            <a:gd name="connsiteY16" fmla="*/ 545308 h 545307"/>
                            <a:gd name="connsiteX17" fmla="*/ 179431 w 432791"/>
                            <a:gd name="connsiteY17" fmla="*/ 545308 h 545307"/>
                            <a:gd name="connsiteX18" fmla="*/ 182352 w 432791"/>
                            <a:gd name="connsiteY18" fmla="*/ 529993 h 545307"/>
                            <a:gd name="connsiteX19" fmla="*/ 184609 w 432791"/>
                            <a:gd name="connsiteY19" fmla="*/ 529993 h 545307"/>
                            <a:gd name="connsiteX20" fmla="*/ 188771 w 432791"/>
                            <a:gd name="connsiteY20" fmla="*/ 538766 h 545307"/>
                            <a:gd name="connsiteX21" fmla="*/ 196277 w 432791"/>
                            <a:gd name="connsiteY21" fmla="*/ 529993 h 545307"/>
                            <a:gd name="connsiteX22" fmla="*/ 198537 w 432791"/>
                            <a:gd name="connsiteY22" fmla="*/ 529993 h 545307"/>
                            <a:gd name="connsiteX23" fmla="*/ 216197 w 432791"/>
                            <a:gd name="connsiteY23" fmla="*/ 128249 h 545307"/>
                            <a:gd name="connsiteX24" fmla="*/ 238319 w 432791"/>
                            <a:gd name="connsiteY24" fmla="*/ 12083 h 545307"/>
                            <a:gd name="connsiteX25" fmla="*/ 101648 w 432791"/>
                            <a:gd name="connsiteY25" fmla="*/ 12083 h 545307"/>
                            <a:gd name="connsiteX26" fmla="*/ 0 w 432791"/>
                            <a:gd name="connsiteY26" fmla="*/ 545308 h 545307"/>
                            <a:gd name="connsiteX27" fmla="*/ 155213 w 432791"/>
                            <a:gd name="connsiteY27" fmla="*/ 545308 h 545307"/>
                            <a:gd name="connsiteX28" fmla="*/ 197124 w 432791"/>
                            <a:gd name="connsiteY28" fmla="*/ 325453 h 545307"/>
                            <a:gd name="connsiteX29" fmla="*/ 402480 w 432791"/>
                            <a:gd name="connsiteY29" fmla="*/ 159958 h 545307"/>
                            <a:gd name="connsiteX30" fmla="*/ 432792 w 432791"/>
                            <a:gd name="connsiteY30" fmla="*/ 908 h 545307"/>
                            <a:gd name="connsiteX31" fmla="*/ 216197 w 432791"/>
                            <a:gd name="connsiteY31" fmla="*/ 128249 h 5453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432791" h="545307">
                              <a:moveTo>
                                <a:pt x="179805" y="529993"/>
                              </a:moveTo>
                              <a:lnTo>
                                <a:pt x="179368" y="532288"/>
                              </a:lnTo>
                              <a:lnTo>
                                <a:pt x="174304" y="532288"/>
                              </a:lnTo>
                              <a:lnTo>
                                <a:pt x="171820" y="545308"/>
                              </a:lnTo>
                              <a:lnTo>
                                <a:pt x="169320" y="545308"/>
                              </a:lnTo>
                              <a:lnTo>
                                <a:pt x="171804" y="532288"/>
                              </a:lnTo>
                              <a:lnTo>
                                <a:pt x="166714" y="532288"/>
                              </a:lnTo>
                              <a:lnTo>
                                <a:pt x="167152" y="529993"/>
                              </a:lnTo>
                              <a:lnTo>
                                <a:pt x="179805" y="529993"/>
                              </a:lnTo>
                              <a:close/>
                              <a:moveTo>
                                <a:pt x="198537" y="529993"/>
                              </a:moveTo>
                              <a:lnTo>
                                <a:pt x="195616" y="545308"/>
                              </a:lnTo>
                              <a:lnTo>
                                <a:pt x="193116" y="545308"/>
                              </a:lnTo>
                              <a:lnTo>
                                <a:pt x="195161" y="534586"/>
                              </a:lnTo>
                              <a:lnTo>
                                <a:pt x="188929" y="541852"/>
                              </a:lnTo>
                              <a:lnTo>
                                <a:pt x="187436" y="541852"/>
                              </a:lnTo>
                              <a:lnTo>
                                <a:pt x="183980" y="534565"/>
                              </a:lnTo>
                              <a:lnTo>
                                <a:pt x="181931" y="545308"/>
                              </a:lnTo>
                              <a:lnTo>
                                <a:pt x="179431" y="545308"/>
                              </a:lnTo>
                              <a:lnTo>
                                <a:pt x="182352" y="529993"/>
                              </a:lnTo>
                              <a:lnTo>
                                <a:pt x="184609" y="529993"/>
                              </a:lnTo>
                              <a:lnTo>
                                <a:pt x="188771" y="538766"/>
                              </a:lnTo>
                              <a:lnTo>
                                <a:pt x="196277" y="529993"/>
                              </a:lnTo>
                              <a:lnTo>
                                <a:pt x="198537" y="529993"/>
                              </a:lnTo>
                              <a:close/>
                              <a:moveTo>
                                <a:pt x="216197" y="128249"/>
                              </a:moveTo>
                              <a:lnTo>
                                <a:pt x="238319" y="12083"/>
                              </a:lnTo>
                              <a:lnTo>
                                <a:pt x="101648" y="12083"/>
                              </a:lnTo>
                              <a:lnTo>
                                <a:pt x="0" y="545308"/>
                              </a:lnTo>
                              <a:lnTo>
                                <a:pt x="155213" y="545308"/>
                              </a:lnTo>
                              <a:lnTo>
                                <a:pt x="197124" y="325453"/>
                              </a:lnTo>
                              <a:cubicBezTo>
                                <a:pt x="221837" y="195810"/>
                                <a:pt x="296386" y="143932"/>
                                <a:pt x="402480" y="159958"/>
                              </a:cubicBezTo>
                              <a:lnTo>
                                <a:pt x="432792" y="908"/>
                              </a:lnTo>
                              <a:cubicBezTo>
                                <a:pt x="337278" y="-7782"/>
                                <a:pt x="252083" y="46735"/>
                                <a:pt x="216197" y="128249"/>
                              </a:cubicBezTo>
                              <a:close/>
                            </a:path>
                          </a:pathLst>
                        </a:custGeom>
                        <a:solidFill>
                          <a:srgbClr val="FFFFFF"/>
                        </a:solidFill>
                        <a:ln w="945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w:pict w14:anchorId="3DCCA1A0">
            <v:group id="Group 20" style="position:absolute;margin-left:-54pt;margin-top:64.05pt;width:130.65pt;height:90pt;z-index:-251662336;mso-position-vertical-relative:page;mso-width-relative:margin;mso-height-relative:margin" coordsize="12356,8509" o:spid="_x0000_s1026" w14:anchorId="16CEDA6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4khGLQgAAK0oAAAOAAAAZHJzL2Uyb0RvYy54bWzsWttu3DYQfS/QfxD0WCBZkbov4gSOUwcF jDRAUiR9lLXaC6qVVEn2Ovn6HpLi7ki+kEpaoA/xg1dczeGQwzOc4XBfvLrbl85t0Xa7ujpz2XPP dYoqr1e7anPm/vHx8lniOl2fVausrKvizP1SdO6rlz//9OLQLAteb+tyVbQOOqm65aE5c7d93ywX iy7fFvuse143RYWX67rdZz2a7WaxarMDet+XC+550eJQt6umrfOi6/DtG/XSfSn7X6+LvP99ve6K 3inPXIytl/9b+f9a/F+8fJEtN23WbHf5MIzsG0axz3YVlB67epP1mXPT7u51td/lbd3V6/55Xu8X 9Xq9yws5B8yGeZPZvG3rm0bOZbM8bJqjmWDaiZ2+udv83e3btvnQvG/V6PF4Ved/dU5VX2yzalOc dw2MiKUVplocms2SQkR7c8Lfrdu96Afzcu6kkb8cjVzc9U6OL1kUpjwMXSfHO8YC3/OGZci3WKt7 uHz7q0ZyP4wCEEogk9BLFXCRLZVeObrjaA4NGNWdjNZ9n9E+bLOmkGvRCQu8b53d6sxNXafK9uD1 ZVsUgqVOKuwkdENImHVodYOFrSxkmGe2zG+6/m1RS1tnt1ddr2i8wpNcxtUwqryuqm7XF59B/fW+ BLN/WTjMi/2AM+fgsEHRgJ6A/qQgZW5n65zsDrLf08OIHs+sgYpbauDzNIzFTcP3SefKOKl5EhTk GS0UUBW2K0FBD9gJHrDRa59tNR3yu2rgA54c+LJwRUGPpu6El1FywKF0E8sOPqBLoIS0AYwlpGC1 TdiCsToUzGdpht0p2J8FhkUpOKBgNffBdi12PxE8Shk8etdB8GhdB8HjWmBgzawXJtePzgG7mnbg 7XGfEq/39W3xsZaCvViAwRHlSE5uBe0nwbKiADgkBj0S1QL6s5E9K0G9kPqd/lQyA79llwZJRdPH ledl3RWKNMIakj1Hswhrku2qq8vd6nJXlsIOXbu5vihb5zaDhX99jUigRzISKyth1TQIwZc8Q5aw LrNeUrmqRVdqHdquf5N1W9WZxKsF2mMDbNXoSjAaUaJbqu1YPF3Xqy/YzNtapQZdk1/u0NNV1vXv sxY7JmyJ/AZvt3X71XUOyBXO3O7vm6wtXKf8rUJcSVkQQKyXjSCMORotfXNN31Q3+4sa84XnQJt8 FPJ9qR/Xbb3/hLTmXGjFq6zKoRse2oN4qnHRo41XCDl5cX4un5FQwOhX1YcmF51LnmEmH+8+ZW3j NHg8c3tE4Xe1jmXZUgcPLJIQULICWdXnN3293onIIi2m7DQ0EFdVkPvPAyzDJCcRFl9hUNYhNmQs ZmqjYSGP00ixQqcjgY/vsBQipwiD0Pdi8R720JGaklebi+y392OgWJZjrI3TxAsRQwY16PqBsDmK tCFP09RHHDmN5gHIZxo6WZz6UWLUQiGhz3mSGLXAbmQuyNUCoxYKsdRCIygWK+EidXjaYhQiDWWe Cw2iLEp9Cy0UYqkFiS2xGEssLEYhlhaLqJYoipl5XSjEUks80hLDfYzrQiGWTEZCTyxm5S8UYqkF mfpJS5qEfmycC4VYahHbFVETRiwyqhlhLFnGqC+z1Gc2eijGVg/1ZpaGLBLnhqddU2y2RxuEfhAm kXGfYdSfWZKkXCTeBj0UEwYsAT2Nuyb1aJbEgW+xPhRjq4f6NEt8sNo8H4oRdotC83yoV7NEMMGs h2JseUD9GuEmsNFDMbZ6qGcjEPgWWw6jGFs/pb7NkiDyLPhGMZZ6RCZ49AXwOo7N6zPChH4SR2b/ 4dS3WRrx2Ly9jTC286G+zey2UU4xtnqob3PsOqnFfCiG8YQHqdF/OPVt7ic+M/NghGHcS8zJGqeu zTyGKpbRTccYOzXUs80bDqfilg7KqVOzMOTMN8+EYmz1UKfG6jNuznA4xfhcaDITgDp14PHAYqPm FMPCNA3NyadPNwIZ18y51AiTehZK6C5g6TU+xTzgNTgJ/agt/Xu1JWM9DTsFLUyFw2nUrhgHh6Zg edQV9RerSh68lIL1OdgODNej4GTWsOFPFCxL6NbDFukzRavygD0c/B/B51Uwh8rCsXiKtiof2JlN 5L0j7fOYxhC+RvBRHdPINTYhG9qzBj+hG5vHNzYhHNqztE8ohzRwFnxCOjaPdSJJo5ZHe452kXuN 4PNYJ1KqEXwe6/iEdWjPGvyEdUiIZsEnrEOiMws+YR2ymFnwCeuQ0MyCT1iHnGMWfMI6pBJz4CIj oOuO9iz4hHWI/QSutszvuPYYjusObj1klhfLGvTpMmO4d5AlUTkPdRgYxnCSm9xTyOKmkpdFy0Fe S+lP3bsoUtpLi2Kjkha1X72Yuk/9OfQti4bW0ihkzhiJLOJZjxsVP3EZAi6MbKjHqz+1TURR7XFp fX1DL54GpDzh3Uc+ulapqHgpeQt7yrqVvbSoPilpWVR6mgeyhjT0LUpDBmlRCbKXFvWc40givX9p q+vPwYayKjP0beaYrK1YS8sKiZKW1waGWYo6h720qFYoaVmEeLpvWXOw7vsRXmnLPc5IdaqRetRh ZRjVY4xUZ/pBHkf1pychT+aWwvbbhjwlK9PYOIU460ppdYSdjDi/ud7lr4uv9F6Yc5QYVVxDjTZR GTBu9ORdME8jP1Hcxo9tcO0hOtQv1YlXzVgeZAdtYy16WVSH6vQqMTiUWgzP92Meq7j5LI6T0QB4 KCobsrMgin3pSnpwj631eHCaKwhf33H5fCn/hsnIy2N9R/3j8vn/ePksf+uF38TJq9rh93viR3e0 LS+rT78yfPkPAAAA//8DAFBLAwQUAAYACAAAACEAcrX7H+UAAAARAQAADwAAAGRycy9kb3ducmV2 LnhtbEyPT2vDMAzF74N9B6PBbq3tho6Qximl+3Mqg7WDsZsbq0lobIfYTdJvP/W0XgTSk57eL19P tmUD9qHxToGcC2DoSm8aVyn4PrzPUmAhamd06x0quGKAdfH4kOvM+NF94bCPFSMTFzKtoI6xyzgP ZY1Wh7nv0JF28r3Vkdq+4qbXI5nbli+EeOFWN44+1LrDbY3leX+xCj5GPW4S+Tbszqft9few/PzZ SVTq+Wl6XVHZrIBFnOL/BdwYKD8UFOzoL84E1iqYSZESUSRlkUpgt5VlkgA7KkgETXiR83uS4g8A AP//AwBQSwECLQAUAAYACAAAACEAtoM4kv4AAADhAQAAEwAAAAAAAAAAAAAAAAAAAAAAW0NvbnRl bnRfVHlwZXNdLnhtbFBLAQItABQABgAIAAAAIQA4/SH/1gAAAJQBAAALAAAAAAAAAAAAAAAAAC8B AABfcmVscy8ucmVsc1BLAQItABQABgAIAAAAIQC14khGLQgAAK0oAAAOAAAAAAAAAAAAAAAAAC4C AABkcnMvZTJvRG9jLnhtbFBLAQItABQABgAIAAAAIQBytfsf5QAAABEBAAAPAAAAAAAAAAAAAAAA AIcKAABkcnMvZG93bnJldi54bWxQSwUGAAAAAAQABADzAAAAmQsAAAAA ">
              <o:lock v:ext="edit" aspectratio="t"/>
              <v:shape id="Freeform 9" style="position:absolute;width:12356;height:8509;visibility:visible;mso-wrap-style:square;v-text-anchor:middle" coordsize="1235648,850900" o:spid="_x0000_s1027" fillcolor="#eb0000" stroked="f" strokeweight=".26256mm" path="m1073421,850900l,850900,,,1235649,,1073421,8509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Jw/axAAAAN8AAAAPAAAAZHJzL2Rvd25yZXYueG1sRI9BawIx FITvBf9DeIK3mrWVoqtRpCJ41G0Fj4/Nc7OavCybdN3++0YQehkYhvmGWa57Z0VHbag9K5iMMxDE pdc1Vwq+v3avMxAhImu0nknBLwVYrwYvS8y1v/ORuiJWIkE45KjAxNjkUobSkMMw9g1xyi6+dRiT bSupW7wnuLPyLcs+pMOa04LBhj4NlbfixynoGuzt7RDMtfCH87tzdjfdnpQaDfvtIslmASJSH/8b T8ReK5jD40/6AnL1BwAA//8DAFBLAQItABQABgAIAAAAIQDb4fbL7gAAAIUBAAATAAAAAAAAAAAA AAAAAAAAAABbQ29udGVudF9UeXBlc10ueG1sUEsBAi0AFAAGAAgAAAAhAFr0LFu/AAAAFQEAAAsA AAAAAAAAAAAAAAAAHwEAAF9yZWxzLy5yZWxzUEsBAi0AFAAGAAgAAAAhAIsnD9rEAAAA3wAAAA8A AAAAAAAAAAAAAAAABwIAAGRycy9kb3ducmV2LnhtbFBLBQYAAAAAAwADALcAAAD4AgAAAAA= ">
                <v:stroke joinstyle="miter"/>
                <v:path arrowok="t" o:connecttype="custom" o:connectlocs="1073421,850900;0,850900;0,0;1235649,0;1073421,850900" o:connectangles="0,0,0,0,0"/>
              </v:shape>
              <v:shape id="Freeform 10" style="position:absolute;left:5117;top:1527;width:4328;height:5454;visibility:visible;mso-wrap-style:square;v-text-anchor:middle" coordsize="432791,545307" o:spid="_x0000_s1028" stroked="f" strokeweight=".26256mm" path="m179805,529993r-437,2295l174304,532288r-2484,13020l169320,545308r2484,-13020l166714,532288r438,-2295l179805,529993xm198537,529993r-2921,15315l193116,545308r2045,-10722l188929,541852r-1493,l183980,534565r-2049,10743l179431,545308r2921,-15315l184609,529993r4162,8773l196277,529993r2260,xm216197,128249l238319,12083r-136671,l,545308r155213,l197124,325453c221837,195810,296386,143932,402480,159958l432792,908c337278,-7782,252083,46735,216197,12824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aUBeyQAAAOAAAAAPAAAAZHJzL2Rvd25yZXYueG1sRI9NawJB DIbvQv/DkEJvOlsPVVZHKdVCSyn40RZ7S3eyH7iTWXam7vrvzUHwEt4Q8rw882XvanWiNlSeDTyO ElDEmbcVFwa+9q/DKagQkS3WnsnAmQIsF3eDOabWd7yl0y4WSiAcUjRQxtikWoesJIdh5BtiueW+ dRhlbQttW+wE7mo9TpIn7bBiaSixoZeSsuPu3xmYHH4OMd/YJJ/+Vf7zY/076b7fjXm471czGc8z UJH6ePu4It6sOIiCCEkAvbgAAAD//wMAUEsBAi0AFAAGAAgAAAAhANvh9svuAAAAhQEAABMAAAAA AAAAAAAAAAAAAAAAAFtDb250ZW50X1R5cGVzXS54bWxQSwECLQAUAAYACAAAACEAWvQsW78AAAAV AQAACwAAAAAAAAAAAAAAAAAfAQAAX3JlbHMvLnJlbHNQSwECLQAUAAYACAAAACEAh2lAXskAAADg AAAADwAAAAAAAAAAAAAAAAAHAgAAZHJzL2Rvd25yZXYueG1sUEsFBgAAAAADAAMAtwAAAP0CAAAA AA== ">
                <v:stroke joinstyle="miter"/>
                <v:path arrowok="t" o:connecttype="custom" o:connectlocs="179805,529993;179368,532288;174304,532288;171820,545308;169320,545308;171804,532288;166714,532288;167152,529993;179805,529993;198537,529993;195616,545308;193116,545308;195161,534586;188929,541852;187436,541852;183980,534565;181931,545308;179431,545308;182352,529993;184609,529993;188771,538766;196277,529993;198537,529993;216197,128249;238319,12083;101648,12083;0,545308;155213,545308;197124,325453;402480,159958;432792,908;216197,128249" o:connectangles="0,0,0,0,0,0,0,0,0,0,0,0,0,0,0,0,0,0,0,0,0,0,0,0,0,0,0,0,0,0,0,0"/>
              </v:shape>
              <w10:wrap anchory="page"/>
            </v:group>
          </w:pict>
        </mc:Fallback>
      </mc:AlternateContent>
    </w:r>
    <w:r w:rsidR="000660B2">
      <w:rPr>
        <w:noProof/>
      </w:rPr>
      <mc:AlternateContent>
        <mc:Choice Requires="wps">
          <w:drawing>
            <wp:anchor distT="0" distB="0" distL="114300" distR="114300" simplePos="0" relativeHeight="251658240" behindDoc="0" locked="0" layoutInCell="1" allowOverlap="1" wp14:anchorId="24D3504B" wp14:editId="2E94143C">
              <wp:simplePos x="0" y="0"/>
              <wp:positionH relativeFrom="column">
                <wp:posOffset>-1172845</wp:posOffset>
              </wp:positionH>
              <wp:positionV relativeFrom="paragraph">
                <wp:posOffset>576349</wp:posOffset>
              </wp:positionV>
              <wp:extent cx="508000" cy="640715"/>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0" cy="640715"/>
                      </a:xfrm>
                      <a:custGeom>
                        <a:avLst/>
                        <a:gdLst>
                          <a:gd name="T0" fmla="*/ 2147483646 w 800"/>
                          <a:gd name="T1" fmla="*/ 2147483646 h 1009"/>
                          <a:gd name="T2" fmla="*/ 2147483646 w 800"/>
                          <a:gd name="T3" fmla="*/ 2147483646 h 1009"/>
                          <a:gd name="T4" fmla="*/ 0 w 800"/>
                          <a:gd name="T5" fmla="*/ 2147483646 h 1009"/>
                          <a:gd name="T6" fmla="*/ 2147483646 w 800"/>
                          <a:gd name="T7" fmla="*/ 2147483646 h 1009"/>
                          <a:gd name="T8" fmla="*/ 2147483646 w 800"/>
                          <a:gd name="T9" fmla="*/ 2147483646 h 1009"/>
                          <a:gd name="T10" fmla="*/ 2147483646 w 800"/>
                          <a:gd name="T11" fmla="*/ 2147483646 h 1009"/>
                          <a:gd name="T12" fmla="*/ 2147483646 w 800"/>
                          <a:gd name="T13" fmla="*/ 2147483646 h 1009"/>
                          <a:gd name="T14" fmla="*/ 2147483646 w 800"/>
                          <a:gd name="T15" fmla="*/ 2147483646 h 1009"/>
                          <a:gd name="T16" fmla="*/ 2147483646 w 800"/>
                          <a:gd name="T17" fmla="*/ 2147483646 h 1009"/>
                          <a:gd name="T18" fmla="*/ 2147483646 w 800"/>
                          <a:gd name="T19" fmla="*/ 2147483646 h 1009"/>
                          <a:gd name="T20" fmla="*/ 2147483646 w 800"/>
                          <a:gd name="T21" fmla="*/ 2147483646 h 1009"/>
                          <a:gd name="T22" fmla="*/ 2147483646 w 800"/>
                          <a:gd name="T23" fmla="*/ 2147483646 h 1009"/>
                          <a:gd name="T24" fmla="*/ 2147483646 w 800"/>
                          <a:gd name="T25" fmla="*/ 2147483646 h 1009"/>
                          <a:gd name="T26" fmla="*/ 2147483646 w 800"/>
                          <a:gd name="T27" fmla="*/ 2147483646 h 1009"/>
                          <a:gd name="T28" fmla="*/ 2147483646 w 800"/>
                          <a:gd name="T29" fmla="*/ 2147483646 h 1009"/>
                          <a:gd name="T30" fmla="*/ 2147483646 w 800"/>
                          <a:gd name="T31" fmla="*/ 2147483646 h 1009"/>
                          <a:gd name="T32" fmla="*/ 2147483646 w 800"/>
                          <a:gd name="T33" fmla="*/ 2147483646 h 1009"/>
                          <a:gd name="T34" fmla="*/ 2147483646 w 800"/>
                          <a:gd name="T35" fmla="*/ 2147483646 h 1009"/>
                          <a:gd name="T36" fmla="*/ 2147483646 w 800"/>
                          <a:gd name="T37" fmla="*/ 2147483646 h 1009"/>
                          <a:gd name="T38" fmla="*/ 2147483646 w 800"/>
                          <a:gd name="T39" fmla="*/ 2147483646 h 1009"/>
                          <a:gd name="T40" fmla="*/ 2147483646 w 800"/>
                          <a:gd name="T41" fmla="*/ 2147483646 h 1009"/>
                          <a:gd name="T42" fmla="*/ 2147483646 w 800"/>
                          <a:gd name="T43" fmla="*/ 2147483646 h 1009"/>
                          <a:gd name="T44" fmla="*/ 2147483646 w 800"/>
                          <a:gd name="T45" fmla="*/ 2147483646 h 1009"/>
                          <a:gd name="T46" fmla="*/ 2147483646 w 800"/>
                          <a:gd name="T47" fmla="*/ 2147483646 h 1009"/>
                          <a:gd name="T48" fmla="*/ 2147483646 w 800"/>
                          <a:gd name="T49" fmla="*/ 2147483646 h 1009"/>
                          <a:gd name="T50" fmla="*/ 2147483646 w 800"/>
                          <a:gd name="T51" fmla="*/ 2147483646 h 1009"/>
                          <a:gd name="T52" fmla="*/ 2147483646 w 800"/>
                          <a:gd name="T53" fmla="*/ 2147483646 h 1009"/>
                          <a:gd name="T54" fmla="*/ 2147483646 w 800"/>
                          <a:gd name="T55" fmla="*/ 2147483646 h 1009"/>
                          <a:gd name="T56" fmla="*/ 2147483646 w 800"/>
                          <a:gd name="T57" fmla="*/ 2147483646 h 1009"/>
                          <a:gd name="T58" fmla="*/ 2147483646 w 800"/>
                          <a:gd name="T59" fmla="*/ 2147483646 h 1009"/>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800" h="1009">
                            <a:moveTo>
                              <a:pt x="440" y="20"/>
                            </a:moveTo>
                            <a:lnTo>
                              <a:pt x="188" y="20"/>
                            </a:lnTo>
                            <a:lnTo>
                              <a:pt x="0" y="1008"/>
                            </a:lnTo>
                            <a:lnTo>
                              <a:pt x="287" y="1008"/>
                            </a:lnTo>
                            <a:lnTo>
                              <a:pt x="364" y="601"/>
                            </a:lnTo>
                            <a:lnTo>
                              <a:pt x="385" y="518"/>
                            </a:lnTo>
                            <a:lnTo>
                              <a:pt x="415" y="448"/>
                            </a:lnTo>
                            <a:lnTo>
                              <a:pt x="453" y="391"/>
                            </a:lnTo>
                            <a:lnTo>
                              <a:pt x="497" y="346"/>
                            </a:lnTo>
                            <a:lnTo>
                              <a:pt x="549" y="315"/>
                            </a:lnTo>
                            <a:lnTo>
                              <a:pt x="608" y="296"/>
                            </a:lnTo>
                            <a:lnTo>
                              <a:pt x="673" y="289"/>
                            </a:lnTo>
                            <a:lnTo>
                              <a:pt x="745" y="289"/>
                            </a:lnTo>
                            <a:lnTo>
                              <a:pt x="755" y="236"/>
                            </a:lnTo>
                            <a:lnTo>
                              <a:pt x="399" y="236"/>
                            </a:lnTo>
                            <a:lnTo>
                              <a:pt x="440" y="20"/>
                            </a:lnTo>
                            <a:close/>
                            <a:moveTo>
                              <a:pt x="745" y="289"/>
                            </a:moveTo>
                            <a:lnTo>
                              <a:pt x="673" y="289"/>
                            </a:lnTo>
                            <a:lnTo>
                              <a:pt x="744" y="294"/>
                            </a:lnTo>
                            <a:lnTo>
                              <a:pt x="745" y="289"/>
                            </a:lnTo>
                            <a:close/>
                            <a:moveTo>
                              <a:pt x="800" y="0"/>
                            </a:moveTo>
                            <a:lnTo>
                              <a:pt x="725" y="0"/>
                            </a:lnTo>
                            <a:lnTo>
                              <a:pt x="655" y="13"/>
                            </a:lnTo>
                            <a:lnTo>
                              <a:pt x="589" y="38"/>
                            </a:lnTo>
                            <a:lnTo>
                              <a:pt x="529" y="74"/>
                            </a:lnTo>
                            <a:lnTo>
                              <a:pt x="477" y="120"/>
                            </a:lnTo>
                            <a:lnTo>
                              <a:pt x="433" y="174"/>
                            </a:lnTo>
                            <a:lnTo>
                              <a:pt x="399" y="236"/>
                            </a:lnTo>
                            <a:lnTo>
                              <a:pt x="755" y="236"/>
                            </a:lnTo>
                            <a:lnTo>
                              <a:pt x="800" y="0"/>
                            </a:lnTo>
                            <a:close/>
                          </a:path>
                        </a:pathLst>
                      </a:custGeom>
                      <a:solidFill>
                        <a:srgbClr val="ED21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45720" rIns="91440" bIns="45720" anchor="t" anchorCtr="0" upright="1">
                      <a:noAutofit/>
                    </wps:bodyPr>
                  </wps:wsp>
                </a:graphicData>
              </a:graphic>
            </wp:anchor>
          </w:drawing>
        </mc:Choice>
        <mc:Fallback xmlns:a="http://schemas.openxmlformats.org/drawingml/2006/main" xmlns:a14="http://schemas.microsoft.com/office/drawing/2010/main" xmlns:arto="http://schemas.microsoft.com/office/word/2006/arto">
          <w:pict w14:anchorId="38294AC5">
            <v:shape id="AutoShape 5" style="position:absolute;margin-left:-92.35pt;margin-top:45.4pt;width:40pt;height:50.45pt;z-index:251574272;visibility:visible;mso-wrap-style:square;mso-wrap-distance-left:9pt;mso-wrap-distance-top:0;mso-wrap-distance-right:9pt;mso-wrap-distance-bottom:0;mso-position-horizontal:absolute;mso-position-horizontal-relative:text;mso-position-vertical:absolute;mso-position-vertical-relative:text;v-text-anchor:top" coordsize="800,1009" o:spid="_x0000_s1026" fillcolor="#ed2124" stroked="f" path="m440,20r-252,l,1008r287,l364,601r21,-83l415,448r38,-57l497,346r52,-31l608,296r65,-7l745,289r10,-53l399,236,440,20xm745,289r-72,l744,294r1,-5xm800,l725,,655,13,589,38,529,74r-52,46l433,174r-34,62l755,236,8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1yh41QUAAB4eAAAOAAAAZHJzL2Uyb0RvYy54bWysmdtu4zYQhu8L9B0IXRZorAN1sBFnUWy6 RYHtAVj3AWRZPqCyqIpKnPTpO0OJXjEWFc6iN5Zs/TPkzEdTHPL+w8u5Ys9lK0+iXnvBne+xsi7E 7lQf1t5fm08/Zh6TXV7v8krU5dp7LaX34eH77+4vzaoMxVFUu7Jl4KSWq0uz9o5d16wWC1kcy3Mu 70RT1vBwL9pz3sHX9rDYtfkFvJ+rRej7yeIi2l3TiqKUEn597B96D8r/fl8W3R/7vSw7Vq096Fun Plv1ucXPxcN9vjq0eXM8FUM38m/oxTk/1dDo1dVj3uXsqT3duDqfilZIse/uCnFeiP3+VJQqBogm 8N9E8+WYN6WKBZIjm2ua5P/ntvj9+UvzZ4tdl81nUfwtISOLSyNX1yf4RYKGbS+/iR0wzJ86oYJ9 2bdntIQw2IvK6es1p+VLxwr4MfYz34fMF/Ao4X4axJjzRb7SxsWT7H4phXKUP3+WXY9kB3cqoTtW 52dodQNO9ucK6PywYGHAU55FCU/YhUEDA8erNpjWHlng+8u34nBaPOk4mtZOO+YjsT/d0XgkGQU1 7S+ZFk92NJ3WTjuGP6lzapfT2mnHAQkaiVpAwRaQuAVjcCMqk4mGAT2ZPEtCKAwDEsSAQjEgYQwp GEMSxpCCMSRhDCkYQxLGkIIxJGEMKRhDEsaIgjEiYYwoGCMSxoiCMSJhjCgYIxLGiIIxImHkFIyc hJFTMHISRk7ByEkYOQUjJ2HkFIychDGmYIxJGGMKxpiEMaZgjEkYYwrGmIQxpmCMSRiTMUafJbDa hc84hrllWMnqBWwyZjivHPObV47hzSvH4OaVY2rzyjGxeeUY17xyjGpeOeY0q0ydGaXOjFJnRqkz o9SZUerMKHVmlDozSp0Zpc6MMmdGmTOjzJlR5swoc2aUOTPKnBllzowyZ0bZLCMo1Q+6GM+Puj4v XuqhQIc7luNuzwZmQqzYGyFxNwDrdaj5N8FQ74MOn47kgSEHVCiPrPLQkAMFlOvdhFvvkSGHBKM8 tXrnhhxyh3K1VQAJuPUeG3Isc1Ef2INNTIMhWqhL+92Q2xZS02CI97p9cmuQmQZDxFBD2lpYmgZD zFAZWgxgFh3zxaIQg4Z6z2bwhvAQNFRxNgOTMRZwqgUrZZhajS4NQUPFZWvB5IzFlmrBHrRJGkso NIDqyNaCSRoLI2VgD9okjeWOMrAHbZLGIkYZ2IM2SWNpogysQcNcPE4rFhxoALWEJWiYkg2DIWio EGwGJmksDlQL1qBhgjZaGIKG1bytBZM0LuRVC/agTdK4PEcDWHnbWjBJ46JbGdiDNknjUloZ2IM2 SeMCWRnYgzZJ47JXGRhB9xPaMH23sEX+dnO89Rhsjm8xbpjO8w5nfX3LLmsPN1zZEbb7cTMVH5zF c7kRStLh3M+HEQNTRJ+7r4KqHgsDfEtBD69C/VhfG+WvRwHNZYM//Vhfe1mIb0fw9q4QNo6VMPE1 XO1IX3uHEb7CwWEMe2t9IPq5vvY6jpuAoOMwymZ1WGuBLlrOt8uXfSARVLZz/mKsONHf9bWg+6Wv ff8SSBzqwuW8vwSXqqiDJcFcuynW5y46LABR1xdDMPB0v/R1yPOyj+M93c240m6KSsgSenw7FG+7 ahuL7sH3gydc8m9Mkr236p8FCXvvf5PiduVIp/OgrwP2If3XVYZ+rK+9LMYFIDiD98Ic9Bg3G0EG RcqcjGMZAbLgnf80x11A1L3jL3IcG6njWHubYp0LDQUGKU556ozqOvfhlDk6p5KiOu0+naoKR5xs D9uPVcueczhj/PkxDGDZ0ifIkFVq+VsLNNP5G47a8HQNTyzlait2r3DS1or+oBIOVuHmKNp/PXaB Q8q1J/95ytvSY9WvNZwCwrzYqRsep5Bu1qovy0D9T7bjJ3ldgJu113mwWMfbj11/CvrUtKfDEVrp 3+C1+AlO9/YnPIVTx4B9j4YvcAip8jIcmOIp5/i7Un091n34DwAA//8DAFBLAwQUAAYACAAAACEA CBzZLeUAAAARAQAADwAAAGRycy9kb3ducmV2LnhtbEyPTU/DMAyG70j8h8hI3Lq0DO2jazrxoR0Q SIiBxDVtTFtonKrJ1uzf453gYsn249fvW2yj7cURR985UpDNUhBItTMdNQo+3nfJCoQPmozuHaGC E3rYlpcXhc6Nm+gNj/vQCBYhn2sFbQhDLqWvW7Taz9yAxLsvN1oduB0baUY9sbjt5U2aLqTVHfGH Vg/40GL9sz9YBd/3nybOX1+eds+LOK+mUwwoo1LXV/Fxw+VuAyJgDH8XcM7A/qFkY5U7kPGiV5Bk q9slswrWKQdhIsnS86Ridp0tQZaF/J+k/AUAAP//AwBQSwECLQAUAAYACAAAACEAtoM4kv4AAADh AQAAEwAAAAAAAAAAAAAAAAAAAAAAW0NvbnRlbnRfVHlwZXNdLnhtbFBLAQItABQABgAIAAAAIQA4 /SH/1gAAAJQBAAALAAAAAAAAAAAAAAAAAC8BAABfcmVscy8ucmVsc1BLAQItABQABgAIAAAAIQB0 1yh41QUAAB4eAAAOAAAAAAAAAAAAAAAAAC4CAABkcnMvZTJvRG9jLnhtbFBLAQItABQABgAIAAAA IQAIHNkt5QAAABEBAAAPAAAAAAAAAAAAAAAAAC8IAABkcnMvZG93bnJldi54bWxQSwUGAAAAAAQA BADzAAAAQQkAAAAA " w14:anchorId="1BC8D40D">
              <v:path arrowok="t" o:connecttype="custom" o:connectlocs="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5742173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F723F42"/>
    <w:lvl w:ilvl="0">
      <w:start w:val="1"/>
      <w:numFmt w:val="bullet"/>
      <w:pStyle w:val="ListBullet2"/>
      <w:lvlText w:val="–"/>
      <w:lvlJc w:val="left"/>
      <w:pPr>
        <w:tabs>
          <w:tab w:val="num" w:pos="640"/>
        </w:tabs>
        <w:ind w:left="640" w:hanging="360"/>
      </w:pPr>
      <w:rPr>
        <w:rFonts w:ascii="Arial Black" w:hAnsi="Arial Black" w:hint="default"/>
      </w:rPr>
    </w:lvl>
  </w:abstractNum>
  <w:abstractNum w:abstractNumId="2" w15:restartNumberingAfterBreak="0">
    <w:nsid w:val="00531A74"/>
    <w:multiLevelType w:val="hybridMultilevel"/>
    <w:tmpl w:val="07742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814C89"/>
    <w:multiLevelType w:val="hybridMultilevel"/>
    <w:tmpl w:val="F5D0B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B10E68"/>
    <w:multiLevelType w:val="hybridMultilevel"/>
    <w:tmpl w:val="C78CE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A63CA8"/>
    <w:multiLevelType w:val="hybridMultilevel"/>
    <w:tmpl w:val="7B528C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8316632"/>
    <w:multiLevelType w:val="hybridMultilevel"/>
    <w:tmpl w:val="CD04A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BD189B"/>
    <w:multiLevelType w:val="hybridMultilevel"/>
    <w:tmpl w:val="50E49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0A00FDE"/>
    <w:multiLevelType w:val="hybridMultilevel"/>
    <w:tmpl w:val="C8027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F51618"/>
    <w:multiLevelType w:val="hybridMultilevel"/>
    <w:tmpl w:val="B2A855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9797D06"/>
    <w:multiLevelType w:val="hybridMultilevel"/>
    <w:tmpl w:val="2A242B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D76268"/>
    <w:multiLevelType w:val="hybridMultilevel"/>
    <w:tmpl w:val="08C83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D31151"/>
    <w:multiLevelType w:val="hybridMultilevel"/>
    <w:tmpl w:val="1212B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09137F"/>
    <w:multiLevelType w:val="hybridMultilevel"/>
    <w:tmpl w:val="43963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B22A42"/>
    <w:multiLevelType w:val="hybridMultilevel"/>
    <w:tmpl w:val="DBFCC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B71ED9"/>
    <w:multiLevelType w:val="hybridMultilevel"/>
    <w:tmpl w:val="6AA4A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DB4442"/>
    <w:multiLevelType w:val="hybridMultilevel"/>
    <w:tmpl w:val="D3806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7F10FDD"/>
    <w:multiLevelType w:val="hybridMultilevel"/>
    <w:tmpl w:val="7A3E0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5C7BCE"/>
    <w:multiLevelType w:val="hybridMultilevel"/>
    <w:tmpl w:val="E24E5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C8476A6"/>
    <w:multiLevelType w:val="hybridMultilevel"/>
    <w:tmpl w:val="3A345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A212DE"/>
    <w:multiLevelType w:val="hybridMultilevel"/>
    <w:tmpl w:val="1A2A2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8C31F9"/>
    <w:multiLevelType w:val="hybridMultilevel"/>
    <w:tmpl w:val="B706D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1C16A7B"/>
    <w:multiLevelType w:val="hybridMultilevel"/>
    <w:tmpl w:val="9036D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4014C96"/>
    <w:multiLevelType w:val="hybridMultilevel"/>
    <w:tmpl w:val="B5A4C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7737A21"/>
    <w:multiLevelType w:val="hybridMultilevel"/>
    <w:tmpl w:val="32AA2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99E1947"/>
    <w:multiLevelType w:val="hybridMultilevel"/>
    <w:tmpl w:val="EA2A09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ACD1C6D"/>
    <w:multiLevelType w:val="hybridMultilevel"/>
    <w:tmpl w:val="5B2C28C6"/>
    <w:lvl w:ilvl="0" w:tplc="40090005">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7" w15:restartNumberingAfterBreak="0">
    <w:nsid w:val="3B36590D"/>
    <w:multiLevelType w:val="hybridMultilevel"/>
    <w:tmpl w:val="0E3698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FAC73BF"/>
    <w:multiLevelType w:val="hybridMultilevel"/>
    <w:tmpl w:val="88D83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FBE1B03"/>
    <w:multiLevelType w:val="hybridMultilevel"/>
    <w:tmpl w:val="CECE6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4CA2DFA"/>
    <w:multiLevelType w:val="hybridMultilevel"/>
    <w:tmpl w:val="1E6EC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64F110B"/>
    <w:multiLevelType w:val="hybridMultilevel"/>
    <w:tmpl w:val="00283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A0318B3"/>
    <w:multiLevelType w:val="hybridMultilevel"/>
    <w:tmpl w:val="96DE5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B262E75"/>
    <w:multiLevelType w:val="hybridMultilevel"/>
    <w:tmpl w:val="E3B672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DB570DC"/>
    <w:multiLevelType w:val="hybridMultilevel"/>
    <w:tmpl w:val="10B07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1BC5C37"/>
    <w:multiLevelType w:val="hybridMultilevel"/>
    <w:tmpl w:val="DBBE8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29866C4"/>
    <w:multiLevelType w:val="hybridMultilevel"/>
    <w:tmpl w:val="5EF6824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2B64F3B"/>
    <w:multiLevelType w:val="hybridMultilevel"/>
    <w:tmpl w:val="7E309C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3C90BEA"/>
    <w:multiLevelType w:val="hybridMultilevel"/>
    <w:tmpl w:val="959E6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B1F0770"/>
    <w:multiLevelType w:val="hybridMultilevel"/>
    <w:tmpl w:val="23A6E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CB60C4A"/>
    <w:multiLevelType w:val="hybridMultilevel"/>
    <w:tmpl w:val="2C788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FBF73DC"/>
    <w:multiLevelType w:val="hybridMultilevel"/>
    <w:tmpl w:val="42C85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0EE4CA4"/>
    <w:multiLevelType w:val="hybridMultilevel"/>
    <w:tmpl w:val="F8D81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88464CA"/>
    <w:multiLevelType w:val="hybridMultilevel"/>
    <w:tmpl w:val="BA20E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EBB470C"/>
    <w:multiLevelType w:val="hybridMultilevel"/>
    <w:tmpl w:val="A5F64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ED1238F"/>
    <w:multiLevelType w:val="hybridMultilevel"/>
    <w:tmpl w:val="D2AEF2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FF71589"/>
    <w:multiLevelType w:val="hybridMultilevel"/>
    <w:tmpl w:val="AB788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2B559D2"/>
    <w:multiLevelType w:val="hybridMultilevel"/>
    <w:tmpl w:val="10B8B2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4675A25"/>
    <w:multiLevelType w:val="hybridMultilevel"/>
    <w:tmpl w:val="FA1E0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68C23B1"/>
    <w:multiLevelType w:val="hybridMultilevel"/>
    <w:tmpl w:val="E3560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92B33F9"/>
    <w:multiLevelType w:val="hybridMultilevel"/>
    <w:tmpl w:val="287ED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5208653">
    <w:abstractNumId w:val="0"/>
  </w:num>
  <w:num w:numId="2" w16cid:durableId="339739041">
    <w:abstractNumId w:val="1"/>
  </w:num>
  <w:num w:numId="3" w16cid:durableId="1796098773">
    <w:abstractNumId w:val="9"/>
  </w:num>
  <w:num w:numId="4" w16cid:durableId="2082286814">
    <w:abstractNumId w:val="48"/>
  </w:num>
  <w:num w:numId="5" w16cid:durableId="1180773643">
    <w:abstractNumId w:val="25"/>
  </w:num>
  <w:num w:numId="6" w16cid:durableId="1943492013">
    <w:abstractNumId w:val="7"/>
  </w:num>
  <w:num w:numId="7" w16cid:durableId="1792672167">
    <w:abstractNumId w:val="15"/>
  </w:num>
  <w:num w:numId="8" w16cid:durableId="2095780543">
    <w:abstractNumId w:val="44"/>
  </w:num>
  <w:num w:numId="9" w16cid:durableId="41908499">
    <w:abstractNumId w:val="22"/>
  </w:num>
  <w:num w:numId="10" w16cid:durableId="1970234068">
    <w:abstractNumId w:val="27"/>
  </w:num>
  <w:num w:numId="11" w16cid:durableId="1019817966">
    <w:abstractNumId w:val="49"/>
  </w:num>
  <w:num w:numId="12" w16cid:durableId="1526868274">
    <w:abstractNumId w:val="8"/>
  </w:num>
  <w:num w:numId="13" w16cid:durableId="1368867632">
    <w:abstractNumId w:val="34"/>
  </w:num>
  <w:num w:numId="14" w16cid:durableId="1169055708">
    <w:abstractNumId w:val="24"/>
  </w:num>
  <w:num w:numId="15" w16cid:durableId="737290701">
    <w:abstractNumId w:val="37"/>
  </w:num>
  <w:num w:numId="16" w16cid:durableId="2052458181">
    <w:abstractNumId w:val="45"/>
  </w:num>
  <w:num w:numId="17" w16cid:durableId="258877084">
    <w:abstractNumId w:val="47"/>
  </w:num>
  <w:num w:numId="18" w16cid:durableId="556402427">
    <w:abstractNumId w:val="6"/>
  </w:num>
  <w:num w:numId="19" w16cid:durableId="1817719050">
    <w:abstractNumId w:val="4"/>
  </w:num>
  <w:num w:numId="20" w16cid:durableId="1385906045">
    <w:abstractNumId w:val="38"/>
  </w:num>
  <w:num w:numId="21" w16cid:durableId="1191138665">
    <w:abstractNumId w:val="42"/>
  </w:num>
  <w:num w:numId="22" w16cid:durableId="1855076338">
    <w:abstractNumId w:val="5"/>
  </w:num>
  <w:num w:numId="23" w16cid:durableId="975374316">
    <w:abstractNumId w:val="12"/>
  </w:num>
  <w:num w:numId="24" w16cid:durableId="914823199">
    <w:abstractNumId w:val="2"/>
  </w:num>
  <w:num w:numId="25" w16cid:durableId="110782671">
    <w:abstractNumId w:val="13"/>
  </w:num>
  <w:num w:numId="26" w16cid:durableId="618756149">
    <w:abstractNumId w:val="33"/>
  </w:num>
  <w:num w:numId="27" w16cid:durableId="1131745086">
    <w:abstractNumId w:val="41"/>
  </w:num>
  <w:num w:numId="28" w16cid:durableId="473063511">
    <w:abstractNumId w:val="30"/>
  </w:num>
  <w:num w:numId="29" w16cid:durableId="802113849">
    <w:abstractNumId w:val="39"/>
  </w:num>
  <w:num w:numId="30" w16cid:durableId="2131628809">
    <w:abstractNumId w:val="3"/>
  </w:num>
  <w:num w:numId="31" w16cid:durableId="1718892192">
    <w:abstractNumId w:val="31"/>
  </w:num>
  <w:num w:numId="32" w16cid:durableId="1757552313">
    <w:abstractNumId w:val="32"/>
  </w:num>
  <w:num w:numId="33" w16cid:durableId="1569146531">
    <w:abstractNumId w:val="20"/>
  </w:num>
  <w:num w:numId="34" w16cid:durableId="1691570692">
    <w:abstractNumId w:val="16"/>
  </w:num>
  <w:num w:numId="35" w16cid:durableId="400298437">
    <w:abstractNumId w:val="43"/>
  </w:num>
  <w:num w:numId="36" w16cid:durableId="1722051173">
    <w:abstractNumId w:val="46"/>
  </w:num>
  <w:num w:numId="37" w16cid:durableId="1658336510">
    <w:abstractNumId w:val="14"/>
  </w:num>
  <w:num w:numId="38" w16cid:durableId="1273321301">
    <w:abstractNumId w:val="18"/>
  </w:num>
  <w:num w:numId="39" w16cid:durableId="2093618308">
    <w:abstractNumId w:val="29"/>
  </w:num>
  <w:num w:numId="40" w16cid:durableId="2142376918">
    <w:abstractNumId w:val="17"/>
  </w:num>
  <w:num w:numId="41" w16cid:durableId="825632204">
    <w:abstractNumId w:val="19"/>
  </w:num>
  <w:num w:numId="42" w16cid:durableId="1042707307">
    <w:abstractNumId w:val="10"/>
  </w:num>
  <w:num w:numId="43" w16cid:durableId="593587966">
    <w:abstractNumId w:val="40"/>
  </w:num>
  <w:num w:numId="44" w16cid:durableId="1390494402">
    <w:abstractNumId w:val="35"/>
  </w:num>
  <w:num w:numId="45" w16cid:durableId="1919747472">
    <w:abstractNumId w:val="11"/>
  </w:num>
  <w:num w:numId="46" w16cid:durableId="1586574780">
    <w:abstractNumId w:val="21"/>
  </w:num>
  <w:num w:numId="47" w16cid:durableId="355621383">
    <w:abstractNumId w:val="50"/>
  </w:num>
  <w:num w:numId="48" w16cid:durableId="1521890535">
    <w:abstractNumId w:val="28"/>
  </w:num>
  <w:num w:numId="49" w16cid:durableId="80689680">
    <w:abstractNumId w:val="26"/>
  </w:num>
  <w:num w:numId="50" w16cid:durableId="1049693242">
    <w:abstractNumId w:val="36"/>
  </w:num>
  <w:num w:numId="51" w16cid:durableId="1056855697">
    <w:abstractNumId w:val="23"/>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Wright">
    <w15:presenceInfo w15:providerId="AD" w15:userId="S::matthew.wright@rackspace.com::0d3ab189-59d5-47dc-8275-9fbc0b028d65"/>
  </w15:person>
  <w15:person w15:author="Scott Beckford">
    <w15:presenceInfo w15:providerId="AD" w15:userId="S::scott.beckford@rackspace.com::97f88ce4-fa8b-4163-b87d-92edb22d088f"/>
  </w15:person>
  <w15:person w15:author="Akashdeep Singh">
    <w15:presenceInfo w15:providerId="AD" w15:userId="S::akashdeep.singh@rackspace.com::d2590587-5ff1-494d-8c8d-ff464b87708a"/>
  </w15:person>
  <w15:person w15:author="Rishabh Dogra">
    <w15:presenceInfo w15:providerId="AD" w15:userId="S::rishabh.dogra@rackspace.com::358d97ee-61d4-4021-a836-71eb434cbd94"/>
  </w15:person>
  <w15:person w15:author="Vikram Somani">
    <w15:presenceInfo w15:providerId="AD" w15:userId="S::vikram.somani@rackspace.com::1b5d53ca-beee-4594-a092-5aed354a342d"/>
  </w15:person>
  <w15:person w15:author="Anshuman Nath">
    <w15:presenceInfo w15:providerId="AD" w15:userId="S::anshuman.nath@rackspace.com::c05c3c85-26fd-4b59-8932-a76e100e8883"/>
  </w15:person>
  <w15:person w15:author="Upendra Kumar">
    <w15:presenceInfo w15:providerId="AD" w15:userId="S::upendra.kumar@rackspace.com::6c07c951-56e6-444d-b54c-43a261dacb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appName="MSWord" w:lang="en-IN"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B03"/>
    <w:rsid w:val="00000CB5"/>
    <w:rsid w:val="00001ED8"/>
    <w:rsid w:val="00002037"/>
    <w:rsid w:val="00003368"/>
    <w:rsid w:val="0000477B"/>
    <w:rsid w:val="0000529A"/>
    <w:rsid w:val="000060BE"/>
    <w:rsid w:val="0001083E"/>
    <w:rsid w:val="0001117D"/>
    <w:rsid w:val="000112B7"/>
    <w:rsid w:val="00012C70"/>
    <w:rsid w:val="000133A6"/>
    <w:rsid w:val="00013695"/>
    <w:rsid w:val="00013C85"/>
    <w:rsid w:val="00014C99"/>
    <w:rsid w:val="000158BC"/>
    <w:rsid w:val="00015B1B"/>
    <w:rsid w:val="00015F9E"/>
    <w:rsid w:val="000214C6"/>
    <w:rsid w:val="00021EA7"/>
    <w:rsid w:val="000223FD"/>
    <w:rsid w:val="00022BAD"/>
    <w:rsid w:val="000273DB"/>
    <w:rsid w:val="00030D50"/>
    <w:rsid w:val="00031C7B"/>
    <w:rsid w:val="000323BE"/>
    <w:rsid w:val="000335F2"/>
    <w:rsid w:val="00033AC4"/>
    <w:rsid w:val="000345AC"/>
    <w:rsid w:val="000364A4"/>
    <w:rsid w:val="00036EF6"/>
    <w:rsid w:val="000409F0"/>
    <w:rsid w:val="00042FDF"/>
    <w:rsid w:val="00043F44"/>
    <w:rsid w:val="000453A4"/>
    <w:rsid w:val="000478E8"/>
    <w:rsid w:val="00051665"/>
    <w:rsid w:val="000517B1"/>
    <w:rsid w:val="0005367B"/>
    <w:rsid w:val="000547F1"/>
    <w:rsid w:val="000548FC"/>
    <w:rsid w:val="00055184"/>
    <w:rsid w:val="00055797"/>
    <w:rsid w:val="00057920"/>
    <w:rsid w:val="00057CBA"/>
    <w:rsid w:val="00057EE1"/>
    <w:rsid w:val="00062DEB"/>
    <w:rsid w:val="00064557"/>
    <w:rsid w:val="000645F3"/>
    <w:rsid w:val="0006550E"/>
    <w:rsid w:val="000660B2"/>
    <w:rsid w:val="00066576"/>
    <w:rsid w:val="000669F4"/>
    <w:rsid w:val="000670F4"/>
    <w:rsid w:val="000675CD"/>
    <w:rsid w:val="000717F9"/>
    <w:rsid w:val="000734C5"/>
    <w:rsid w:val="000765B4"/>
    <w:rsid w:val="000817D0"/>
    <w:rsid w:val="00082310"/>
    <w:rsid w:val="000826C1"/>
    <w:rsid w:val="00084E33"/>
    <w:rsid w:val="000868EE"/>
    <w:rsid w:val="000871B3"/>
    <w:rsid w:val="000873CC"/>
    <w:rsid w:val="000874B2"/>
    <w:rsid w:val="00091B4D"/>
    <w:rsid w:val="00094037"/>
    <w:rsid w:val="00096227"/>
    <w:rsid w:val="00097A34"/>
    <w:rsid w:val="000A02FA"/>
    <w:rsid w:val="000A122D"/>
    <w:rsid w:val="000A13B1"/>
    <w:rsid w:val="000A29BB"/>
    <w:rsid w:val="000A32D1"/>
    <w:rsid w:val="000A4478"/>
    <w:rsid w:val="000B0042"/>
    <w:rsid w:val="000B0F63"/>
    <w:rsid w:val="000B1ABF"/>
    <w:rsid w:val="000B4392"/>
    <w:rsid w:val="000B6E3E"/>
    <w:rsid w:val="000C00C4"/>
    <w:rsid w:val="000C06A0"/>
    <w:rsid w:val="000C0BB0"/>
    <w:rsid w:val="000C0DE7"/>
    <w:rsid w:val="000C108A"/>
    <w:rsid w:val="000C204A"/>
    <w:rsid w:val="000C2F09"/>
    <w:rsid w:val="000C37B5"/>
    <w:rsid w:val="000C5BE0"/>
    <w:rsid w:val="000C6C61"/>
    <w:rsid w:val="000C77D6"/>
    <w:rsid w:val="000D0599"/>
    <w:rsid w:val="000D132E"/>
    <w:rsid w:val="000D21CE"/>
    <w:rsid w:val="000D5C19"/>
    <w:rsid w:val="000D720C"/>
    <w:rsid w:val="000E0C99"/>
    <w:rsid w:val="000E1E88"/>
    <w:rsid w:val="000E2558"/>
    <w:rsid w:val="000E2CEA"/>
    <w:rsid w:val="000E412F"/>
    <w:rsid w:val="000F20EF"/>
    <w:rsid w:val="000F234C"/>
    <w:rsid w:val="000F2E76"/>
    <w:rsid w:val="000F3142"/>
    <w:rsid w:val="000F5127"/>
    <w:rsid w:val="000F561B"/>
    <w:rsid w:val="000F6329"/>
    <w:rsid w:val="001010F0"/>
    <w:rsid w:val="00101A8F"/>
    <w:rsid w:val="00102EDB"/>
    <w:rsid w:val="00103E01"/>
    <w:rsid w:val="00106C59"/>
    <w:rsid w:val="0011167C"/>
    <w:rsid w:val="00112ABD"/>
    <w:rsid w:val="00113D42"/>
    <w:rsid w:val="00114496"/>
    <w:rsid w:val="00114F95"/>
    <w:rsid w:val="0011620B"/>
    <w:rsid w:val="00116A5B"/>
    <w:rsid w:val="00121C59"/>
    <w:rsid w:val="00122F81"/>
    <w:rsid w:val="00127284"/>
    <w:rsid w:val="00127CE6"/>
    <w:rsid w:val="00130749"/>
    <w:rsid w:val="001317AF"/>
    <w:rsid w:val="00131D7E"/>
    <w:rsid w:val="0013273F"/>
    <w:rsid w:val="00134D2B"/>
    <w:rsid w:val="00134F8B"/>
    <w:rsid w:val="0013556A"/>
    <w:rsid w:val="00136273"/>
    <w:rsid w:val="00136EDB"/>
    <w:rsid w:val="001373CA"/>
    <w:rsid w:val="001379BD"/>
    <w:rsid w:val="00142938"/>
    <w:rsid w:val="001430FA"/>
    <w:rsid w:val="001435C7"/>
    <w:rsid w:val="00144F58"/>
    <w:rsid w:val="001478F1"/>
    <w:rsid w:val="00147A1A"/>
    <w:rsid w:val="0015069E"/>
    <w:rsid w:val="00150F98"/>
    <w:rsid w:val="00153195"/>
    <w:rsid w:val="00154024"/>
    <w:rsid w:val="001553F3"/>
    <w:rsid w:val="001561C7"/>
    <w:rsid w:val="001570AF"/>
    <w:rsid w:val="00163C36"/>
    <w:rsid w:val="00164EDF"/>
    <w:rsid w:val="001652F2"/>
    <w:rsid w:val="001655E7"/>
    <w:rsid w:val="00165ACB"/>
    <w:rsid w:val="00165D3A"/>
    <w:rsid w:val="001668A5"/>
    <w:rsid w:val="00167122"/>
    <w:rsid w:val="00167D09"/>
    <w:rsid w:val="00173844"/>
    <w:rsid w:val="00174DCD"/>
    <w:rsid w:val="00175339"/>
    <w:rsid w:val="00176788"/>
    <w:rsid w:val="00182533"/>
    <w:rsid w:val="0018286A"/>
    <w:rsid w:val="00182AEB"/>
    <w:rsid w:val="00184F15"/>
    <w:rsid w:val="00186241"/>
    <w:rsid w:val="00187140"/>
    <w:rsid w:val="00187FCF"/>
    <w:rsid w:val="00187FE8"/>
    <w:rsid w:val="00192646"/>
    <w:rsid w:val="00193302"/>
    <w:rsid w:val="001938FB"/>
    <w:rsid w:val="00194173"/>
    <w:rsid w:val="00195C25"/>
    <w:rsid w:val="00196704"/>
    <w:rsid w:val="00197C77"/>
    <w:rsid w:val="001A017B"/>
    <w:rsid w:val="001A034E"/>
    <w:rsid w:val="001A267F"/>
    <w:rsid w:val="001A2969"/>
    <w:rsid w:val="001A7C08"/>
    <w:rsid w:val="001A7FD6"/>
    <w:rsid w:val="001B0F0B"/>
    <w:rsid w:val="001B19AC"/>
    <w:rsid w:val="001B2B40"/>
    <w:rsid w:val="001C0A22"/>
    <w:rsid w:val="001C4A88"/>
    <w:rsid w:val="001C4AD0"/>
    <w:rsid w:val="001C4B46"/>
    <w:rsid w:val="001C77FC"/>
    <w:rsid w:val="001D08AE"/>
    <w:rsid w:val="001D334D"/>
    <w:rsid w:val="001D40DB"/>
    <w:rsid w:val="001D55D5"/>
    <w:rsid w:val="001D5B15"/>
    <w:rsid w:val="001D6D8B"/>
    <w:rsid w:val="001E12FF"/>
    <w:rsid w:val="001E3474"/>
    <w:rsid w:val="001E3554"/>
    <w:rsid w:val="001E4E34"/>
    <w:rsid w:val="001E6A3E"/>
    <w:rsid w:val="001E784E"/>
    <w:rsid w:val="001F2BD7"/>
    <w:rsid w:val="001F4439"/>
    <w:rsid w:val="001F52F2"/>
    <w:rsid w:val="001F597E"/>
    <w:rsid w:val="00202CDC"/>
    <w:rsid w:val="00202F55"/>
    <w:rsid w:val="00205354"/>
    <w:rsid w:val="00205508"/>
    <w:rsid w:val="00205DA4"/>
    <w:rsid w:val="00205F5E"/>
    <w:rsid w:val="0020662A"/>
    <w:rsid w:val="00206BA0"/>
    <w:rsid w:val="002112DC"/>
    <w:rsid w:val="00211580"/>
    <w:rsid w:val="00211ECD"/>
    <w:rsid w:val="002142DE"/>
    <w:rsid w:val="00221E12"/>
    <w:rsid w:val="00221EE9"/>
    <w:rsid w:val="0022426A"/>
    <w:rsid w:val="00230C3A"/>
    <w:rsid w:val="002316F8"/>
    <w:rsid w:val="002325A3"/>
    <w:rsid w:val="0023360B"/>
    <w:rsid w:val="00233861"/>
    <w:rsid w:val="00233B30"/>
    <w:rsid w:val="00236D82"/>
    <w:rsid w:val="00240ECE"/>
    <w:rsid w:val="0024236B"/>
    <w:rsid w:val="00244E1E"/>
    <w:rsid w:val="00244EC4"/>
    <w:rsid w:val="00245638"/>
    <w:rsid w:val="0024587D"/>
    <w:rsid w:val="00246AE5"/>
    <w:rsid w:val="00251223"/>
    <w:rsid w:val="00251313"/>
    <w:rsid w:val="002514A1"/>
    <w:rsid w:val="0025464A"/>
    <w:rsid w:val="00255F15"/>
    <w:rsid w:val="002567A0"/>
    <w:rsid w:val="00256A87"/>
    <w:rsid w:val="00257357"/>
    <w:rsid w:val="00260155"/>
    <w:rsid w:val="002616FC"/>
    <w:rsid w:val="00262DE8"/>
    <w:rsid w:val="00264055"/>
    <w:rsid w:val="00271BF4"/>
    <w:rsid w:val="00271D8C"/>
    <w:rsid w:val="002737C3"/>
    <w:rsid w:val="002738A7"/>
    <w:rsid w:val="002768FD"/>
    <w:rsid w:val="0027723A"/>
    <w:rsid w:val="00277329"/>
    <w:rsid w:val="00281475"/>
    <w:rsid w:val="00282EA3"/>
    <w:rsid w:val="00283866"/>
    <w:rsid w:val="00283CB4"/>
    <w:rsid w:val="0028400F"/>
    <w:rsid w:val="002840E7"/>
    <w:rsid w:val="0028515D"/>
    <w:rsid w:val="00287C75"/>
    <w:rsid w:val="00287E87"/>
    <w:rsid w:val="00287ED9"/>
    <w:rsid w:val="00291BF4"/>
    <w:rsid w:val="002924CA"/>
    <w:rsid w:val="00294139"/>
    <w:rsid w:val="0029619C"/>
    <w:rsid w:val="002A0B22"/>
    <w:rsid w:val="002A24A4"/>
    <w:rsid w:val="002A2BDD"/>
    <w:rsid w:val="002A7493"/>
    <w:rsid w:val="002B2EDF"/>
    <w:rsid w:val="002B3DD1"/>
    <w:rsid w:val="002B5C38"/>
    <w:rsid w:val="002B6291"/>
    <w:rsid w:val="002B6815"/>
    <w:rsid w:val="002B75A8"/>
    <w:rsid w:val="002B7F01"/>
    <w:rsid w:val="002C3382"/>
    <w:rsid w:val="002D087E"/>
    <w:rsid w:val="002D3601"/>
    <w:rsid w:val="002D3B51"/>
    <w:rsid w:val="002D49CA"/>
    <w:rsid w:val="002D5235"/>
    <w:rsid w:val="002D6853"/>
    <w:rsid w:val="002E03BC"/>
    <w:rsid w:val="002E08E7"/>
    <w:rsid w:val="002E195A"/>
    <w:rsid w:val="002E3920"/>
    <w:rsid w:val="002E3A16"/>
    <w:rsid w:val="002E3A6D"/>
    <w:rsid w:val="002E3B12"/>
    <w:rsid w:val="002F037B"/>
    <w:rsid w:val="002F0C95"/>
    <w:rsid w:val="002F1B8D"/>
    <w:rsid w:val="002F4C5F"/>
    <w:rsid w:val="002F5997"/>
    <w:rsid w:val="00301655"/>
    <w:rsid w:val="0030294B"/>
    <w:rsid w:val="00302E2E"/>
    <w:rsid w:val="00303983"/>
    <w:rsid w:val="00305C9B"/>
    <w:rsid w:val="00306819"/>
    <w:rsid w:val="0031004D"/>
    <w:rsid w:val="0031049A"/>
    <w:rsid w:val="00311CCD"/>
    <w:rsid w:val="00312BB7"/>
    <w:rsid w:val="00316568"/>
    <w:rsid w:val="00317F76"/>
    <w:rsid w:val="0032299F"/>
    <w:rsid w:val="0032314F"/>
    <w:rsid w:val="00323ECE"/>
    <w:rsid w:val="00324C31"/>
    <w:rsid w:val="003273FD"/>
    <w:rsid w:val="00331A61"/>
    <w:rsid w:val="003329E3"/>
    <w:rsid w:val="003341A1"/>
    <w:rsid w:val="003343ED"/>
    <w:rsid w:val="00335603"/>
    <w:rsid w:val="0034149D"/>
    <w:rsid w:val="00342628"/>
    <w:rsid w:val="00344137"/>
    <w:rsid w:val="00344D83"/>
    <w:rsid w:val="00345A19"/>
    <w:rsid w:val="0034646B"/>
    <w:rsid w:val="003467B3"/>
    <w:rsid w:val="00350FB8"/>
    <w:rsid w:val="0035282F"/>
    <w:rsid w:val="00352E32"/>
    <w:rsid w:val="0035463F"/>
    <w:rsid w:val="00354AE5"/>
    <w:rsid w:val="00355B98"/>
    <w:rsid w:val="00356B71"/>
    <w:rsid w:val="003578B5"/>
    <w:rsid w:val="00357A3E"/>
    <w:rsid w:val="00361B16"/>
    <w:rsid w:val="00362CAF"/>
    <w:rsid w:val="00363362"/>
    <w:rsid w:val="00364314"/>
    <w:rsid w:val="00364663"/>
    <w:rsid w:val="00365325"/>
    <w:rsid w:val="00365FAF"/>
    <w:rsid w:val="00367CBB"/>
    <w:rsid w:val="00372F09"/>
    <w:rsid w:val="00375939"/>
    <w:rsid w:val="00377338"/>
    <w:rsid w:val="00377936"/>
    <w:rsid w:val="00381180"/>
    <w:rsid w:val="0038295F"/>
    <w:rsid w:val="00383807"/>
    <w:rsid w:val="00383DBB"/>
    <w:rsid w:val="00384027"/>
    <w:rsid w:val="00384721"/>
    <w:rsid w:val="0038566D"/>
    <w:rsid w:val="0038594A"/>
    <w:rsid w:val="00387A14"/>
    <w:rsid w:val="00391A1A"/>
    <w:rsid w:val="00393899"/>
    <w:rsid w:val="0039784A"/>
    <w:rsid w:val="00397D90"/>
    <w:rsid w:val="003A2C2A"/>
    <w:rsid w:val="003A474C"/>
    <w:rsid w:val="003A68F2"/>
    <w:rsid w:val="003B2932"/>
    <w:rsid w:val="003B6746"/>
    <w:rsid w:val="003C2751"/>
    <w:rsid w:val="003C405A"/>
    <w:rsid w:val="003C45B5"/>
    <w:rsid w:val="003D3B08"/>
    <w:rsid w:val="003D45EA"/>
    <w:rsid w:val="003D49E1"/>
    <w:rsid w:val="003D62BC"/>
    <w:rsid w:val="003E0DE5"/>
    <w:rsid w:val="003E1920"/>
    <w:rsid w:val="003E2408"/>
    <w:rsid w:val="003E3BE3"/>
    <w:rsid w:val="003E4456"/>
    <w:rsid w:val="003E4E05"/>
    <w:rsid w:val="003F1643"/>
    <w:rsid w:val="003F1AE5"/>
    <w:rsid w:val="003F1B57"/>
    <w:rsid w:val="003F300D"/>
    <w:rsid w:val="003F379A"/>
    <w:rsid w:val="003F3BDB"/>
    <w:rsid w:val="003F3ED9"/>
    <w:rsid w:val="003F56E0"/>
    <w:rsid w:val="003F5C0F"/>
    <w:rsid w:val="003F5C58"/>
    <w:rsid w:val="003F5D70"/>
    <w:rsid w:val="003F5E18"/>
    <w:rsid w:val="003F69AC"/>
    <w:rsid w:val="004007F4"/>
    <w:rsid w:val="0040171A"/>
    <w:rsid w:val="00401784"/>
    <w:rsid w:val="004017E0"/>
    <w:rsid w:val="004018D4"/>
    <w:rsid w:val="0040254D"/>
    <w:rsid w:val="00403048"/>
    <w:rsid w:val="00403292"/>
    <w:rsid w:val="0040355F"/>
    <w:rsid w:val="00404DC2"/>
    <w:rsid w:val="00404DC4"/>
    <w:rsid w:val="00405081"/>
    <w:rsid w:val="00407981"/>
    <w:rsid w:val="00407EC0"/>
    <w:rsid w:val="004120AD"/>
    <w:rsid w:val="00414108"/>
    <w:rsid w:val="00415226"/>
    <w:rsid w:val="00415A38"/>
    <w:rsid w:val="004178D5"/>
    <w:rsid w:val="004213D9"/>
    <w:rsid w:val="00422ADF"/>
    <w:rsid w:val="00422BA4"/>
    <w:rsid w:val="00423BE9"/>
    <w:rsid w:val="00423CC9"/>
    <w:rsid w:val="004255A3"/>
    <w:rsid w:val="00425669"/>
    <w:rsid w:val="004267DF"/>
    <w:rsid w:val="00426DE8"/>
    <w:rsid w:val="00430C64"/>
    <w:rsid w:val="00430D0F"/>
    <w:rsid w:val="00431923"/>
    <w:rsid w:val="00432B86"/>
    <w:rsid w:val="00433203"/>
    <w:rsid w:val="00433E73"/>
    <w:rsid w:val="0043420C"/>
    <w:rsid w:val="00436666"/>
    <w:rsid w:val="004375AB"/>
    <w:rsid w:val="00440AE6"/>
    <w:rsid w:val="004422FE"/>
    <w:rsid w:val="0044247A"/>
    <w:rsid w:val="0044259F"/>
    <w:rsid w:val="0044314F"/>
    <w:rsid w:val="00446CA3"/>
    <w:rsid w:val="00447505"/>
    <w:rsid w:val="00450A01"/>
    <w:rsid w:val="00454F65"/>
    <w:rsid w:val="004565C1"/>
    <w:rsid w:val="00457749"/>
    <w:rsid w:val="004578E8"/>
    <w:rsid w:val="00457D92"/>
    <w:rsid w:val="00457E9D"/>
    <w:rsid w:val="00460958"/>
    <w:rsid w:val="004620D9"/>
    <w:rsid w:val="004649D1"/>
    <w:rsid w:val="00465FA7"/>
    <w:rsid w:val="004667E6"/>
    <w:rsid w:val="0046692A"/>
    <w:rsid w:val="0047057B"/>
    <w:rsid w:val="00471D27"/>
    <w:rsid w:val="004746FA"/>
    <w:rsid w:val="00474CEB"/>
    <w:rsid w:val="00481BFC"/>
    <w:rsid w:val="00484A99"/>
    <w:rsid w:val="00485A6C"/>
    <w:rsid w:val="0048637E"/>
    <w:rsid w:val="0048638F"/>
    <w:rsid w:val="00486FE4"/>
    <w:rsid w:val="00492138"/>
    <w:rsid w:val="004930BD"/>
    <w:rsid w:val="00494019"/>
    <w:rsid w:val="0049620A"/>
    <w:rsid w:val="00496476"/>
    <w:rsid w:val="00496D39"/>
    <w:rsid w:val="00497CB7"/>
    <w:rsid w:val="004A103C"/>
    <w:rsid w:val="004A382D"/>
    <w:rsid w:val="004A5AEE"/>
    <w:rsid w:val="004A6FA4"/>
    <w:rsid w:val="004B25BF"/>
    <w:rsid w:val="004B2733"/>
    <w:rsid w:val="004B3124"/>
    <w:rsid w:val="004B4F2D"/>
    <w:rsid w:val="004B5112"/>
    <w:rsid w:val="004B534E"/>
    <w:rsid w:val="004B59F8"/>
    <w:rsid w:val="004B6BE7"/>
    <w:rsid w:val="004C220C"/>
    <w:rsid w:val="004C3276"/>
    <w:rsid w:val="004C383E"/>
    <w:rsid w:val="004C3A8C"/>
    <w:rsid w:val="004C440B"/>
    <w:rsid w:val="004C461B"/>
    <w:rsid w:val="004C58C8"/>
    <w:rsid w:val="004C5B14"/>
    <w:rsid w:val="004C667B"/>
    <w:rsid w:val="004D0EE2"/>
    <w:rsid w:val="004D4932"/>
    <w:rsid w:val="004D610C"/>
    <w:rsid w:val="004D6C66"/>
    <w:rsid w:val="004E0004"/>
    <w:rsid w:val="004E29C7"/>
    <w:rsid w:val="004E34F1"/>
    <w:rsid w:val="004E6941"/>
    <w:rsid w:val="004E6A39"/>
    <w:rsid w:val="004F5284"/>
    <w:rsid w:val="004F70DE"/>
    <w:rsid w:val="005021FC"/>
    <w:rsid w:val="005024E4"/>
    <w:rsid w:val="00502C33"/>
    <w:rsid w:val="00505606"/>
    <w:rsid w:val="00505B74"/>
    <w:rsid w:val="00506EAE"/>
    <w:rsid w:val="005102BC"/>
    <w:rsid w:val="0051099E"/>
    <w:rsid w:val="0051156C"/>
    <w:rsid w:val="0051171C"/>
    <w:rsid w:val="00511992"/>
    <w:rsid w:val="00511CBB"/>
    <w:rsid w:val="00512EB6"/>
    <w:rsid w:val="00513A29"/>
    <w:rsid w:val="00513A69"/>
    <w:rsid w:val="0051490E"/>
    <w:rsid w:val="00514D81"/>
    <w:rsid w:val="00515CB0"/>
    <w:rsid w:val="00516B8A"/>
    <w:rsid w:val="00517974"/>
    <w:rsid w:val="00521B77"/>
    <w:rsid w:val="00522AB1"/>
    <w:rsid w:val="005239DA"/>
    <w:rsid w:val="00523DA3"/>
    <w:rsid w:val="0052791B"/>
    <w:rsid w:val="005312C7"/>
    <w:rsid w:val="005312D1"/>
    <w:rsid w:val="00531DCC"/>
    <w:rsid w:val="00533317"/>
    <w:rsid w:val="00533DF7"/>
    <w:rsid w:val="00534AF5"/>
    <w:rsid w:val="005354F6"/>
    <w:rsid w:val="005362B3"/>
    <w:rsid w:val="00540BC0"/>
    <w:rsid w:val="00541301"/>
    <w:rsid w:val="0054159A"/>
    <w:rsid w:val="00544DC7"/>
    <w:rsid w:val="00547906"/>
    <w:rsid w:val="00547B3C"/>
    <w:rsid w:val="00550B03"/>
    <w:rsid w:val="0055100A"/>
    <w:rsid w:val="0055284E"/>
    <w:rsid w:val="005531DF"/>
    <w:rsid w:val="00554A8D"/>
    <w:rsid w:val="00555099"/>
    <w:rsid w:val="00556001"/>
    <w:rsid w:val="0055677E"/>
    <w:rsid w:val="005632FF"/>
    <w:rsid w:val="0056342F"/>
    <w:rsid w:val="00564C76"/>
    <w:rsid w:val="00566526"/>
    <w:rsid w:val="00566D4B"/>
    <w:rsid w:val="00570FD4"/>
    <w:rsid w:val="00571585"/>
    <w:rsid w:val="005719A0"/>
    <w:rsid w:val="0057430B"/>
    <w:rsid w:val="00574E11"/>
    <w:rsid w:val="005750CB"/>
    <w:rsid w:val="00575C22"/>
    <w:rsid w:val="00576717"/>
    <w:rsid w:val="005801F7"/>
    <w:rsid w:val="0058079A"/>
    <w:rsid w:val="00583EF9"/>
    <w:rsid w:val="005844AA"/>
    <w:rsid w:val="0058501A"/>
    <w:rsid w:val="00585458"/>
    <w:rsid w:val="00585B3C"/>
    <w:rsid w:val="00590064"/>
    <w:rsid w:val="005956DF"/>
    <w:rsid w:val="0059590A"/>
    <w:rsid w:val="00596C22"/>
    <w:rsid w:val="00596CD9"/>
    <w:rsid w:val="00597535"/>
    <w:rsid w:val="005A07DF"/>
    <w:rsid w:val="005A1022"/>
    <w:rsid w:val="005A2343"/>
    <w:rsid w:val="005A2F9D"/>
    <w:rsid w:val="005A5DCA"/>
    <w:rsid w:val="005A5E0B"/>
    <w:rsid w:val="005A6390"/>
    <w:rsid w:val="005B0C15"/>
    <w:rsid w:val="005B18C1"/>
    <w:rsid w:val="005B213D"/>
    <w:rsid w:val="005B2C54"/>
    <w:rsid w:val="005B445B"/>
    <w:rsid w:val="005B6077"/>
    <w:rsid w:val="005B6960"/>
    <w:rsid w:val="005C21F1"/>
    <w:rsid w:val="005C3AA7"/>
    <w:rsid w:val="005C3EC7"/>
    <w:rsid w:val="005C5A4F"/>
    <w:rsid w:val="005D002F"/>
    <w:rsid w:val="005D0C90"/>
    <w:rsid w:val="005D1EDB"/>
    <w:rsid w:val="005D52C2"/>
    <w:rsid w:val="005D710F"/>
    <w:rsid w:val="005E062B"/>
    <w:rsid w:val="005E078C"/>
    <w:rsid w:val="005E2667"/>
    <w:rsid w:val="005E394B"/>
    <w:rsid w:val="005E56A1"/>
    <w:rsid w:val="005E59C4"/>
    <w:rsid w:val="005E627B"/>
    <w:rsid w:val="005E733D"/>
    <w:rsid w:val="005E75DA"/>
    <w:rsid w:val="005F1773"/>
    <w:rsid w:val="005F6FB4"/>
    <w:rsid w:val="0060331C"/>
    <w:rsid w:val="00604D07"/>
    <w:rsid w:val="0060775B"/>
    <w:rsid w:val="0061017B"/>
    <w:rsid w:val="0061032E"/>
    <w:rsid w:val="006137F0"/>
    <w:rsid w:val="0061660E"/>
    <w:rsid w:val="00626A6A"/>
    <w:rsid w:val="00626AA0"/>
    <w:rsid w:val="0063059B"/>
    <w:rsid w:val="00630DFB"/>
    <w:rsid w:val="006316DF"/>
    <w:rsid w:val="006326D6"/>
    <w:rsid w:val="00635B96"/>
    <w:rsid w:val="006422CB"/>
    <w:rsid w:val="006438B0"/>
    <w:rsid w:val="00643F87"/>
    <w:rsid w:val="00644700"/>
    <w:rsid w:val="006448E3"/>
    <w:rsid w:val="00644B76"/>
    <w:rsid w:val="00646705"/>
    <w:rsid w:val="00646890"/>
    <w:rsid w:val="00652A40"/>
    <w:rsid w:val="00652B3F"/>
    <w:rsid w:val="0065381D"/>
    <w:rsid w:val="00654731"/>
    <w:rsid w:val="00663C0F"/>
    <w:rsid w:val="00667786"/>
    <w:rsid w:val="0066782C"/>
    <w:rsid w:val="00667A88"/>
    <w:rsid w:val="006701C9"/>
    <w:rsid w:val="006706F8"/>
    <w:rsid w:val="006736C8"/>
    <w:rsid w:val="0067555E"/>
    <w:rsid w:val="00675709"/>
    <w:rsid w:val="00677F0A"/>
    <w:rsid w:val="006812A0"/>
    <w:rsid w:val="00682D7E"/>
    <w:rsid w:val="006849BD"/>
    <w:rsid w:val="00685EE7"/>
    <w:rsid w:val="006860A9"/>
    <w:rsid w:val="00687F98"/>
    <w:rsid w:val="00690209"/>
    <w:rsid w:val="006923C1"/>
    <w:rsid w:val="006928DD"/>
    <w:rsid w:val="00692910"/>
    <w:rsid w:val="006948C8"/>
    <w:rsid w:val="006A2BBF"/>
    <w:rsid w:val="006A6D07"/>
    <w:rsid w:val="006B1F95"/>
    <w:rsid w:val="006B300B"/>
    <w:rsid w:val="006B5490"/>
    <w:rsid w:val="006C1EF3"/>
    <w:rsid w:val="006C1F6D"/>
    <w:rsid w:val="006C37F2"/>
    <w:rsid w:val="006C4181"/>
    <w:rsid w:val="006C495B"/>
    <w:rsid w:val="006C7632"/>
    <w:rsid w:val="006D4A07"/>
    <w:rsid w:val="006D5860"/>
    <w:rsid w:val="006D5E31"/>
    <w:rsid w:val="006D668F"/>
    <w:rsid w:val="006D755D"/>
    <w:rsid w:val="006F06B2"/>
    <w:rsid w:val="006F1FC5"/>
    <w:rsid w:val="006F26C4"/>
    <w:rsid w:val="006F3F1A"/>
    <w:rsid w:val="006F5E3D"/>
    <w:rsid w:val="006F651D"/>
    <w:rsid w:val="006F6E88"/>
    <w:rsid w:val="006F79AD"/>
    <w:rsid w:val="007013EE"/>
    <w:rsid w:val="00703482"/>
    <w:rsid w:val="0070397C"/>
    <w:rsid w:val="007039BD"/>
    <w:rsid w:val="00703D75"/>
    <w:rsid w:val="007043FC"/>
    <w:rsid w:val="007063DA"/>
    <w:rsid w:val="00706A79"/>
    <w:rsid w:val="00715ACB"/>
    <w:rsid w:val="00715B50"/>
    <w:rsid w:val="00717166"/>
    <w:rsid w:val="0071723F"/>
    <w:rsid w:val="00717B5E"/>
    <w:rsid w:val="00720905"/>
    <w:rsid w:val="00722DCB"/>
    <w:rsid w:val="00723435"/>
    <w:rsid w:val="00724390"/>
    <w:rsid w:val="00724DCA"/>
    <w:rsid w:val="0072796F"/>
    <w:rsid w:val="00727D0E"/>
    <w:rsid w:val="00730B95"/>
    <w:rsid w:val="007319A7"/>
    <w:rsid w:val="00732108"/>
    <w:rsid w:val="00733077"/>
    <w:rsid w:val="007338F4"/>
    <w:rsid w:val="00733E2D"/>
    <w:rsid w:val="00734635"/>
    <w:rsid w:val="0073480C"/>
    <w:rsid w:val="00736CE0"/>
    <w:rsid w:val="007370F7"/>
    <w:rsid w:val="00737145"/>
    <w:rsid w:val="007404B2"/>
    <w:rsid w:val="007408FD"/>
    <w:rsid w:val="00742F36"/>
    <w:rsid w:val="00744DB2"/>
    <w:rsid w:val="00745F8D"/>
    <w:rsid w:val="007507E5"/>
    <w:rsid w:val="00754BF2"/>
    <w:rsid w:val="00756A44"/>
    <w:rsid w:val="00756DF0"/>
    <w:rsid w:val="00756F49"/>
    <w:rsid w:val="00762037"/>
    <w:rsid w:val="007639E4"/>
    <w:rsid w:val="007641E5"/>
    <w:rsid w:val="00765084"/>
    <w:rsid w:val="0076578D"/>
    <w:rsid w:val="0076746B"/>
    <w:rsid w:val="00773006"/>
    <w:rsid w:val="00773990"/>
    <w:rsid w:val="007744A6"/>
    <w:rsid w:val="00776302"/>
    <w:rsid w:val="007803ED"/>
    <w:rsid w:val="00780C03"/>
    <w:rsid w:val="00781D13"/>
    <w:rsid w:val="007839E2"/>
    <w:rsid w:val="00783B53"/>
    <w:rsid w:val="00783D04"/>
    <w:rsid w:val="00784E53"/>
    <w:rsid w:val="00785559"/>
    <w:rsid w:val="00790E22"/>
    <w:rsid w:val="00791915"/>
    <w:rsid w:val="00793727"/>
    <w:rsid w:val="00793897"/>
    <w:rsid w:val="00797F85"/>
    <w:rsid w:val="007A072B"/>
    <w:rsid w:val="007A0AD2"/>
    <w:rsid w:val="007A1135"/>
    <w:rsid w:val="007A128D"/>
    <w:rsid w:val="007A2B75"/>
    <w:rsid w:val="007A5BB6"/>
    <w:rsid w:val="007B1165"/>
    <w:rsid w:val="007B1ABB"/>
    <w:rsid w:val="007B42F1"/>
    <w:rsid w:val="007B66E5"/>
    <w:rsid w:val="007B77B1"/>
    <w:rsid w:val="007C1855"/>
    <w:rsid w:val="007C2C07"/>
    <w:rsid w:val="007C4714"/>
    <w:rsid w:val="007C5CE1"/>
    <w:rsid w:val="007C5CE6"/>
    <w:rsid w:val="007C700C"/>
    <w:rsid w:val="007C7244"/>
    <w:rsid w:val="007D7BDB"/>
    <w:rsid w:val="007E0014"/>
    <w:rsid w:val="007E1091"/>
    <w:rsid w:val="007E137C"/>
    <w:rsid w:val="007E4A56"/>
    <w:rsid w:val="007E4C3F"/>
    <w:rsid w:val="007E615C"/>
    <w:rsid w:val="007E6377"/>
    <w:rsid w:val="007E7385"/>
    <w:rsid w:val="007E7776"/>
    <w:rsid w:val="007F01D5"/>
    <w:rsid w:val="007F0ED8"/>
    <w:rsid w:val="007F103C"/>
    <w:rsid w:val="007F151D"/>
    <w:rsid w:val="007F2CC4"/>
    <w:rsid w:val="007F38C4"/>
    <w:rsid w:val="007F4BA9"/>
    <w:rsid w:val="007F5A7F"/>
    <w:rsid w:val="007F64FB"/>
    <w:rsid w:val="007F6F4F"/>
    <w:rsid w:val="0080182B"/>
    <w:rsid w:val="00802277"/>
    <w:rsid w:val="00802A65"/>
    <w:rsid w:val="008041F5"/>
    <w:rsid w:val="008050A5"/>
    <w:rsid w:val="0080544C"/>
    <w:rsid w:val="0080666A"/>
    <w:rsid w:val="0081041E"/>
    <w:rsid w:val="008104E0"/>
    <w:rsid w:val="00811E0F"/>
    <w:rsid w:val="00812DC2"/>
    <w:rsid w:val="00812DD7"/>
    <w:rsid w:val="00812EE1"/>
    <w:rsid w:val="00812F73"/>
    <w:rsid w:val="00815CB0"/>
    <w:rsid w:val="008206B4"/>
    <w:rsid w:val="00820BFE"/>
    <w:rsid w:val="008234BE"/>
    <w:rsid w:val="00826F7F"/>
    <w:rsid w:val="00831C48"/>
    <w:rsid w:val="00832F87"/>
    <w:rsid w:val="0083482A"/>
    <w:rsid w:val="0083650A"/>
    <w:rsid w:val="008367BA"/>
    <w:rsid w:val="008368B8"/>
    <w:rsid w:val="008370A5"/>
    <w:rsid w:val="00837D99"/>
    <w:rsid w:val="00842B02"/>
    <w:rsid w:val="00843028"/>
    <w:rsid w:val="00844885"/>
    <w:rsid w:val="00845AC3"/>
    <w:rsid w:val="00845E35"/>
    <w:rsid w:val="00846633"/>
    <w:rsid w:val="008478B0"/>
    <w:rsid w:val="0085083A"/>
    <w:rsid w:val="0085339D"/>
    <w:rsid w:val="0085739A"/>
    <w:rsid w:val="008615A3"/>
    <w:rsid w:val="008616FC"/>
    <w:rsid w:val="00864212"/>
    <w:rsid w:val="0086533F"/>
    <w:rsid w:val="008659EB"/>
    <w:rsid w:val="0086617C"/>
    <w:rsid w:val="008670AF"/>
    <w:rsid w:val="00870BFE"/>
    <w:rsid w:val="00873E36"/>
    <w:rsid w:val="00875A1E"/>
    <w:rsid w:val="008767E4"/>
    <w:rsid w:val="008816F9"/>
    <w:rsid w:val="00881AB0"/>
    <w:rsid w:val="008833F4"/>
    <w:rsid w:val="00884FD4"/>
    <w:rsid w:val="00885C76"/>
    <w:rsid w:val="00887D6D"/>
    <w:rsid w:val="008913D9"/>
    <w:rsid w:val="00891FF1"/>
    <w:rsid w:val="00892492"/>
    <w:rsid w:val="00894293"/>
    <w:rsid w:val="00895020"/>
    <w:rsid w:val="0089570D"/>
    <w:rsid w:val="00895BC4"/>
    <w:rsid w:val="00895BEE"/>
    <w:rsid w:val="0089654D"/>
    <w:rsid w:val="008969E1"/>
    <w:rsid w:val="008A044C"/>
    <w:rsid w:val="008A1CEC"/>
    <w:rsid w:val="008A38B1"/>
    <w:rsid w:val="008A42AA"/>
    <w:rsid w:val="008A54AF"/>
    <w:rsid w:val="008A59B4"/>
    <w:rsid w:val="008A5B1C"/>
    <w:rsid w:val="008A6475"/>
    <w:rsid w:val="008B1B4A"/>
    <w:rsid w:val="008B2CE7"/>
    <w:rsid w:val="008B3D4A"/>
    <w:rsid w:val="008B424E"/>
    <w:rsid w:val="008B6355"/>
    <w:rsid w:val="008B6C67"/>
    <w:rsid w:val="008C1207"/>
    <w:rsid w:val="008C199A"/>
    <w:rsid w:val="008C4EF3"/>
    <w:rsid w:val="008C627B"/>
    <w:rsid w:val="008C7F6F"/>
    <w:rsid w:val="008D0988"/>
    <w:rsid w:val="008D2E15"/>
    <w:rsid w:val="008D65F8"/>
    <w:rsid w:val="008D697E"/>
    <w:rsid w:val="008D74B0"/>
    <w:rsid w:val="008D74ED"/>
    <w:rsid w:val="008D7D23"/>
    <w:rsid w:val="008E068B"/>
    <w:rsid w:val="008E0894"/>
    <w:rsid w:val="008E14B4"/>
    <w:rsid w:val="008E22D6"/>
    <w:rsid w:val="008E37F6"/>
    <w:rsid w:val="008E4276"/>
    <w:rsid w:val="008E4728"/>
    <w:rsid w:val="008E5A1F"/>
    <w:rsid w:val="008E6F4D"/>
    <w:rsid w:val="008E7D5C"/>
    <w:rsid w:val="008F055C"/>
    <w:rsid w:val="008F254A"/>
    <w:rsid w:val="008F31AD"/>
    <w:rsid w:val="008F54B5"/>
    <w:rsid w:val="008F60BC"/>
    <w:rsid w:val="008F60BF"/>
    <w:rsid w:val="009007B9"/>
    <w:rsid w:val="00900F61"/>
    <w:rsid w:val="00901E7D"/>
    <w:rsid w:val="00902F85"/>
    <w:rsid w:val="0090469A"/>
    <w:rsid w:val="00904B07"/>
    <w:rsid w:val="00906288"/>
    <w:rsid w:val="00906732"/>
    <w:rsid w:val="00912518"/>
    <w:rsid w:val="00914402"/>
    <w:rsid w:val="0091490B"/>
    <w:rsid w:val="00915143"/>
    <w:rsid w:val="009158A0"/>
    <w:rsid w:val="00916EBB"/>
    <w:rsid w:val="00917FDE"/>
    <w:rsid w:val="00927208"/>
    <w:rsid w:val="00927570"/>
    <w:rsid w:val="00931093"/>
    <w:rsid w:val="00932A88"/>
    <w:rsid w:val="00932C92"/>
    <w:rsid w:val="00933254"/>
    <w:rsid w:val="00933F74"/>
    <w:rsid w:val="00934039"/>
    <w:rsid w:val="00934503"/>
    <w:rsid w:val="00935886"/>
    <w:rsid w:val="009405E9"/>
    <w:rsid w:val="00940922"/>
    <w:rsid w:val="00943392"/>
    <w:rsid w:val="00943C5E"/>
    <w:rsid w:val="00943D4B"/>
    <w:rsid w:val="009454F9"/>
    <w:rsid w:val="0094614A"/>
    <w:rsid w:val="009513C0"/>
    <w:rsid w:val="00952132"/>
    <w:rsid w:val="00952848"/>
    <w:rsid w:val="009532BC"/>
    <w:rsid w:val="00953B1E"/>
    <w:rsid w:val="00953FE9"/>
    <w:rsid w:val="00954D51"/>
    <w:rsid w:val="00954F80"/>
    <w:rsid w:val="00960B83"/>
    <w:rsid w:val="00960C3F"/>
    <w:rsid w:val="009645E9"/>
    <w:rsid w:val="00966E1D"/>
    <w:rsid w:val="0097000D"/>
    <w:rsid w:val="00971C70"/>
    <w:rsid w:val="00972155"/>
    <w:rsid w:val="00973CB2"/>
    <w:rsid w:val="0097501D"/>
    <w:rsid w:val="009764E9"/>
    <w:rsid w:val="00976D54"/>
    <w:rsid w:val="00981245"/>
    <w:rsid w:val="0098635E"/>
    <w:rsid w:val="009866B9"/>
    <w:rsid w:val="00987F98"/>
    <w:rsid w:val="009909BC"/>
    <w:rsid w:val="00991870"/>
    <w:rsid w:val="00991B38"/>
    <w:rsid w:val="00994A81"/>
    <w:rsid w:val="00995762"/>
    <w:rsid w:val="0099612D"/>
    <w:rsid w:val="009A10A8"/>
    <w:rsid w:val="009A44F7"/>
    <w:rsid w:val="009A4563"/>
    <w:rsid w:val="009A66FE"/>
    <w:rsid w:val="009A73E8"/>
    <w:rsid w:val="009B084D"/>
    <w:rsid w:val="009B28CD"/>
    <w:rsid w:val="009B2FBB"/>
    <w:rsid w:val="009B3B8A"/>
    <w:rsid w:val="009B5985"/>
    <w:rsid w:val="009B67DD"/>
    <w:rsid w:val="009B7B30"/>
    <w:rsid w:val="009C1421"/>
    <w:rsid w:val="009C34BF"/>
    <w:rsid w:val="009C661C"/>
    <w:rsid w:val="009C6768"/>
    <w:rsid w:val="009C6C1A"/>
    <w:rsid w:val="009C762D"/>
    <w:rsid w:val="009C7B72"/>
    <w:rsid w:val="009D3AA2"/>
    <w:rsid w:val="009D5240"/>
    <w:rsid w:val="009D6872"/>
    <w:rsid w:val="009E1EB6"/>
    <w:rsid w:val="009E2135"/>
    <w:rsid w:val="009E2B93"/>
    <w:rsid w:val="009E44C5"/>
    <w:rsid w:val="009E56A1"/>
    <w:rsid w:val="009E5C32"/>
    <w:rsid w:val="009E7AEA"/>
    <w:rsid w:val="009F5CA6"/>
    <w:rsid w:val="009F6F00"/>
    <w:rsid w:val="00A0020A"/>
    <w:rsid w:val="00A009BC"/>
    <w:rsid w:val="00A035A9"/>
    <w:rsid w:val="00A051B6"/>
    <w:rsid w:val="00A06B49"/>
    <w:rsid w:val="00A072C0"/>
    <w:rsid w:val="00A107C8"/>
    <w:rsid w:val="00A14B9D"/>
    <w:rsid w:val="00A16865"/>
    <w:rsid w:val="00A21455"/>
    <w:rsid w:val="00A219DF"/>
    <w:rsid w:val="00A221D7"/>
    <w:rsid w:val="00A225AD"/>
    <w:rsid w:val="00A22C6F"/>
    <w:rsid w:val="00A22FC4"/>
    <w:rsid w:val="00A24E35"/>
    <w:rsid w:val="00A260E4"/>
    <w:rsid w:val="00A262BE"/>
    <w:rsid w:val="00A26431"/>
    <w:rsid w:val="00A269CA"/>
    <w:rsid w:val="00A26F87"/>
    <w:rsid w:val="00A30122"/>
    <w:rsid w:val="00A304D3"/>
    <w:rsid w:val="00A30995"/>
    <w:rsid w:val="00A30C31"/>
    <w:rsid w:val="00A3328E"/>
    <w:rsid w:val="00A339DC"/>
    <w:rsid w:val="00A34904"/>
    <w:rsid w:val="00A35088"/>
    <w:rsid w:val="00A353ED"/>
    <w:rsid w:val="00A35D3F"/>
    <w:rsid w:val="00A368CD"/>
    <w:rsid w:val="00A36E54"/>
    <w:rsid w:val="00A37E57"/>
    <w:rsid w:val="00A40043"/>
    <w:rsid w:val="00A40121"/>
    <w:rsid w:val="00A42C2D"/>
    <w:rsid w:val="00A44D3B"/>
    <w:rsid w:val="00A46099"/>
    <w:rsid w:val="00A5179A"/>
    <w:rsid w:val="00A51F23"/>
    <w:rsid w:val="00A51FC4"/>
    <w:rsid w:val="00A528F5"/>
    <w:rsid w:val="00A530A1"/>
    <w:rsid w:val="00A53DCF"/>
    <w:rsid w:val="00A53E87"/>
    <w:rsid w:val="00A5530E"/>
    <w:rsid w:val="00A556AA"/>
    <w:rsid w:val="00A610CF"/>
    <w:rsid w:val="00A611CE"/>
    <w:rsid w:val="00A61BAF"/>
    <w:rsid w:val="00A61F46"/>
    <w:rsid w:val="00A63C68"/>
    <w:rsid w:val="00A63D87"/>
    <w:rsid w:val="00A63F27"/>
    <w:rsid w:val="00A645CF"/>
    <w:rsid w:val="00A703EB"/>
    <w:rsid w:val="00A7110D"/>
    <w:rsid w:val="00A71E60"/>
    <w:rsid w:val="00A71FF5"/>
    <w:rsid w:val="00A730A9"/>
    <w:rsid w:val="00A7369A"/>
    <w:rsid w:val="00A83A4C"/>
    <w:rsid w:val="00A85468"/>
    <w:rsid w:val="00A90B04"/>
    <w:rsid w:val="00A96AD5"/>
    <w:rsid w:val="00A97724"/>
    <w:rsid w:val="00A97CCC"/>
    <w:rsid w:val="00A97E95"/>
    <w:rsid w:val="00AA107C"/>
    <w:rsid w:val="00AA307F"/>
    <w:rsid w:val="00AA3131"/>
    <w:rsid w:val="00AA3381"/>
    <w:rsid w:val="00AA43E6"/>
    <w:rsid w:val="00AA43F1"/>
    <w:rsid w:val="00AA46DC"/>
    <w:rsid w:val="00AB0CBF"/>
    <w:rsid w:val="00AB10D7"/>
    <w:rsid w:val="00AB1ECE"/>
    <w:rsid w:val="00AB31C4"/>
    <w:rsid w:val="00AB59E7"/>
    <w:rsid w:val="00AC1362"/>
    <w:rsid w:val="00AC213D"/>
    <w:rsid w:val="00AC27CB"/>
    <w:rsid w:val="00AC7ACD"/>
    <w:rsid w:val="00AC7F93"/>
    <w:rsid w:val="00AD2C93"/>
    <w:rsid w:val="00AD3164"/>
    <w:rsid w:val="00AD359A"/>
    <w:rsid w:val="00AD4430"/>
    <w:rsid w:val="00AD4C11"/>
    <w:rsid w:val="00AD5BE8"/>
    <w:rsid w:val="00AD691E"/>
    <w:rsid w:val="00AD694E"/>
    <w:rsid w:val="00AD6F47"/>
    <w:rsid w:val="00AE11A3"/>
    <w:rsid w:val="00AE1DC3"/>
    <w:rsid w:val="00AE1E5D"/>
    <w:rsid w:val="00AE28F1"/>
    <w:rsid w:val="00AE39AC"/>
    <w:rsid w:val="00AE39E6"/>
    <w:rsid w:val="00AE5864"/>
    <w:rsid w:val="00AF031A"/>
    <w:rsid w:val="00AF39A9"/>
    <w:rsid w:val="00AF7F5B"/>
    <w:rsid w:val="00B01051"/>
    <w:rsid w:val="00B02E75"/>
    <w:rsid w:val="00B033E5"/>
    <w:rsid w:val="00B03F89"/>
    <w:rsid w:val="00B0442B"/>
    <w:rsid w:val="00B04782"/>
    <w:rsid w:val="00B0667F"/>
    <w:rsid w:val="00B114B1"/>
    <w:rsid w:val="00B11B29"/>
    <w:rsid w:val="00B12033"/>
    <w:rsid w:val="00B12F60"/>
    <w:rsid w:val="00B1459C"/>
    <w:rsid w:val="00B1701B"/>
    <w:rsid w:val="00B17296"/>
    <w:rsid w:val="00B230DB"/>
    <w:rsid w:val="00B249BD"/>
    <w:rsid w:val="00B25E3F"/>
    <w:rsid w:val="00B275D1"/>
    <w:rsid w:val="00B30772"/>
    <w:rsid w:val="00B32E12"/>
    <w:rsid w:val="00B3529C"/>
    <w:rsid w:val="00B35BB1"/>
    <w:rsid w:val="00B36D1F"/>
    <w:rsid w:val="00B42C9D"/>
    <w:rsid w:val="00B43EFE"/>
    <w:rsid w:val="00B465E0"/>
    <w:rsid w:val="00B4675D"/>
    <w:rsid w:val="00B476D0"/>
    <w:rsid w:val="00B47B75"/>
    <w:rsid w:val="00B52580"/>
    <w:rsid w:val="00B53926"/>
    <w:rsid w:val="00B54C88"/>
    <w:rsid w:val="00B54E71"/>
    <w:rsid w:val="00B55640"/>
    <w:rsid w:val="00B57943"/>
    <w:rsid w:val="00B614D3"/>
    <w:rsid w:val="00B656DD"/>
    <w:rsid w:val="00B66D00"/>
    <w:rsid w:val="00B6762A"/>
    <w:rsid w:val="00B72933"/>
    <w:rsid w:val="00B7616A"/>
    <w:rsid w:val="00B7662D"/>
    <w:rsid w:val="00B76635"/>
    <w:rsid w:val="00B76AE6"/>
    <w:rsid w:val="00B771BB"/>
    <w:rsid w:val="00B8006D"/>
    <w:rsid w:val="00B8009E"/>
    <w:rsid w:val="00B80FDF"/>
    <w:rsid w:val="00B82AF0"/>
    <w:rsid w:val="00B82D6E"/>
    <w:rsid w:val="00B84708"/>
    <w:rsid w:val="00B84712"/>
    <w:rsid w:val="00B85199"/>
    <w:rsid w:val="00B879A6"/>
    <w:rsid w:val="00B92F92"/>
    <w:rsid w:val="00B94361"/>
    <w:rsid w:val="00B948FF"/>
    <w:rsid w:val="00B97274"/>
    <w:rsid w:val="00BA1218"/>
    <w:rsid w:val="00BA6152"/>
    <w:rsid w:val="00BA7A07"/>
    <w:rsid w:val="00BB28E2"/>
    <w:rsid w:val="00BB32ED"/>
    <w:rsid w:val="00BB34A2"/>
    <w:rsid w:val="00BB455C"/>
    <w:rsid w:val="00BB50D4"/>
    <w:rsid w:val="00BC0768"/>
    <w:rsid w:val="00BC12C3"/>
    <w:rsid w:val="00BC16FA"/>
    <w:rsid w:val="00BC29B4"/>
    <w:rsid w:val="00BC2B56"/>
    <w:rsid w:val="00BC4327"/>
    <w:rsid w:val="00BC43B5"/>
    <w:rsid w:val="00BD2B9E"/>
    <w:rsid w:val="00BD322C"/>
    <w:rsid w:val="00BD4EF0"/>
    <w:rsid w:val="00BD73E6"/>
    <w:rsid w:val="00BE093C"/>
    <w:rsid w:val="00BE2C60"/>
    <w:rsid w:val="00BF03F4"/>
    <w:rsid w:val="00BF5260"/>
    <w:rsid w:val="00BF79C6"/>
    <w:rsid w:val="00C01E5C"/>
    <w:rsid w:val="00C03012"/>
    <w:rsid w:val="00C03214"/>
    <w:rsid w:val="00C04180"/>
    <w:rsid w:val="00C05D22"/>
    <w:rsid w:val="00C05E1D"/>
    <w:rsid w:val="00C06F36"/>
    <w:rsid w:val="00C11205"/>
    <w:rsid w:val="00C1362B"/>
    <w:rsid w:val="00C16E2F"/>
    <w:rsid w:val="00C17011"/>
    <w:rsid w:val="00C176CF"/>
    <w:rsid w:val="00C217D5"/>
    <w:rsid w:val="00C255CC"/>
    <w:rsid w:val="00C25A2D"/>
    <w:rsid w:val="00C27065"/>
    <w:rsid w:val="00C30B60"/>
    <w:rsid w:val="00C33614"/>
    <w:rsid w:val="00C36E31"/>
    <w:rsid w:val="00C37FB6"/>
    <w:rsid w:val="00C41DA5"/>
    <w:rsid w:val="00C45C7D"/>
    <w:rsid w:val="00C4784B"/>
    <w:rsid w:val="00C507A3"/>
    <w:rsid w:val="00C51651"/>
    <w:rsid w:val="00C5380D"/>
    <w:rsid w:val="00C54376"/>
    <w:rsid w:val="00C55E7B"/>
    <w:rsid w:val="00C60399"/>
    <w:rsid w:val="00C6190A"/>
    <w:rsid w:val="00C61F7C"/>
    <w:rsid w:val="00C62870"/>
    <w:rsid w:val="00C62A09"/>
    <w:rsid w:val="00C6404B"/>
    <w:rsid w:val="00C660BF"/>
    <w:rsid w:val="00C67F9A"/>
    <w:rsid w:val="00C718FC"/>
    <w:rsid w:val="00C73845"/>
    <w:rsid w:val="00C744A9"/>
    <w:rsid w:val="00C761AD"/>
    <w:rsid w:val="00C8086D"/>
    <w:rsid w:val="00C82A58"/>
    <w:rsid w:val="00C82E36"/>
    <w:rsid w:val="00C91DC4"/>
    <w:rsid w:val="00C94156"/>
    <w:rsid w:val="00C96CDB"/>
    <w:rsid w:val="00C97189"/>
    <w:rsid w:val="00C97951"/>
    <w:rsid w:val="00CA041E"/>
    <w:rsid w:val="00CA15A8"/>
    <w:rsid w:val="00CA5EAA"/>
    <w:rsid w:val="00CA62BE"/>
    <w:rsid w:val="00CA68B6"/>
    <w:rsid w:val="00CA7AA0"/>
    <w:rsid w:val="00CA7F94"/>
    <w:rsid w:val="00CB0179"/>
    <w:rsid w:val="00CB0865"/>
    <w:rsid w:val="00CB1926"/>
    <w:rsid w:val="00CB4E93"/>
    <w:rsid w:val="00CB506F"/>
    <w:rsid w:val="00CB6726"/>
    <w:rsid w:val="00CC105D"/>
    <w:rsid w:val="00CC5126"/>
    <w:rsid w:val="00CC527E"/>
    <w:rsid w:val="00CD6C01"/>
    <w:rsid w:val="00CD71E9"/>
    <w:rsid w:val="00CE02D9"/>
    <w:rsid w:val="00CE5D28"/>
    <w:rsid w:val="00CE5D81"/>
    <w:rsid w:val="00CE6916"/>
    <w:rsid w:val="00CF33DD"/>
    <w:rsid w:val="00CF468A"/>
    <w:rsid w:val="00CF5CAE"/>
    <w:rsid w:val="00CF5E89"/>
    <w:rsid w:val="00CF611E"/>
    <w:rsid w:val="00CF73D4"/>
    <w:rsid w:val="00CF7B47"/>
    <w:rsid w:val="00CF7C9D"/>
    <w:rsid w:val="00D01B48"/>
    <w:rsid w:val="00D025EE"/>
    <w:rsid w:val="00D02DBD"/>
    <w:rsid w:val="00D03015"/>
    <w:rsid w:val="00D034D8"/>
    <w:rsid w:val="00D04095"/>
    <w:rsid w:val="00D058BF"/>
    <w:rsid w:val="00D0647F"/>
    <w:rsid w:val="00D06FC3"/>
    <w:rsid w:val="00D100DB"/>
    <w:rsid w:val="00D146EB"/>
    <w:rsid w:val="00D17312"/>
    <w:rsid w:val="00D177AD"/>
    <w:rsid w:val="00D22AC0"/>
    <w:rsid w:val="00D24E77"/>
    <w:rsid w:val="00D250D2"/>
    <w:rsid w:val="00D2756B"/>
    <w:rsid w:val="00D31911"/>
    <w:rsid w:val="00D32178"/>
    <w:rsid w:val="00D3296D"/>
    <w:rsid w:val="00D332B9"/>
    <w:rsid w:val="00D33B69"/>
    <w:rsid w:val="00D34435"/>
    <w:rsid w:val="00D36E05"/>
    <w:rsid w:val="00D403FC"/>
    <w:rsid w:val="00D40AE3"/>
    <w:rsid w:val="00D43E23"/>
    <w:rsid w:val="00D44AFA"/>
    <w:rsid w:val="00D45DDF"/>
    <w:rsid w:val="00D46C25"/>
    <w:rsid w:val="00D471B9"/>
    <w:rsid w:val="00D51262"/>
    <w:rsid w:val="00D5233C"/>
    <w:rsid w:val="00D52F10"/>
    <w:rsid w:val="00D5309C"/>
    <w:rsid w:val="00D54E2D"/>
    <w:rsid w:val="00D55C23"/>
    <w:rsid w:val="00D56E9F"/>
    <w:rsid w:val="00D6305D"/>
    <w:rsid w:val="00D63208"/>
    <w:rsid w:val="00D63ADE"/>
    <w:rsid w:val="00D655F6"/>
    <w:rsid w:val="00D667DA"/>
    <w:rsid w:val="00D733C4"/>
    <w:rsid w:val="00D7546B"/>
    <w:rsid w:val="00D7774D"/>
    <w:rsid w:val="00D80B4F"/>
    <w:rsid w:val="00D822A9"/>
    <w:rsid w:val="00D8259F"/>
    <w:rsid w:val="00D82F6B"/>
    <w:rsid w:val="00D84FF8"/>
    <w:rsid w:val="00D85B00"/>
    <w:rsid w:val="00D863EE"/>
    <w:rsid w:val="00D86B43"/>
    <w:rsid w:val="00D90935"/>
    <w:rsid w:val="00D93196"/>
    <w:rsid w:val="00D955F3"/>
    <w:rsid w:val="00D9587C"/>
    <w:rsid w:val="00D95D23"/>
    <w:rsid w:val="00DA018E"/>
    <w:rsid w:val="00DA0939"/>
    <w:rsid w:val="00DA1118"/>
    <w:rsid w:val="00DA2027"/>
    <w:rsid w:val="00DA2106"/>
    <w:rsid w:val="00DA2C36"/>
    <w:rsid w:val="00DA410D"/>
    <w:rsid w:val="00DA51F3"/>
    <w:rsid w:val="00DA6FD7"/>
    <w:rsid w:val="00DA7640"/>
    <w:rsid w:val="00DA76F5"/>
    <w:rsid w:val="00DB4856"/>
    <w:rsid w:val="00DB5293"/>
    <w:rsid w:val="00DB6E10"/>
    <w:rsid w:val="00DB6FC7"/>
    <w:rsid w:val="00DB7019"/>
    <w:rsid w:val="00DB73B7"/>
    <w:rsid w:val="00DB7A13"/>
    <w:rsid w:val="00DC2289"/>
    <w:rsid w:val="00DC254B"/>
    <w:rsid w:val="00DC3478"/>
    <w:rsid w:val="00DC4944"/>
    <w:rsid w:val="00DC58B6"/>
    <w:rsid w:val="00DD146C"/>
    <w:rsid w:val="00DD2C89"/>
    <w:rsid w:val="00DD2FDE"/>
    <w:rsid w:val="00DD35E8"/>
    <w:rsid w:val="00DE0E7A"/>
    <w:rsid w:val="00DE10D0"/>
    <w:rsid w:val="00DE1207"/>
    <w:rsid w:val="00DE1BF8"/>
    <w:rsid w:val="00DE1DC1"/>
    <w:rsid w:val="00DE2E2D"/>
    <w:rsid w:val="00DE39A7"/>
    <w:rsid w:val="00DE408A"/>
    <w:rsid w:val="00DE6EE8"/>
    <w:rsid w:val="00DE72EB"/>
    <w:rsid w:val="00DF0F25"/>
    <w:rsid w:val="00DF124A"/>
    <w:rsid w:val="00DF24DC"/>
    <w:rsid w:val="00DF4167"/>
    <w:rsid w:val="00DF556B"/>
    <w:rsid w:val="00DF70DC"/>
    <w:rsid w:val="00E01B5C"/>
    <w:rsid w:val="00E03D52"/>
    <w:rsid w:val="00E05220"/>
    <w:rsid w:val="00E06EA9"/>
    <w:rsid w:val="00E1177A"/>
    <w:rsid w:val="00E12FCB"/>
    <w:rsid w:val="00E13741"/>
    <w:rsid w:val="00E1455F"/>
    <w:rsid w:val="00E155B3"/>
    <w:rsid w:val="00E16E03"/>
    <w:rsid w:val="00E20166"/>
    <w:rsid w:val="00E244E4"/>
    <w:rsid w:val="00E25141"/>
    <w:rsid w:val="00E253E0"/>
    <w:rsid w:val="00E25A94"/>
    <w:rsid w:val="00E2705F"/>
    <w:rsid w:val="00E31B11"/>
    <w:rsid w:val="00E347F2"/>
    <w:rsid w:val="00E34DD5"/>
    <w:rsid w:val="00E36224"/>
    <w:rsid w:val="00E3710B"/>
    <w:rsid w:val="00E40261"/>
    <w:rsid w:val="00E445FE"/>
    <w:rsid w:val="00E44FCB"/>
    <w:rsid w:val="00E467FB"/>
    <w:rsid w:val="00E478E3"/>
    <w:rsid w:val="00E5052E"/>
    <w:rsid w:val="00E53221"/>
    <w:rsid w:val="00E53345"/>
    <w:rsid w:val="00E538B7"/>
    <w:rsid w:val="00E5555B"/>
    <w:rsid w:val="00E56F39"/>
    <w:rsid w:val="00E600CE"/>
    <w:rsid w:val="00E61714"/>
    <w:rsid w:val="00E61E5C"/>
    <w:rsid w:val="00E62A32"/>
    <w:rsid w:val="00E63E3A"/>
    <w:rsid w:val="00E64BBB"/>
    <w:rsid w:val="00E651C2"/>
    <w:rsid w:val="00E72397"/>
    <w:rsid w:val="00E7484F"/>
    <w:rsid w:val="00E74FD1"/>
    <w:rsid w:val="00E751A3"/>
    <w:rsid w:val="00E772A0"/>
    <w:rsid w:val="00E77508"/>
    <w:rsid w:val="00E871AF"/>
    <w:rsid w:val="00E908C0"/>
    <w:rsid w:val="00E90D04"/>
    <w:rsid w:val="00E923D8"/>
    <w:rsid w:val="00E9285A"/>
    <w:rsid w:val="00E93B02"/>
    <w:rsid w:val="00E93F0F"/>
    <w:rsid w:val="00EA10F7"/>
    <w:rsid w:val="00EA6DE2"/>
    <w:rsid w:val="00EA7111"/>
    <w:rsid w:val="00EB074A"/>
    <w:rsid w:val="00EB09C6"/>
    <w:rsid w:val="00EB2CB4"/>
    <w:rsid w:val="00EB37D7"/>
    <w:rsid w:val="00EB4659"/>
    <w:rsid w:val="00EB4C9A"/>
    <w:rsid w:val="00EB55FD"/>
    <w:rsid w:val="00EC0741"/>
    <w:rsid w:val="00EC10EB"/>
    <w:rsid w:val="00EC2979"/>
    <w:rsid w:val="00EC2FA3"/>
    <w:rsid w:val="00EC4981"/>
    <w:rsid w:val="00EC6311"/>
    <w:rsid w:val="00ED04B0"/>
    <w:rsid w:val="00ED0AE9"/>
    <w:rsid w:val="00ED3CC4"/>
    <w:rsid w:val="00ED5041"/>
    <w:rsid w:val="00ED7484"/>
    <w:rsid w:val="00EE20A3"/>
    <w:rsid w:val="00EE3508"/>
    <w:rsid w:val="00EE55EC"/>
    <w:rsid w:val="00EE55F8"/>
    <w:rsid w:val="00EE5939"/>
    <w:rsid w:val="00EE6047"/>
    <w:rsid w:val="00EF1877"/>
    <w:rsid w:val="00EF2BF1"/>
    <w:rsid w:val="00EF37BB"/>
    <w:rsid w:val="00EF6188"/>
    <w:rsid w:val="00EF6DA1"/>
    <w:rsid w:val="00EF7BB5"/>
    <w:rsid w:val="00F00A8B"/>
    <w:rsid w:val="00F018FB"/>
    <w:rsid w:val="00F03AD1"/>
    <w:rsid w:val="00F05A09"/>
    <w:rsid w:val="00F11720"/>
    <w:rsid w:val="00F1187C"/>
    <w:rsid w:val="00F12930"/>
    <w:rsid w:val="00F12A44"/>
    <w:rsid w:val="00F12B7A"/>
    <w:rsid w:val="00F14DCE"/>
    <w:rsid w:val="00F16B50"/>
    <w:rsid w:val="00F17C14"/>
    <w:rsid w:val="00F20CCC"/>
    <w:rsid w:val="00F21CA2"/>
    <w:rsid w:val="00F21EF9"/>
    <w:rsid w:val="00F22107"/>
    <w:rsid w:val="00F22866"/>
    <w:rsid w:val="00F23729"/>
    <w:rsid w:val="00F23D7B"/>
    <w:rsid w:val="00F2412A"/>
    <w:rsid w:val="00F24B56"/>
    <w:rsid w:val="00F24B69"/>
    <w:rsid w:val="00F26E48"/>
    <w:rsid w:val="00F3029E"/>
    <w:rsid w:val="00F3076C"/>
    <w:rsid w:val="00F33431"/>
    <w:rsid w:val="00F36AE6"/>
    <w:rsid w:val="00F36E0A"/>
    <w:rsid w:val="00F4012D"/>
    <w:rsid w:val="00F401EB"/>
    <w:rsid w:val="00F41C72"/>
    <w:rsid w:val="00F41D01"/>
    <w:rsid w:val="00F41D73"/>
    <w:rsid w:val="00F43AB0"/>
    <w:rsid w:val="00F47379"/>
    <w:rsid w:val="00F527B7"/>
    <w:rsid w:val="00F53032"/>
    <w:rsid w:val="00F564AC"/>
    <w:rsid w:val="00F56844"/>
    <w:rsid w:val="00F56B50"/>
    <w:rsid w:val="00F56DA4"/>
    <w:rsid w:val="00F63CA2"/>
    <w:rsid w:val="00F64277"/>
    <w:rsid w:val="00F64774"/>
    <w:rsid w:val="00F647A5"/>
    <w:rsid w:val="00F6569A"/>
    <w:rsid w:val="00F67FDC"/>
    <w:rsid w:val="00F70712"/>
    <w:rsid w:val="00F70D63"/>
    <w:rsid w:val="00F717F5"/>
    <w:rsid w:val="00F73E65"/>
    <w:rsid w:val="00F7438C"/>
    <w:rsid w:val="00F74A11"/>
    <w:rsid w:val="00F75C20"/>
    <w:rsid w:val="00F7600D"/>
    <w:rsid w:val="00F764B8"/>
    <w:rsid w:val="00F76C02"/>
    <w:rsid w:val="00F77A18"/>
    <w:rsid w:val="00F77C39"/>
    <w:rsid w:val="00F80F61"/>
    <w:rsid w:val="00F8245D"/>
    <w:rsid w:val="00F8269A"/>
    <w:rsid w:val="00F82DE7"/>
    <w:rsid w:val="00F91E18"/>
    <w:rsid w:val="00F9313A"/>
    <w:rsid w:val="00F95536"/>
    <w:rsid w:val="00F978B8"/>
    <w:rsid w:val="00F97EE9"/>
    <w:rsid w:val="00FA1316"/>
    <w:rsid w:val="00FA5279"/>
    <w:rsid w:val="00FA5B76"/>
    <w:rsid w:val="00FA6DA2"/>
    <w:rsid w:val="00FB14FD"/>
    <w:rsid w:val="00FB2C7B"/>
    <w:rsid w:val="00FB33C5"/>
    <w:rsid w:val="00FB4A1A"/>
    <w:rsid w:val="00FB4FC7"/>
    <w:rsid w:val="00FB52A6"/>
    <w:rsid w:val="00FB5FD2"/>
    <w:rsid w:val="00FC1985"/>
    <w:rsid w:val="00FC2280"/>
    <w:rsid w:val="00FC36BF"/>
    <w:rsid w:val="00FC3DC6"/>
    <w:rsid w:val="00FC553B"/>
    <w:rsid w:val="00FC6306"/>
    <w:rsid w:val="00FC7CF9"/>
    <w:rsid w:val="00FD01F4"/>
    <w:rsid w:val="00FD044C"/>
    <w:rsid w:val="00FD22B8"/>
    <w:rsid w:val="00FD2463"/>
    <w:rsid w:val="00FD7F36"/>
    <w:rsid w:val="00FE081E"/>
    <w:rsid w:val="00FE2BAD"/>
    <w:rsid w:val="00FE7861"/>
    <w:rsid w:val="00FF289B"/>
    <w:rsid w:val="00FF2B2B"/>
    <w:rsid w:val="00FF507F"/>
    <w:rsid w:val="00FF70D0"/>
    <w:rsid w:val="00FF7DDA"/>
    <w:rsid w:val="05BB3588"/>
    <w:rsid w:val="0C29AF07"/>
    <w:rsid w:val="0D843A2E"/>
    <w:rsid w:val="0FA103C5"/>
    <w:rsid w:val="15025956"/>
    <w:rsid w:val="1524DEBB"/>
    <w:rsid w:val="1BAB210A"/>
    <w:rsid w:val="2308ECB0"/>
    <w:rsid w:val="260AF65C"/>
    <w:rsid w:val="29E5A422"/>
    <w:rsid w:val="2BF8CEA2"/>
    <w:rsid w:val="2C6857E3"/>
    <w:rsid w:val="2EC6EC7B"/>
    <w:rsid w:val="3B9255C3"/>
    <w:rsid w:val="3C9405F5"/>
    <w:rsid w:val="4332C604"/>
    <w:rsid w:val="47C33C31"/>
    <w:rsid w:val="492B6F00"/>
    <w:rsid w:val="531CD595"/>
    <w:rsid w:val="5D899F29"/>
    <w:rsid w:val="63971EE6"/>
    <w:rsid w:val="674F9590"/>
    <w:rsid w:val="679262D5"/>
    <w:rsid w:val="6A881DB9"/>
    <w:rsid w:val="6B4F8149"/>
    <w:rsid w:val="6B52F044"/>
    <w:rsid w:val="738FAD7C"/>
    <w:rsid w:val="74FBBFAE"/>
    <w:rsid w:val="7B274E15"/>
    <w:rsid w:val="7B9E15AA"/>
    <w:rsid w:val="7F549FE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E6656"/>
  <w15:chartTrackingRefBased/>
  <w15:docId w15:val="{F5C400AE-B50E-4A23-A340-3382495F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D899F29"/>
    <w:pPr>
      <w:spacing w:after="240"/>
    </w:pPr>
    <w:rPr>
      <w:rFonts w:eastAsiaTheme="minorEastAsia"/>
      <w:sz w:val="22"/>
      <w:szCs w:val="22"/>
      <w:lang w:val="en-GB"/>
    </w:rPr>
  </w:style>
  <w:style w:type="paragraph" w:styleId="Heading1">
    <w:name w:val="heading 1"/>
    <w:basedOn w:val="Normal"/>
    <w:next w:val="Normal"/>
    <w:link w:val="Heading1Char"/>
    <w:uiPriority w:val="9"/>
    <w:qFormat/>
    <w:rsid w:val="5D899F29"/>
    <w:pPr>
      <w:keepNext/>
      <w:spacing w:before="360" w:after="40"/>
      <w:outlineLvl w:val="0"/>
    </w:pPr>
    <w:rPr>
      <w:rFonts w:eastAsiaTheme="majorEastAsia" w:cstheme="majorBidi"/>
      <w:color w:val="000000" w:themeColor="text1"/>
      <w:sz w:val="36"/>
      <w:szCs w:val="36"/>
    </w:rPr>
  </w:style>
  <w:style w:type="paragraph" w:styleId="Heading2">
    <w:name w:val="heading 2"/>
    <w:basedOn w:val="Normal"/>
    <w:next w:val="Normal"/>
    <w:link w:val="Heading2Char"/>
    <w:uiPriority w:val="9"/>
    <w:unhideWhenUsed/>
    <w:qFormat/>
    <w:rsid w:val="5D899F29"/>
    <w:pPr>
      <w:keepNext/>
      <w:spacing w:before="240" w:after="4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5D899F29"/>
    <w:pPr>
      <w:keepNext/>
      <w:spacing w:before="240" w:after="0"/>
      <w:outlineLvl w:val="2"/>
    </w:pPr>
    <w:rPr>
      <w:rFonts w:eastAsiaTheme="majorEastAsia" w:cstheme="majorBidi"/>
      <w:b/>
      <w:bCs/>
      <w:color w:val="000000" w:themeColor="text1"/>
      <w:sz w:val="28"/>
      <w:szCs w:val="28"/>
    </w:rPr>
  </w:style>
  <w:style w:type="paragraph" w:styleId="Heading4">
    <w:name w:val="heading 4"/>
    <w:basedOn w:val="Normal"/>
    <w:next w:val="Normal"/>
    <w:link w:val="Heading4Char"/>
    <w:uiPriority w:val="9"/>
    <w:unhideWhenUsed/>
    <w:qFormat/>
    <w:rsid w:val="5D899F29"/>
    <w:pPr>
      <w:keepNext/>
      <w:spacing w:before="40" w:after="0"/>
      <w:outlineLvl w:val="3"/>
    </w:pPr>
    <w:rPr>
      <w:rFonts w:eastAsiaTheme="majorEastAsia" w:cs="Times New Roman (Headings CS)"/>
      <w:b/>
      <w:bCs/>
      <w:color w:val="000000" w:themeColor="text1"/>
      <w:sz w:val="24"/>
      <w:szCs w:val="24"/>
    </w:rPr>
  </w:style>
  <w:style w:type="paragraph" w:styleId="Heading5">
    <w:name w:val="heading 5"/>
    <w:basedOn w:val="Normal"/>
    <w:next w:val="Normal"/>
    <w:link w:val="Heading5Char"/>
    <w:uiPriority w:val="9"/>
    <w:unhideWhenUsed/>
    <w:qFormat/>
    <w:rsid w:val="5D899F29"/>
    <w:pPr>
      <w:keepNext/>
      <w:spacing w:before="40" w:after="0"/>
      <w:outlineLvl w:val="4"/>
    </w:pPr>
    <w:rPr>
      <w:rFonts w:asciiTheme="majorHAnsi" w:eastAsiaTheme="majorEastAsia" w:hAnsiTheme="majorHAnsi" w:cs="Times New Roman (Headings CS)"/>
      <w:b/>
      <w:bCs/>
      <w:caps/>
      <w:color w:val="000000" w:themeColor="text1"/>
    </w:rPr>
  </w:style>
  <w:style w:type="paragraph" w:styleId="Heading6">
    <w:name w:val="heading 6"/>
    <w:basedOn w:val="Normal"/>
    <w:next w:val="Normal"/>
    <w:link w:val="Heading6Char"/>
    <w:uiPriority w:val="9"/>
    <w:unhideWhenUsed/>
    <w:qFormat/>
    <w:rsid w:val="5D899F29"/>
    <w:pPr>
      <w:keepNext/>
      <w:spacing w:before="40" w:after="0"/>
      <w:outlineLvl w:val="5"/>
    </w:pPr>
    <w:rPr>
      <w:rFonts w:asciiTheme="majorHAnsi" w:eastAsiaTheme="majorEastAsia" w:hAnsiTheme="majorHAnsi" w:cstheme="majorBidi"/>
      <w:b/>
      <w:bCs/>
      <w:color w:val="000000" w:themeColor="text1"/>
    </w:rPr>
  </w:style>
  <w:style w:type="paragraph" w:styleId="Heading7">
    <w:name w:val="heading 7"/>
    <w:basedOn w:val="Normal"/>
    <w:next w:val="Normal"/>
    <w:link w:val="Heading7Char"/>
    <w:uiPriority w:val="9"/>
    <w:unhideWhenUsed/>
    <w:qFormat/>
    <w:rsid w:val="5D899F29"/>
    <w:pPr>
      <w:keepNext/>
      <w:spacing w:before="40" w:after="0"/>
      <w:outlineLvl w:val="6"/>
    </w:pPr>
    <w:rPr>
      <w:rFonts w:asciiTheme="majorHAnsi" w:eastAsiaTheme="majorEastAsia" w:hAnsiTheme="majorHAnsi" w:cstheme="majorBidi"/>
      <w:b/>
      <w:bCs/>
      <w:color w:val="000000" w:themeColor="text1"/>
      <w:sz w:val="20"/>
      <w:szCs w:val="20"/>
    </w:rPr>
  </w:style>
  <w:style w:type="paragraph" w:styleId="Heading8">
    <w:name w:val="heading 8"/>
    <w:basedOn w:val="Normal"/>
    <w:next w:val="Normal"/>
    <w:link w:val="Heading8Char"/>
    <w:uiPriority w:val="9"/>
    <w:unhideWhenUsed/>
    <w:qFormat/>
    <w:rsid w:val="5D899F29"/>
    <w:pPr>
      <w:keepNext/>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5D899F29"/>
    <w:pPr>
      <w:keepNext/>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5D899F29"/>
    <w:rPr>
      <w:rFonts w:ascii="Arial" w:eastAsiaTheme="majorEastAsia" w:hAnsi="Arial" w:cstheme="majorBidi"/>
      <w:noProof w:val="0"/>
      <w:color w:val="000000" w:themeColor="text1"/>
      <w:sz w:val="36"/>
      <w:szCs w:val="36"/>
      <w:lang w:val="en-GB"/>
    </w:rPr>
  </w:style>
  <w:style w:type="character" w:customStyle="1" w:styleId="Heading2Char">
    <w:name w:val="Heading 2 Char"/>
    <w:basedOn w:val="DefaultParagraphFont"/>
    <w:link w:val="Heading2"/>
    <w:uiPriority w:val="9"/>
    <w:rsid w:val="5D899F29"/>
    <w:rPr>
      <w:rFonts w:ascii="Arial" w:eastAsiaTheme="majorEastAsia" w:hAnsi="Arial" w:cstheme="majorBidi"/>
      <w:noProof w:val="0"/>
      <w:color w:val="000000" w:themeColor="text1"/>
      <w:sz w:val="32"/>
      <w:szCs w:val="32"/>
      <w:lang w:val="en-GB"/>
    </w:rPr>
  </w:style>
  <w:style w:type="paragraph" w:styleId="Title">
    <w:name w:val="Title"/>
    <w:aliases w:val="Document Title"/>
    <w:basedOn w:val="Normal"/>
    <w:next w:val="Subtitle"/>
    <w:link w:val="TitleChar"/>
    <w:uiPriority w:val="10"/>
    <w:qFormat/>
    <w:rsid w:val="5D899F29"/>
    <w:pPr>
      <w:contextualSpacing/>
    </w:pPr>
    <w:rPr>
      <w:rFonts w:eastAsiaTheme="majorEastAsia" w:cstheme="majorBidi"/>
      <w:color w:val="EB0000" w:themeColor="text2"/>
      <w:sz w:val="72"/>
      <w:szCs w:val="72"/>
    </w:rPr>
  </w:style>
  <w:style w:type="character" w:customStyle="1" w:styleId="TitleChar">
    <w:name w:val="Title Char"/>
    <w:aliases w:val="Document Title Char"/>
    <w:basedOn w:val="DefaultParagraphFont"/>
    <w:link w:val="Title"/>
    <w:uiPriority w:val="10"/>
    <w:rsid w:val="5D899F29"/>
    <w:rPr>
      <w:rFonts w:ascii="Arial" w:eastAsiaTheme="majorEastAsia" w:hAnsi="Arial" w:cstheme="majorBidi"/>
      <w:noProof w:val="0"/>
      <w:color w:val="EB0000" w:themeColor="text2"/>
      <w:sz w:val="72"/>
      <w:szCs w:val="72"/>
      <w:lang w:val="en-GB"/>
    </w:rPr>
  </w:style>
  <w:style w:type="paragraph" w:styleId="Subtitle">
    <w:name w:val="Subtitle"/>
    <w:basedOn w:val="Normal"/>
    <w:next w:val="Normal"/>
    <w:link w:val="SubtitleChar"/>
    <w:uiPriority w:val="11"/>
    <w:qFormat/>
    <w:rsid w:val="5D899F29"/>
    <w:rPr>
      <w:rFonts w:cs="Times New Roman (Headings CS)"/>
      <w:color w:val="000000" w:themeColor="text1"/>
      <w:sz w:val="32"/>
      <w:szCs w:val="32"/>
    </w:rPr>
  </w:style>
  <w:style w:type="character" w:customStyle="1" w:styleId="SubtitleChar">
    <w:name w:val="Subtitle Char"/>
    <w:basedOn w:val="DefaultParagraphFont"/>
    <w:link w:val="Subtitle"/>
    <w:uiPriority w:val="11"/>
    <w:rsid w:val="5D899F29"/>
    <w:rPr>
      <w:rFonts w:ascii="Arial" w:eastAsiaTheme="minorEastAsia" w:hAnsi="Arial" w:cs="Times New Roman (Headings CS)"/>
      <w:noProof w:val="0"/>
      <w:color w:val="000000" w:themeColor="text1"/>
      <w:sz w:val="32"/>
      <w:szCs w:val="32"/>
      <w:lang w:val="en-GB"/>
    </w:rPr>
  </w:style>
  <w:style w:type="paragraph" w:styleId="Quote">
    <w:name w:val="Quote"/>
    <w:basedOn w:val="Normal"/>
    <w:next w:val="Normal"/>
    <w:link w:val="QuoteChar"/>
    <w:uiPriority w:val="29"/>
    <w:qFormat/>
    <w:rsid w:val="5D899F29"/>
    <w:pPr>
      <w:spacing w:before="200"/>
      <w:ind w:left="720" w:right="720"/>
    </w:pPr>
    <w:rPr>
      <w:i/>
      <w:iCs/>
      <w:color w:val="404040" w:themeColor="text1" w:themeTint="BF"/>
    </w:rPr>
  </w:style>
  <w:style w:type="character" w:customStyle="1" w:styleId="QuoteChar">
    <w:name w:val="Quote Char"/>
    <w:basedOn w:val="DefaultParagraphFont"/>
    <w:link w:val="Quote"/>
    <w:uiPriority w:val="29"/>
    <w:rsid w:val="5D899F29"/>
    <w:rPr>
      <w:rFonts w:ascii="Arial" w:eastAsiaTheme="minorEastAsia" w:hAnsi="Arial" w:cstheme="minorBidi"/>
      <w:i/>
      <w:iCs/>
      <w:noProof w:val="0"/>
      <w:color w:val="404040" w:themeColor="text1" w:themeTint="BF"/>
      <w:sz w:val="22"/>
      <w:szCs w:val="22"/>
      <w:lang w:val="en-GB"/>
    </w:rPr>
  </w:style>
  <w:style w:type="paragraph" w:styleId="BodyText">
    <w:name w:val="Body Text"/>
    <w:basedOn w:val="Normal"/>
    <w:link w:val="BodyTextChar"/>
    <w:uiPriority w:val="1"/>
    <w:qFormat/>
    <w:rsid w:val="5D899F29"/>
    <w:rPr>
      <w:rFonts w:eastAsia="ArialNova-Light" w:cs="ArialNova-Light"/>
      <w:sz w:val="18"/>
      <w:szCs w:val="18"/>
      <w:lang w:bidi="en-US"/>
    </w:rPr>
  </w:style>
  <w:style w:type="character" w:customStyle="1" w:styleId="BodyTextChar">
    <w:name w:val="Body Text Char"/>
    <w:basedOn w:val="DefaultParagraphFont"/>
    <w:link w:val="BodyText"/>
    <w:uiPriority w:val="1"/>
    <w:rsid w:val="5D899F29"/>
    <w:rPr>
      <w:rFonts w:ascii="Arial" w:eastAsia="ArialNova-Light" w:hAnsi="Arial" w:cs="ArialNova-Light"/>
      <w:noProof w:val="0"/>
      <w:sz w:val="18"/>
      <w:szCs w:val="18"/>
      <w:lang w:val="en-GB" w:bidi="en-US"/>
    </w:rPr>
  </w:style>
  <w:style w:type="paragraph" w:customStyle="1" w:styleId="InsetText">
    <w:name w:val="Inset Text"/>
    <w:basedOn w:val="Normal"/>
    <w:uiPriority w:val="1"/>
    <w:qFormat/>
    <w:rsid w:val="5D899F29"/>
    <w:pPr>
      <w:ind w:left="540" w:right="540"/>
    </w:pPr>
  </w:style>
  <w:style w:type="paragraph" w:customStyle="1" w:styleId="Title2">
    <w:name w:val="Title 2"/>
    <w:basedOn w:val="Normal"/>
    <w:uiPriority w:val="1"/>
    <w:qFormat/>
    <w:rsid w:val="5D899F29"/>
    <w:pPr>
      <w:spacing w:after="120"/>
    </w:pPr>
    <w:rPr>
      <w:color w:val="EB0000" w:themeColor="text2"/>
      <w:sz w:val="44"/>
      <w:szCs w:val="44"/>
    </w:rPr>
  </w:style>
  <w:style w:type="paragraph" w:styleId="NoSpacing">
    <w:name w:val="No Spacing"/>
    <w:link w:val="NoSpacingChar"/>
    <w:uiPriority w:val="1"/>
    <w:qFormat/>
    <w:rsid w:val="00364663"/>
    <w:pPr>
      <w:spacing w:after="120" w:line="240" w:lineRule="auto"/>
    </w:pPr>
    <w:rPr>
      <w:rFonts w:ascii="Arial" w:hAnsi="Arial"/>
      <w:sz w:val="22"/>
    </w:rPr>
  </w:style>
  <w:style w:type="paragraph" w:styleId="BalloonText">
    <w:name w:val="Balloon Text"/>
    <w:basedOn w:val="Normal"/>
    <w:link w:val="BalloonTextChar"/>
    <w:uiPriority w:val="99"/>
    <w:semiHidden/>
    <w:unhideWhenUsed/>
    <w:rsid w:val="5D899F29"/>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5D899F29"/>
    <w:rPr>
      <w:rFonts w:ascii="Times New Roman" w:eastAsiaTheme="minorEastAsia" w:hAnsi="Times New Roman" w:cs="Times New Roman"/>
      <w:noProof w:val="0"/>
      <w:sz w:val="18"/>
      <w:szCs w:val="18"/>
      <w:lang w:val="en-GB"/>
    </w:rPr>
  </w:style>
  <w:style w:type="character" w:customStyle="1" w:styleId="Heading3Char">
    <w:name w:val="Heading 3 Char"/>
    <w:basedOn w:val="DefaultParagraphFont"/>
    <w:link w:val="Heading3"/>
    <w:uiPriority w:val="9"/>
    <w:rsid w:val="5D899F29"/>
    <w:rPr>
      <w:rFonts w:ascii="Arial" w:eastAsiaTheme="majorEastAsia" w:hAnsi="Arial" w:cstheme="majorBidi"/>
      <w:b/>
      <w:bCs/>
      <w:noProof w:val="0"/>
      <w:color w:val="000000" w:themeColor="text1"/>
      <w:sz w:val="28"/>
      <w:szCs w:val="28"/>
      <w:lang w:val="en-GB"/>
    </w:rPr>
  </w:style>
  <w:style w:type="character" w:customStyle="1" w:styleId="Heading4Char">
    <w:name w:val="Heading 4 Char"/>
    <w:basedOn w:val="DefaultParagraphFont"/>
    <w:link w:val="Heading4"/>
    <w:uiPriority w:val="9"/>
    <w:rsid w:val="5D899F29"/>
    <w:rPr>
      <w:rFonts w:ascii="Arial" w:eastAsiaTheme="majorEastAsia" w:hAnsi="Arial" w:cs="Times New Roman (Headings CS)"/>
      <w:b/>
      <w:bCs/>
      <w:noProof w:val="0"/>
      <w:color w:val="000000" w:themeColor="text1"/>
      <w:lang w:val="en-GB"/>
    </w:rPr>
  </w:style>
  <w:style w:type="character" w:customStyle="1" w:styleId="Heading5Char">
    <w:name w:val="Heading 5 Char"/>
    <w:basedOn w:val="DefaultParagraphFont"/>
    <w:link w:val="Heading5"/>
    <w:uiPriority w:val="9"/>
    <w:rsid w:val="5D899F29"/>
    <w:rPr>
      <w:rFonts w:asciiTheme="majorHAnsi" w:eastAsiaTheme="majorEastAsia" w:hAnsiTheme="majorHAnsi" w:cs="Times New Roman (Headings CS)"/>
      <w:b/>
      <w:bCs/>
      <w:caps/>
      <w:noProof w:val="0"/>
      <w:color w:val="000000" w:themeColor="text1"/>
      <w:sz w:val="22"/>
      <w:szCs w:val="22"/>
      <w:lang w:val="en-GB"/>
    </w:rPr>
  </w:style>
  <w:style w:type="character" w:customStyle="1" w:styleId="Heading6Char">
    <w:name w:val="Heading 6 Char"/>
    <w:basedOn w:val="DefaultParagraphFont"/>
    <w:link w:val="Heading6"/>
    <w:uiPriority w:val="9"/>
    <w:rsid w:val="5D899F29"/>
    <w:rPr>
      <w:rFonts w:asciiTheme="majorHAnsi" w:eastAsiaTheme="majorEastAsia" w:hAnsiTheme="majorHAnsi" w:cstheme="majorBidi"/>
      <w:b/>
      <w:bCs/>
      <w:noProof w:val="0"/>
      <w:color w:val="000000" w:themeColor="text1"/>
      <w:sz w:val="22"/>
      <w:szCs w:val="22"/>
      <w:lang w:val="en-GB"/>
    </w:rPr>
  </w:style>
  <w:style w:type="character" w:customStyle="1" w:styleId="Heading7Char">
    <w:name w:val="Heading 7 Char"/>
    <w:basedOn w:val="DefaultParagraphFont"/>
    <w:link w:val="Heading7"/>
    <w:uiPriority w:val="9"/>
    <w:rsid w:val="5D899F29"/>
    <w:rPr>
      <w:rFonts w:asciiTheme="majorHAnsi" w:eastAsiaTheme="majorEastAsia" w:hAnsiTheme="majorHAnsi" w:cstheme="majorBidi"/>
      <w:b/>
      <w:bCs/>
      <w:noProof w:val="0"/>
      <w:color w:val="000000" w:themeColor="text1"/>
      <w:sz w:val="20"/>
      <w:szCs w:val="20"/>
      <w:lang w:val="en-GB"/>
    </w:rPr>
  </w:style>
  <w:style w:type="table" w:styleId="TableGrid">
    <w:name w:val="Table Grid"/>
    <w:aliases w:val="Table no border,Table Grid for Notes/Tips,new tab,Equifax table,Header Table"/>
    <w:basedOn w:val="TableNormal"/>
    <w:uiPriority w:val="39"/>
    <w:rsid w:val="00D6305D"/>
    <w:pPr>
      <w:spacing w:after="0" w:line="240" w:lineRule="auto"/>
    </w:pPr>
    <w:rPr>
      <w:rFonts w:ascii="Arial" w:eastAsia="Times New Roman" w:hAnsi="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next w:val="TableInfo"/>
    <w:uiPriority w:val="1"/>
    <w:qFormat/>
    <w:rsid w:val="5D899F29"/>
    <w:pPr>
      <w:spacing w:after="0"/>
    </w:pPr>
    <w:rPr>
      <w:b/>
      <w:bCs/>
      <w:sz w:val="18"/>
      <w:szCs w:val="18"/>
    </w:rPr>
  </w:style>
  <w:style w:type="paragraph" w:customStyle="1" w:styleId="TableInfo">
    <w:name w:val="Table Info"/>
    <w:qFormat/>
    <w:rsid w:val="00D6305D"/>
    <w:pPr>
      <w:suppressAutoHyphens/>
      <w:spacing w:after="0" w:line="240" w:lineRule="auto"/>
    </w:pPr>
    <w:rPr>
      <w:rFonts w:ascii="Arial" w:hAnsi="Arial"/>
      <w:sz w:val="18"/>
      <w:szCs w:val="15"/>
    </w:rPr>
  </w:style>
  <w:style w:type="paragraph" w:styleId="TOC1">
    <w:name w:val="toc 1"/>
    <w:basedOn w:val="Normal"/>
    <w:next w:val="Normal"/>
    <w:uiPriority w:val="39"/>
    <w:unhideWhenUsed/>
    <w:qFormat/>
    <w:rsid w:val="5D899F29"/>
    <w:pPr>
      <w:spacing w:after="100"/>
    </w:pPr>
    <w:rPr>
      <w:b/>
      <w:bCs/>
      <w:sz w:val="24"/>
      <w:szCs w:val="24"/>
    </w:rPr>
  </w:style>
  <w:style w:type="paragraph" w:styleId="TOC2">
    <w:name w:val="toc 2"/>
    <w:basedOn w:val="Normal"/>
    <w:next w:val="Normal"/>
    <w:uiPriority w:val="39"/>
    <w:unhideWhenUsed/>
    <w:qFormat/>
    <w:rsid w:val="5D899F29"/>
    <w:pPr>
      <w:spacing w:after="100"/>
      <w:ind w:left="220"/>
    </w:pPr>
    <w:rPr>
      <w:b/>
      <w:bCs/>
      <w:sz w:val="20"/>
      <w:szCs w:val="20"/>
    </w:rPr>
  </w:style>
  <w:style w:type="paragraph" w:styleId="TOC3">
    <w:name w:val="toc 3"/>
    <w:basedOn w:val="Normal"/>
    <w:next w:val="Normal"/>
    <w:uiPriority w:val="39"/>
    <w:unhideWhenUsed/>
    <w:qFormat/>
    <w:rsid w:val="5D899F29"/>
    <w:pPr>
      <w:spacing w:after="100"/>
      <w:ind w:left="440"/>
    </w:pPr>
    <w:rPr>
      <w:sz w:val="20"/>
      <w:szCs w:val="20"/>
    </w:rPr>
  </w:style>
  <w:style w:type="character" w:styleId="Hyperlink">
    <w:name w:val="Hyperlink"/>
    <w:basedOn w:val="DefaultParagraphFont"/>
    <w:uiPriority w:val="99"/>
    <w:unhideWhenUsed/>
    <w:rsid w:val="00901E7D"/>
    <w:rPr>
      <w:color w:val="EB0000" w:themeColor="hyperlink"/>
      <w:u w:val="single"/>
    </w:rPr>
  </w:style>
  <w:style w:type="paragraph" w:styleId="TOC4">
    <w:name w:val="toc 4"/>
    <w:basedOn w:val="Normal"/>
    <w:next w:val="Normal"/>
    <w:uiPriority w:val="39"/>
    <w:unhideWhenUsed/>
    <w:rsid w:val="5D899F29"/>
    <w:pPr>
      <w:spacing w:after="100"/>
      <w:ind w:left="660"/>
    </w:pPr>
    <w:rPr>
      <w:sz w:val="20"/>
      <w:szCs w:val="20"/>
    </w:rPr>
  </w:style>
  <w:style w:type="character" w:customStyle="1" w:styleId="NoSpacingChar">
    <w:name w:val="No Spacing Char"/>
    <w:basedOn w:val="DefaultParagraphFont"/>
    <w:link w:val="NoSpacing"/>
    <w:uiPriority w:val="1"/>
    <w:rsid w:val="00F23729"/>
    <w:rPr>
      <w:rFonts w:ascii="Arial" w:hAnsi="Arial"/>
      <w:sz w:val="22"/>
    </w:rPr>
  </w:style>
  <w:style w:type="paragraph" w:styleId="Header">
    <w:name w:val="header"/>
    <w:basedOn w:val="Normal"/>
    <w:link w:val="HeaderChar"/>
    <w:uiPriority w:val="99"/>
    <w:unhideWhenUsed/>
    <w:rsid w:val="5D899F29"/>
    <w:pPr>
      <w:tabs>
        <w:tab w:val="center" w:pos="4680"/>
        <w:tab w:val="right" w:pos="9360"/>
      </w:tabs>
      <w:spacing w:after="0"/>
    </w:pPr>
  </w:style>
  <w:style w:type="character" w:customStyle="1" w:styleId="HeaderChar">
    <w:name w:val="Header Char"/>
    <w:basedOn w:val="DefaultParagraphFont"/>
    <w:link w:val="Header"/>
    <w:uiPriority w:val="99"/>
    <w:rsid w:val="5D899F29"/>
    <w:rPr>
      <w:rFonts w:ascii="Arial" w:eastAsiaTheme="minorEastAsia" w:hAnsi="Arial" w:cstheme="minorBidi"/>
      <w:noProof w:val="0"/>
      <w:sz w:val="22"/>
      <w:szCs w:val="22"/>
      <w:lang w:val="en-GB"/>
    </w:rPr>
  </w:style>
  <w:style w:type="paragraph" w:styleId="Footer">
    <w:name w:val="footer"/>
    <w:basedOn w:val="Normal"/>
    <w:link w:val="FooterChar"/>
    <w:uiPriority w:val="99"/>
    <w:unhideWhenUsed/>
    <w:rsid w:val="5D899F29"/>
    <w:pPr>
      <w:tabs>
        <w:tab w:val="center" w:pos="4680"/>
        <w:tab w:val="right" w:pos="9360"/>
      </w:tabs>
      <w:spacing w:after="0"/>
    </w:pPr>
  </w:style>
  <w:style w:type="character" w:customStyle="1" w:styleId="FooterChar">
    <w:name w:val="Footer Char"/>
    <w:basedOn w:val="DefaultParagraphFont"/>
    <w:link w:val="Footer"/>
    <w:uiPriority w:val="99"/>
    <w:rsid w:val="5D899F29"/>
    <w:rPr>
      <w:rFonts w:ascii="Arial" w:eastAsiaTheme="minorEastAsia" w:hAnsi="Arial" w:cstheme="minorBidi"/>
      <w:noProof w:val="0"/>
      <w:sz w:val="22"/>
      <w:szCs w:val="22"/>
      <w:lang w:val="en-GB"/>
    </w:rPr>
  </w:style>
  <w:style w:type="character" w:customStyle="1" w:styleId="WhiteText">
    <w:name w:val="White Text"/>
    <w:uiPriority w:val="1"/>
    <w:qFormat/>
    <w:rsid w:val="001A017B"/>
    <w:rPr>
      <w:color w:val="FFFFFF" w:themeColor="background1"/>
    </w:rPr>
  </w:style>
  <w:style w:type="paragraph" w:customStyle="1" w:styleId="AddressandName">
    <w:name w:val="Address and Name"/>
    <w:basedOn w:val="Normal"/>
    <w:uiPriority w:val="1"/>
    <w:qFormat/>
    <w:rsid w:val="5D899F29"/>
    <w:pPr>
      <w:spacing w:after="0"/>
    </w:pPr>
  </w:style>
  <w:style w:type="paragraph" w:styleId="ListParagraph">
    <w:name w:val="List Paragraph"/>
    <w:basedOn w:val="Normal"/>
    <w:uiPriority w:val="34"/>
    <w:qFormat/>
    <w:rsid w:val="5D899F29"/>
    <w:pPr>
      <w:ind w:left="720"/>
      <w:contextualSpacing/>
    </w:pPr>
  </w:style>
  <w:style w:type="character" w:customStyle="1" w:styleId="Heading8Char">
    <w:name w:val="Heading 8 Char"/>
    <w:basedOn w:val="DefaultParagraphFont"/>
    <w:link w:val="Heading8"/>
    <w:uiPriority w:val="9"/>
    <w:rsid w:val="5D899F29"/>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5D899F29"/>
    <w:rPr>
      <w:rFonts w:asciiTheme="majorHAnsi" w:eastAsiaTheme="majorEastAsia" w:hAnsiTheme="majorHAnsi" w:cstheme="majorBidi"/>
      <w:i/>
      <w:iCs/>
      <w:noProof w:val="0"/>
      <w:color w:val="272727"/>
      <w:sz w:val="21"/>
      <w:szCs w:val="21"/>
      <w:lang w:val="en-GB"/>
    </w:rPr>
  </w:style>
  <w:style w:type="paragraph" w:styleId="TOC5">
    <w:name w:val="toc 5"/>
    <w:basedOn w:val="Normal"/>
    <w:next w:val="Normal"/>
    <w:uiPriority w:val="39"/>
    <w:unhideWhenUsed/>
    <w:rsid w:val="5D899F29"/>
    <w:pPr>
      <w:spacing w:after="100"/>
      <w:ind w:left="880"/>
    </w:pPr>
  </w:style>
  <w:style w:type="paragraph" w:styleId="TOC6">
    <w:name w:val="toc 6"/>
    <w:basedOn w:val="Normal"/>
    <w:next w:val="Normal"/>
    <w:uiPriority w:val="39"/>
    <w:unhideWhenUsed/>
    <w:rsid w:val="5D899F29"/>
    <w:pPr>
      <w:spacing w:after="100"/>
      <w:ind w:left="1100"/>
    </w:pPr>
  </w:style>
  <w:style w:type="paragraph" w:styleId="TOC7">
    <w:name w:val="toc 7"/>
    <w:basedOn w:val="Normal"/>
    <w:next w:val="Normal"/>
    <w:uiPriority w:val="39"/>
    <w:unhideWhenUsed/>
    <w:rsid w:val="5D899F29"/>
    <w:pPr>
      <w:spacing w:after="100"/>
      <w:ind w:left="1320"/>
    </w:pPr>
  </w:style>
  <w:style w:type="paragraph" w:styleId="TOC8">
    <w:name w:val="toc 8"/>
    <w:basedOn w:val="Normal"/>
    <w:next w:val="Normal"/>
    <w:uiPriority w:val="39"/>
    <w:unhideWhenUsed/>
    <w:rsid w:val="5D899F29"/>
    <w:pPr>
      <w:spacing w:after="100"/>
      <w:ind w:left="1540"/>
    </w:pPr>
  </w:style>
  <w:style w:type="paragraph" w:styleId="TOC9">
    <w:name w:val="toc 9"/>
    <w:basedOn w:val="Normal"/>
    <w:next w:val="Normal"/>
    <w:uiPriority w:val="39"/>
    <w:unhideWhenUsed/>
    <w:rsid w:val="5D899F29"/>
    <w:pPr>
      <w:spacing w:after="100"/>
      <w:ind w:left="1760"/>
    </w:pPr>
  </w:style>
  <w:style w:type="paragraph" w:styleId="EndnoteText">
    <w:name w:val="endnote text"/>
    <w:basedOn w:val="Normal"/>
    <w:link w:val="EndnoteTextChar"/>
    <w:uiPriority w:val="99"/>
    <w:semiHidden/>
    <w:unhideWhenUsed/>
    <w:rsid w:val="5D899F29"/>
    <w:pPr>
      <w:spacing w:after="0"/>
    </w:pPr>
    <w:rPr>
      <w:sz w:val="20"/>
      <w:szCs w:val="20"/>
    </w:rPr>
  </w:style>
  <w:style w:type="character" w:customStyle="1" w:styleId="EndnoteTextChar">
    <w:name w:val="Endnote Text Char"/>
    <w:basedOn w:val="DefaultParagraphFont"/>
    <w:link w:val="EndnoteText"/>
    <w:uiPriority w:val="99"/>
    <w:semiHidden/>
    <w:rsid w:val="5D899F29"/>
    <w:rPr>
      <w:noProof w:val="0"/>
      <w:sz w:val="20"/>
      <w:szCs w:val="20"/>
      <w:lang w:val="en-GB"/>
    </w:rPr>
  </w:style>
  <w:style w:type="paragraph" w:styleId="FootnoteText">
    <w:name w:val="footnote text"/>
    <w:basedOn w:val="Normal"/>
    <w:link w:val="FootnoteTextChar"/>
    <w:uiPriority w:val="99"/>
    <w:semiHidden/>
    <w:unhideWhenUsed/>
    <w:rsid w:val="5D899F29"/>
    <w:pPr>
      <w:spacing w:after="0"/>
    </w:pPr>
    <w:rPr>
      <w:sz w:val="20"/>
      <w:szCs w:val="20"/>
    </w:rPr>
  </w:style>
  <w:style w:type="character" w:customStyle="1" w:styleId="FootnoteTextChar">
    <w:name w:val="Footnote Text Char"/>
    <w:basedOn w:val="DefaultParagraphFont"/>
    <w:link w:val="FootnoteText"/>
    <w:uiPriority w:val="99"/>
    <w:semiHidden/>
    <w:rsid w:val="5D899F29"/>
    <w:rPr>
      <w:noProof w:val="0"/>
      <w:sz w:val="20"/>
      <w:szCs w:val="20"/>
      <w:lang w:val="en-GB"/>
    </w:rPr>
  </w:style>
  <w:style w:type="paragraph" w:styleId="ListBullet">
    <w:name w:val="List Bullet"/>
    <w:basedOn w:val="Normal"/>
    <w:uiPriority w:val="99"/>
    <w:unhideWhenUsed/>
    <w:rsid w:val="00DA2C36"/>
    <w:pPr>
      <w:spacing w:after="120"/>
    </w:pPr>
    <w:rPr>
      <w:rFonts w:ascii="Arial" w:eastAsiaTheme="minorHAnsi" w:hAnsi="Arial"/>
      <w:szCs w:val="24"/>
      <w:lang w:val="en-US"/>
    </w:rPr>
  </w:style>
  <w:style w:type="paragraph" w:styleId="ListBullet2">
    <w:name w:val="List Bullet 2"/>
    <w:basedOn w:val="Normal"/>
    <w:uiPriority w:val="99"/>
    <w:unhideWhenUsed/>
    <w:rsid w:val="00DA2C36"/>
    <w:pPr>
      <w:numPr>
        <w:numId w:val="2"/>
      </w:numPr>
      <w:spacing w:after="120" w:line="276" w:lineRule="auto"/>
      <w:ind w:left="560" w:hanging="280"/>
    </w:pPr>
    <w:rPr>
      <w:rFonts w:ascii="Arial" w:eastAsiaTheme="minorHAnsi" w:hAnsi="Arial"/>
      <w:sz w:val="20"/>
      <w:szCs w:val="24"/>
      <w:lang w:val="en-US"/>
    </w:rPr>
  </w:style>
  <w:style w:type="paragraph" w:styleId="ListBullet3">
    <w:name w:val="List Bullet 3"/>
    <w:basedOn w:val="Normal"/>
    <w:uiPriority w:val="99"/>
    <w:unhideWhenUsed/>
    <w:rsid w:val="00DA2C36"/>
    <w:pPr>
      <w:numPr>
        <w:numId w:val="1"/>
      </w:numPr>
      <w:spacing w:after="120" w:line="276" w:lineRule="auto"/>
      <w:ind w:left="800" w:hanging="240"/>
    </w:pPr>
    <w:rPr>
      <w:rFonts w:ascii="Arial" w:eastAsiaTheme="minorHAnsi" w:hAnsi="Arial"/>
      <w:sz w:val="20"/>
      <w:szCs w:val="24"/>
      <w:lang w:val="en-US"/>
    </w:rPr>
  </w:style>
  <w:style w:type="character" w:styleId="CommentReference">
    <w:name w:val="annotation reference"/>
    <w:basedOn w:val="DefaultParagraphFont"/>
    <w:uiPriority w:val="99"/>
    <w:semiHidden/>
    <w:unhideWhenUsed/>
    <w:rsid w:val="00186241"/>
    <w:rPr>
      <w:sz w:val="16"/>
      <w:szCs w:val="16"/>
    </w:rPr>
  </w:style>
  <w:style w:type="paragraph" w:styleId="CommentText">
    <w:name w:val="annotation text"/>
    <w:basedOn w:val="Normal"/>
    <w:link w:val="CommentTextChar"/>
    <w:uiPriority w:val="99"/>
    <w:unhideWhenUsed/>
    <w:rsid w:val="00186241"/>
    <w:pPr>
      <w:spacing w:line="240" w:lineRule="auto"/>
    </w:pPr>
    <w:rPr>
      <w:sz w:val="20"/>
      <w:szCs w:val="20"/>
    </w:rPr>
  </w:style>
  <w:style w:type="character" w:customStyle="1" w:styleId="CommentTextChar">
    <w:name w:val="Comment Text Char"/>
    <w:basedOn w:val="DefaultParagraphFont"/>
    <w:link w:val="CommentText"/>
    <w:uiPriority w:val="99"/>
    <w:rsid w:val="00186241"/>
    <w:rPr>
      <w:rFonts w:eastAsiaTheme="minorEastAsia"/>
      <w:sz w:val="20"/>
      <w:szCs w:val="20"/>
      <w:lang w:val="en-GB"/>
    </w:rPr>
  </w:style>
  <w:style w:type="paragraph" w:styleId="CommentSubject">
    <w:name w:val="annotation subject"/>
    <w:basedOn w:val="CommentText"/>
    <w:next w:val="CommentText"/>
    <w:link w:val="CommentSubjectChar"/>
    <w:uiPriority w:val="99"/>
    <w:semiHidden/>
    <w:unhideWhenUsed/>
    <w:rsid w:val="00186241"/>
    <w:rPr>
      <w:b/>
      <w:bCs/>
    </w:rPr>
  </w:style>
  <w:style w:type="character" w:customStyle="1" w:styleId="CommentSubjectChar">
    <w:name w:val="Comment Subject Char"/>
    <w:basedOn w:val="CommentTextChar"/>
    <w:link w:val="CommentSubject"/>
    <w:uiPriority w:val="99"/>
    <w:semiHidden/>
    <w:rsid w:val="00186241"/>
    <w:rPr>
      <w:rFonts w:eastAsiaTheme="minorEastAsia"/>
      <w:b/>
      <w:bCs/>
      <w:sz w:val="20"/>
      <w:szCs w:val="20"/>
      <w:lang w:val="en-GB"/>
    </w:rPr>
  </w:style>
  <w:style w:type="character" w:styleId="Mention">
    <w:name w:val="Mention"/>
    <w:basedOn w:val="DefaultParagraphFont"/>
    <w:uiPriority w:val="99"/>
    <w:unhideWhenUsed/>
    <w:rsid w:val="000E2CEA"/>
    <w:rPr>
      <w:color w:val="2B579A"/>
      <w:shd w:val="clear" w:color="auto" w:fill="E1DFDD"/>
    </w:rPr>
  </w:style>
  <w:style w:type="character" w:styleId="UnresolvedMention">
    <w:name w:val="Unresolved Mention"/>
    <w:basedOn w:val="DefaultParagraphFont"/>
    <w:uiPriority w:val="99"/>
    <w:semiHidden/>
    <w:unhideWhenUsed/>
    <w:rsid w:val="00D40AE3"/>
    <w:rPr>
      <w:color w:val="605E5C"/>
      <w:shd w:val="clear" w:color="auto" w:fill="E1DFDD"/>
    </w:rPr>
  </w:style>
  <w:style w:type="character" w:styleId="BookTitle">
    <w:name w:val="Book Title"/>
    <w:basedOn w:val="DefaultParagraphFont"/>
    <w:uiPriority w:val="33"/>
    <w:qFormat/>
    <w:rsid w:val="00D40AE3"/>
    <w:rPr>
      <w:b/>
      <w:bCs/>
      <w:i/>
      <w:iCs/>
      <w:spacing w:val="5"/>
    </w:rPr>
  </w:style>
  <w:style w:type="paragraph" w:styleId="NormalWeb">
    <w:name w:val="Normal (Web)"/>
    <w:basedOn w:val="Normal"/>
    <w:uiPriority w:val="99"/>
    <w:semiHidden/>
    <w:unhideWhenUsed/>
    <w:rsid w:val="000D0599"/>
    <w:pPr>
      <w:spacing w:before="100" w:beforeAutospacing="1" w:after="100" w:afterAutospacing="1" w:line="240" w:lineRule="auto"/>
    </w:pPr>
    <w:rPr>
      <w:rFonts w:ascii="Times New Roman" w:eastAsia="Times New Roman" w:hAnsi="Times New Roman" w:cs="Times New Roman"/>
      <w:sz w:val="24"/>
      <w:szCs w:val="24"/>
      <w:lang w:val="en-IN" w:eastAsia="en-IN" w:bidi="or-IN"/>
    </w:rPr>
  </w:style>
  <w:style w:type="paragraph" w:styleId="Revision">
    <w:name w:val="Revision"/>
    <w:hidden/>
    <w:uiPriority w:val="99"/>
    <w:semiHidden/>
    <w:rsid w:val="00597535"/>
    <w:pPr>
      <w:spacing w:after="0" w:line="240" w:lineRule="auto"/>
    </w:pPr>
    <w:rPr>
      <w:rFonts w:eastAsiaTheme="minorEastAsia"/>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C2A32E9C-2EBD-46DF-9C94-86D5B6392559}">
    <t:Anchor>
      <t:Comment id="101534012"/>
    </t:Anchor>
    <t:History>
      <t:Event id="{B9CA836D-9EF2-4239-AA1C-B5C57D6803B6}" time="2026-04-22T10:37:40.259Z">
        <t:Attribution userId="S::matthew.wright@rackspace.com::0d3ab189-59d5-47dc-8275-9fbc0b028d65" userProvider="AD" userName="Matthew Wright"/>
        <t:Anchor>
          <t:Comment id="101534012"/>
        </t:Anchor>
        <t:Create/>
      </t:Event>
      <t:Event id="{8F01B746-37F0-43E5-B140-0B2A84451CAC}" time="2026-04-22T10:37:40.259Z">
        <t:Attribution userId="S::matthew.wright@rackspace.com::0d3ab189-59d5-47dc-8275-9fbc0b028d65" userProvider="AD" userName="Matthew Wright"/>
        <t:Anchor>
          <t:Comment id="101534012"/>
        </t:Anchor>
        <t:Assign userId="S::anshuman.nath@rackspace.com::c05c3c85-26fd-4b59-8932-a76e100e8883" userProvider="AD" userName="Anshuman Nath"/>
      </t:Event>
      <t:Event id="{27EC75C4-354C-4755-9198-B8E8BA30F0A4}" time="2026-04-22T10:37:40.259Z">
        <t:Attribution userId="S::matthew.wright@rackspace.com::0d3ab189-59d5-47dc-8275-9fbc0b028d65" userProvider="AD" userName="Matthew Wright"/>
        <t:Anchor>
          <t:Comment id="101534012"/>
        </t:Anchor>
        <t:SetTitle title="Needs to be updated @Anshuman Nath to help please. "/>
      </t:Event>
    </t:History>
  </t:Task>
</t:Tasks>
</file>

<file path=word/theme/theme1.xml><?xml version="1.0" encoding="utf-8"?>
<a:theme xmlns:a="http://schemas.openxmlformats.org/drawingml/2006/main" name="Rackspace2019">
  <a:themeElements>
    <a:clrScheme name="Rackspace2019">
      <a:dk1>
        <a:srgbClr val="000000"/>
      </a:dk1>
      <a:lt1>
        <a:srgbClr val="FFFFFF"/>
      </a:lt1>
      <a:dk2>
        <a:srgbClr val="EB0000"/>
      </a:dk2>
      <a:lt2>
        <a:srgbClr val="FFDEDE"/>
      </a:lt2>
      <a:accent1>
        <a:srgbClr val="95008A"/>
      </a:accent1>
      <a:accent2>
        <a:srgbClr val="F6D6F4"/>
      </a:accent2>
      <a:accent3>
        <a:srgbClr val="3300FB"/>
      </a:accent3>
      <a:accent4>
        <a:srgbClr val="E8F1FC"/>
      </a:accent4>
      <a:accent5>
        <a:srgbClr val="00C8BC"/>
      </a:accent5>
      <a:accent6>
        <a:srgbClr val="D1FFFB"/>
      </a:accent6>
      <a:hlink>
        <a:srgbClr val="EB0000"/>
      </a:hlink>
      <a:folHlink>
        <a:srgbClr val="EB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ttle_Card" id="{AE004379-5750-6642-A2A4-75375F1AC4C3}" vid="{43733E6F-C3D0-1846-9258-0471E47E021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04D1C152C32946844AA72ED5B510AE" ma:contentTypeVersion="24" ma:contentTypeDescription="Create a new document." ma:contentTypeScope="" ma:versionID="40948e22bc3c5fc56b3589e180180867">
  <xsd:schema xmlns:xsd="http://www.w3.org/2001/XMLSchema" xmlns:xs="http://www.w3.org/2001/XMLSchema" xmlns:p="http://schemas.microsoft.com/office/2006/metadata/properties" xmlns:ns2="236d467e-fe90-4ae0-9fe2-011d77897820" xmlns:ns3="4544b03d-ed08-46e1-a5f8-632fc735be33" targetNamespace="http://schemas.microsoft.com/office/2006/metadata/properties" ma:root="true" ma:fieldsID="d8ffb09f5a9b81b82a3526b32c263078" ns2:_="" ns3:_="">
    <xsd:import namespace="236d467e-fe90-4ae0-9fe2-011d77897820"/>
    <xsd:import namespace="4544b03d-ed08-46e1-a5f8-632fc735be3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_Flow_SignoffStatu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DateandTime" minOccurs="0"/>
                <xsd:element ref="ns2:MediaServiceObjectDetectorVersions" minOccurs="0"/>
                <xsd:element ref="ns2:AssignedTo" minOccurs="0"/>
                <xsd:element ref="ns2:MediaServiceSearchProperties" minOccurs="0"/>
                <xsd:element ref="ns2:Tag"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6d467e-fe90-4ae0-9fe2-011d778978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Flow_SignoffStatus" ma:index="18" nillable="true" ma:displayName="Sign-off status" ma:internalName="Sign_x002d_off_x0020_status">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de1bf74-4a37-48ce-b614-74b37de43851" ma:termSetId="09814cd3-568e-fe90-9814-8d621ff8fb84" ma:anchorId="fba54fb3-c3e1-fe81-a776-ca4b69148c4d" ma:open="true" ma:isKeyword="false">
      <xsd:complexType>
        <xsd:sequence>
          <xsd:element ref="pc:Terms" minOccurs="0" maxOccurs="1"/>
        </xsd:sequence>
      </xsd:complexType>
    </xsd:element>
    <xsd:element name="DateandTime" ma:index="25" nillable="true" ma:displayName="Date and Time" ma:format="DateOnly" ma:internalName="DateandTime">
      <xsd:simpleType>
        <xsd:restriction base="dms:DateTim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AssignedTo" ma:index="27" nillable="true" ma:displayName="Assigned To"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Tag" ma:index="29" nillable="true" ma:displayName="Tag" ma:description="Description of document" ma:format="Dropdown" ma:internalName="Tag">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44b03d-ed08-46e1-a5f8-632fc735be3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735703f-a276-49e5-accf-32bfcce930c1}" ma:internalName="TaxCatchAll" ma:showField="CatchAllData" ma:web="4544b03d-ed08-46e1-a5f8-632fc735be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36d467e-fe90-4ae0-9fe2-011d77897820">
      <Terms xmlns="http://schemas.microsoft.com/office/infopath/2007/PartnerControls"/>
    </lcf76f155ced4ddcb4097134ff3c332f>
    <TaxCatchAll xmlns="4544b03d-ed08-46e1-a5f8-632fc735be33" xsi:nil="true"/>
    <Tag xmlns="236d467e-fe90-4ae0-9fe2-011d77897820" xsi:nil="true"/>
    <DateandTime xmlns="236d467e-fe90-4ae0-9fe2-011d77897820" xsi:nil="true"/>
    <AssignedTo xmlns="236d467e-fe90-4ae0-9fe2-011d77897820">
      <UserInfo>
        <DisplayName/>
        <AccountId xsi:nil="true"/>
        <AccountType/>
      </UserInfo>
    </AssignedTo>
    <_Flow_SignoffStatus xmlns="236d467e-fe90-4ae0-9fe2-011d77897820" xsi:nil="true"/>
  </documentManagement>
</p:properties>
</file>

<file path=customXml/itemProps1.xml><?xml version="1.0" encoding="utf-8"?>
<ds:datastoreItem xmlns:ds="http://schemas.openxmlformats.org/officeDocument/2006/customXml" ds:itemID="{0DD80417-4DDF-42F6-82C4-BA3759F64E77}">
  <ds:schemaRefs>
    <ds:schemaRef ds:uri="http://schemas.microsoft.com/sharepoint/v3/contenttype/forms"/>
  </ds:schemaRefs>
</ds:datastoreItem>
</file>

<file path=customXml/itemProps2.xml><?xml version="1.0" encoding="utf-8"?>
<ds:datastoreItem xmlns:ds="http://schemas.openxmlformats.org/officeDocument/2006/customXml" ds:itemID="{897FB845-50CB-4E4F-9CA1-314E74788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6d467e-fe90-4ae0-9fe2-011d77897820"/>
    <ds:schemaRef ds:uri="4544b03d-ed08-46e1-a5f8-632fc735be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20914F-BC94-6240-93B5-6ED25D774804}">
  <ds:schemaRefs>
    <ds:schemaRef ds:uri="http://schemas.openxmlformats.org/officeDocument/2006/bibliography"/>
  </ds:schemaRefs>
</ds:datastoreItem>
</file>

<file path=customXml/itemProps4.xml><?xml version="1.0" encoding="utf-8"?>
<ds:datastoreItem xmlns:ds="http://schemas.openxmlformats.org/officeDocument/2006/customXml" ds:itemID="{8F2FA0D6-E6A7-4413-8213-DA2C5C323674}">
  <ds:schemaRefs>
    <ds:schemaRef ds:uri="http://schemas.microsoft.com/office/2006/metadata/properties"/>
    <ds:schemaRef ds:uri="http://schemas.microsoft.com/office/infopath/2007/PartnerControls"/>
    <ds:schemaRef ds:uri="236d467e-fe90-4ae0-9fe2-011d77897820"/>
    <ds:schemaRef ds:uri="4544b03d-ed08-46e1-a5f8-632fc735be33"/>
  </ds:schemaRefs>
</ds:datastoreItem>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15438</Words>
  <Characters>88001</Characters>
  <Application>Microsoft Office Word</Application>
  <DocSecurity>4</DocSecurity>
  <Lines>733</Lines>
  <Paragraphs>206</Paragraphs>
  <ScaleCrop>false</ScaleCrop>
  <Manager/>
  <Company/>
  <LinksUpToDate>false</LinksUpToDate>
  <CharactersWithSpaces>103233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rstewart@rackspace.com</dc:creator>
  <cp:keywords/>
  <dc:description/>
  <cp:lastModifiedBy>Anshuman Nath</cp:lastModifiedBy>
  <cp:revision>368</cp:revision>
  <cp:lastPrinted>2018-11-20T12:19:00Z</cp:lastPrinted>
  <dcterms:created xsi:type="dcterms:W3CDTF">2023-01-28T19:55:00Z</dcterms:created>
  <dcterms:modified xsi:type="dcterms:W3CDTF">2026-04-25T00:27:00Z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0x010100B104D1C152C32946844AA72ED5B510AE</vt:lpwstr>
  </property>
  <property fmtid="{D5CDD505-2E9C-101B-9397-08002B2CF9AE}" pid="3" name="MediaServiceImageTags">
    <vt:lpwstr/>
  </property>
  <property fmtid="{D5CDD505-2E9C-101B-9397-08002B2CF9AE}" pid="4" name="docLang">
    <vt:lpwstr>en</vt:lpwstr>
  </property>
</Properties>
</file>