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Pr>
      <w:tblGrid>
        <w:gridCol w:w="4680"/>
        <w:gridCol w:w="4680"/>
      </w:tblGrid>
      <w:tr>
        <w:tc>
          <w:tcPr>
            <w:tcW w:type="dxa" w:w="9360"/>
            <w:gridSpan w:val="2"/>
          </w:tcPr>
          <w:p>
            <w:r>
              <w:rPr>
                <w:b/>
                <w:color w:val="E31C3D"/>
              </w:rPr>
              <w:t>DOCUMENT INFORMATION</w:t>
            </w:r>
          </w:p>
        </w:tc>
      </w:tr>
      <w:tr>
        <w:tc>
          <w:tcPr>
            <w:tcW w:type="dxa" w:w="4680"/>
          </w:tcPr>
          <w:p>
            <w:r>
              <w:rPr>
                <w:b/>
              </w:rPr>
              <w:t>Document Purpose:</w:t>
            </w:r>
          </w:p>
        </w:tc>
        <w:tc>
          <w:tcPr>
            <w:tcW w:type="dxa" w:w="4680"/>
          </w:tcPr>
          <w:p>
            <w:r>
              <w:t>Statement of Work for CRA Part 1 engagement. Signed by customer and Rackspace before Phase 1 begins. Defines scope, deliverables, fees, timeline.</w:t>
            </w:r>
          </w:p>
        </w:tc>
      </w:tr>
      <w:tr>
        <w:tc>
          <w:tcPr>
            <w:tcW w:type="dxa" w:w="4680"/>
          </w:tcPr>
          <w:p>
            <w:r>
              <w:rPr>
                <w:b/>
              </w:rPr>
              <w:t>CRA Phase:</w:t>
            </w:r>
          </w:p>
        </w:tc>
        <w:tc>
          <w:tcPr>
            <w:tcW w:type="dxa" w:w="4680"/>
          </w:tcPr>
          <w:p>
            <w:r>
              <w:t>Pre-Engagement -- Phase 1 Gate</w:t>
            </w:r>
          </w:p>
        </w:tc>
      </w:tr>
      <w:tr>
        <w:tc>
          <w:tcPr>
            <w:tcW w:type="dxa" w:w="4680"/>
          </w:tcPr>
          <w:p>
            <w:r>
              <w:rPr>
                <w:b/>
              </w:rPr>
              <w:t>Target Audience:</w:t>
            </w:r>
          </w:p>
        </w:tc>
        <w:tc>
          <w:tcPr>
            <w:tcW w:type="dxa" w:w="4680"/>
          </w:tcPr>
          <w:p>
            <w:r>
              <w:t>Customer commercial/legal team + Rackspace Pre-Sales and Legal</w:t>
            </w:r>
          </w:p>
        </w:tc>
      </w:tr>
      <w:tr>
        <w:tc>
          <w:tcPr>
            <w:tcW w:type="dxa" w:w="4680"/>
          </w:tcPr>
          <w:p>
            <w:r>
              <w:rPr>
                <w:b/>
              </w:rPr>
              <w:t>When to Complete:</w:t>
            </w:r>
          </w:p>
        </w:tc>
        <w:tc>
          <w:tcPr>
            <w:tcW w:type="dxa" w:w="4680"/>
          </w:tcPr>
          <w:p>
            <w:r>
              <w:t>Before Phase 1 kickoff; minimum 5 business days before start date</w:t>
            </w:r>
          </w:p>
        </w:tc>
      </w:tr>
      <w:tr>
        <w:tc>
          <w:tcPr>
            <w:tcW w:type="dxa" w:w="4680"/>
          </w:tcPr>
          <w:p>
            <w:r>
              <w:rPr>
                <w:b/>
              </w:rPr>
              <w:t>Est. Time:</w:t>
            </w:r>
          </w:p>
        </w:tc>
        <w:tc>
          <w:tcPr>
            <w:tcW w:type="dxa" w:w="4680"/>
          </w:tcPr>
          <w:p>
            <w:r>
              <w:t>3-5 hours (customisation); must be reviewed by Pre-Sales Director</w:t>
            </w:r>
          </w:p>
        </w:tc>
      </w:tr>
      <w:tr>
        <w:tc>
          <w:tcPr>
            <w:tcW w:type="dxa" w:w="4680"/>
          </w:tcPr>
          <w:p>
            <w:r>
              <w:rPr>
                <w:b/>
              </w:rPr>
              <w:t>Version:</w:t>
            </w:r>
          </w:p>
        </w:tc>
        <w:tc>
          <w:tcPr>
            <w:tcW w:type="dxa" w:w="4680"/>
          </w:tcPr>
          <w:p>
            <w:r>
              <w:t>v1.0</w:t>
            </w:r>
          </w:p>
        </w:tc>
      </w:tr>
      <w:tr>
        <w:tc>
          <w:tcPr>
            <w:tcW w:type="dxa" w:w="9360"/>
            <w:gridSpan w:val="2"/>
          </w:tcPr>
          <w:p>
            <w:r>
              <w:rPr>
                <w:b/>
              </w:rPr>
              <w:t>WHAT TO CUSTOMISE</w:t>
              <w:br/>
              <w:t>- Section 2-3 (Scope): replace estimated VM/application count with customer-provided figures</w:t>
              <w:br/>
              <w:t>- Section 5 (Scope Variance Clause): confirm the 15% threshold is in the final document</w:t>
              <w:br/>
              <w:t>- Section 8 (Utilisation Gate): confirm minimum data collection period is specified</w:t>
              <w:br/>
              <w:t>- Section 10 (Fees): Pre-Sales Director must approve all fee figures before circulation</w:t>
              <w:br/>
              <w:t>- Section 12 (Alliance Partner): confirm AMM/MAP/PSO registration clause is present</w:t>
            </w:r>
          </w:p>
        </w:tc>
      </w:tr>
      <w:tr>
        <w:tc>
          <w:tcPr>
            <w:tcW w:type="dxa" w:w="9360"/>
            <w:gridSpan w:val="2"/>
          </w:tcPr>
          <w:p>
            <w:r>
              <w:t>Template version: v1.0 -- CRA Framework v2.0 -- Rackspace Cloud Solutions Architecture</w:t>
            </w:r>
          </w:p>
        </w:tc>
      </w:tr>
      <w:tr>
        <w:tc>
          <w:tcPr>
            <w:tcW w:type="dxa" w:w="9360"/>
            <w:gridSpan w:val="2"/>
          </w:tcPr>
          <w:p>
            <w:r>
              <w:rPr>
                <w:b/>
                <w:color w:val="E31C3D"/>
              </w:rPr>
              <w:t>IMPORTANT: Three critical clauses must be present before this SOW is sent for signature: (1) Scope Variance clause -- protects Rackspace if CMDB data is wrong; (2) Utilisation Data Gate clause -- protects Phase 3 data quality; (3) Alliance Partner Registration clause -- ensures AMM/MAP/PSO is registered on time. See Templates/executive-reporting/REPORTING-TEMPLATES-AUDIT-SPEC.md Section 4D.5.</w:t>
            </w:r>
          </w:p>
        </w:tc>
      </w:tr>
    </w:tbl>
    <w:p/>
    <w:p w14:paraId="3037FB1E" w14:textId="77777777" w:rsidR="001325FD" w:rsidRPr="00242AEA" w:rsidRDefault="001325FD">
      <w:pPr>
        <w:spacing w:after="120"/>
        <w:rPr>
          <w:rFonts w:asciiTheme="minorHAnsi" w:hAnsiTheme="minorHAnsi"/>
          <w:kern w:val="2"/>
          <w14:ligatures w14:val="standardContextual"/>
        </w:rPr>
      </w:pPr>
      <w:r w:rsidRPr="00242AEA">
        <w:rPr>
          <w:rFonts w:asciiTheme="minorHAnsi" w:hAnsiTheme="minorHAnsi"/>
        </w:rPr>
        <w:t> </w:t>
      </w:r>
    </w:p>
    <w:p w14:paraId="320FD5A7" w14:textId="77777777" w:rsidR="008B569E" w:rsidRPr="00242AEA" w:rsidRDefault="008B569E">
      <w:pPr>
        <w:spacing w:after="200"/>
        <w:jc w:val="center"/>
        <w:rPr>
          <w:rFonts w:asciiTheme="minorHAnsi" w:hAnsiTheme="minorHAnsi"/>
          <w:kern w:val="2"/>
          <w14:ligatures w14:val="standardContextual"/>
        </w:rPr>
      </w:pPr>
      <w:r w:rsidRPr="00242AEA">
        <w:rPr>
          <w:rFonts w:asciiTheme="minorHAnsi" w:hAnsiTheme="minorHAnsi"/>
          <w:b/>
          <w:bCs/>
          <w:color w:val="C00000"/>
          <w:sz w:val="52"/>
          <w:szCs w:val="52"/>
        </w:rPr>
        <w:t>Cloud Readiness Assessment</w:t>
      </w:r>
    </w:p>
    <w:p w14:paraId="011B3FD7" w14:textId="77777777" w:rsidR="008B569E" w:rsidRPr="00242AEA" w:rsidRDefault="008B569E">
      <w:pPr>
        <w:spacing w:after="360"/>
        <w:jc w:val="center"/>
        <w:rPr>
          <w:rFonts w:asciiTheme="minorHAnsi" w:hAnsiTheme="minorHAnsi"/>
          <w:kern w:val="2"/>
          <w14:ligatures w14:val="standardContextual"/>
        </w:rPr>
      </w:pPr>
      <w:r w:rsidRPr="00242AEA">
        <w:rPr>
          <w:rFonts w:asciiTheme="minorHAnsi" w:hAnsiTheme="minorHAnsi"/>
          <w:b/>
          <w:bCs/>
          <w:color w:val="C00000"/>
          <w:sz w:val="32"/>
          <w:szCs w:val="32"/>
        </w:rPr>
        <w:t>Statement of Work</w:t>
      </w:r>
    </w:p>
    <w:p w14:paraId="62EAA49E" w14:textId="77777777" w:rsidR="00ED27EA" w:rsidRPr="00242AEA" w:rsidRDefault="00ED27EA">
      <w:pPr>
        <w:spacing w:after="480"/>
        <w:jc w:val="center"/>
        <w:rPr>
          <w:rFonts w:asciiTheme="minorHAnsi" w:hAnsiTheme="minorHAnsi"/>
          <w:kern w:val="2"/>
          <w14:ligatures w14:val="standardContextual"/>
        </w:rPr>
      </w:pPr>
      <w:r w:rsidRPr="00242AEA">
        <w:rPr>
          <w:rFonts w:asciiTheme="minorHAnsi" w:hAnsiTheme="minorHAnsi"/>
          <w:color w:val="595959"/>
        </w:rPr>
        <w:t xml:space="preserve">Prepared by: </w:t>
      </w:r>
      <w:r w:rsidRPr="00242AEA">
        <w:rPr>
          <w:rFonts w:asciiTheme="minorHAnsi" w:hAnsiTheme="minorHAnsi"/>
          <w:b/>
          <w:bCs/>
          <w:color w:val="595959"/>
        </w:rPr>
        <w:t>Cloud Solutions Architecture Team</w:t>
      </w:r>
    </w:p>
    <w:p w14:paraId="12102247" w14:textId="77777777" w:rsidR="00ED27EA" w:rsidRPr="00242AEA" w:rsidRDefault="00ED27EA">
      <w:pPr>
        <w:spacing w:after="120"/>
        <w:jc w:val="center"/>
        <w:rPr>
          <w:rFonts w:asciiTheme="minorHAnsi" w:hAnsiTheme="minorHAnsi"/>
          <w:kern w:val="2"/>
          <w14:ligatures w14:val="standardContextual"/>
        </w:rPr>
      </w:pPr>
      <w:r w:rsidRPr="00242AEA">
        <w:rPr>
          <w:rFonts w:asciiTheme="minorHAnsi" w:hAnsiTheme="minorHAnsi"/>
          <w:color w:val="595959"/>
        </w:rPr>
        <w:t xml:space="preserve">Prepared for: </w:t>
      </w:r>
      <w:r w:rsidRPr="00242AEA">
        <w:rPr>
          <w:rFonts w:asciiTheme="minorHAnsi" w:hAnsiTheme="minorHAnsi"/>
          <w:b/>
          <w:bCs/>
          <w:color w:val="595959"/>
        </w:rPr>
        <w:t>[Customer Name]</w:t>
      </w:r>
    </w:p>
    <w:tbl>
      <w:tblPr>
        <w:tblW w:w="0" w:type="auto"/>
        <w:tblCellMar>
          <w:left w:w="10" w:type="dxa"/>
          <w:right w:w="10" w:type="dxa"/>
        </w:tblCellMar>
        <w:tblLook w:val="04A0" w:firstRow="1" w:lastRow="0" w:firstColumn="1" w:lastColumn="0" w:noHBand="0" w:noVBand="1"/>
      </w:tblPr>
      <w:tblGrid>
        <w:gridCol w:w="2400"/>
        <w:gridCol w:w="4800"/>
      </w:tblGrid>
      <w:tr w:rsidR="00F04435" w:rsidRPr="00242AEA" w14:paraId="48973D9A" w14:textId="77777777" w:rsidTr="00F04435">
        <w:tblPrEx>
          <w:tblCellMar>
            <w:top w:w="0" w:type="dxa"/>
            <w:bottom w:w="0" w:type="dxa"/>
          </w:tblCellMar>
        </w:tblPrEx>
        <w:tc>
          <w:tcPr>
            <w:tcW w:w="2400" w:type="dxa"/>
            <w:tcBorders>
              <w:top w:val="single" w:sz="8" w:space="0" w:color="BFBFBF"/>
              <w:left w:val="single" w:sz="8" w:space="0" w:color="BFBFBF"/>
              <w:bottom w:val="single" w:sz="8" w:space="0" w:color="BFBFBF"/>
              <w:right w:val="single" w:sz="8" w:space="0" w:color="BFBFBF"/>
            </w:tcBorders>
            <w:shd w:val="clear" w:color="auto" w:fill="C00000"/>
            <w:tcMar>
              <w:top w:w="80" w:type="dxa"/>
              <w:left w:w="120" w:type="dxa"/>
              <w:bottom w:w="80" w:type="dxa"/>
              <w:right w:w="120" w:type="dxa"/>
            </w:tcMar>
            <w:vAlign w:val="center"/>
            <w:hideMark/>
          </w:tcPr>
          <w:p w14:paraId="662A6C0E" w14:textId="77777777" w:rsidR="00F04435" w:rsidRPr="00242AEA" w:rsidRDefault="00F04435">
            <w:pPr>
              <w:rPr>
                <w:rFonts w:asciiTheme="minorHAnsi" w:hAnsiTheme="minorHAnsi"/>
                <w:kern w:val="2"/>
                <w14:ligatures w14:val="standardContextual"/>
              </w:rPr>
            </w:pPr>
            <w:r w:rsidRPr="00242AEA">
              <w:rPr>
                <w:rFonts w:asciiTheme="minorHAnsi" w:hAnsiTheme="minorHAnsi"/>
                <w:b/>
                <w:bCs/>
                <w:color w:val="FFFFFF"/>
                <w:sz w:val="20"/>
                <w:szCs w:val="20"/>
              </w:rPr>
              <w:t>Document</w:t>
            </w:r>
          </w:p>
        </w:tc>
        <w:tc>
          <w:tcPr>
            <w:tcW w:w="4800" w:type="dxa"/>
            <w:tcBorders>
              <w:top w:val="single" w:sz="8" w:space="0" w:color="BFBFBF"/>
              <w:left w:val="nil"/>
              <w:bottom w:val="single" w:sz="8" w:space="0" w:color="BFBFBF"/>
              <w:right w:val="single" w:sz="8" w:space="0" w:color="BFBFBF"/>
            </w:tcBorders>
            <w:shd w:val="clear" w:color="auto" w:fill="C00000"/>
            <w:tcMar>
              <w:top w:w="80" w:type="dxa"/>
              <w:left w:w="120" w:type="dxa"/>
              <w:bottom w:w="80" w:type="dxa"/>
              <w:right w:w="120" w:type="dxa"/>
            </w:tcMar>
            <w:vAlign w:val="center"/>
            <w:hideMark/>
          </w:tcPr>
          <w:p w14:paraId="048049AE" w14:textId="77777777" w:rsidR="00F04435" w:rsidRPr="00242AEA" w:rsidRDefault="00F04435">
            <w:pPr>
              <w:rPr>
                <w:rFonts w:asciiTheme="minorHAnsi" w:hAnsiTheme="minorHAnsi"/>
              </w:rPr>
            </w:pPr>
            <w:r w:rsidRPr="00242AEA">
              <w:rPr>
                <w:rFonts w:asciiTheme="minorHAnsi" w:hAnsiTheme="minorHAnsi"/>
                <w:b/>
                <w:bCs/>
                <w:color w:val="FFFFFF"/>
                <w:sz w:val="20"/>
                <w:szCs w:val="20"/>
              </w:rPr>
              <w:t>Cloud Readiness Assessment — Statement of Work</w:t>
            </w:r>
          </w:p>
        </w:tc>
      </w:tr>
      <w:tr w:rsidR="00C43DB1" w:rsidRPr="00242AEA" w14:paraId="66C0D355"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53" w14:textId="77777777" w:rsidR="00C43DB1" w:rsidRPr="00242AEA" w:rsidRDefault="00000000">
            <w:pPr>
              <w:rPr>
                <w:rFonts w:asciiTheme="minorHAnsi" w:hAnsiTheme="minorHAnsi"/>
              </w:rPr>
            </w:pPr>
            <w:r w:rsidRPr="00242AEA">
              <w:rPr>
                <w:rFonts w:asciiTheme="minorHAnsi" w:hAnsiTheme="minorHAnsi"/>
                <w:b/>
                <w:bCs/>
                <w:sz w:val="20"/>
                <w:szCs w:val="20"/>
              </w:rPr>
              <w:t>Version</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C0D354" w14:textId="77777777" w:rsidR="00C43DB1" w:rsidRPr="00242AEA" w:rsidRDefault="00000000">
            <w:pPr>
              <w:rPr>
                <w:rFonts w:asciiTheme="minorHAnsi" w:hAnsiTheme="minorHAnsi"/>
              </w:rPr>
            </w:pPr>
            <w:r w:rsidRPr="00242AEA">
              <w:rPr>
                <w:rFonts w:asciiTheme="minorHAnsi" w:hAnsiTheme="minorHAnsi"/>
                <w:sz w:val="20"/>
                <w:szCs w:val="20"/>
              </w:rPr>
              <w:t>1.0 (Draft)</w:t>
            </w:r>
          </w:p>
        </w:tc>
      </w:tr>
      <w:tr w:rsidR="00C43DB1" w:rsidRPr="00242AEA" w14:paraId="66C0D358"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56" w14:textId="77777777" w:rsidR="00C43DB1" w:rsidRPr="00242AEA" w:rsidRDefault="00000000">
            <w:pPr>
              <w:rPr>
                <w:rFonts w:asciiTheme="minorHAnsi" w:hAnsiTheme="minorHAnsi"/>
              </w:rPr>
            </w:pPr>
            <w:r w:rsidRPr="00242AEA">
              <w:rPr>
                <w:rFonts w:asciiTheme="minorHAnsi" w:hAnsiTheme="minorHAnsi"/>
                <w:b/>
                <w:bCs/>
                <w:sz w:val="20"/>
                <w:szCs w:val="20"/>
              </w:rPr>
              <w:t>Date</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E4B375" w14:textId="77777777" w:rsidR="008E10D9" w:rsidRPr="00242AEA" w:rsidRDefault="008E10D9">
            <w:pPr>
              <w:rPr>
                <w:rFonts w:asciiTheme="minorHAnsi" w:hAnsiTheme="minorHAnsi"/>
                <w:kern w:val="2"/>
                <w14:ligatures w14:val="standardContextual"/>
              </w:rPr>
            </w:pPr>
            <w:r w:rsidRPr="00242AEA">
              <w:rPr>
                <w:rFonts w:asciiTheme="minorHAnsi" w:hAnsiTheme="minorHAnsi"/>
                <w:sz w:val="20"/>
                <w:szCs w:val="20"/>
              </w:rPr>
              <w:t>[Date]</w:t>
            </w:r>
          </w:p>
          <w:p w14:paraId="66C0D357" w14:textId="3D2D2270" w:rsidR="00C43DB1" w:rsidRPr="00242AEA" w:rsidRDefault="00C43DB1" w:rsidP="00655136">
            <w:pPr>
              <w:rPr>
                <w:rFonts w:asciiTheme="minorHAnsi" w:hAnsiTheme="minorHAnsi"/>
              </w:rPr>
            </w:pPr>
          </w:p>
        </w:tc>
      </w:tr>
      <w:tr w:rsidR="00C43DB1" w:rsidRPr="00242AEA" w14:paraId="66C0D35B"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59" w14:textId="77777777" w:rsidR="00C43DB1" w:rsidRPr="00242AEA" w:rsidRDefault="00000000">
            <w:pPr>
              <w:rPr>
                <w:rFonts w:asciiTheme="minorHAnsi" w:hAnsiTheme="minorHAnsi"/>
              </w:rPr>
            </w:pPr>
            <w:r w:rsidRPr="00242AEA">
              <w:rPr>
                <w:rFonts w:asciiTheme="minorHAnsi" w:hAnsiTheme="minorHAnsi"/>
                <w:b/>
                <w:bCs/>
                <w:sz w:val="20"/>
                <w:szCs w:val="20"/>
              </w:rPr>
              <w:t>Prepared by</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C0D35A" w14:textId="77777777" w:rsidR="00C43DB1" w:rsidRPr="00242AEA" w:rsidRDefault="00000000">
            <w:pPr>
              <w:rPr>
                <w:rFonts w:asciiTheme="minorHAnsi" w:hAnsiTheme="minorHAnsi"/>
              </w:rPr>
            </w:pPr>
            <w:r w:rsidRPr="00242AEA">
              <w:rPr>
                <w:rFonts w:asciiTheme="minorHAnsi" w:hAnsiTheme="minorHAnsi"/>
                <w:sz w:val="20"/>
                <w:szCs w:val="20"/>
              </w:rPr>
              <w:t>Cloud Solutions Architecture Team</w:t>
            </w:r>
          </w:p>
        </w:tc>
      </w:tr>
      <w:tr w:rsidR="00C43DB1" w:rsidRPr="00242AEA" w14:paraId="66C0D35E"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5C" w14:textId="77777777" w:rsidR="00C43DB1" w:rsidRPr="00242AEA" w:rsidRDefault="00000000">
            <w:pPr>
              <w:rPr>
                <w:rFonts w:asciiTheme="minorHAnsi" w:hAnsiTheme="minorHAnsi"/>
              </w:rPr>
            </w:pPr>
            <w:r w:rsidRPr="00242AEA">
              <w:rPr>
                <w:rFonts w:asciiTheme="minorHAnsi" w:hAnsiTheme="minorHAnsi"/>
                <w:b/>
                <w:bCs/>
                <w:sz w:val="20"/>
                <w:szCs w:val="20"/>
              </w:rPr>
              <w:t>Engagement Type</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C0D35D" w14:textId="77777777" w:rsidR="00C43DB1" w:rsidRPr="00242AEA" w:rsidRDefault="00000000">
            <w:pPr>
              <w:rPr>
                <w:rFonts w:asciiTheme="minorHAnsi" w:hAnsiTheme="minorHAnsi"/>
              </w:rPr>
            </w:pPr>
            <w:r w:rsidRPr="00242AEA">
              <w:rPr>
                <w:rFonts w:asciiTheme="minorHAnsi" w:hAnsiTheme="minorHAnsi"/>
                <w:sz w:val="20"/>
                <w:szCs w:val="20"/>
              </w:rPr>
              <w:t>Cloud Readiness Assessment (Default Profile)</w:t>
            </w:r>
          </w:p>
        </w:tc>
      </w:tr>
      <w:tr w:rsidR="00825406" w:rsidRPr="00242AEA" w14:paraId="54E35C4D" w14:textId="77777777" w:rsidTr="00825406">
        <w:tblPrEx>
          <w:tblCellMar>
            <w:top w:w="0" w:type="dxa"/>
            <w:bottom w:w="0" w:type="dxa"/>
          </w:tblCellMar>
        </w:tblPrEx>
        <w:tc>
          <w:tcPr>
            <w:tcW w:w="2400" w:type="dxa"/>
            <w:tcBorders>
              <w:top w:val="nil"/>
              <w:left w:val="single" w:sz="8" w:space="0" w:color="BFBFBF"/>
              <w:bottom w:val="single" w:sz="8" w:space="0" w:color="BFBFBF"/>
              <w:right w:val="single" w:sz="8" w:space="0" w:color="BFBFBF"/>
            </w:tcBorders>
            <w:shd w:val="clear" w:color="auto" w:fill="D9E2F3"/>
            <w:tcMar>
              <w:top w:w="80" w:type="dxa"/>
              <w:left w:w="120" w:type="dxa"/>
              <w:bottom w:w="80" w:type="dxa"/>
              <w:right w:w="120" w:type="dxa"/>
            </w:tcMar>
            <w:vAlign w:val="center"/>
            <w:hideMark/>
          </w:tcPr>
          <w:p w14:paraId="5D4A4FC5" w14:textId="77777777" w:rsidR="00825406" w:rsidRPr="00242AEA" w:rsidRDefault="00825406">
            <w:pPr>
              <w:rPr>
                <w:rFonts w:asciiTheme="minorHAnsi" w:hAnsiTheme="minorHAnsi"/>
                <w:kern w:val="2"/>
                <w14:ligatures w14:val="standardContextual"/>
              </w:rPr>
            </w:pPr>
            <w:r w:rsidRPr="00242AEA">
              <w:rPr>
                <w:rFonts w:asciiTheme="minorHAnsi" w:hAnsiTheme="minorHAnsi"/>
                <w:b/>
                <w:bCs/>
                <w:color w:val="000000"/>
                <w:sz w:val="20"/>
                <w:szCs w:val="20"/>
              </w:rPr>
              <w:t xml:space="preserve">Target </w:t>
            </w:r>
            <w:proofErr w:type="spellStart"/>
            <w:r w:rsidRPr="00242AEA">
              <w:rPr>
                <w:rFonts w:asciiTheme="minorHAnsi" w:hAnsiTheme="minorHAnsi"/>
                <w:b/>
                <w:bCs/>
                <w:color w:val="000000"/>
                <w:sz w:val="20"/>
                <w:szCs w:val="20"/>
              </w:rPr>
              <w:t>Hyperscaler</w:t>
            </w:r>
            <w:proofErr w:type="spellEnd"/>
          </w:p>
        </w:tc>
        <w:tc>
          <w:tcPr>
            <w:tcW w:w="4800" w:type="dxa"/>
            <w:tcBorders>
              <w:top w:val="nil"/>
              <w:left w:val="nil"/>
              <w:bottom w:val="single" w:sz="8" w:space="0" w:color="BFBFBF"/>
              <w:right w:val="single" w:sz="8" w:space="0" w:color="BFBFBF"/>
            </w:tcBorders>
            <w:tcMar>
              <w:top w:w="80" w:type="dxa"/>
              <w:left w:w="120" w:type="dxa"/>
              <w:bottom w:w="80" w:type="dxa"/>
              <w:right w:w="120" w:type="dxa"/>
            </w:tcMar>
            <w:vAlign w:val="center"/>
            <w:hideMark/>
          </w:tcPr>
          <w:p w14:paraId="06E33134" w14:textId="77777777" w:rsidR="00825406" w:rsidRPr="00242AEA" w:rsidRDefault="00825406">
            <w:pPr>
              <w:rPr>
                <w:rFonts w:asciiTheme="minorHAnsi" w:hAnsiTheme="minorHAnsi"/>
              </w:rPr>
            </w:pPr>
            <w:r w:rsidRPr="00242AEA">
              <w:rPr>
                <w:rFonts w:asciiTheme="minorHAnsi" w:hAnsiTheme="minorHAnsi"/>
                <w:sz w:val="20"/>
                <w:szCs w:val="20"/>
              </w:rPr>
              <w:t>To be confirmed (Azure / AWS / Google Cloud)</w:t>
            </w:r>
          </w:p>
        </w:tc>
      </w:tr>
      <w:tr w:rsidR="00C43DB1" w:rsidRPr="00242AEA" w14:paraId="66C0D364"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62" w14:textId="77777777" w:rsidR="00C43DB1" w:rsidRPr="00242AEA" w:rsidRDefault="00000000">
            <w:pPr>
              <w:rPr>
                <w:rFonts w:asciiTheme="minorHAnsi" w:hAnsiTheme="minorHAnsi"/>
              </w:rPr>
            </w:pPr>
            <w:r w:rsidRPr="00242AEA">
              <w:rPr>
                <w:rFonts w:asciiTheme="minorHAnsi" w:hAnsiTheme="minorHAnsi"/>
                <w:b/>
                <w:bCs/>
                <w:sz w:val="20"/>
                <w:szCs w:val="20"/>
              </w:rPr>
              <w:t>Estate Profile</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9CACA3" w14:textId="77777777" w:rsidR="0079338A" w:rsidRPr="00242AEA" w:rsidRDefault="0079338A">
            <w:pPr>
              <w:rPr>
                <w:rFonts w:asciiTheme="minorHAnsi" w:hAnsiTheme="minorHAnsi"/>
                <w:kern w:val="2"/>
                <w14:ligatures w14:val="standardContextual"/>
              </w:rPr>
            </w:pPr>
            <w:r w:rsidRPr="00242AEA">
              <w:rPr>
                <w:rFonts w:asciiTheme="minorHAnsi" w:hAnsiTheme="minorHAnsi"/>
                <w:sz w:val="20"/>
                <w:szCs w:val="20"/>
              </w:rPr>
              <w:t>Large enterprise — 3,800 servers</w:t>
            </w:r>
          </w:p>
          <w:p w14:paraId="66C0D363" w14:textId="481D7EF7" w:rsidR="00C43DB1" w:rsidRPr="00242AEA" w:rsidRDefault="00C43DB1" w:rsidP="00655136">
            <w:pPr>
              <w:rPr>
                <w:rFonts w:asciiTheme="minorHAnsi" w:hAnsiTheme="minorHAnsi"/>
              </w:rPr>
            </w:pPr>
          </w:p>
        </w:tc>
      </w:tr>
      <w:tr w:rsidR="00C43DB1" w:rsidRPr="00242AEA" w14:paraId="66C0D367"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6C0D365" w14:textId="77777777" w:rsidR="00C43DB1" w:rsidRPr="00242AEA" w:rsidRDefault="00000000">
            <w:pPr>
              <w:rPr>
                <w:rFonts w:asciiTheme="minorHAnsi" w:hAnsiTheme="minorHAnsi"/>
              </w:rPr>
            </w:pPr>
            <w:r w:rsidRPr="00242AEA">
              <w:rPr>
                <w:rFonts w:asciiTheme="minorHAnsi" w:hAnsiTheme="minorHAnsi"/>
                <w:b/>
                <w:bCs/>
                <w:sz w:val="20"/>
                <w:szCs w:val="20"/>
              </w:rPr>
              <w:t>Duration</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C0D366" w14:textId="77777777" w:rsidR="00C43DB1" w:rsidRPr="00242AEA" w:rsidRDefault="00000000">
            <w:pPr>
              <w:rPr>
                <w:rFonts w:asciiTheme="minorHAnsi" w:hAnsiTheme="minorHAnsi"/>
              </w:rPr>
            </w:pPr>
            <w:r w:rsidRPr="00242AEA">
              <w:rPr>
                <w:rFonts w:asciiTheme="minorHAnsi" w:hAnsiTheme="minorHAnsi"/>
                <w:sz w:val="20"/>
                <w:szCs w:val="20"/>
              </w:rPr>
              <w:t>16 weeks elapsed (~4 months)</w:t>
            </w:r>
          </w:p>
        </w:tc>
      </w:tr>
    </w:tbl>
    <w:p w14:paraId="5B84E272" w14:textId="77777777" w:rsidR="00665F10" w:rsidRPr="00242AEA" w:rsidRDefault="00665F10" w:rsidP="00665F10">
      <w:pPr>
        <w:pStyle w:val="Heading1"/>
        <w:rPr>
          <w:rFonts w:asciiTheme="minorHAnsi" w:hAnsiTheme="minorHAnsi"/>
          <w:kern w:val="36"/>
          <w14:ligatures w14:val="standardContextual"/>
        </w:rPr>
      </w:pPr>
      <w:r w:rsidRPr="00242AEA">
        <w:rPr>
          <w:rFonts w:asciiTheme="minorHAnsi" w:hAnsiTheme="minorHAnsi"/>
          <w:color w:val="C00000"/>
        </w:rPr>
        <w:t>Document Control &amp; Distribution</w:t>
      </w:r>
    </w:p>
    <w:tbl>
      <w:tblPr>
        <w:tblStyle w:val="GridTable4-Accent1"/>
        <w:tblW w:w="0" w:type="auto"/>
        <w:tblInd w:w="0" w:type="dxa"/>
        <w:tblLook w:val="04A0" w:firstRow="1" w:lastRow="0" w:firstColumn="1" w:lastColumn="0" w:noHBand="0" w:noVBand="1"/>
      </w:tblPr>
      <w:tblGrid>
        <w:gridCol w:w="2098"/>
        <w:gridCol w:w="7242"/>
      </w:tblGrid>
      <w:tr w:rsidR="00F04435" w:rsidRPr="00242AEA" w14:paraId="07657F48" w14:textId="77777777" w:rsidTr="00F04435">
        <w:tc>
          <w:tcPr>
            <w:tcW w:w="2100" w:type="dxa"/>
            <w:tcBorders>
              <w:top w:val="single" w:sz="8" w:space="0" w:color="BFBFBF"/>
              <w:left w:val="single" w:sz="8" w:space="0" w:color="BFBFBF"/>
              <w:bottom w:val="single" w:sz="8" w:space="0" w:color="BFBFBF"/>
              <w:right w:val="single" w:sz="8" w:space="0" w:color="BFBFBF"/>
            </w:tcBorders>
            <w:shd w:val="clear" w:color="auto" w:fill="C00000"/>
            <w:tcMar>
              <w:top w:w="80" w:type="dxa"/>
              <w:left w:w="120" w:type="dxa"/>
              <w:bottom w:w="80" w:type="dxa"/>
              <w:right w:w="120" w:type="dxa"/>
            </w:tcMar>
            <w:vAlign w:val="center"/>
            <w:hideMark/>
          </w:tcPr>
          <w:p w14:paraId="5D606152" w14:textId="77777777" w:rsidR="00F04435" w:rsidRPr="00242AEA" w:rsidRDefault="00F04435">
            <w:pPr>
              <w:rPr>
                <w:sz w:val="22"/>
                <w:szCs w:val="22"/>
              </w:rPr>
            </w:pPr>
            <w:r w:rsidRPr="00242AEA">
              <w:rPr>
                <w:b/>
                <w:bCs/>
                <w:color w:val="FFFFFF"/>
                <w:sz w:val="20"/>
                <w:szCs w:val="20"/>
              </w:rPr>
              <w:t>Owner</w:t>
            </w:r>
          </w:p>
        </w:tc>
        <w:tc>
          <w:tcPr>
            <w:tcW w:w="7260" w:type="dxa"/>
            <w:tcBorders>
              <w:top w:val="single" w:sz="8" w:space="0" w:color="BFBFBF"/>
              <w:left w:val="nil"/>
              <w:bottom w:val="single" w:sz="8" w:space="0" w:color="BFBFBF"/>
              <w:right w:val="single" w:sz="8" w:space="0" w:color="BFBFBF"/>
            </w:tcBorders>
            <w:shd w:val="clear" w:color="auto" w:fill="C00000"/>
            <w:tcMar>
              <w:top w:w="80" w:type="dxa"/>
              <w:left w:w="120" w:type="dxa"/>
              <w:bottom w:w="80" w:type="dxa"/>
              <w:right w:w="120" w:type="dxa"/>
            </w:tcMar>
            <w:vAlign w:val="center"/>
            <w:hideMark/>
          </w:tcPr>
          <w:p w14:paraId="55826B91" w14:textId="77777777" w:rsidR="00F04435" w:rsidRPr="00242AEA" w:rsidRDefault="00F04435">
            <w:r w:rsidRPr="00242AEA">
              <w:rPr>
                <w:b/>
                <w:bCs/>
                <w:color w:val="FFFFFF"/>
                <w:sz w:val="20"/>
                <w:szCs w:val="20"/>
              </w:rPr>
              <w:t>Cloud Solutions Architecture Team</w:t>
            </w:r>
          </w:p>
        </w:tc>
      </w:tr>
      <w:tr w:rsidR="00825406" w:rsidRPr="00242AEA" w14:paraId="0D97EAF5" w14:textId="77777777">
        <w:tblPrEx>
          <w:tblBorders>
            <w:top w:val="none" w:sz="0" w:space="0" w:color="auto"/>
            <w:left w:val="none" w:sz="0" w:space="0" w:color="auto"/>
            <w:bottom w:val="none" w:sz="0" w:space="0" w:color="auto"/>
            <w:right w:val="none" w:sz="0" w:space="0" w:color="auto"/>
          </w:tblBorders>
        </w:tblPrEx>
        <w:tc>
          <w:tcPr>
            <w:tcW w:w="2100" w:type="dxa"/>
            <w:tcBorders>
              <w:top w:val="nil"/>
              <w:left w:val="single" w:sz="8" w:space="0" w:color="BFBFBF"/>
              <w:bottom w:val="single" w:sz="8" w:space="0" w:color="BFBFBF"/>
              <w:right w:val="single" w:sz="8" w:space="0" w:color="BFBFBF"/>
            </w:tcBorders>
            <w:shd w:val="clear" w:color="auto" w:fill="D9E2F3"/>
            <w:tcMar>
              <w:top w:w="80" w:type="dxa"/>
              <w:left w:w="120" w:type="dxa"/>
              <w:bottom w:w="80" w:type="dxa"/>
              <w:right w:w="120" w:type="dxa"/>
            </w:tcMar>
            <w:vAlign w:val="center"/>
            <w:hideMark/>
          </w:tcPr>
          <w:p w14:paraId="35C42931" w14:textId="77777777" w:rsidR="00825406" w:rsidRPr="00242AEA" w:rsidRDefault="00825406">
            <w:pPr>
              <w:rPr>
                <w:sz w:val="22"/>
                <w:szCs w:val="22"/>
              </w:rPr>
            </w:pPr>
            <w:r w:rsidRPr="00242AEA">
              <w:rPr>
                <w:b/>
                <w:bCs/>
                <w:color w:val="000000"/>
                <w:sz w:val="20"/>
                <w:szCs w:val="20"/>
              </w:rPr>
              <w:t>Status</w:t>
            </w:r>
          </w:p>
        </w:tc>
        <w:tc>
          <w:tcPr>
            <w:tcW w:w="7260" w:type="dxa"/>
            <w:tcBorders>
              <w:top w:val="nil"/>
              <w:left w:val="nil"/>
              <w:bottom w:val="single" w:sz="8" w:space="0" w:color="BFBFBF"/>
              <w:right w:val="single" w:sz="8" w:space="0" w:color="BFBFBF"/>
            </w:tcBorders>
            <w:tcMar>
              <w:top w:w="80" w:type="dxa"/>
              <w:left w:w="120" w:type="dxa"/>
              <w:bottom w:w="80" w:type="dxa"/>
              <w:right w:w="120" w:type="dxa"/>
            </w:tcMar>
            <w:vAlign w:val="center"/>
            <w:hideMark/>
          </w:tcPr>
          <w:p w14:paraId="416CFFA3" w14:textId="77777777" w:rsidR="00825406" w:rsidRPr="00242AEA" w:rsidRDefault="00825406">
            <w:pPr>
              <w:rPr>
                <w:sz w:val="22"/>
                <w:szCs w:val="22"/>
              </w:rPr>
            </w:pPr>
            <w:r w:rsidRPr="00242AEA">
              <w:rPr>
                <w:sz w:val="20"/>
                <w:szCs w:val="20"/>
              </w:rPr>
              <w:t>Draft</w:t>
            </w:r>
          </w:p>
        </w:tc>
      </w:tr>
      <w:tr w:rsidR="00825406" w:rsidRPr="00242AEA" w14:paraId="021D8050" w14:textId="77777777">
        <w:tblPrEx>
          <w:tblBorders>
            <w:top w:val="none" w:sz="0" w:space="0" w:color="auto"/>
            <w:left w:val="none" w:sz="0" w:space="0" w:color="auto"/>
            <w:bottom w:val="none" w:sz="0" w:space="0" w:color="auto"/>
            <w:right w:val="none" w:sz="0" w:space="0" w:color="auto"/>
          </w:tblBorders>
        </w:tblPrEx>
        <w:tc>
          <w:tcPr>
            <w:tcW w:w="2100" w:type="dxa"/>
            <w:tcBorders>
              <w:top w:val="nil"/>
              <w:left w:val="single" w:sz="8" w:space="0" w:color="BFBFBF"/>
              <w:bottom w:val="single" w:sz="8" w:space="0" w:color="BFBFBF"/>
              <w:right w:val="single" w:sz="8" w:space="0" w:color="BFBFBF"/>
            </w:tcBorders>
            <w:shd w:val="clear" w:color="auto" w:fill="D9E2F3"/>
            <w:tcMar>
              <w:top w:w="80" w:type="dxa"/>
              <w:left w:w="120" w:type="dxa"/>
              <w:bottom w:w="80" w:type="dxa"/>
              <w:right w:w="120" w:type="dxa"/>
            </w:tcMar>
            <w:vAlign w:val="center"/>
            <w:hideMark/>
          </w:tcPr>
          <w:p w14:paraId="181D6B35" w14:textId="77777777" w:rsidR="00825406" w:rsidRPr="00242AEA" w:rsidRDefault="00825406">
            <w:pPr>
              <w:rPr>
                <w:sz w:val="22"/>
                <w:szCs w:val="22"/>
              </w:rPr>
            </w:pPr>
            <w:r w:rsidRPr="00242AEA">
              <w:rPr>
                <w:b/>
                <w:bCs/>
                <w:color w:val="000000"/>
                <w:sz w:val="20"/>
                <w:szCs w:val="20"/>
              </w:rPr>
              <w:t>Intended Audience</w:t>
            </w:r>
          </w:p>
        </w:tc>
        <w:tc>
          <w:tcPr>
            <w:tcW w:w="7260" w:type="dxa"/>
            <w:tcBorders>
              <w:top w:val="nil"/>
              <w:left w:val="nil"/>
              <w:bottom w:val="single" w:sz="8" w:space="0" w:color="BFBFBF"/>
              <w:right w:val="single" w:sz="8" w:space="0" w:color="BFBFBF"/>
            </w:tcBorders>
            <w:tcMar>
              <w:top w:w="80" w:type="dxa"/>
              <w:left w:w="120" w:type="dxa"/>
              <w:bottom w:w="80" w:type="dxa"/>
              <w:right w:w="120" w:type="dxa"/>
            </w:tcMar>
            <w:vAlign w:val="center"/>
            <w:hideMark/>
          </w:tcPr>
          <w:p w14:paraId="3BA69E8E" w14:textId="77777777" w:rsidR="00825406" w:rsidRPr="00242AEA" w:rsidRDefault="00825406">
            <w:pPr>
              <w:rPr>
                <w:sz w:val="22"/>
                <w:szCs w:val="22"/>
              </w:rPr>
            </w:pPr>
            <w:r w:rsidRPr="00242AEA">
              <w:rPr>
                <w:sz w:val="20"/>
                <w:szCs w:val="20"/>
              </w:rPr>
              <w:t>Customer Executive Sponsor, Steering Committee, and Senior Technical Leadership</w:t>
            </w:r>
          </w:p>
        </w:tc>
      </w:tr>
      <w:tr w:rsidR="00825406" w:rsidRPr="00242AEA" w14:paraId="74135C77" w14:textId="77777777">
        <w:tblPrEx>
          <w:tblBorders>
            <w:top w:val="none" w:sz="0" w:space="0" w:color="auto"/>
            <w:left w:val="none" w:sz="0" w:space="0" w:color="auto"/>
            <w:bottom w:val="none" w:sz="0" w:space="0" w:color="auto"/>
            <w:right w:val="none" w:sz="0" w:space="0" w:color="auto"/>
          </w:tblBorders>
        </w:tblPrEx>
        <w:tc>
          <w:tcPr>
            <w:tcW w:w="2100" w:type="dxa"/>
            <w:tcBorders>
              <w:top w:val="nil"/>
              <w:left w:val="single" w:sz="8" w:space="0" w:color="BFBFBF"/>
              <w:bottom w:val="single" w:sz="8" w:space="0" w:color="BFBFBF"/>
              <w:right w:val="single" w:sz="8" w:space="0" w:color="BFBFBF"/>
            </w:tcBorders>
            <w:shd w:val="clear" w:color="auto" w:fill="D9E2F3"/>
            <w:tcMar>
              <w:top w:w="80" w:type="dxa"/>
              <w:left w:w="120" w:type="dxa"/>
              <w:bottom w:w="80" w:type="dxa"/>
              <w:right w:w="120" w:type="dxa"/>
            </w:tcMar>
            <w:vAlign w:val="center"/>
            <w:hideMark/>
          </w:tcPr>
          <w:p w14:paraId="40D01E8E" w14:textId="77777777" w:rsidR="00825406" w:rsidRPr="00242AEA" w:rsidRDefault="00825406">
            <w:pPr>
              <w:rPr>
                <w:sz w:val="22"/>
                <w:szCs w:val="22"/>
              </w:rPr>
            </w:pPr>
            <w:r w:rsidRPr="00242AEA">
              <w:rPr>
                <w:b/>
                <w:bCs/>
                <w:color w:val="000000"/>
                <w:sz w:val="20"/>
                <w:szCs w:val="20"/>
              </w:rPr>
              <w:t>Confidentiality</w:t>
            </w:r>
          </w:p>
        </w:tc>
        <w:tc>
          <w:tcPr>
            <w:tcW w:w="7260" w:type="dxa"/>
            <w:tcBorders>
              <w:top w:val="nil"/>
              <w:left w:val="nil"/>
              <w:bottom w:val="single" w:sz="8" w:space="0" w:color="BFBFBF"/>
              <w:right w:val="single" w:sz="8" w:space="0" w:color="BFBFBF"/>
            </w:tcBorders>
            <w:tcMar>
              <w:top w:w="80" w:type="dxa"/>
              <w:left w:w="120" w:type="dxa"/>
              <w:bottom w:w="80" w:type="dxa"/>
              <w:right w:w="120" w:type="dxa"/>
            </w:tcMar>
            <w:vAlign w:val="center"/>
            <w:hideMark/>
          </w:tcPr>
          <w:p w14:paraId="0B310ED9" w14:textId="77777777" w:rsidR="00825406" w:rsidRPr="00242AEA" w:rsidRDefault="00825406">
            <w:pPr>
              <w:rPr>
                <w:sz w:val="22"/>
                <w:szCs w:val="22"/>
              </w:rPr>
            </w:pPr>
            <w:r w:rsidRPr="00242AEA">
              <w:rPr>
                <w:sz w:val="20"/>
                <w:szCs w:val="20"/>
              </w:rPr>
              <w:t>Confidential — for intended recipients only</w:t>
            </w:r>
          </w:p>
        </w:tc>
      </w:tr>
      <w:tr w:rsidR="00825406" w:rsidRPr="00242AEA" w14:paraId="5E329156" w14:textId="77777777">
        <w:tblPrEx>
          <w:tblBorders>
            <w:top w:val="none" w:sz="0" w:space="0" w:color="auto"/>
            <w:left w:val="none" w:sz="0" w:space="0" w:color="auto"/>
            <w:bottom w:val="none" w:sz="0" w:space="0" w:color="auto"/>
            <w:right w:val="none" w:sz="0" w:space="0" w:color="auto"/>
          </w:tblBorders>
        </w:tblPrEx>
        <w:tc>
          <w:tcPr>
            <w:tcW w:w="2100" w:type="dxa"/>
            <w:tcBorders>
              <w:top w:val="nil"/>
              <w:left w:val="single" w:sz="8" w:space="0" w:color="BFBFBF"/>
              <w:bottom w:val="single" w:sz="8" w:space="0" w:color="BFBFBF"/>
              <w:right w:val="single" w:sz="8" w:space="0" w:color="BFBFBF"/>
            </w:tcBorders>
            <w:shd w:val="clear" w:color="auto" w:fill="D9E2F3"/>
            <w:tcMar>
              <w:top w:w="80" w:type="dxa"/>
              <w:left w:w="120" w:type="dxa"/>
              <w:bottom w:w="80" w:type="dxa"/>
              <w:right w:w="120" w:type="dxa"/>
            </w:tcMar>
            <w:vAlign w:val="center"/>
            <w:hideMark/>
          </w:tcPr>
          <w:p w14:paraId="25CF45EE" w14:textId="77777777" w:rsidR="00825406" w:rsidRPr="00242AEA" w:rsidRDefault="00825406">
            <w:pPr>
              <w:rPr>
                <w:sz w:val="22"/>
                <w:szCs w:val="22"/>
              </w:rPr>
            </w:pPr>
            <w:r w:rsidRPr="00242AEA">
              <w:rPr>
                <w:b/>
                <w:bCs/>
                <w:color w:val="000000"/>
                <w:sz w:val="20"/>
                <w:szCs w:val="20"/>
              </w:rPr>
              <w:t>Distribution</w:t>
            </w:r>
          </w:p>
        </w:tc>
        <w:tc>
          <w:tcPr>
            <w:tcW w:w="7260" w:type="dxa"/>
            <w:tcBorders>
              <w:top w:val="nil"/>
              <w:left w:val="nil"/>
              <w:bottom w:val="single" w:sz="8" w:space="0" w:color="BFBFBF"/>
              <w:right w:val="single" w:sz="8" w:space="0" w:color="BFBFBF"/>
            </w:tcBorders>
            <w:tcMar>
              <w:top w:w="80" w:type="dxa"/>
              <w:left w:w="120" w:type="dxa"/>
              <w:bottom w:w="80" w:type="dxa"/>
              <w:right w:w="120" w:type="dxa"/>
            </w:tcMar>
            <w:vAlign w:val="center"/>
            <w:hideMark/>
          </w:tcPr>
          <w:p w14:paraId="1BBA8950" w14:textId="77777777" w:rsidR="00825406" w:rsidRPr="00242AEA" w:rsidRDefault="00825406">
            <w:pPr>
              <w:rPr>
                <w:sz w:val="22"/>
                <w:szCs w:val="22"/>
              </w:rPr>
            </w:pPr>
            <w:r w:rsidRPr="00242AEA">
              <w:rPr>
                <w:sz w:val="20"/>
                <w:szCs w:val="20"/>
              </w:rPr>
              <w:t>Shared by the Customer Sponsor (or delegate) to approved stakeholders</w:t>
            </w:r>
          </w:p>
        </w:tc>
      </w:tr>
    </w:tbl>
    <w:p w14:paraId="084C2A4F" w14:textId="77777777" w:rsidR="008B569E" w:rsidRPr="00242AEA" w:rsidRDefault="008B569E">
      <w:pPr>
        <w:spacing w:before="360" w:after="120"/>
        <w:rPr>
          <w:rFonts w:asciiTheme="minorHAnsi" w:hAnsiTheme="minorHAnsi"/>
          <w:kern w:val="2"/>
          <w14:ligatures w14:val="standardContextual"/>
        </w:rPr>
      </w:pPr>
      <w:r w:rsidRPr="00242AEA">
        <w:rPr>
          <w:rFonts w:asciiTheme="minorHAnsi" w:hAnsiTheme="minorHAnsi"/>
          <w:b/>
          <w:bCs/>
          <w:color w:val="C00000"/>
          <w:sz w:val="28"/>
          <w:szCs w:val="28"/>
        </w:rPr>
        <w:t>Contents</w:t>
      </w:r>
    </w:p>
    <w:p/>
    <w:p>
      <w:pPr>
        <w:pStyle w:val="Heading2"/>
      </w:pPr>
      <w:r>
        <w:rPr>
          <w:color w:val="E31C3D"/>
        </w:rPr>
        <w:t>2.6 Scope Variance Management</w:t>
      </w:r>
    </w:p>
    <w:p>
      <w:pPr>
        <w:pBdr>
          <w:left w:val="single" w:sz="12" w:space="4" w:color="E31C3D"/>
        </w:pBdr>
      </w:pPr>
      <w:r>
        <w:rPr>
          <w:b/>
          <w:color w:val="E31C3D"/>
        </w:rPr>
        <w:t>IMPORTANT: Scope variance is the single most common source of commercial dispute in CRA engagements. This clause is mandatory and must not be removed.</w:t>
      </w:r>
    </w:p>
    <w:p>
      <w:pPr/>
      <w:r>
        <w:t>The estate scope provided by [CUSTOMER NAME] is an estimate based on [CMDB / customer-provided data / vCenter export] as at [DATE]. Rackspace will conduct an independent VM count during Phase 1 (Weeks 1-2). If the independently assessed estate exceeds the estimated scope by more than 15%, Rackspace will issue a Change Control Notification within 5 business days.</w:t>
      </w:r>
    </w:p>
    <w:p>
      <w:pPr>
        <w:ind w:left="720" w:right="360"/>
        <w:shd w:val="clear" w:color="auto" w:fill="F2F2F2"/>
      </w:pPr>
      <w:r>
        <w:rPr>
          <w:i/>
          <w:sz w:val="18"/>
        </w:rPr>
        <w:t>Scope Variance Clause: The engagement will continue at current scope until the Change Control is agreed. Rackspace will not perform work materially outside the agreed scope without a signed Change Control. If the estate is larger than estimated, Rackspace will present the additional effort and cost for customer approval before proceeding.</w:t>
      </w:r>
    </w:p>
    <w:p>
      <w:pPr/>
      <w:r>
        <w:t>Scope confidence is classified at engagement start (High / Medium / Low) based on the quality of the customer-provided estate data. A Low confidence rating triggers an early VM count validation in Phase 0.</w:t>
      </w:r>
    </w:p>
    <w:p/>
    <w:p>
      <w:pPr>
        <w:pStyle w:val="Heading2"/>
      </w:pPr>
      <w:r>
        <w:rPr>
          <w:color w:val="E31C3D"/>
        </w:rPr>
        <w:t>12.1 Alliance Partner Funding</w:t>
      </w:r>
    </w:p>
    <w:p>
      <w:pPr>
        <w:pBdr>
          <w:left w:val="single" w:sz="12" w:space="4" w:color="E31C3D"/>
        </w:pBdr>
      </w:pPr>
      <w:r>
        <w:rPr>
          <w:b/>
          <w:color w:val="E31C3D"/>
        </w:rPr>
        <w:t>IMPORTANT: Deal registration must be completed before Part 2 SOW countersignature. Failure to register early is the most common reason partner funding is lost. This clause is mandatory and must not be removed.</w:t>
      </w:r>
    </w:p>
    <w:p>
      <w:pPr/>
      <w:r>
        <w:t>Rackspace will identify applicable hyperscaler partner funding programmes (Microsoft Azure Migration and Modernisation / AWS Migration Acceleration Programme / Google Cloud PSO Credits) at engagement start. Where the customer is eligible, Rackspace will initiate deal registration with the relevant partner programme during Phase 1.</w:t>
      </w:r>
    </w:p>
    <w:p>
      <w:pPr>
        <w:ind w:left="720" w:right="360"/>
        <w:shd w:val="clear" w:color="auto" w:fill="F2F2F2"/>
      </w:pPr>
      <w:r>
        <w:rPr>
          <w:i/>
          <w:sz w:val="18"/>
        </w:rPr>
        <w:t>Alliance Partner Registration Clause: Formal deal registration submission will be completed before the Part 2 Statement of Work is countersigned by Rackspace. This clause does not guarantee funding approval; it ensures registration is completed at the earliest eligible stage. Rackspace will provide written confirmation of registration status to the customer within 5 business days of registration submission.</w:t>
      </w:r>
    </w:p>
    <w:p>
      <w:pPr/>
      <w:r>
        <w:t>Applicable programmes at time of engagement:</w:t>
      </w:r>
    </w:p>
    <w:p>
      <w:pPr>
        <w:pStyle w:val="ListParagraph"/>
      </w:pPr>
      <w:r>
        <w:t>Microsoft Azure Migration and Modernisation (AMM) -- eligible for Windows/SQL estates migrating to Azure</w:t>
      </w:r>
    </w:p>
    <w:p>
      <w:pPr>
        <w:pStyle w:val="ListParagraph"/>
      </w:pPr>
      <w:r>
        <w:t>AWS Migration Acceleration Programme (MAP) -- eligible for workloads migrating to AWS</w:t>
      </w:r>
    </w:p>
    <w:p>
      <w:pPr>
        <w:pStyle w:val="ListParagraph"/>
      </w:pPr>
      <w:r>
        <w:t>Google Cloud PSO Credits / Cloud Ready Programmes -- eligible for workloads migrating to GCP</w:t>
      </w:r>
    </w:p>
    <w:p>
      <w:pPr/>
      <w:r>
        <w:t>Estimated partner funding value will be documented in the Phase 3 executive report and presentation. Actual funding is subject to hyperscaler programme approval and is not a commercial commitment by Rackspace.</w:t>
      </w:r>
    </w:p>
    <w:p w14:paraId="69B62208" w14:textId="77777777" w:rsidR="00ED27EA" w:rsidRPr="00242AEA" w:rsidRDefault="00ED27EA">
      <w:pPr>
        <w:spacing w:after="120"/>
        <w:rPr>
          <w:rFonts w:asciiTheme="minorHAnsi" w:hAnsiTheme="minorHAnsi"/>
          <w:kern w:val="2"/>
          <w14:ligatures w14:val="standardContextual"/>
        </w:rPr>
      </w:pPr>
      <w:r w:rsidRPr="00242AEA">
        <w:rPr>
          <w:rFonts w:asciiTheme="minorHAnsi" w:hAnsiTheme="minorHAnsi"/>
        </w:rPr>
        <w:t>1. Executive Summary</w:t>
      </w:r>
      <w:r w:rsidRPr="00242AEA">
        <w:rPr>
          <w:rFonts w:asciiTheme="minorHAnsi" w:hAnsiTheme="minorHAnsi"/>
        </w:rPr>
        <w:br/>
        <w:t>2. Engagement Assumptions</w:t>
      </w:r>
      <w:r w:rsidRPr="00242AEA">
        <w:rPr>
          <w:rFonts w:asciiTheme="minorHAnsi" w:hAnsiTheme="minorHAnsi"/>
        </w:rPr>
        <w:br/>
        <w:t>3. Scope of Services</w:t>
      </w:r>
      <w:r w:rsidRPr="00242AEA">
        <w:rPr>
          <w:rFonts w:asciiTheme="minorHAnsi" w:hAnsiTheme="minorHAnsi"/>
        </w:rPr>
        <w:br/>
        <w:t>4. Deliverables</w:t>
      </w:r>
      <w:r w:rsidRPr="00242AEA">
        <w:rPr>
          <w:rFonts w:asciiTheme="minorHAnsi" w:hAnsiTheme="minorHAnsi"/>
        </w:rPr>
        <w:br/>
        <w:t>5. Timeline</w:t>
      </w:r>
      <w:r w:rsidRPr="00242AEA">
        <w:rPr>
          <w:rFonts w:asciiTheme="minorHAnsi" w:hAnsiTheme="minorHAnsi"/>
        </w:rPr>
        <w:br/>
        <w:t>6. Team &amp; Responsibilities</w:t>
      </w:r>
      <w:r w:rsidRPr="00242AEA">
        <w:rPr>
          <w:rFonts w:asciiTheme="minorHAnsi" w:hAnsiTheme="minorHAnsi"/>
        </w:rPr>
        <w:br/>
      </w:r>
      <w:r w:rsidRPr="00242AEA">
        <w:rPr>
          <w:rFonts w:asciiTheme="minorHAnsi" w:hAnsiTheme="minorHAnsi"/>
        </w:rPr>
        <w:lastRenderedPageBreak/>
        <w:t>7. Customer Obligations</w:t>
      </w:r>
      <w:r w:rsidRPr="00242AEA">
        <w:rPr>
          <w:rFonts w:asciiTheme="minorHAnsi" w:hAnsiTheme="minorHAnsi"/>
        </w:rPr>
        <w:br/>
        <w:t>8. Exclusions</w:t>
      </w:r>
      <w:r w:rsidRPr="00242AEA">
        <w:rPr>
          <w:rFonts w:asciiTheme="minorHAnsi" w:hAnsiTheme="minorHAnsi"/>
        </w:rPr>
        <w:br/>
        <w:t>9. Key Risks &amp; Mitigations</w:t>
      </w:r>
      <w:r w:rsidRPr="00242AEA">
        <w:rPr>
          <w:rFonts w:asciiTheme="minorHAnsi" w:hAnsiTheme="minorHAnsi"/>
        </w:rPr>
        <w:br/>
        <w:t>10. Change Control</w:t>
      </w:r>
      <w:r w:rsidRPr="00242AEA">
        <w:rPr>
          <w:rFonts w:asciiTheme="minorHAnsi" w:hAnsiTheme="minorHAnsi"/>
        </w:rPr>
        <w:br/>
        <w:t>11. Acceptance Criteria</w:t>
      </w:r>
      <w:r w:rsidRPr="00242AEA">
        <w:rPr>
          <w:rFonts w:asciiTheme="minorHAnsi" w:hAnsiTheme="minorHAnsi"/>
        </w:rPr>
        <w:br/>
        <w:t>12. Commercial Terms</w:t>
      </w:r>
      <w:r w:rsidRPr="00242AEA">
        <w:rPr>
          <w:rFonts w:asciiTheme="minorHAnsi" w:hAnsiTheme="minorHAnsi"/>
        </w:rPr>
        <w:br/>
        <w:t>13. Signatures</w:t>
      </w:r>
    </w:p>
    <w:p w14:paraId="1F736098" w14:textId="77777777" w:rsidR="0004546C" w:rsidRPr="00242AEA" w:rsidRDefault="0004546C">
      <w:pPr>
        <w:spacing w:after="120"/>
        <w:rPr>
          <w:rFonts w:asciiTheme="minorHAnsi" w:hAnsiTheme="minorHAnsi"/>
          <w:kern w:val="2"/>
          <w14:ligatures w14:val="standardContextual"/>
        </w:rPr>
      </w:pPr>
      <w:r w:rsidRPr="00242AEA">
        <w:rPr>
          <w:rFonts w:asciiTheme="minorHAnsi" w:hAnsiTheme="minorHAnsi"/>
          <w:b/>
          <w:bCs/>
        </w:rPr>
        <w:t>Statement of Work for Professional &amp; Consulting Services.</w:t>
      </w:r>
      <w:r w:rsidRPr="00242AEA">
        <w:rPr>
          <w:rFonts w:asciiTheme="minorHAnsi" w:hAnsiTheme="minorHAnsi"/>
        </w:rPr>
        <w:t xml:space="preserve"> </w:t>
      </w:r>
      <w:r w:rsidRPr="00242AEA">
        <w:rPr>
          <w:rFonts w:asciiTheme="minorHAnsi" w:hAnsiTheme="minorHAnsi"/>
        </w:rPr>
        <w:t>This Statement of Work (“SOW”) is between [Rackspace Legal Entity] (“Rackspace”) and [Customer Legal Entity] (“Customer”). This SOW is subject to and governed by the applicable master services agreement and professional services terms between the parties (the “Agreement”). The Agreement constitutes the complete agreement between the parties regarding the Services described in this SOW and supersedes any prior communications regarding the same subject matter.</w:t>
      </w:r>
    </w:p>
    <w:p w14:paraId="1840B9CD"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1. Executive Summary</w:t>
      </w:r>
    </w:p>
    <w:p w14:paraId="5434A621" w14:textId="77777777" w:rsidR="00E50D59" w:rsidRPr="00242AEA" w:rsidRDefault="00B6513D" w:rsidP="00E50D59">
      <w:pPr>
        <w:pStyle w:val="Heading2"/>
        <w:rPr>
          <w:rFonts w:asciiTheme="minorHAnsi" w:hAnsiTheme="minorHAnsi"/>
          <w:color w:val="C00000"/>
        </w:rPr>
      </w:pPr>
      <w:r w:rsidRPr="00242AEA">
        <w:rPr>
          <w:rFonts w:asciiTheme="minorHAnsi" w:hAnsiTheme="minorHAnsi"/>
          <w:color w:val="C00000"/>
        </w:rPr>
        <w:t xml:space="preserve">1.1 Executive Overview </w:t>
      </w:r>
    </w:p>
    <w:p w14:paraId="00C3098C" w14:textId="14F69EBE" w:rsidR="00825406" w:rsidRPr="00242AEA" w:rsidRDefault="00825406" w:rsidP="00E50D59">
      <w:pPr>
        <w:pStyle w:val="Heading2"/>
        <w:rPr>
          <w:rFonts w:asciiTheme="minorHAnsi" w:hAnsiTheme="minorHAnsi"/>
          <w:color w:val="C00000"/>
        </w:rPr>
      </w:pPr>
      <w:r w:rsidRPr="00242AEA">
        <w:rPr>
          <w:rFonts w:asciiTheme="minorHAnsi" w:hAnsiTheme="minorHAnsi"/>
          <w:color w:val="auto"/>
          <w:sz w:val="22"/>
          <w:szCs w:val="22"/>
        </w:rPr>
        <w:t>Objective:</w:t>
      </w:r>
      <w:r w:rsidRPr="00242AEA">
        <w:rPr>
          <w:rFonts w:asciiTheme="minorHAnsi" w:hAnsiTheme="minorHAnsi"/>
          <w:color w:val="C00000"/>
        </w:rPr>
        <w:t xml:space="preserve"> </w:t>
      </w:r>
      <w:r w:rsidRPr="00242AEA">
        <w:rPr>
          <w:rFonts w:asciiTheme="minorHAnsi" w:hAnsiTheme="minorHAnsi"/>
          <w:b w:val="0"/>
          <w:bCs w:val="0"/>
          <w:color w:val="auto"/>
          <w:sz w:val="22"/>
          <w:szCs w:val="22"/>
        </w:rPr>
        <w:t>Deliver a data-driven Cloud Readiness Assessment for the in-scope estate and provide a defensible recommendation for target cloud landing-zone requirements, migration approach options, and a comparative view across Azure, AWS, and Google Cloud (as required).</w:t>
      </w:r>
    </w:p>
    <w:p w14:paraId="5551DEE1" w14:textId="77777777" w:rsidR="00825406" w:rsidRPr="00242AEA" w:rsidRDefault="00825406" w:rsidP="00825406">
      <w:pPr>
        <w:pStyle w:val="ListParagraph"/>
        <w:numPr>
          <w:ilvl w:val="0"/>
          <w:numId w:val="33"/>
        </w:numPr>
        <w:rPr>
          <w:rFonts w:asciiTheme="minorHAnsi" w:hAnsiTheme="minorHAnsi"/>
        </w:rPr>
      </w:pPr>
      <w:r w:rsidRPr="00242AEA">
        <w:rPr>
          <w:rFonts w:asciiTheme="minorHAnsi" w:hAnsiTheme="minorHAnsi"/>
          <w:b/>
          <w:bCs/>
        </w:rPr>
        <w:t>Duration:</w:t>
      </w:r>
      <w:r w:rsidRPr="00242AEA">
        <w:rPr>
          <w:rFonts w:asciiTheme="minorHAnsi" w:hAnsiTheme="minorHAnsi"/>
        </w:rPr>
        <w:t xml:space="preserve"> </w:t>
      </w:r>
      <w:r w:rsidRPr="00242AEA">
        <w:rPr>
          <w:rFonts w:asciiTheme="minorHAnsi" w:hAnsiTheme="minorHAnsi"/>
          <w:b/>
          <w:bCs/>
        </w:rPr>
        <w:t>16 weeks elapsed</w:t>
      </w:r>
      <w:r w:rsidRPr="00242AEA">
        <w:rPr>
          <w:rFonts w:asciiTheme="minorHAnsi" w:hAnsiTheme="minorHAnsi"/>
        </w:rPr>
        <w:t xml:space="preserve"> (fixed), with defined parallelization to protect data-quality requirements.</w:t>
      </w:r>
    </w:p>
    <w:p w14:paraId="2E3DF41A" w14:textId="77777777" w:rsidR="00655136" w:rsidRDefault="00655136" w:rsidP="00655136">
      <w:pPr>
        <w:pStyle w:val="ListParagraph"/>
        <w:numPr>
          <w:ilvl w:val="0"/>
          <w:numId w:val="33"/>
        </w:numPr>
        <w:rPr>
          <w:kern w:val="2"/>
          <w14:ligatures w14:val="standardContextual"/>
        </w:rPr>
      </w:pPr>
      <w:r>
        <w:rPr>
          <w:rFonts w:ascii="Aptos" w:hAnsi="Aptos"/>
          <w:b/>
          <w:bCs/>
        </w:rPr>
        <w:t>Estate Profile:</w:t>
      </w:r>
      <w:r>
        <w:rPr>
          <w:rFonts w:ascii="Aptos" w:hAnsi="Aptos"/>
        </w:rPr>
        <w:t xml:space="preserve"> Large enterprise — approximately </w:t>
      </w:r>
      <w:r>
        <w:rPr>
          <w:rFonts w:ascii="Aptos" w:hAnsi="Aptos"/>
          <w:b/>
          <w:bCs/>
        </w:rPr>
        <w:t>3,800 servers</w:t>
      </w:r>
      <w:r>
        <w:rPr>
          <w:rFonts w:ascii="Aptos" w:hAnsi="Aptos"/>
        </w:rPr>
        <w:t xml:space="preserve"> and </w:t>
      </w:r>
      <w:r>
        <w:rPr>
          <w:rFonts w:ascii="Aptos" w:hAnsi="Aptos"/>
          <w:b/>
          <w:bCs/>
        </w:rPr>
        <w:t>less than 50</w:t>
      </w:r>
      <w:r>
        <w:rPr>
          <w:rFonts w:ascii="Aptos" w:hAnsi="Aptos"/>
        </w:rPr>
        <w:t xml:space="preserve"> applications (assumed).</w:t>
      </w:r>
    </w:p>
    <w:p w14:paraId="75E638B5" w14:textId="77777777" w:rsidR="00825406" w:rsidRPr="00242AEA" w:rsidRDefault="00825406" w:rsidP="00825406">
      <w:pPr>
        <w:pStyle w:val="ListParagraph"/>
        <w:numPr>
          <w:ilvl w:val="0"/>
          <w:numId w:val="33"/>
        </w:numPr>
        <w:rPr>
          <w:rFonts w:asciiTheme="minorHAnsi" w:hAnsiTheme="minorHAnsi"/>
        </w:rPr>
      </w:pPr>
      <w:r w:rsidRPr="00242AEA">
        <w:rPr>
          <w:rFonts w:asciiTheme="minorHAnsi" w:hAnsiTheme="minorHAnsi"/>
          <w:b/>
          <w:bCs/>
        </w:rPr>
        <w:t>Critical Data Gates:</w:t>
      </w:r>
      <w:r w:rsidRPr="00242AEA">
        <w:rPr>
          <w:rFonts w:asciiTheme="minorHAnsi" w:hAnsiTheme="minorHAnsi"/>
        </w:rPr>
        <w:t xml:space="preserve"> Minimum </w:t>
      </w:r>
      <w:r w:rsidRPr="00242AEA">
        <w:rPr>
          <w:rFonts w:asciiTheme="minorHAnsi" w:hAnsiTheme="minorHAnsi"/>
          <w:b/>
          <w:bCs/>
        </w:rPr>
        <w:t>2 weeks</w:t>
      </w:r>
      <w:r w:rsidRPr="00242AEA">
        <w:rPr>
          <w:rFonts w:asciiTheme="minorHAnsi" w:hAnsiTheme="minorHAnsi"/>
        </w:rPr>
        <w:t xml:space="preserve"> of utilization data before </w:t>
      </w:r>
      <w:proofErr w:type="gramStart"/>
      <w:r w:rsidRPr="00242AEA">
        <w:rPr>
          <w:rFonts w:asciiTheme="minorHAnsi" w:hAnsiTheme="minorHAnsi"/>
        </w:rPr>
        <w:t>right-sizing</w:t>
      </w:r>
      <w:proofErr w:type="gramEnd"/>
      <w:r w:rsidRPr="00242AEA">
        <w:rPr>
          <w:rFonts w:asciiTheme="minorHAnsi" w:hAnsiTheme="minorHAnsi"/>
        </w:rPr>
        <w:t>; target 4 weeks to capture weekly seasonality.</w:t>
      </w:r>
    </w:p>
    <w:p w14:paraId="1C1A7124" w14:textId="77777777" w:rsidR="00825406" w:rsidRPr="00242AEA" w:rsidRDefault="00825406" w:rsidP="00825406">
      <w:pPr>
        <w:pStyle w:val="ListParagraph"/>
        <w:numPr>
          <w:ilvl w:val="0"/>
          <w:numId w:val="33"/>
        </w:numPr>
        <w:rPr>
          <w:rFonts w:asciiTheme="minorHAnsi" w:hAnsiTheme="minorHAnsi"/>
        </w:rPr>
      </w:pPr>
      <w:r w:rsidRPr="00242AEA">
        <w:rPr>
          <w:rFonts w:asciiTheme="minorHAnsi" w:hAnsiTheme="minorHAnsi"/>
          <w:b/>
          <w:bCs/>
        </w:rPr>
        <w:t>Governance:</w:t>
      </w:r>
      <w:r w:rsidRPr="00242AEA">
        <w:rPr>
          <w:rFonts w:asciiTheme="minorHAnsi" w:hAnsiTheme="minorHAnsi"/>
        </w:rPr>
        <w:t xml:space="preserve"> Weekly Steering Committee, bi-weekly executive readout, and phase exit gates with sign-off.</w:t>
      </w:r>
    </w:p>
    <w:p w14:paraId="3D732F72" w14:textId="77777777" w:rsidR="00825406" w:rsidRPr="00242AEA" w:rsidRDefault="00825406" w:rsidP="00825406">
      <w:pPr>
        <w:pStyle w:val="ListParagraph"/>
        <w:numPr>
          <w:ilvl w:val="0"/>
          <w:numId w:val="33"/>
        </w:numPr>
        <w:rPr>
          <w:rFonts w:asciiTheme="minorHAnsi" w:hAnsiTheme="minorHAnsi"/>
        </w:rPr>
      </w:pPr>
      <w:r w:rsidRPr="00242AEA">
        <w:rPr>
          <w:rFonts w:asciiTheme="minorHAnsi" w:hAnsiTheme="minorHAnsi"/>
          <w:b/>
          <w:bCs/>
        </w:rPr>
        <w:t>Commercial Model:</w:t>
      </w:r>
      <w:r w:rsidRPr="00242AEA">
        <w:rPr>
          <w:rFonts w:asciiTheme="minorHAnsi" w:hAnsiTheme="minorHAnsi"/>
        </w:rPr>
        <w:t xml:space="preserve"> </w:t>
      </w:r>
      <w:r w:rsidRPr="00242AEA">
        <w:rPr>
          <w:rFonts w:asciiTheme="minorHAnsi" w:hAnsiTheme="minorHAnsi"/>
          <w:b/>
          <w:bCs/>
        </w:rPr>
        <w:t>Fixed Fee</w:t>
      </w:r>
      <w:r w:rsidRPr="00242AEA">
        <w:rPr>
          <w:rFonts w:asciiTheme="minorHAnsi" w:hAnsiTheme="minorHAnsi"/>
        </w:rPr>
        <w:t xml:space="preserve"> with milestone-based invoicing tied to phase exit gates.</w:t>
      </w:r>
    </w:p>
    <w:p w14:paraId="59803908"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1.2 Key Decisions Required</w:t>
      </w:r>
    </w:p>
    <w:p w14:paraId="5B54E829" w14:textId="77777777" w:rsidR="00825406" w:rsidRPr="00242AEA" w:rsidRDefault="00825406" w:rsidP="00825406">
      <w:pPr>
        <w:pStyle w:val="ListParagraph"/>
        <w:numPr>
          <w:ilvl w:val="0"/>
          <w:numId w:val="34"/>
        </w:numPr>
        <w:rPr>
          <w:rFonts w:asciiTheme="minorHAnsi" w:hAnsiTheme="minorHAnsi"/>
          <w:kern w:val="2"/>
          <w14:ligatures w14:val="standardContextual"/>
        </w:rPr>
      </w:pPr>
      <w:r w:rsidRPr="00242AEA">
        <w:rPr>
          <w:rFonts w:asciiTheme="minorHAnsi" w:hAnsiTheme="minorHAnsi"/>
          <w:b/>
          <w:bCs/>
        </w:rPr>
        <w:t>Executive Sponsor</w:t>
      </w:r>
      <w:r w:rsidRPr="00242AEA">
        <w:rPr>
          <w:rFonts w:asciiTheme="minorHAnsi" w:hAnsiTheme="minorHAnsi"/>
        </w:rPr>
        <w:t xml:space="preserve"> and </w:t>
      </w:r>
      <w:r w:rsidRPr="00242AEA">
        <w:rPr>
          <w:rFonts w:asciiTheme="minorHAnsi" w:hAnsiTheme="minorHAnsi"/>
          <w:b/>
          <w:bCs/>
        </w:rPr>
        <w:t>Steering Committee</w:t>
      </w:r>
      <w:r w:rsidRPr="00242AEA">
        <w:rPr>
          <w:rFonts w:asciiTheme="minorHAnsi" w:hAnsiTheme="minorHAnsi"/>
        </w:rPr>
        <w:t xml:space="preserve"> confirmation (names/roles) and approval of the governance cadence.</w:t>
      </w:r>
    </w:p>
    <w:p w14:paraId="635B40BD" w14:textId="77777777" w:rsidR="00825406" w:rsidRPr="00242AEA" w:rsidRDefault="00825406" w:rsidP="00825406">
      <w:pPr>
        <w:pStyle w:val="ListParagraph"/>
        <w:numPr>
          <w:ilvl w:val="0"/>
          <w:numId w:val="34"/>
        </w:numPr>
        <w:rPr>
          <w:rFonts w:asciiTheme="minorHAnsi" w:hAnsiTheme="minorHAnsi"/>
        </w:rPr>
      </w:pPr>
      <w:r w:rsidRPr="00242AEA">
        <w:rPr>
          <w:rFonts w:asciiTheme="minorHAnsi" w:hAnsiTheme="minorHAnsi"/>
        </w:rPr>
        <w:t xml:space="preserve">Confirmation of the </w:t>
      </w:r>
      <w:r w:rsidRPr="00242AEA">
        <w:rPr>
          <w:rFonts w:asciiTheme="minorHAnsi" w:hAnsiTheme="minorHAnsi"/>
          <w:b/>
          <w:bCs/>
        </w:rPr>
        <w:t>target cloud decision path</w:t>
      </w:r>
      <w:r w:rsidRPr="00242AEA">
        <w:rPr>
          <w:rFonts w:asciiTheme="minorHAnsi" w:hAnsiTheme="minorHAnsi"/>
        </w:rPr>
        <w:t xml:space="preserve"> (Azure / AWS / Google Cloud) and the desired depth of comparative analysis (portfolio-level baseline included).</w:t>
      </w:r>
    </w:p>
    <w:p w14:paraId="3ECF7651" w14:textId="77777777" w:rsidR="00825406" w:rsidRPr="00242AEA" w:rsidRDefault="00825406" w:rsidP="00825406">
      <w:pPr>
        <w:pStyle w:val="ListParagraph"/>
        <w:numPr>
          <w:ilvl w:val="0"/>
          <w:numId w:val="34"/>
        </w:numPr>
        <w:rPr>
          <w:rFonts w:asciiTheme="minorHAnsi" w:hAnsiTheme="minorHAnsi"/>
        </w:rPr>
      </w:pPr>
      <w:r w:rsidRPr="00242AEA">
        <w:rPr>
          <w:rFonts w:asciiTheme="minorHAnsi" w:hAnsiTheme="minorHAnsi"/>
        </w:rPr>
        <w:t xml:space="preserve">Approval for </w:t>
      </w:r>
      <w:r w:rsidRPr="00242AEA">
        <w:rPr>
          <w:rFonts w:asciiTheme="minorHAnsi" w:hAnsiTheme="minorHAnsi"/>
          <w:b/>
          <w:bCs/>
        </w:rPr>
        <w:t>discovery approach and tooling</w:t>
      </w:r>
      <w:r w:rsidRPr="00242AEA">
        <w:rPr>
          <w:rFonts w:asciiTheme="minorHAnsi" w:hAnsiTheme="minorHAnsi"/>
        </w:rPr>
        <w:t xml:space="preserve"> (agentless preferred) and timely processing of CAB/network changes and service-account provisioning.</w:t>
      </w:r>
    </w:p>
    <w:p w14:paraId="37FACB3B" w14:textId="77777777" w:rsidR="00825406" w:rsidRPr="00242AEA" w:rsidRDefault="00825406" w:rsidP="00825406">
      <w:pPr>
        <w:pStyle w:val="ListParagraph"/>
        <w:numPr>
          <w:ilvl w:val="0"/>
          <w:numId w:val="34"/>
        </w:numPr>
        <w:rPr>
          <w:rFonts w:asciiTheme="minorHAnsi" w:hAnsiTheme="minorHAnsi"/>
        </w:rPr>
      </w:pPr>
      <w:r w:rsidRPr="00242AEA">
        <w:rPr>
          <w:rFonts w:asciiTheme="minorHAnsi" w:hAnsiTheme="minorHAnsi"/>
        </w:rPr>
        <w:t xml:space="preserve">Commitment of </w:t>
      </w:r>
      <w:r w:rsidRPr="00242AEA">
        <w:rPr>
          <w:rFonts w:asciiTheme="minorHAnsi" w:hAnsiTheme="minorHAnsi"/>
          <w:b/>
          <w:bCs/>
        </w:rPr>
        <w:t>Application Owner</w:t>
      </w:r>
      <w:r w:rsidRPr="00242AEA">
        <w:rPr>
          <w:rFonts w:asciiTheme="minorHAnsi" w:hAnsiTheme="minorHAnsi"/>
        </w:rPr>
        <w:t xml:space="preserve"> participation windows for interviews/workshops during the Analysis phase.</w:t>
      </w:r>
    </w:p>
    <w:p w14:paraId="0E27EDC5"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This Statement of Work (SOW) covers the scope, approach, deliverables, timeline, and commercial terms for a Cloud Readiness Assessment for [Customer Name]. The assessment will provide a clear recommendation for the in-scope estate. It will include landing zone requirements, migration approach options, and a comparative view across Microsoft Azure, Amazon Web Services (AWS), and Google Cloud Platform (GCP), as needed.</w:t>
      </w:r>
    </w:p>
    <w:p w14:paraId="3AE32758"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lastRenderedPageBreak/>
        <w:t>The work is delivered in eight phases. It starts with Initiation, then moves through Discovery, Analysis, Evaluation, and Planning. It ends with Reporting and Sign-off. The schedule includes time to set up discovery tooling and fix common access issues (firewall and OS permissions). We also treat two weeks of utilization data as a hard requirement before we produce right-sizing recommendations.</w:t>
      </w:r>
    </w:p>
    <w:p w14:paraId="03AEC4EC"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 xml:space="preserve">The engagement duration is </w:t>
      </w:r>
      <w:r w:rsidRPr="00242AEA">
        <w:rPr>
          <w:rFonts w:asciiTheme="minorHAnsi" w:hAnsiTheme="minorHAnsi"/>
          <w:b/>
          <w:bCs/>
        </w:rPr>
        <w:t>fixed at 16 weeks</w:t>
      </w:r>
      <w:r w:rsidRPr="00242AEA">
        <w:rPr>
          <w:rFonts w:asciiTheme="minorHAnsi" w:hAnsiTheme="minorHAnsi"/>
        </w:rPr>
        <w:t xml:space="preserve"> (elapsed). All activities and deliverables in this SOW are planned within this window. Some workstreams run in parallel. We do not reduce the minimum discovery, data-quality, or stakeholder review time needed for a reliable assessment.</w:t>
      </w:r>
    </w:p>
    <w:p w14:paraId="0D52DF16" w14:textId="77777777" w:rsidR="00F42441" w:rsidRPr="00242AEA" w:rsidRDefault="00F42441">
      <w:pPr>
        <w:pStyle w:val="Heading1"/>
        <w:rPr>
          <w:rFonts w:asciiTheme="minorHAnsi" w:hAnsiTheme="minorHAnsi"/>
          <w:kern w:val="36"/>
          <w14:ligatures w14:val="standardContextual"/>
        </w:rPr>
      </w:pPr>
      <w:r w:rsidRPr="00242AEA">
        <w:rPr>
          <w:rFonts w:asciiTheme="minorHAnsi" w:hAnsiTheme="minorHAnsi"/>
          <w:color w:val="C00000"/>
        </w:rPr>
        <w:t>SOW Term &amp; Business Hours</w:t>
      </w:r>
    </w:p>
    <w:p w14:paraId="373DAAD1" w14:textId="77777777" w:rsidR="0004546C" w:rsidRPr="00242AEA" w:rsidRDefault="0004546C">
      <w:pPr>
        <w:spacing w:after="120"/>
        <w:rPr>
          <w:rFonts w:asciiTheme="minorHAnsi" w:hAnsiTheme="minorHAnsi"/>
          <w:kern w:val="2"/>
          <w14:ligatures w14:val="standardContextual"/>
        </w:rPr>
      </w:pPr>
      <w:r w:rsidRPr="00242AEA">
        <w:rPr>
          <w:rFonts w:asciiTheme="minorHAnsi" w:hAnsiTheme="minorHAnsi"/>
          <w:b/>
          <w:bCs/>
        </w:rPr>
        <w:t>Business Hours.</w:t>
      </w:r>
      <w:r w:rsidRPr="00242AEA">
        <w:rPr>
          <w:rFonts w:asciiTheme="minorHAnsi" w:hAnsiTheme="minorHAnsi"/>
        </w:rPr>
        <w:t xml:space="preserve"> Business hours for performance of this SOW are 8:30am to 5:30pm Monday through Friday (excluding public holidays) in the time zone in which the Services are being performed, unless otherwise agreed in writing.</w:t>
      </w:r>
    </w:p>
    <w:p w14:paraId="75431BE2" w14:textId="77777777" w:rsidR="0004546C" w:rsidRPr="00242AEA" w:rsidRDefault="0004546C">
      <w:pPr>
        <w:spacing w:after="120"/>
        <w:rPr>
          <w:rFonts w:asciiTheme="minorHAnsi" w:hAnsiTheme="minorHAnsi"/>
          <w:kern w:val="2"/>
          <w14:ligatures w14:val="standardContextual"/>
        </w:rPr>
      </w:pPr>
      <w:r w:rsidRPr="00242AEA">
        <w:rPr>
          <w:rFonts w:asciiTheme="minorHAnsi" w:hAnsiTheme="minorHAnsi"/>
          <w:b/>
          <w:bCs/>
        </w:rPr>
        <w:t>SOW Term.</w:t>
      </w:r>
      <w:r w:rsidRPr="00242AEA">
        <w:rPr>
          <w:rFonts w:asciiTheme="minorHAnsi" w:hAnsiTheme="minorHAnsi"/>
        </w:rPr>
        <w:t xml:space="preserve"> The Services under this SOW are for a fixed term of </w:t>
      </w:r>
      <w:r w:rsidRPr="00242AEA">
        <w:rPr>
          <w:rFonts w:asciiTheme="minorHAnsi" w:hAnsiTheme="minorHAnsi"/>
          <w:b/>
          <w:bCs/>
        </w:rPr>
        <w:t>16 weeks elapsed</w:t>
      </w:r>
      <w:r w:rsidRPr="00242AEA">
        <w:rPr>
          <w:rFonts w:asciiTheme="minorHAnsi" w:hAnsiTheme="minorHAnsi"/>
        </w:rPr>
        <w:t xml:space="preserve"> from the mutually agreed start date, unless otherwise amended through change control.</w:t>
      </w:r>
    </w:p>
    <w:p w14:paraId="5DDF8B07"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2. Engagement Assumptions</w:t>
      </w:r>
    </w:p>
    <w:p w14:paraId="66C0D371" w14:textId="77777777" w:rsidR="00C43DB1" w:rsidRPr="00242AEA" w:rsidRDefault="00000000">
      <w:pPr>
        <w:spacing w:after="120"/>
        <w:rPr>
          <w:rFonts w:asciiTheme="minorHAnsi" w:hAnsiTheme="minorHAnsi"/>
        </w:rPr>
      </w:pPr>
      <w:r w:rsidRPr="00242AEA">
        <w:rPr>
          <w:rFonts w:asciiTheme="minorHAnsi" w:hAnsiTheme="minorHAnsi"/>
        </w:rPr>
        <w:t>The pricing, duration, and resourcing in this SOW are predicated on the following assumptions. Material deviations will be handled via formal change control.</w:t>
      </w:r>
    </w:p>
    <w:p w14:paraId="3356E7DA"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2.1 Estate &amp; Scope</w:t>
      </w:r>
    </w:p>
    <w:p w14:paraId="5B6EE85D" w14:textId="77777777" w:rsidR="0079338A" w:rsidRPr="00242AEA" w:rsidRDefault="0079338A" w:rsidP="0079338A">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Estate size of approximately </w:t>
      </w:r>
      <w:r w:rsidRPr="00242AEA">
        <w:rPr>
          <w:rFonts w:asciiTheme="minorHAnsi" w:hAnsiTheme="minorHAnsi"/>
          <w:b/>
          <w:bCs/>
        </w:rPr>
        <w:t>3,800 servers</w:t>
      </w:r>
      <w:r w:rsidRPr="00242AEA">
        <w:rPr>
          <w:rFonts w:asciiTheme="minorHAnsi" w:hAnsiTheme="minorHAnsi"/>
        </w:rPr>
        <w:t xml:space="preserve"> (large enterprise). The plan and resourcing in this SOW are sized for this band; materially smaller estates may compress, and larger estates may extend Phase 1–2 via change control.</w:t>
      </w:r>
    </w:p>
    <w:p w14:paraId="66C0D374"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Workload mix is approximately 70% virtualized (predominantly VMware vSphere, some Hyper-V), 20% physical, and 10% already on PaaS or SaaS.</w:t>
      </w:r>
    </w:p>
    <w:p w14:paraId="66C0D375"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Operating system mix is approximately 60% Windows Server (2012 R2 through 2022) and 40% Linux (RHEL, Ubuntu, SUSE).</w:t>
      </w:r>
    </w:p>
    <w:p w14:paraId="130F2A67" w14:textId="77777777" w:rsidR="00655136" w:rsidRDefault="00655136" w:rsidP="00655136">
      <w:pPr>
        <w:pStyle w:val="ListParagraph"/>
        <w:numPr>
          <w:ilvl w:val="0"/>
          <w:numId w:val="2"/>
        </w:numPr>
        <w:spacing w:after="60"/>
        <w:rPr>
          <w:kern w:val="2"/>
          <w14:ligatures w14:val="standardContextual"/>
        </w:rPr>
      </w:pPr>
      <w:r>
        <w:rPr>
          <w:rFonts w:ascii="Aptos" w:hAnsi="Aptos"/>
        </w:rPr>
        <w:t xml:space="preserve">Application portfolio of </w:t>
      </w:r>
      <w:r>
        <w:rPr>
          <w:rFonts w:ascii="Aptos" w:hAnsi="Aptos"/>
          <w:b/>
          <w:bCs/>
        </w:rPr>
        <w:t>less than 50</w:t>
      </w:r>
      <w:r>
        <w:rPr>
          <w:rFonts w:ascii="Aptos" w:hAnsi="Aptos"/>
        </w:rPr>
        <w:t xml:space="preserve"> business applications (assumed).</w:t>
      </w:r>
    </w:p>
    <w:p w14:paraId="71E94CF6" w14:textId="77777777" w:rsidR="00286A5F" w:rsidRPr="00242AEA" w:rsidRDefault="00286A5F" w:rsidP="00286A5F">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In-scope domains include compute, storage, networking, identity, data, application portfolio, security and compliance posture, and a FinOps baseline.</w:t>
      </w:r>
    </w:p>
    <w:p w14:paraId="23790930"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 xml:space="preserve">2.2 </w:t>
      </w:r>
      <w:proofErr w:type="spellStart"/>
      <w:r w:rsidRPr="00242AEA">
        <w:rPr>
          <w:rFonts w:asciiTheme="minorHAnsi" w:hAnsiTheme="minorHAnsi"/>
          <w:color w:val="C00000"/>
        </w:rPr>
        <w:t>Hyperscaler</w:t>
      </w:r>
      <w:proofErr w:type="spellEnd"/>
      <w:r w:rsidRPr="00242AEA">
        <w:rPr>
          <w:rFonts w:asciiTheme="minorHAnsi" w:hAnsiTheme="minorHAnsi"/>
          <w:color w:val="C00000"/>
        </w:rPr>
        <w:t xml:space="preserve"> &amp; Tooling</w:t>
      </w:r>
    </w:p>
    <w:p w14:paraId="2E8D7775"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Target cloud (Azure / AWS / GCP) will be confirmed during Phase 0 based on customer strategy, constraints, and stakeholder alignment. The assessment remains cloud-neutral until this decision is confirmed.</w:t>
      </w:r>
    </w:p>
    <w:p w14:paraId="014E3EEE"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A comparative cost and capability view across Azure, AWS, and GCP is included at the portfolio level. If workload-level multi-cloud deep dives are required, they will be added via change order.</w:t>
      </w:r>
    </w:p>
    <w:p w14:paraId="6D6C1AAA"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Discovery tooling will be selected and confirmed in Phase 0 based on the target cloud and customer security constraints. Tooling may include native discovery services (e.g., Azure </w:t>
      </w:r>
      <w:r w:rsidRPr="00242AEA">
        <w:rPr>
          <w:rFonts w:asciiTheme="minorHAnsi" w:hAnsiTheme="minorHAnsi"/>
        </w:rPr>
        <w:lastRenderedPageBreak/>
        <w:t xml:space="preserve">Migrate, AWS Application Discovery Service, Google Cloud discovery/assessment tooling) and/or supplemental exports (e.g., VMware </w:t>
      </w:r>
      <w:proofErr w:type="spellStart"/>
      <w:r w:rsidRPr="00242AEA">
        <w:rPr>
          <w:rFonts w:asciiTheme="minorHAnsi" w:hAnsiTheme="minorHAnsi"/>
        </w:rPr>
        <w:t>RVTools</w:t>
      </w:r>
      <w:proofErr w:type="spellEnd"/>
      <w:r w:rsidRPr="00242AEA">
        <w:rPr>
          <w:rFonts w:asciiTheme="minorHAnsi" w:hAnsiTheme="minorHAnsi"/>
        </w:rPr>
        <w:t>, CMDB/monitoring exports).</w:t>
      </w:r>
    </w:p>
    <w:p w14:paraId="405D6EE8"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Supplemental data sources may include VMware exports (e.g., </w:t>
      </w:r>
      <w:proofErr w:type="spellStart"/>
      <w:r w:rsidRPr="00242AEA">
        <w:rPr>
          <w:rFonts w:asciiTheme="minorHAnsi" w:hAnsiTheme="minorHAnsi"/>
        </w:rPr>
        <w:t>RVTools</w:t>
      </w:r>
      <w:proofErr w:type="spellEnd"/>
      <w:r w:rsidRPr="00242AEA">
        <w:rPr>
          <w:rFonts w:asciiTheme="minorHAnsi" w:hAnsiTheme="minorHAnsi"/>
        </w:rPr>
        <w:t>), OS and database assessment utilities, current cloud account data (if applicable), and existing monitoring/ITSM data to improve inventory and utilization completeness.</w:t>
      </w:r>
    </w:p>
    <w:p w14:paraId="1E4BFD4A"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Pricing and TCO </w:t>
      </w:r>
      <w:proofErr w:type="spellStart"/>
      <w:r w:rsidRPr="00242AEA">
        <w:rPr>
          <w:rFonts w:asciiTheme="minorHAnsi" w:hAnsiTheme="minorHAnsi"/>
        </w:rPr>
        <w:t>modeling</w:t>
      </w:r>
      <w:proofErr w:type="spellEnd"/>
      <w:r w:rsidRPr="00242AEA">
        <w:rPr>
          <w:rFonts w:asciiTheme="minorHAnsi" w:hAnsiTheme="minorHAnsi"/>
        </w:rPr>
        <w:t xml:space="preserve"> uses the </w:t>
      </w:r>
      <w:proofErr w:type="spellStart"/>
      <w:r w:rsidRPr="00242AEA">
        <w:rPr>
          <w:rFonts w:asciiTheme="minorHAnsi" w:hAnsiTheme="minorHAnsi"/>
        </w:rPr>
        <w:t>hyperscaler</w:t>
      </w:r>
      <w:proofErr w:type="spellEnd"/>
      <w:r w:rsidRPr="00242AEA">
        <w:rPr>
          <w:rFonts w:asciiTheme="minorHAnsi" w:hAnsiTheme="minorHAnsi"/>
        </w:rPr>
        <w:t xml:space="preserve"> calculators and pricing references aligned to the target and comparative clouds (e.g., Azure Pricing/TCO, AWS Pricing Calculator, and Google Cloud Pricing Calculator), with assumptions documented in the cost model.</w:t>
      </w:r>
    </w:p>
    <w:p w14:paraId="2C0D324B"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2.3 Discovery Data Quality</w:t>
      </w:r>
    </w:p>
    <w:p w14:paraId="7CF4F9E4"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b/>
          <w:bCs/>
        </w:rPr>
        <w:t>The following data-quality requirements are built into the plan and drive the timeline:</w:t>
      </w:r>
    </w:p>
    <w:p w14:paraId="66C0D380"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 minimum of two weeks of continuous utilization data is required before right-sizing recommendations are issued with confidence. Four weeks is the target window to capture weekly seasonality (month-end batch jobs, weekend reporting cycles).</w:t>
      </w:r>
    </w:p>
    <w:p w14:paraId="66C0D381"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 three-week setup window is budgeted for discovery tooling stand-up. This includes the typical 5- to 10-business-day Change Advisory Board (CAB) lead time for firewall and network change requests, service-account provisioning, and appliance certification.</w:t>
      </w:r>
    </w:p>
    <w:p w14:paraId="66C0D382"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 xml:space="preserve">A one-week troubleshooting reserve is embedded in the discovery setup phase to address known data-capture issues: on-prem firewall egress blocks, WMI/SSH/SNMP failures, OS-level GPO and PowerShell </w:t>
      </w:r>
      <w:proofErr w:type="spellStart"/>
      <w:r w:rsidRPr="00242AEA">
        <w:rPr>
          <w:rFonts w:asciiTheme="minorHAnsi" w:hAnsiTheme="minorHAnsi"/>
        </w:rPr>
        <w:t>ExecutionPolicy</w:t>
      </w:r>
      <w:proofErr w:type="spellEnd"/>
      <w:r w:rsidRPr="00242AEA">
        <w:rPr>
          <w:rFonts w:asciiTheme="minorHAnsi" w:hAnsiTheme="minorHAnsi"/>
        </w:rPr>
        <w:t xml:space="preserve"> restrictions, and </w:t>
      </w:r>
      <w:proofErr w:type="spellStart"/>
      <w:r w:rsidRPr="00242AEA">
        <w:rPr>
          <w:rFonts w:asciiTheme="minorHAnsi" w:hAnsiTheme="minorHAnsi"/>
        </w:rPr>
        <w:t>sudoers</w:t>
      </w:r>
      <w:proofErr w:type="spellEnd"/>
      <w:r w:rsidRPr="00242AEA">
        <w:rPr>
          <w:rFonts w:asciiTheme="minorHAnsi" w:hAnsiTheme="minorHAnsi"/>
        </w:rPr>
        <w:t xml:space="preserve"> misconfiguration.</w:t>
      </w:r>
    </w:p>
    <w:p w14:paraId="66C0D383"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Approximately 10–15% of in-scope servers are expected to require re-discovery cycles due to credential, network, or agent issues. This contingency is built into the data-collection phase duration.</w:t>
      </w:r>
    </w:p>
    <w:p w14:paraId="66C0D384"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Inventory completeness target is at least 95% of in-scope servers with utilization data and at least 90% with dependency data. Below these thresholds, the right-sizing recommendation in the Evaluation phase will be flagged as low-confidence and a remediation plan will be proposed.</w:t>
      </w:r>
    </w:p>
    <w:p w14:paraId="102859D8"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2.4 Customer &amp; Governance</w:t>
      </w:r>
    </w:p>
    <w:p w14:paraId="66C0D386"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The customer follows a formal Change Advisory Board (CAB) process. Firewall and network change requests require a 5- to 10-business-day lead time; this has been built into the schedule.</w:t>
      </w:r>
    </w:p>
    <w:p w14:paraId="66C0D387"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Application owners are assumed to be available for two to three hours per week per application during the Analysis phase. Limited availability of application owners is the engagement’s top stakeholder risk and is tracked weekly.</w:t>
      </w:r>
    </w:p>
    <w:p w14:paraId="1BAC001A" w14:textId="77777777" w:rsidR="0066115C" w:rsidRPr="00242AEA" w:rsidRDefault="0066115C" w:rsidP="0066115C">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A weekly </w:t>
      </w:r>
      <w:r w:rsidRPr="00242AEA">
        <w:rPr>
          <w:rFonts w:asciiTheme="minorHAnsi" w:hAnsiTheme="minorHAnsi"/>
          <w:b/>
          <w:bCs/>
        </w:rPr>
        <w:t>Steering Committee</w:t>
      </w:r>
      <w:r w:rsidRPr="00242AEA">
        <w:rPr>
          <w:rFonts w:asciiTheme="minorHAnsi" w:hAnsiTheme="minorHAnsi"/>
        </w:rPr>
        <w:t>, a bi-weekly executive readout, and a daily delivery-team stand-up are established as the governance cadence.</w:t>
      </w:r>
    </w:p>
    <w:p w14:paraId="66C0D38A"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 single primary geography is assumed. Multi-region operation adds two to three weeks for data-residency and latency considerations.</w:t>
      </w:r>
    </w:p>
    <w:p w14:paraId="58899A52"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2.5 Commercial &amp; Delivery</w:t>
      </w:r>
    </w:p>
    <w:p w14:paraId="427FD15A" w14:textId="77777777" w:rsidR="00107F82" w:rsidRPr="00242AEA" w:rsidRDefault="00107F82" w:rsidP="00107F82">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The engagement is delivered on a </w:t>
      </w:r>
      <w:r w:rsidRPr="00242AEA">
        <w:rPr>
          <w:rFonts w:asciiTheme="minorHAnsi" w:hAnsiTheme="minorHAnsi"/>
          <w:b/>
          <w:bCs/>
        </w:rPr>
        <w:t>Fixed Fee</w:t>
      </w:r>
      <w:r w:rsidRPr="00242AEA">
        <w:rPr>
          <w:rFonts w:asciiTheme="minorHAnsi" w:hAnsiTheme="minorHAnsi"/>
        </w:rPr>
        <w:t xml:space="preserve"> basis, with milestone-based invoicing tied to phase exit gates.</w:t>
      </w:r>
    </w:p>
    <w:p w14:paraId="09120921" w14:textId="77777777" w:rsidR="00AC45A5" w:rsidRPr="00242AEA" w:rsidRDefault="00AC45A5" w:rsidP="00AC45A5">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lastRenderedPageBreak/>
        <w:t xml:space="preserve">The baseline delivery team (planned to execute the 16-week schedule) aligns to the Project Plan workbook Resource Plan: Project Manager (50% for 16 weeks), Lead Cloud Solutions Architect (75% for 16 weeks), Cloud Engineer (100% for 12 weeks), Technical Consultant (75% for 12 weeks), and Network Firewall SME (25% for 5 weeks). Specialist advisory roles (e.g., </w:t>
      </w:r>
      <w:proofErr w:type="spellStart"/>
      <w:r w:rsidRPr="00242AEA">
        <w:rPr>
          <w:rFonts w:asciiTheme="minorHAnsi" w:hAnsiTheme="minorHAnsi"/>
        </w:rPr>
        <w:t>hyperscaler</w:t>
      </w:r>
      <w:proofErr w:type="spellEnd"/>
      <w:r w:rsidRPr="00242AEA">
        <w:rPr>
          <w:rFonts w:asciiTheme="minorHAnsi" w:hAnsiTheme="minorHAnsi"/>
        </w:rPr>
        <w:t>/AI/pre-sales/alliances) participate as needed for key reviews and do not change the baseline effort unless explicitly added via change control.</w:t>
      </w:r>
    </w:p>
    <w:p w14:paraId="66C0D38E"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 standard five-day work week is assumed, with US holidays observed. The plan does not compress for hero schedules; aggressive compression is the leading cause of unreliable assessment outputs.</w:t>
      </w:r>
    </w:p>
    <w:p w14:paraId="1BA8158F" w14:textId="77777777" w:rsidR="0079338A" w:rsidRPr="00242AEA" w:rsidRDefault="0079338A" w:rsidP="0079338A">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Each phase is gated by a formal exit review. The next phase does not commence until the prior gate is signed (or, where phases are explicitly parallelized in the project plan, until the defined dependency gate is met).</w:t>
      </w:r>
    </w:p>
    <w:p w14:paraId="58F8718C"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3. Scope of Services</w:t>
      </w:r>
    </w:p>
    <w:p w14:paraId="66C0D391" w14:textId="77777777" w:rsidR="00C43DB1" w:rsidRPr="00242AEA" w:rsidRDefault="00000000">
      <w:pPr>
        <w:spacing w:after="120"/>
        <w:rPr>
          <w:rFonts w:asciiTheme="minorHAnsi" w:hAnsiTheme="minorHAnsi"/>
        </w:rPr>
      </w:pPr>
      <w:r w:rsidRPr="00242AEA">
        <w:rPr>
          <w:rFonts w:asciiTheme="minorHAnsi" w:hAnsiTheme="minorHAnsi"/>
        </w:rPr>
        <w:t xml:space="preserve">The Cloud Readiness Assessment is structured in eight phases (one initiation, four </w:t>
      </w:r>
      <w:proofErr w:type="gramStart"/>
      <w:r w:rsidRPr="00242AEA">
        <w:rPr>
          <w:rFonts w:asciiTheme="minorHAnsi" w:hAnsiTheme="minorHAnsi"/>
        </w:rPr>
        <w:t>assessment</w:t>
      </w:r>
      <w:proofErr w:type="gramEnd"/>
      <w:r w:rsidRPr="00242AEA">
        <w:rPr>
          <w:rFonts w:asciiTheme="minorHAnsi" w:hAnsiTheme="minorHAnsi"/>
        </w:rPr>
        <w:t>, one planning, one reporting, one sign-off). The four assessment phases align to the existing Cloud Readiness Accelerator methodology: Discovery, Analysis, Evaluation, and Planning.</w:t>
      </w:r>
    </w:p>
    <w:p w14:paraId="1FEB7401"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3.1 Phase 0 — Initiate &amp; Mobilize (Weeks 1–2)</w:t>
      </w:r>
    </w:p>
    <w:p w14:paraId="0928931F"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 xml:space="preserve">We set up the team and agree how we will run the engagement. We confirm governance, communication, and change control. We complete </w:t>
      </w:r>
      <w:proofErr w:type="spellStart"/>
      <w:r w:rsidRPr="00242AEA">
        <w:rPr>
          <w:rFonts w:asciiTheme="minorHAnsi" w:hAnsiTheme="minorHAnsi"/>
        </w:rPr>
        <w:t>kickoff</w:t>
      </w:r>
      <w:proofErr w:type="spellEnd"/>
      <w:r w:rsidRPr="00242AEA">
        <w:rPr>
          <w:rFonts w:asciiTheme="minorHAnsi" w:hAnsiTheme="minorHAnsi"/>
        </w:rPr>
        <w:t xml:space="preserve"> and charter sign-off, confirm stakeholders, and sign off the RACI. We also raise access and tooling requests and set up the steering committee cadence.</w:t>
      </w:r>
    </w:p>
    <w:p w14:paraId="28D680D5" w14:textId="77777777" w:rsidR="0085353C" w:rsidRPr="00242AEA" w:rsidRDefault="0085353C">
      <w:pPr>
        <w:spacing w:after="120"/>
        <w:rPr>
          <w:rFonts w:asciiTheme="minorHAnsi" w:hAnsiTheme="minorHAnsi"/>
          <w:kern w:val="2"/>
          <w14:ligatures w14:val="standardContextual"/>
        </w:rPr>
      </w:pPr>
      <w:r w:rsidRPr="00242AEA">
        <w:rPr>
          <w:rFonts w:asciiTheme="minorHAnsi" w:hAnsiTheme="minorHAnsi"/>
          <w:b/>
          <w:bCs/>
        </w:rPr>
        <w:t>Deliverables:</w:t>
      </w:r>
    </w:p>
    <w:p w14:paraId="52F3C2CF" w14:textId="77777777" w:rsidR="0085353C" w:rsidRPr="00242AEA" w:rsidRDefault="0085353C" w:rsidP="0085353C">
      <w:pPr>
        <w:pStyle w:val="ListParagraph"/>
        <w:numPr>
          <w:ilvl w:val="0"/>
          <w:numId w:val="49"/>
        </w:numPr>
        <w:rPr>
          <w:rFonts w:asciiTheme="minorHAnsi" w:hAnsiTheme="minorHAnsi"/>
          <w:kern w:val="2"/>
          <w14:ligatures w14:val="standardContextual"/>
        </w:rPr>
      </w:pPr>
      <w:r w:rsidRPr="00242AEA">
        <w:rPr>
          <w:rFonts w:asciiTheme="minorHAnsi" w:hAnsiTheme="minorHAnsi"/>
        </w:rPr>
        <w:t>Project Charter</w:t>
      </w:r>
    </w:p>
    <w:p w14:paraId="6C856CF7" w14:textId="77777777" w:rsidR="0085353C" w:rsidRPr="00242AEA" w:rsidRDefault="0085353C" w:rsidP="0085353C">
      <w:pPr>
        <w:pStyle w:val="ListParagraph"/>
        <w:numPr>
          <w:ilvl w:val="0"/>
          <w:numId w:val="49"/>
        </w:numPr>
        <w:rPr>
          <w:rFonts w:asciiTheme="minorHAnsi" w:hAnsiTheme="minorHAnsi"/>
        </w:rPr>
      </w:pPr>
      <w:r w:rsidRPr="00242AEA">
        <w:rPr>
          <w:rFonts w:asciiTheme="minorHAnsi" w:hAnsiTheme="minorHAnsi"/>
        </w:rPr>
        <w:t>Detailed Project Plan &amp; RACI</w:t>
      </w:r>
    </w:p>
    <w:p w14:paraId="5CEE3659"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3.2 Phase 1 — Discovery: Tooling Setup (Weeks 3–5)</w:t>
      </w:r>
    </w:p>
    <w:p w14:paraId="7533F596" w14:textId="77777777" w:rsidR="003A40C5" w:rsidRDefault="003A40C5">
      <w:pPr>
        <w:spacing w:after="120"/>
        <w:rPr>
          <w:kern w:val="2"/>
          <w14:ligatures w14:val="standardContextual"/>
        </w:rPr>
      </w:pPr>
      <w:r>
        <w:rPr>
          <w:rFonts w:ascii="Aptos" w:hAnsi="Aptos"/>
        </w:rPr>
        <w:t xml:space="preserve">We design and set up the discovery tooling. This includes CAB requests for firewall and network changes, service account setup, and deployment per site or environment. We run a connectivity test and confirm data flow. We keep a one-week buffer to fix common issues, such as firewall blocks, OS permissions, or credential gaps. </w:t>
      </w:r>
      <w:r>
        <w:rPr>
          <w:rFonts w:ascii="Aptos" w:hAnsi="Aptos"/>
          <w:b/>
          <w:bCs/>
        </w:rPr>
        <w:t>On-premises server and network remediation required to restore connectivity or access is performed by the customer</w:t>
      </w:r>
      <w:r>
        <w:rPr>
          <w:rFonts w:ascii="Aptos" w:hAnsi="Aptos"/>
        </w:rPr>
        <w:t>, with Rackspace providing requirements and validation results. The phase exits when discovery works for at least 95% of the pilot scope.</w:t>
      </w:r>
    </w:p>
    <w:p w14:paraId="38E5456F" w14:textId="77777777" w:rsidR="00655136" w:rsidRDefault="00655136">
      <w:pPr>
        <w:spacing w:after="120"/>
        <w:rPr>
          <w:kern w:val="2"/>
          <w14:ligatures w14:val="standardContextual"/>
        </w:rPr>
      </w:pPr>
      <w:r>
        <w:rPr>
          <w:rFonts w:ascii="Aptos" w:hAnsi="Aptos"/>
          <w:b/>
          <w:bCs/>
        </w:rPr>
        <w:t>Deliverables:</w:t>
      </w:r>
    </w:p>
    <w:p w14:paraId="24BB2FF6" w14:textId="77777777" w:rsidR="00655136" w:rsidRDefault="00655136" w:rsidP="00655136">
      <w:pPr>
        <w:pStyle w:val="ListParagraph"/>
        <w:numPr>
          <w:ilvl w:val="0"/>
          <w:numId w:val="58"/>
        </w:numPr>
        <w:spacing w:after="60"/>
      </w:pPr>
      <w:r>
        <w:rPr>
          <w:rFonts w:ascii="Aptos" w:hAnsi="Aptos"/>
        </w:rPr>
        <w:t>Tooling Operational Confirmation</w:t>
      </w:r>
    </w:p>
    <w:p w14:paraId="0F9B40D7"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3.3 Phase 2 — Discovery: Data Collection (Weeks 6–9)</w:t>
      </w:r>
    </w:p>
    <w:p w14:paraId="66C0D397" w14:textId="77777777" w:rsidR="00C43DB1" w:rsidRPr="00242AEA" w:rsidRDefault="00000000">
      <w:pPr>
        <w:spacing w:after="120"/>
        <w:rPr>
          <w:rFonts w:asciiTheme="minorHAnsi" w:hAnsiTheme="minorHAnsi"/>
        </w:rPr>
      </w:pPr>
      <w:r w:rsidRPr="00242AEA">
        <w:rPr>
          <w:rFonts w:asciiTheme="minorHAnsi" w:hAnsiTheme="minorHAnsi"/>
        </w:rPr>
        <w:t xml:space="preserve">Continuous infrastructure inventory, utilization, and dependency data are collected. The phase runs for four weeks to satisfy the two-week minimum utilization window and to target the four-week ideal that captures weekly seasonality. Daily appliance health checks are performed, re-discovery </w:t>
      </w:r>
      <w:r w:rsidRPr="00242AEA">
        <w:rPr>
          <w:rFonts w:asciiTheme="minorHAnsi" w:hAnsiTheme="minorHAnsi"/>
        </w:rPr>
        <w:lastRenderedPageBreak/>
        <w:t>is run for the expected 10–15% of hosts requiring it, and inventory completeness is validated against the 95% / 90% thresholds before the phase exits.</w:t>
      </w:r>
    </w:p>
    <w:p w14:paraId="6A24F0AF" w14:textId="77777777" w:rsidR="00655136" w:rsidRDefault="00655136">
      <w:pPr>
        <w:spacing w:after="120"/>
        <w:rPr>
          <w:kern w:val="2"/>
          <w14:ligatures w14:val="standardContextual"/>
        </w:rPr>
      </w:pPr>
      <w:r>
        <w:rPr>
          <w:rFonts w:ascii="Aptos" w:hAnsi="Aptos"/>
          <w:b/>
          <w:bCs/>
        </w:rPr>
        <w:t>Deliverables:</w:t>
      </w:r>
    </w:p>
    <w:p w14:paraId="0C51AE41" w14:textId="77777777" w:rsidR="00655136" w:rsidRDefault="00655136" w:rsidP="00655136">
      <w:pPr>
        <w:pStyle w:val="ListParagraph"/>
        <w:numPr>
          <w:ilvl w:val="0"/>
          <w:numId w:val="43"/>
        </w:numPr>
        <w:spacing w:after="60"/>
        <w:rPr>
          <w:kern w:val="2"/>
          <w14:ligatures w14:val="standardContextual"/>
        </w:rPr>
      </w:pPr>
      <w:r>
        <w:rPr>
          <w:rFonts w:ascii="Aptos" w:hAnsi="Aptos"/>
        </w:rPr>
        <w:t>Inventory &amp; Utilization Datasets</w:t>
      </w:r>
    </w:p>
    <w:p w14:paraId="3496BADF" w14:textId="77777777" w:rsidR="00655136" w:rsidRDefault="00655136" w:rsidP="00655136">
      <w:pPr>
        <w:pStyle w:val="ListParagraph"/>
        <w:numPr>
          <w:ilvl w:val="0"/>
          <w:numId w:val="59"/>
        </w:numPr>
        <w:spacing w:after="60"/>
      </w:pPr>
      <w:r>
        <w:rPr>
          <w:rFonts w:ascii="Aptos" w:hAnsi="Aptos"/>
        </w:rPr>
        <w:t>Application Dependency Map</w:t>
      </w:r>
    </w:p>
    <w:p/>
    <w:p>
      <w:pPr>
        <w:pStyle w:val="Heading2"/>
      </w:pPr>
      <w:r>
        <w:rPr>
          <w:color w:val="E31C3D"/>
        </w:rPr>
        <w:t>3.3A Utilisation Data Quality Gate</w:t>
      </w:r>
    </w:p>
    <w:p>
      <w:pPr>
        <w:pBdr>
          <w:left w:val="single" w:sz="12" w:space="4" w:color="E31C3D"/>
        </w:pBdr>
      </w:pPr>
      <w:r>
        <w:rPr>
          <w:b/>
          <w:color w:val="E31C3D"/>
        </w:rPr>
        <w:t>GATE: Phase 3 (Evaluation) cannot commence until this data quality gate is passed. A TCO model built on insufficient data has +/-30-50% accuracy. This clause protects both Rackspace and the customer from a defensible recommendation.</w:t>
      </w:r>
    </w:p>
    <w:p>
      <w:pPr/>
      <w:r>
        <w:t>Phase 3 (Hyperscaler Evaluation and TCO Analysis) cannot commence until a minimum of [14] calendar days of clean CPU, RAM, storage, and network utilisation data has been collected from 90% or more of the in-scope VM estate.</w:t>
      </w:r>
    </w:p>
    <w:p>
      <w:pPr>
        <w:ind w:left="720" w:right="360"/>
        <w:shd w:val="clear" w:color="auto" w:fill="F2F2F2"/>
      </w:pPr>
      <w:r>
        <w:rPr>
          <w:i/>
          <w:sz w:val="18"/>
        </w:rPr>
        <w:t>Utilisation Data Gate Clause: Rackspace will provide a weekly data quality report to [CUSTOMER CONTACT NAME] showing collection coverage percentage and data quality grade. If schedule pressure arises, Rackspace will present the financial risk in writing: a TCO model built on fewer than 14 days of data has +/-30-50% accuracy, versus +/-10-15% accuracy with 28 or more days of data. The customer may approve proceeding with reduced data quality by signing a Data Quality Waiver, which Rackspace will attach to the final report.</w:t>
      </w:r>
    </w:p>
    <w:p>
      <w:pPr/>
      <w:r>
        <w:t>Recommended minimum: 14 days. Target: 28 days. Extended data collection beyond 28 days is available if the customer timeline permits and improves TCO accuracy.</w:t>
      </w:r>
    </w:p>
    <w:p w14:paraId="57AE9EB5"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3.4 Phase 3 — Analysis: Application &amp; Infrastructure Profiling (Weeks 8–11, parallel)</w:t>
      </w:r>
    </w:p>
    <w:p w14:paraId="6AA74767"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 xml:space="preserve">We interview application owners and capture business criticality and tiering. We review compliance and data residency needs. We also </w:t>
      </w:r>
      <w:proofErr w:type="spellStart"/>
      <w:r w:rsidRPr="00242AEA">
        <w:rPr>
          <w:rFonts w:asciiTheme="minorHAnsi" w:hAnsiTheme="minorHAnsi"/>
        </w:rPr>
        <w:t>analyze</w:t>
      </w:r>
      <w:proofErr w:type="spellEnd"/>
      <w:r w:rsidRPr="00242AEA">
        <w:rPr>
          <w:rFonts w:asciiTheme="minorHAnsi" w:hAnsiTheme="minorHAnsi"/>
        </w:rPr>
        <w:t xml:space="preserve"> infrastructure patterns and map integrations and dependencies. We produce a draft 6Rs disposition (Rehost, Replatform, Refactor, Repurchase, Retire, Retain). This phase overlaps with the end of Phase 2 to save time while keeping data quality intact.</w:t>
      </w:r>
    </w:p>
    <w:p w14:paraId="2C16B021" w14:textId="77777777" w:rsidR="00655136" w:rsidRDefault="00655136">
      <w:pPr>
        <w:spacing w:after="120"/>
        <w:rPr>
          <w:kern w:val="2"/>
          <w14:ligatures w14:val="standardContextual"/>
        </w:rPr>
      </w:pPr>
      <w:r>
        <w:rPr>
          <w:rFonts w:ascii="Aptos" w:hAnsi="Aptos"/>
          <w:b/>
          <w:bCs/>
        </w:rPr>
        <w:t>Deliverables:</w:t>
      </w:r>
    </w:p>
    <w:p w14:paraId="56FC99A8" w14:textId="77777777" w:rsidR="00655136" w:rsidRDefault="00655136" w:rsidP="00655136">
      <w:pPr>
        <w:pStyle w:val="ListParagraph"/>
        <w:numPr>
          <w:ilvl w:val="0"/>
          <w:numId w:val="44"/>
        </w:numPr>
        <w:spacing w:after="60"/>
        <w:rPr>
          <w:kern w:val="2"/>
          <w14:ligatures w14:val="standardContextual"/>
        </w:rPr>
      </w:pPr>
      <w:r>
        <w:rPr>
          <w:rFonts w:ascii="Aptos" w:hAnsi="Aptos"/>
        </w:rPr>
        <w:t>Application Portfolio Profile</w:t>
      </w:r>
    </w:p>
    <w:p w14:paraId="3B8502DC"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3.5 Phase 4 — Evaluation: Right-Sizing &amp; TCO (Weeks 10–12)</w:t>
      </w:r>
    </w:p>
    <w:p w14:paraId="214753D1"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We create right-sizing recommendations once we have at least two weeks of utilization data. We document the target landing zone and governance architecture for the selected target cloud. We also build a five-year TCO model for the target option, including common discount and licensing assumptions where they apply. If required, we provide a portfolio-level comparison across Azure, AWS, and GCP. We also complete a security and compliance gap review.</w:t>
      </w:r>
    </w:p>
    <w:p w14:paraId="2346835E" w14:textId="77777777" w:rsidR="00655136" w:rsidRDefault="00655136">
      <w:pPr>
        <w:spacing w:after="120"/>
        <w:rPr>
          <w:kern w:val="2"/>
          <w14:ligatures w14:val="standardContextual"/>
        </w:rPr>
      </w:pPr>
      <w:r>
        <w:rPr>
          <w:rFonts w:ascii="Aptos" w:hAnsi="Aptos"/>
          <w:b/>
          <w:bCs/>
        </w:rPr>
        <w:t>Deliverables:</w:t>
      </w:r>
    </w:p>
    <w:p w14:paraId="2649772C" w14:textId="7D9B9BCB" w:rsidR="00655136" w:rsidRPr="009547AC" w:rsidRDefault="00655136" w:rsidP="009547AC">
      <w:pPr>
        <w:pStyle w:val="ListParagraph"/>
        <w:numPr>
          <w:ilvl w:val="0"/>
          <w:numId w:val="45"/>
        </w:numPr>
        <w:spacing w:after="60"/>
        <w:rPr>
          <w:kern w:val="2"/>
          <w14:ligatures w14:val="standardContextual"/>
        </w:rPr>
      </w:pPr>
      <w:r>
        <w:rPr>
          <w:rFonts w:ascii="Aptos" w:hAnsi="Aptos"/>
        </w:rPr>
        <w:t>Right-Sizing Recommendations</w:t>
      </w:r>
    </w:p>
    <w:p w14:paraId="6B6DA8B3" w14:textId="77777777" w:rsidR="00655136" w:rsidRDefault="00655136" w:rsidP="00655136">
      <w:pPr>
        <w:pStyle w:val="ListParagraph"/>
        <w:numPr>
          <w:ilvl w:val="0"/>
          <w:numId w:val="61"/>
        </w:numPr>
        <w:spacing w:after="60"/>
      </w:pPr>
      <w:r>
        <w:rPr>
          <w:rFonts w:ascii="Aptos" w:hAnsi="Aptos"/>
        </w:rPr>
        <w:t>TCO Model (Target Cloud) + Comparative View (Azure / AWS / GCP)</w:t>
      </w:r>
    </w:p>
    <w:p w14:paraId="4060904F" w14:textId="4C0D3C98"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3.6 Phase 5 — Planning: Migration</w:t>
      </w:r>
      <w:r w:rsidR="00D9499B" w:rsidRPr="00242AEA">
        <w:rPr>
          <w:rFonts w:asciiTheme="minorHAnsi" w:hAnsiTheme="minorHAnsi"/>
          <w:color w:val="C00000"/>
        </w:rPr>
        <w:t xml:space="preserve"> Cohorts</w:t>
      </w:r>
      <w:r w:rsidRPr="00242AEA">
        <w:rPr>
          <w:rFonts w:asciiTheme="minorHAnsi" w:hAnsiTheme="minorHAnsi"/>
          <w:color w:val="C00000"/>
        </w:rPr>
        <w:t xml:space="preserve"> &amp; Roadmap (Weeks 13–14)</w:t>
      </w:r>
    </w:p>
    <w:p w14:paraId="66C0D39D" w14:textId="77777777" w:rsidR="00C43DB1" w:rsidRPr="00242AEA" w:rsidRDefault="00000000">
      <w:pPr>
        <w:spacing w:after="120"/>
        <w:rPr>
          <w:rFonts w:asciiTheme="minorHAnsi" w:hAnsiTheme="minorHAnsi"/>
        </w:rPr>
      </w:pPr>
      <w:r w:rsidRPr="00242AEA">
        <w:rPr>
          <w:rFonts w:asciiTheme="minorHAnsi" w:hAnsiTheme="minorHAnsi"/>
        </w:rPr>
        <w:t xml:space="preserve">Migration waves are grouped using dependency-mapping output. Each wave is assigned a migration approach (lift-and-shift, </w:t>
      </w:r>
      <w:proofErr w:type="spellStart"/>
      <w:r w:rsidRPr="00242AEA">
        <w:rPr>
          <w:rFonts w:asciiTheme="minorHAnsi" w:hAnsiTheme="minorHAnsi"/>
        </w:rPr>
        <w:t>replatform</w:t>
      </w:r>
      <w:proofErr w:type="spellEnd"/>
      <w:r w:rsidRPr="00242AEA">
        <w:rPr>
          <w:rFonts w:asciiTheme="minorHAnsi" w:hAnsiTheme="minorHAnsi"/>
        </w:rPr>
        <w:t>, refactor, retire, retain) and an effort estimate. A risk and rollback strategy is defined per wave, and a high-level migration roadmap and Gantt chart are produced.</w:t>
      </w:r>
    </w:p>
    <w:p w14:paraId="7E493A44" w14:textId="77777777" w:rsidR="00E577DA" w:rsidRPr="00242AEA" w:rsidRDefault="00E577DA">
      <w:pPr>
        <w:spacing w:after="120"/>
        <w:rPr>
          <w:rFonts w:asciiTheme="minorHAnsi" w:hAnsiTheme="minorHAnsi"/>
          <w:kern w:val="2"/>
          <w14:ligatures w14:val="standardContextual"/>
        </w:rPr>
      </w:pPr>
      <w:r w:rsidRPr="00242AEA">
        <w:rPr>
          <w:rFonts w:asciiTheme="minorHAnsi" w:hAnsiTheme="minorHAnsi"/>
          <w:b/>
          <w:bCs/>
        </w:rPr>
        <w:t>Deliverables:</w:t>
      </w:r>
    </w:p>
    <w:p w14:paraId="2BAE8E4C" w14:textId="63BE7AB8" w:rsidR="00655136" w:rsidRDefault="00655136" w:rsidP="00655136">
      <w:pPr>
        <w:pStyle w:val="ListParagraph"/>
        <w:numPr>
          <w:ilvl w:val="0"/>
          <w:numId w:val="46"/>
        </w:numPr>
        <w:spacing w:after="60"/>
        <w:rPr>
          <w:kern w:val="2"/>
          <w14:ligatures w14:val="standardContextual"/>
        </w:rPr>
      </w:pPr>
      <w:r>
        <w:rPr>
          <w:rFonts w:ascii="Aptos" w:hAnsi="Aptos"/>
        </w:rPr>
        <w:t xml:space="preserve">Migration </w:t>
      </w:r>
      <w:r w:rsidR="009547AC">
        <w:rPr>
          <w:rFonts w:ascii="Aptos" w:hAnsi="Aptos"/>
        </w:rPr>
        <w:t xml:space="preserve">High Level Cohorts </w:t>
      </w:r>
    </w:p>
    <w:p w14:paraId="15A80E29"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3.7 Phase 6 — Readiness Report &amp; Recommendations (Week 15)</w:t>
      </w:r>
    </w:p>
    <w:p w14:paraId="4B9AEC04" w14:textId="77777777" w:rsidR="0079338A" w:rsidRPr="00242AEA" w:rsidRDefault="0079338A">
      <w:pPr>
        <w:spacing w:after="120"/>
        <w:rPr>
          <w:rFonts w:asciiTheme="minorHAnsi" w:hAnsiTheme="minorHAnsi"/>
          <w:kern w:val="2"/>
          <w14:ligatures w14:val="standardContextual"/>
        </w:rPr>
      </w:pPr>
      <w:r w:rsidRPr="00242AEA">
        <w:rPr>
          <w:rFonts w:asciiTheme="minorHAnsi" w:hAnsiTheme="minorHAnsi"/>
        </w:rPr>
        <w:t xml:space="preserve">The executive summary, business case, technical findings, and migration roadmap are finalized and subjected to internal QA and peer review. A customer-ready deliverable package is produced. Per the project plan baseline, this report finalization cycle is scheduled in </w:t>
      </w:r>
      <w:r w:rsidRPr="00242AEA">
        <w:rPr>
          <w:rFonts w:asciiTheme="minorHAnsi" w:hAnsiTheme="minorHAnsi"/>
          <w:b/>
          <w:bCs/>
        </w:rPr>
        <w:t>Week 15</w:t>
      </w:r>
      <w:r w:rsidRPr="00242AEA">
        <w:rPr>
          <w:rFonts w:asciiTheme="minorHAnsi" w:hAnsiTheme="minorHAnsi"/>
        </w:rPr>
        <w:t>, with stakeholder review and final acceptance occurring in Week 16.</w:t>
      </w:r>
    </w:p>
    <w:p w14:paraId="7DDE52B3" w14:textId="77777777" w:rsidR="000E0D71" w:rsidRPr="00242AEA" w:rsidRDefault="000E0D71">
      <w:pPr>
        <w:spacing w:after="120"/>
        <w:rPr>
          <w:rFonts w:asciiTheme="minorHAnsi" w:hAnsiTheme="minorHAnsi"/>
          <w:kern w:val="2"/>
          <w14:ligatures w14:val="standardContextual"/>
        </w:rPr>
      </w:pPr>
      <w:r w:rsidRPr="00242AEA">
        <w:rPr>
          <w:rFonts w:asciiTheme="minorHAnsi" w:hAnsiTheme="minorHAnsi"/>
          <w:b/>
          <w:bCs/>
        </w:rPr>
        <w:t>Deliverables:</w:t>
      </w:r>
    </w:p>
    <w:p w14:paraId="284A58DB" w14:textId="77777777" w:rsidR="000E0D71" w:rsidRPr="00242AEA" w:rsidRDefault="000E0D71" w:rsidP="000E0D71">
      <w:pPr>
        <w:pStyle w:val="ListParagraph"/>
        <w:numPr>
          <w:ilvl w:val="0"/>
          <w:numId w:val="47"/>
        </w:numPr>
        <w:rPr>
          <w:rFonts w:asciiTheme="minorHAnsi" w:hAnsiTheme="minorHAnsi"/>
          <w:kern w:val="2"/>
          <w14:ligatures w14:val="standardContextual"/>
        </w:rPr>
      </w:pPr>
      <w:r w:rsidRPr="00242AEA">
        <w:rPr>
          <w:rFonts w:asciiTheme="minorHAnsi" w:hAnsiTheme="minorHAnsi"/>
        </w:rPr>
        <w:t>Executive Summary &amp; Business Case</w:t>
      </w:r>
    </w:p>
    <w:p w14:paraId="473F8E0B" w14:textId="77777777" w:rsidR="000E0D71" w:rsidRPr="00242AEA" w:rsidRDefault="000E0D71" w:rsidP="000E0D71">
      <w:pPr>
        <w:pStyle w:val="ListParagraph"/>
        <w:numPr>
          <w:ilvl w:val="0"/>
          <w:numId w:val="47"/>
        </w:numPr>
        <w:rPr>
          <w:rFonts w:asciiTheme="minorHAnsi" w:hAnsiTheme="minorHAnsi"/>
        </w:rPr>
      </w:pPr>
      <w:r w:rsidRPr="00242AEA">
        <w:rPr>
          <w:rFonts w:asciiTheme="minorHAnsi" w:hAnsiTheme="minorHAnsi"/>
        </w:rPr>
        <w:lastRenderedPageBreak/>
        <w:t>Technical Findings &amp; Recommendations</w:t>
      </w:r>
    </w:p>
    <w:p w14:paraId="6362C8E0"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3.8 Phase 7 — Stakeholder Review &amp; Sign-off (Week 16)</w:t>
      </w:r>
    </w:p>
    <w:p w14:paraId="389D6568" w14:textId="77777777" w:rsidR="00C33F07" w:rsidRPr="00242AEA" w:rsidRDefault="00C33F07">
      <w:pPr>
        <w:spacing w:after="120"/>
        <w:rPr>
          <w:rFonts w:asciiTheme="minorHAnsi" w:hAnsiTheme="minorHAnsi"/>
          <w:kern w:val="2"/>
          <w14:ligatures w14:val="standardContextual"/>
        </w:rPr>
      </w:pPr>
      <w:r w:rsidRPr="00242AEA">
        <w:rPr>
          <w:rFonts w:asciiTheme="minorHAnsi" w:hAnsiTheme="minorHAnsi"/>
        </w:rPr>
        <w:t xml:space="preserve">A technical workshop walkthrough is conducted with the customer’s technical stakeholders and revisions are incorporated. An executive readout is delivered, followed by formal acceptance and engagement closeout. This sign-off activity is scheduled within </w:t>
      </w:r>
      <w:r w:rsidRPr="00242AEA">
        <w:rPr>
          <w:rFonts w:asciiTheme="minorHAnsi" w:hAnsiTheme="minorHAnsi"/>
          <w:b/>
          <w:bCs/>
        </w:rPr>
        <w:t>Week 16</w:t>
      </w:r>
      <w:r w:rsidRPr="00242AEA">
        <w:rPr>
          <w:rFonts w:asciiTheme="minorHAnsi" w:hAnsiTheme="minorHAnsi"/>
        </w:rPr>
        <w:t xml:space="preserve"> as part of the 16-week engagement timeline.</w:t>
      </w:r>
    </w:p>
    <w:p w14:paraId="2F3E3535" w14:textId="77777777" w:rsidR="000E0D71" w:rsidRPr="00242AEA" w:rsidRDefault="000E0D71">
      <w:pPr>
        <w:spacing w:after="120"/>
        <w:rPr>
          <w:rFonts w:asciiTheme="minorHAnsi" w:hAnsiTheme="minorHAnsi"/>
          <w:kern w:val="2"/>
          <w14:ligatures w14:val="standardContextual"/>
        </w:rPr>
      </w:pPr>
      <w:r w:rsidRPr="00242AEA">
        <w:rPr>
          <w:rFonts w:asciiTheme="minorHAnsi" w:hAnsiTheme="minorHAnsi"/>
          <w:b/>
          <w:bCs/>
        </w:rPr>
        <w:t>Deliverables:</w:t>
      </w:r>
    </w:p>
    <w:p w14:paraId="301CECC6" w14:textId="77777777" w:rsidR="00784CDB" w:rsidRPr="00242AEA" w:rsidRDefault="00784CDB" w:rsidP="00784CDB">
      <w:pPr>
        <w:pStyle w:val="ListParagraph"/>
        <w:numPr>
          <w:ilvl w:val="0"/>
          <w:numId w:val="48"/>
        </w:numPr>
        <w:rPr>
          <w:rFonts w:asciiTheme="minorHAnsi" w:hAnsiTheme="minorHAnsi"/>
          <w:kern w:val="2"/>
          <w14:ligatures w14:val="standardContextual"/>
        </w:rPr>
      </w:pPr>
      <w:r w:rsidRPr="00242AEA">
        <w:rPr>
          <w:rFonts w:asciiTheme="minorHAnsi" w:hAnsiTheme="minorHAnsi"/>
        </w:rPr>
        <w:t>Final Deliverable Package</w:t>
      </w:r>
    </w:p>
    <w:p w14:paraId="231AFB2C"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4. Deliverables</w:t>
      </w:r>
    </w:p>
    <w:p w14:paraId="66C0D3A3" w14:textId="77777777" w:rsidR="00C43DB1" w:rsidRPr="00242AEA" w:rsidRDefault="00000000">
      <w:pPr>
        <w:spacing w:after="120"/>
        <w:rPr>
          <w:rFonts w:asciiTheme="minorHAnsi" w:hAnsiTheme="minorHAnsi"/>
        </w:rPr>
      </w:pPr>
      <w:r w:rsidRPr="00242AEA">
        <w:rPr>
          <w:rFonts w:asciiTheme="minorHAnsi" w:hAnsiTheme="minorHAnsi"/>
        </w:rPr>
        <w:t>The following deliverables are produced and accepted via the formal phase exit gates. Acceptance criteria are documented in the accompanying Project Plan workbook.</w:t>
      </w:r>
    </w:p>
    <w:tbl>
      <w:tblPr>
        <w:tblStyle w:val="GridTable4-Accent1"/>
        <w:tblW w:w="0" w:type="auto"/>
        <w:tblInd w:w="0" w:type="dxa"/>
        <w:tblLook w:val="04A0" w:firstRow="1" w:lastRow="0" w:firstColumn="1" w:lastColumn="0" w:noHBand="0" w:noVBand="1"/>
      </w:tblPr>
      <w:tblGrid>
        <w:gridCol w:w="1399"/>
        <w:gridCol w:w="3191"/>
        <w:gridCol w:w="1199"/>
        <w:gridCol w:w="3551"/>
      </w:tblGrid>
      <w:tr w:rsidR="00F04435" w:rsidRPr="00242AEA" w14:paraId="65E287A3" w14:textId="77777777" w:rsidTr="00F04435">
        <w:tc>
          <w:tcPr>
            <w:tcW w:w="1400" w:type="dxa"/>
            <w:tcBorders>
              <w:top w:val="single" w:sz="8" w:space="0" w:color="BFBFBF"/>
              <w:left w:val="single" w:sz="8" w:space="0" w:color="BFBFBF"/>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462D63B5" w14:textId="77777777" w:rsidR="00F04435" w:rsidRPr="00242AEA" w:rsidRDefault="00F04435">
            <w:pPr>
              <w:rPr>
                <w:sz w:val="22"/>
                <w:szCs w:val="22"/>
              </w:rPr>
            </w:pPr>
            <w:r w:rsidRPr="00242AEA">
              <w:rPr>
                <w:b/>
                <w:bCs/>
                <w:color w:val="FFFFFF"/>
                <w:sz w:val="20"/>
                <w:szCs w:val="20"/>
              </w:rPr>
              <w:t>Phase</w:t>
            </w:r>
          </w:p>
        </w:tc>
        <w:tc>
          <w:tcPr>
            <w:tcW w:w="32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5656E235" w14:textId="77777777" w:rsidR="00F04435" w:rsidRPr="00242AEA" w:rsidRDefault="00F04435">
            <w:r w:rsidRPr="00242AEA">
              <w:rPr>
                <w:b/>
                <w:bCs/>
                <w:color w:val="FFFFFF"/>
                <w:sz w:val="20"/>
                <w:szCs w:val="20"/>
              </w:rPr>
              <w:t>Deliverable</w:t>
            </w:r>
          </w:p>
        </w:tc>
        <w:tc>
          <w:tcPr>
            <w:tcW w:w="12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5E30E1B8" w14:textId="77777777" w:rsidR="00F04435" w:rsidRPr="00242AEA" w:rsidRDefault="00F04435">
            <w:r w:rsidRPr="00242AEA">
              <w:rPr>
                <w:b/>
                <w:bCs/>
                <w:color w:val="FFFFFF"/>
                <w:sz w:val="20"/>
                <w:szCs w:val="20"/>
              </w:rPr>
              <w:t>Format</w:t>
            </w:r>
          </w:p>
        </w:tc>
        <w:tc>
          <w:tcPr>
            <w:tcW w:w="356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14504137" w14:textId="77777777" w:rsidR="00F04435" w:rsidRPr="00242AEA" w:rsidRDefault="00F04435">
            <w:r w:rsidRPr="00242AEA">
              <w:rPr>
                <w:b/>
                <w:bCs/>
                <w:color w:val="FFFFFF"/>
                <w:sz w:val="20"/>
                <w:szCs w:val="20"/>
              </w:rPr>
              <w:t>Acceptance Criteria</w:t>
            </w:r>
          </w:p>
        </w:tc>
      </w:tr>
      <w:tr w:rsidR="00ED27EA" w:rsidRPr="00242AEA" w14:paraId="0E52F45F"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64426FA" w14:textId="77777777" w:rsidR="00ED27EA" w:rsidRPr="00242AEA" w:rsidRDefault="00ED27EA">
            <w:pPr>
              <w:rPr>
                <w:sz w:val="22"/>
                <w:szCs w:val="22"/>
              </w:rPr>
            </w:pPr>
            <w:r w:rsidRPr="00242AEA">
              <w:rPr>
                <w:b/>
                <w:bCs/>
                <w:color w:val="000000"/>
                <w:sz w:val="20"/>
                <w:szCs w:val="20"/>
              </w:rPr>
              <w:t>0. Initiate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F981598" w14:textId="77777777" w:rsidR="00ED27EA" w:rsidRPr="00242AEA" w:rsidRDefault="00ED27EA">
            <w:pPr>
              <w:rPr>
                <w:sz w:val="22"/>
                <w:szCs w:val="22"/>
              </w:rPr>
            </w:pPr>
            <w:r w:rsidRPr="00242AEA">
              <w:rPr>
                <w:sz w:val="20"/>
                <w:szCs w:val="20"/>
              </w:rPr>
              <w:t>Project Charter</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8813AB7" w14:textId="77777777" w:rsidR="00ED27EA" w:rsidRPr="00242AEA" w:rsidRDefault="00ED27EA">
            <w:pPr>
              <w:rPr>
                <w:sz w:val="22"/>
                <w:szCs w:val="22"/>
              </w:rPr>
            </w:pPr>
            <w:r w:rsidRPr="00242AEA">
              <w:rPr>
                <w:sz w:val="20"/>
                <w:szCs w:val="20"/>
              </w:rPr>
              <w:t>DOCX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0B657CC" w14:textId="77777777" w:rsidR="00ED27EA" w:rsidRPr="00242AEA" w:rsidRDefault="00ED27EA">
            <w:pPr>
              <w:rPr>
                <w:sz w:val="22"/>
                <w:szCs w:val="22"/>
              </w:rPr>
            </w:pPr>
            <w:r w:rsidRPr="00242AEA">
              <w:rPr>
                <w:sz w:val="20"/>
                <w:szCs w:val="20"/>
              </w:rPr>
              <w:t>Sponsor signature; objectives and success criteria agreed.</w:t>
            </w:r>
          </w:p>
        </w:tc>
      </w:tr>
      <w:tr w:rsidR="00ED27EA" w:rsidRPr="00242AEA" w14:paraId="626D072C"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F758A06" w14:textId="77777777" w:rsidR="00ED27EA" w:rsidRPr="00242AEA" w:rsidRDefault="00ED27EA">
            <w:pPr>
              <w:rPr>
                <w:sz w:val="22"/>
                <w:szCs w:val="22"/>
              </w:rPr>
            </w:pPr>
            <w:r w:rsidRPr="00242AEA">
              <w:rPr>
                <w:b/>
                <w:bCs/>
                <w:color w:val="000000"/>
                <w:sz w:val="20"/>
                <w:szCs w:val="20"/>
              </w:rPr>
              <w:t>0. Initiate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B3CD3C7" w14:textId="77777777" w:rsidR="00ED27EA" w:rsidRPr="00242AEA" w:rsidRDefault="00ED27EA">
            <w:pPr>
              <w:rPr>
                <w:sz w:val="22"/>
                <w:szCs w:val="22"/>
              </w:rPr>
            </w:pPr>
            <w:r w:rsidRPr="00242AEA">
              <w:rPr>
                <w:sz w:val="20"/>
                <w:szCs w:val="20"/>
              </w:rPr>
              <w:t>Detailed Project Plan &amp; RACI</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795840F"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DF81C92" w14:textId="77777777" w:rsidR="00ED27EA" w:rsidRPr="00242AEA" w:rsidRDefault="00ED27EA">
            <w:pPr>
              <w:rPr>
                <w:sz w:val="22"/>
                <w:szCs w:val="22"/>
              </w:rPr>
            </w:pPr>
            <w:r w:rsidRPr="00242AEA">
              <w:rPr>
                <w:sz w:val="20"/>
                <w:szCs w:val="20"/>
              </w:rPr>
              <w:t>Steering approval of timeline, resources, and gates.</w:t>
            </w:r>
          </w:p>
        </w:tc>
      </w:tr>
      <w:tr w:rsidR="00ED27EA" w:rsidRPr="00242AEA" w14:paraId="751542B7"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0BB8FFD3" w14:textId="77777777" w:rsidR="00ED27EA" w:rsidRPr="00242AEA" w:rsidRDefault="00ED27EA">
            <w:pPr>
              <w:rPr>
                <w:sz w:val="22"/>
                <w:szCs w:val="22"/>
              </w:rPr>
            </w:pPr>
            <w:r w:rsidRPr="00242AEA">
              <w:rPr>
                <w:b/>
                <w:bCs/>
                <w:color w:val="000000"/>
                <w:sz w:val="20"/>
                <w:szCs w:val="20"/>
              </w:rPr>
              <w:t>1. Discovery Setup</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33AF726" w14:textId="77777777" w:rsidR="00ED27EA" w:rsidRPr="00242AEA" w:rsidRDefault="00ED27EA">
            <w:pPr>
              <w:rPr>
                <w:sz w:val="22"/>
                <w:szCs w:val="22"/>
              </w:rPr>
            </w:pPr>
            <w:r w:rsidRPr="00242AEA">
              <w:rPr>
                <w:sz w:val="20"/>
                <w:szCs w:val="20"/>
              </w:rPr>
              <w:t>Discovery Architecture Design</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828612C" w14:textId="77777777" w:rsidR="00ED27EA" w:rsidRPr="00242AEA" w:rsidRDefault="00ED27EA">
            <w:pPr>
              <w:rPr>
                <w:sz w:val="22"/>
                <w:szCs w:val="22"/>
              </w:rPr>
            </w:pPr>
            <w:r w:rsidRPr="00242AEA">
              <w:rPr>
                <w:sz w:val="20"/>
                <w:szCs w:val="20"/>
              </w:rPr>
              <w:t>DOCX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0248BD5" w14:textId="77777777" w:rsidR="00ED27EA" w:rsidRPr="00242AEA" w:rsidRDefault="00ED27EA">
            <w:pPr>
              <w:rPr>
                <w:sz w:val="22"/>
                <w:szCs w:val="22"/>
              </w:rPr>
            </w:pPr>
            <w:r w:rsidRPr="00242AEA">
              <w:rPr>
                <w:sz w:val="20"/>
                <w:szCs w:val="20"/>
              </w:rPr>
              <w:t>Lead Architect approval; tooling, ports, accounts documented.</w:t>
            </w:r>
          </w:p>
        </w:tc>
      </w:tr>
      <w:tr w:rsidR="00ED27EA" w:rsidRPr="00242AEA" w14:paraId="54D0A320"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BAD6C9A" w14:textId="77777777" w:rsidR="00ED27EA" w:rsidRPr="00242AEA" w:rsidRDefault="00ED27EA">
            <w:pPr>
              <w:rPr>
                <w:sz w:val="22"/>
                <w:szCs w:val="22"/>
              </w:rPr>
            </w:pPr>
            <w:r w:rsidRPr="00242AEA">
              <w:rPr>
                <w:b/>
                <w:bCs/>
                <w:color w:val="000000"/>
                <w:sz w:val="20"/>
                <w:szCs w:val="20"/>
              </w:rPr>
              <w:t>1. Discovery Setup</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72C2F2E" w14:textId="77777777" w:rsidR="00ED27EA" w:rsidRPr="00242AEA" w:rsidRDefault="00ED27EA">
            <w:pPr>
              <w:rPr>
                <w:sz w:val="22"/>
                <w:szCs w:val="22"/>
              </w:rPr>
            </w:pPr>
            <w:r w:rsidRPr="00242AEA">
              <w:rPr>
                <w:sz w:val="20"/>
                <w:szCs w:val="20"/>
              </w:rPr>
              <w:t>Tooling Operational Confirmation</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51ACC61" w14:textId="77777777" w:rsidR="00ED27EA" w:rsidRPr="00242AEA" w:rsidRDefault="00ED27EA">
            <w:pPr>
              <w:rPr>
                <w:sz w:val="22"/>
                <w:szCs w:val="22"/>
              </w:rPr>
            </w:pPr>
            <w:r w:rsidRPr="00242AEA">
              <w:rPr>
                <w:sz w:val="20"/>
                <w:szCs w:val="20"/>
              </w:rPr>
              <w:t>Memo</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01F88D2" w14:textId="77777777" w:rsidR="00ED27EA" w:rsidRPr="00242AEA" w:rsidRDefault="00ED27EA">
            <w:pPr>
              <w:rPr>
                <w:sz w:val="22"/>
                <w:szCs w:val="22"/>
              </w:rPr>
            </w:pPr>
            <w:r w:rsidRPr="00242AEA">
              <w:rPr>
                <w:sz w:val="20"/>
                <w:szCs w:val="20"/>
              </w:rPr>
              <w:t>Successful test discovery on &gt;= 95% of pilot scope.</w:t>
            </w:r>
          </w:p>
        </w:tc>
      </w:tr>
      <w:tr w:rsidR="00ED27EA" w:rsidRPr="00242AEA" w14:paraId="35506C36"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30EDD5D" w14:textId="77777777" w:rsidR="00ED27EA" w:rsidRPr="00242AEA" w:rsidRDefault="00ED27EA">
            <w:pPr>
              <w:rPr>
                <w:sz w:val="22"/>
                <w:szCs w:val="22"/>
              </w:rPr>
            </w:pPr>
            <w:r w:rsidRPr="00242AEA">
              <w:rPr>
                <w:b/>
                <w:bCs/>
                <w:color w:val="000000"/>
                <w:sz w:val="20"/>
                <w:szCs w:val="20"/>
              </w:rPr>
              <w:t>2. Discovery Data</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C4F1FBC" w14:textId="77777777" w:rsidR="00ED27EA" w:rsidRPr="00242AEA" w:rsidRDefault="00ED27EA">
            <w:pPr>
              <w:rPr>
                <w:sz w:val="22"/>
                <w:szCs w:val="22"/>
              </w:rPr>
            </w:pPr>
            <w:r w:rsidRPr="00242AEA">
              <w:rPr>
                <w:sz w:val="20"/>
                <w:szCs w:val="20"/>
              </w:rPr>
              <w:t>Inventory &amp; Utilization Datasets</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2815F2B" w14:textId="77777777" w:rsidR="00ED27EA" w:rsidRPr="00242AEA" w:rsidRDefault="00ED27EA">
            <w:pPr>
              <w:rPr>
                <w:sz w:val="22"/>
                <w:szCs w:val="22"/>
              </w:rPr>
            </w:pPr>
            <w:r w:rsidRPr="00242AEA">
              <w:rPr>
                <w:sz w:val="20"/>
                <w:szCs w:val="20"/>
              </w:rPr>
              <w:t>XLSX / CSV</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82CAF5E" w14:textId="77777777" w:rsidR="00ED27EA" w:rsidRPr="00242AEA" w:rsidRDefault="00ED27EA">
            <w:pPr>
              <w:rPr>
                <w:sz w:val="22"/>
                <w:szCs w:val="22"/>
              </w:rPr>
            </w:pPr>
            <w:r w:rsidRPr="00242AEA">
              <w:rPr>
                <w:sz w:val="20"/>
                <w:szCs w:val="20"/>
              </w:rPr>
              <w:t>&gt;= 95% inventory coverage; &gt;= 2 weeks utilization data.</w:t>
            </w:r>
          </w:p>
        </w:tc>
      </w:tr>
      <w:tr w:rsidR="00ED27EA" w:rsidRPr="00242AEA" w14:paraId="249D91AC"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9541CE5" w14:textId="77777777" w:rsidR="00ED27EA" w:rsidRPr="00242AEA" w:rsidRDefault="00ED27EA">
            <w:pPr>
              <w:rPr>
                <w:sz w:val="22"/>
                <w:szCs w:val="22"/>
              </w:rPr>
            </w:pPr>
            <w:r w:rsidRPr="00242AEA">
              <w:rPr>
                <w:b/>
                <w:bCs/>
                <w:color w:val="000000"/>
                <w:sz w:val="20"/>
                <w:szCs w:val="20"/>
              </w:rPr>
              <w:t>2. Discovery Data</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AE56FC1" w14:textId="77777777" w:rsidR="00ED27EA" w:rsidRPr="00242AEA" w:rsidRDefault="00ED27EA">
            <w:pPr>
              <w:rPr>
                <w:sz w:val="22"/>
                <w:szCs w:val="22"/>
              </w:rPr>
            </w:pPr>
            <w:r w:rsidRPr="00242AEA">
              <w:rPr>
                <w:sz w:val="20"/>
                <w:szCs w:val="20"/>
              </w:rPr>
              <w:t>Application Dependency Map</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EFD34E7" w14:textId="77777777" w:rsidR="00ED27EA" w:rsidRPr="00242AEA" w:rsidRDefault="00ED27EA">
            <w:pPr>
              <w:rPr>
                <w:sz w:val="22"/>
                <w:szCs w:val="22"/>
              </w:rPr>
            </w:pPr>
            <w:r w:rsidRPr="00242AEA">
              <w:rPr>
                <w:sz w:val="20"/>
                <w:szCs w:val="20"/>
              </w:rPr>
              <w:t>Visio / 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2E34A13" w14:textId="77777777" w:rsidR="00ED27EA" w:rsidRPr="00242AEA" w:rsidRDefault="00ED27EA">
            <w:pPr>
              <w:rPr>
                <w:sz w:val="22"/>
                <w:szCs w:val="22"/>
              </w:rPr>
            </w:pPr>
            <w:r w:rsidRPr="00242AEA">
              <w:rPr>
                <w:sz w:val="20"/>
                <w:szCs w:val="20"/>
              </w:rPr>
              <w:t>&gt;= 90% of in-scope servers with validated dependencies.</w:t>
            </w:r>
          </w:p>
        </w:tc>
      </w:tr>
      <w:tr w:rsidR="00ED27EA" w:rsidRPr="00242AEA" w14:paraId="3B40599C"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BEA33FF" w14:textId="77777777" w:rsidR="00ED27EA" w:rsidRPr="00242AEA" w:rsidRDefault="00ED27EA">
            <w:pPr>
              <w:rPr>
                <w:sz w:val="22"/>
                <w:szCs w:val="22"/>
              </w:rPr>
            </w:pPr>
            <w:r w:rsidRPr="00242AEA">
              <w:rPr>
                <w:b/>
                <w:bCs/>
                <w:color w:val="000000"/>
                <w:sz w:val="20"/>
                <w:szCs w:val="20"/>
              </w:rPr>
              <w:t>3. Analysis</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2D9A689" w14:textId="77777777" w:rsidR="00ED27EA" w:rsidRPr="00242AEA" w:rsidRDefault="00ED27EA">
            <w:pPr>
              <w:rPr>
                <w:sz w:val="22"/>
                <w:szCs w:val="22"/>
              </w:rPr>
            </w:pPr>
            <w:r w:rsidRPr="00242AEA">
              <w:rPr>
                <w:sz w:val="20"/>
                <w:szCs w:val="20"/>
              </w:rPr>
              <w:t>Application Portfolio Profile</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2D6BB00"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2D0B1C3" w14:textId="77777777" w:rsidR="00ED27EA" w:rsidRPr="00242AEA" w:rsidRDefault="00ED27EA">
            <w:pPr>
              <w:rPr>
                <w:sz w:val="22"/>
                <w:szCs w:val="22"/>
              </w:rPr>
            </w:pPr>
            <w:r w:rsidRPr="00242AEA">
              <w:rPr>
                <w:sz w:val="20"/>
                <w:szCs w:val="20"/>
              </w:rPr>
              <w:t>All in-scope apps tiered, criticality assigned.</w:t>
            </w:r>
          </w:p>
        </w:tc>
      </w:tr>
      <w:tr w:rsidR="00ED27EA" w:rsidRPr="00242AEA" w14:paraId="4C2125AB"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EBA925C" w14:textId="77777777" w:rsidR="00ED27EA" w:rsidRPr="00242AEA" w:rsidRDefault="00ED27EA">
            <w:pPr>
              <w:rPr>
                <w:sz w:val="22"/>
                <w:szCs w:val="22"/>
              </w:rPr>
            </w:pPr>
            <w:r w:rsidRPr="00242AEA">
              <w:rPr>
                <w:b/>
                <w:bCs/>
                <w:color w:val="000000"/>
                <w:sz w:val="20"/>
                <w:szCs w:val="20"/>
              </w:rPr>
              <w:t>3. Analysis</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68DA159" w14:textId="77777777" w:rsidR="00ED27EA" w:rsidRPr="00242AEA" w:rsidRDefault="00ED27EA">
            <w:pPr>
              <w:rPr>
                <w:sz w:val="22"/>
                <w:szCs w:val="22"/>
              </w:rPr>
            </w:pPr>
            <w:r w:rsidRPr="00242AEA">
              <w:rPr>
                <w:sz w:val="20"/>
                <w:szCs w:val="20"/>
              </w:rPr>
              <w:t>6Rs Disposition Draft</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273A993"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A3D48DD" w14:textId="77777777" w:rsidR="00ED27EA" w:rsidRPr="00242AEA" w:rsidRDefault="00ED27EA">
            <w:pPr>
              <w:rPr>
                <w:sz w:val="22"/>
                <w:szCs w:val="22"/>
              </w:rPr>
            </w:pPr>
            <w:r w:rsidRPr="00242AEA">
              <w:rPr>
                <w:sz w:val="20"/>
                <w:szCs w:val="20"/>
              </w:rPr>
              <w:t>Disposition rationale documented per app.</w:t>
            </w:r>
          </w:p>
        </w:tc>
      </w:tr>
      <w:tr w:rsidR="00ED27EA" w:rsidRPr="00242AEA" w14:paraId="0EED89B6"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EAEF3BA" w14:textId="77777777" w:rsidR="00ED27EA" w:rsidRPr="00242AEA" w:rsidRDefault="00ED27EA">
            <w:pPr>
              <w:rPr>
                <w:sz w:val="22"/>
                <w:szCs w:val="22"/>
              </w:rPr>
            </w:pPr>
            <w:r w:rsidRPr="00242AEA">
              <w:rPr>
                <w:b/>
                <w:bCs/>
                <w:color w:val="000000"/>
                <w:sz w:val="20"/>
                <w:szCs w:val="20"/>
              </w:rPr>
              <w:t>4. Evaluation</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8C901E9" w14:textId="77777777" w:rsidR="00ED27EA" w:rsidRPr="00242AEA" w:rsidRDefault="00ED27EA">
            <w:pPr>
              <w:rPr>
                <w:sz w:val="22"/>
                <w:szCs w:val="22"/>
              </w:rPr>
            </w:pPr>
            <w:r w:rsidRPr="00242AEA">
              <w:rPr>
                <w:sz w:val="20"/>
                <w:szCs w:val="20"/>
              </w:rPr>
              <w:t>Right-Sizing Recommendations</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25B0B3B"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9CAAA22" w14:textId="77777777" w:rsidR="00ED27EA" w:rsidRPr="00242AEA" w:rsidRDefault="00ED27EA">
            <w:pPr>
              <w:rPr>
                <w:sz w:val="22"/>
                <w:szCs w:val="22"/>
              </w:rPr>
            </w:pPr>
            <w:r w:rsidRPr="00242AEA">
              <w:rPr>
                <w:sz w:val="20"/>
                <w:szCs w:val="20"/>
              </w:rPr>
              <w:t>Per-server target SKU with confidence level.</w:t>
            </w:r>
          </w:p>
        </w:tc>
      </w:tr>
      <w:tr w:rsidR="00ED27EA" w:rsidRPr="00242AEA" w14:paraId="4F8F926A"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9C8B6CD" w14:textId="77777777" w:rsidR="00ED27EA" w:rsidRPr="00242AEA" w:rsidRDefault="00ED27EA">
            <w:pPr>
              <w:rPr>
                <w:sz w:val="22"/>
                <w:szCs w:val="22"/>
              </w:rPr>
            </w:pPr>
            <w:r w:rsidRPr="00242AEA">
              <w:rPr>
                <w:b/>
                <w:bCs/>
                <w:color w:val="000000"/>
                <w:sz w:val="20"/>
                <w:szCs w:val="20"/>
              </w:rPr>
              <w:lastRenderedPageBreak/>
              <w:t>4. Evaluation</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419AC57" w14:textId="77777777" w:rsidR="00ED27EA" w:rsidRPr="00242AEA" w:rsidRDefault="00ED27EA">
            <w:pPr>
              <w:rPr>
                <w:sz w:val="22"/>
                <w:szCs w:val="22"/>
              </w:rPr>
            </w:pPr>
            <w:r w:rsidRPr="00242AEA">
              <w:rPr>
                <w:sz w:val="20"/>
                <w:szCs w:val="20"/>
              </w:rPr>
              <w:t>Target Landing Zone Architecture</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7F56596" w14:textId="77777777" w:rsidR="00ED27EA" w:rsidRPr="00242AEA" w:rsidRDefault="00ED27EA">
            <w:pPr>
              <w:rPr>
                <w:sz w:val="22"/>
                <w:szCs w:val="22"/>
              </w:rPr>
            </w:pPr>
            <w:r w:rsidRPr="00242AEA">
              <w:rPr>
                <w:sz w:val="20"/>
                <w:szCs w:val="20"/>
              </w:rPr>
              <w:t>DOCX + Visio</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C471F7A" w14:textId="77777777" w:rsidR="00ED27EA" w:rsidRPr="00242AEA" w:rsidRDefault="00ED27EA">
            <w:pPr>
              <w:rPr>
                <w:sz w:val="22"/>
                <w:szCs w:val="22"/>
              </w:rPr>
            </w:pPr>
            <w:r w:rsidRPr="00242AEA">
              <w:rPr>
                <w:sz w:val="20"/>
                <w:szCs w:val="20"/>
              </w:rPr>
              <w:t>Aligned to the confirmed target cloud reference architecture; customer Cloud Architect concurrence.</w:t>
            </w:r>
          </w:p>
        </w:tc>
      </w:tr>
      <w:tr w:rsidR="00ED27EA" w:rsidRPr="00242AEA" w14:paraId="562B6AD2"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51F0D987" w14:textId="77777777" w:rsidR="00ED27EA" w:rsidRPr="00242AEA" w:rsidRDefault="00ED27EA">
            <w:pPr>
              <w:rPr>
                <w:sz w:val="22"/>
                <w:szCs w:val="22"/>
              </w:rPr>
            </w:pPr>
            <w:r w:rsidRPr="00242AEA">
              <w:rPr>
                <w:b/>
                <w:bCs/>
                <w:color w:val="000000"/>
                <w:sz w:val="20"/>
                <w:szCs w:val="20"/>
              </w:rPr>
              <w:t>4. Evaluation</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FD5F4E6" w14:textId="77777777" w:rsidR="00ED27EA" w:rsidRPr="00242AEA" w:rsidRDefault="00ED27EA">
            <w:pPr>
              <w:rPr>
                <w:sz w:val="22"/>
                <w:szCs w:val="22"/>
              </w:rPr>
            </w:pPr>
            <w:r w:rsidRPr="00242AEA">
              <w:rPr>
                <w:sz w:val="20"/>
                <w:szCs w:val="20"/>
              </w:rPr>
              <w:t>TCO Model (Target Cloud) + Comparative View (Azure / AWS / GCP)</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E20E1C3"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E81D73E" w14:textId="77777777" w:rsidR="00ED27EA" w:rsidRPr="00242AEA" w:rsidRDefault="00ED27EA">
            <w:pPr>
              <w:rPr>
                <w:sz w:val="22"/>
                <w:szCs w:val="22"/>
              </w:rPr>
            </w:pPr>
            <w:r w:rsidRPr="00242AEA">
              <w:rPr>
                <w:sz w:val="20"/>
                <w:szCs w:val="20"/>
              </w:rPr>
              <w:t>5-year TCO with commitment/discount scenarios and license optimization assumptions applied as applicable; explicit assumptions documented.</w:t>
            </w:r>
          </w:p>
        </w:tc>
      </w:tr>
      <w:tr w:rsidR="00ED27EA" w:rsidRPr="00242AEA" w14:paraId="22745736"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5AADD986" w14:textId="77777777" w:rsidR="00ED27EA" w:rsidRPr="00242AEA" w:rsidRDefault="00ED27EA">
            <w:pPr>
              <w:rPr>
                <w:sz w:val="22"/>
                <w:szCs w:val="22"/>
              </w:rPr>
            </w:pPr>
            <w:r w:rsidRPr="00242AEA">
              <w:rPr>
                <w:b/>
                <w:bCs/>
                <w:color w:val="000000"/>
                <w:sz w:val="20"/>
                <w:szCs w:val="20"/>
              </w:rPr>
              <w:t>5. Planning</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A7EBE59" w14:textId="77777777" w:rsidR="00ED27EA" w:rsidRPr="00242AEA" w:rsidRDefault="00ED27EA">
            <w:pPr>
              <w:rPr>
                <w:sz w:val="22"/>
                <w:szCs w:val="22"/>
              </w:rPr>
            </w:pPr>
            <w:r w:rsidRPr="00242AEA">
              <w:rPr>
                <w:sz w:val="20"/>
                <w:szCs w:val="20"/>
              </w:rPr>
              <w:t>Migration Wave Plan</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B593FE9" w14:textId="77777777" w:rsidR="00ED27EA" w:rsidRPr="00242AEA" w:rsidRDefault="00ED27EA">
            <w:pPr>
              <w:rPr>
                <w:sz w:val="22"/>
                <w:szCs w:val="22"/>
              </w:rPr>
            </w:pPr>
            <w:r w:rsidRPr="00242AEA">
              <w:rPr>
                <w:sz w:val="20"/>
                <w:szCs w:val="20"/>
              </w:rPr>
              <w:t>XLSX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9F5B6D8" w14:textId="77777777" w:rsidR="00ED27EA" w:rsidRPr="00242AEA" w:rsidRDefault="00ED27EA">
            <w:pPr>
              <w:rPr>
                <w:sz w:val="22"/>
                <w:szCs w:val="22"/>
              </w:rPr>
            </w:pPr>
            <w:r w:rsidRPr="00242AEA">
              <w:rPr>
                <w:sz w:val="20"/>
                <w:szCs w:val="20"/>
              </w:rPr>
              <w:t>Waves grouped by dependency; effort estimates per wave.</w:t>
            </w:r>
          </w:p>
        </w:tc>
      </w:tr>
      <w:tr w:rsidR="00ED27EA" w:rsidRPr="00242AEA" w14:paraId="4FEF0305"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44264D1" w14:textId="77777777" w:rsidR="00ED27EA" w:rsidRPr="00242AEA" w:rsidRDefault="00ED27EA">
            <w:pPr>
              <w:rPr>
                <w:sz w:val="22"/>
                <w:szCs w:val="22"/>
              </w:rPr>
            </w:pPr>
            <w:r w:rsidRPr="00242AEA">
              <w:rPr>
                <w:b/>
                <w:bCs/>
                <w:color w:val="000000"/>
                <w:sz w:val="20"/>
                <w:szCs w:val="20"/>
              </w:rPr>
              <w:t>6. Report</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2229A96" w14:textId="77777777" w:rsidR="00ED27EA" w:rsidRPr="00242AEA" w:rsidRDefault="00ED27EA">
            <w:pPr>
              <w:rPr>
                <w:sz w:val="22"/>
                <w:szCs w:val="22"/>
              </w:rPr>
            </w:pPr>
            <w:r w:rsidRPr="00242AEA">
              <w:rPr>
                <w:sz w:val="20"/>
                <w:szCs w:val="20"/>
              </w:rPr>
              <w:t>Executive Summary &amp; Business Case</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4916593" w14:textId="77777777" w:rsidR="00ED27EA" w:rsidRPr="00242AEA" w:rsidRDefault="00ED27EA">
            <w:pPr>
              <w:rPr>
                <w:sz w:val="22"/>
                <w:szCs w:val="22"/>
              </w:rPr>
            </w:pPr>
            <w:r w:rsidRPr="00242AEA">
              <w:rPr>
                <w:sz w:val="20"/>
                <w:szCs w:val="20"/>
              </w:rPr>
              <w:t>DOCX / PPTX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8F2A69F" w14:textId="77777777" w:rsidR="00ED27EA" w:rsidRPr="00242AEA" w:rsidRDefault="00ED27EA">
            <w:pPr>
              <w:rPr>
                <w:sz w:val="22"/>
                <w:szCs w:val="22"/>
              </w:rPr>
            </w:pPr>
            <w:r w:rsidRPr="00242AEA">
              <w:rPr>
                <w:sz w:val="20"/>
                <w:szCs w:val="20"/>
              </w:rPr>
              <w:t>Sponsor-ready; business case included.</w:t>
            </w:r>
          </w:p>
        </w:tc>
      </w:tr>
      <w:tr w:rsidR="00ED27EA" w:rsidRPr="00242AEA" w14:paraId="7A97DA76"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F53A7D1" w14:textId="77777777" w:rsidR="00ED27EA" w:rsidRPr="00242AEA" w:rsidRDefault="00ED27EA">
            <w:pPr>
              <w:rPr>
                <w:sz w:val="22"/>
                <w:szCs w:val="22"/>
              </w:rPr>
            </w:pPr>
            <w:r w:rsidRPr="00242AEA">
              <w:rPr>
                <w:b/>
                <w:bCs/>
                <w:color w:val="000000"/>
                <w:sz w:val="20"/>
                <w:szCs w:val="20"/>
              </w:rPr>
              <w:t>6. Report</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759BDF6" w14:textId="77777777" w:rsidR="00ED27EA" w:rsidRPr="00242AEA" w:rsidRDefault="00ED27EA">
            <w:pPr>
              <w:rPr>
                <w:sz w:val="22"/>
                <w:szCs w:val="22"/>
              </w:rPr>
            </w:pPr>
            <w:r w:rsidRPr="00242AEA">
              <w:rPr>
                <w:sz w:val="20"/>
                <w:szCs w:val="20"/>
              </w:rPr>
              <w:t>Technical Findings &amp; Recommendations</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8D979AE" w14:textId="77777777" w:rsidR="00ED27EA" w:rsidRPr="00242AEA" w:rsidRDefault="00ED27EA">
            <w:pPr>
              <w:rPr>
                <w:sz w:val="22"/>
                <w:szCs w:val="22"/>
              </w:rPr>
            </w:pPr>
            <w:r w:rsidRPr="00242AEA">
              <w:rPr>
                <w:sz w:val="20"/>
                <w:szCs w:val="20"/>
              </w:rPr>
              <w:t>DOCX</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A1DF6F4" w14:textId="77777777" w:rsidR="00ED27EA" w:rsidRPr="00242AEA" w:rsidRDefault="00ED27EA">
            <w:pPr>
              <w:rPr>
                <w:sz w:val="22"/>
                <w:szCs w:val="22"/>
              </w:rPr>
            </w:pPr>
            <w:r w:rsidRPr="00242AEA">
              <w:rPr>
                <w:sz w:val="20"/>
                <w:szCs w:val="20"/>
              </w:rPr>
              <w:t>Lead Architect peer review complete.</w:t>
            </w:r>
          </w:p>
        </w:tc>
      </w:tr>
      <w:tr w:rsidR="00ED27EA" w:rsidRPr="00242AEA" w14:paraId="382C53D5" w14:textId="77777777">
        <w:tblPrEx>
          <w:tblBorders>
            <w:top w:val="none" w:sz="0" w:space="0" w:color="auto"/>
            <w:left w:val="none" w:sz="0" w:space="0" w:color="auto"/>
            <w:bottom w:val="none" w:sz="0" w:space="0" w:color="auto"/>
            <w:right w:val="none" w:sz="0" w:space="0" w:color="auto"/>
          </w:tblBorders>
        </w:tblPrEx>
        <w:tc>
          <w:tcPr>
            <w:tcW w:w="14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EA4C952" w14:textId="77777777" w:rsidR="00ED27EA" w:rsidRPr="00242AEA" w:rsidRDefault="00ED27EA">
            <w:pPr>
              <w:rPr>
                <w:sz w:val="22"/>
                <w:szCs w:val="22"/>
              </w:rPr>
            </w:pPr>
            <w:r w:rsidRPr="00242AEA">
              <w:rPr>
                <w:b/>
                <w:bCs/>
                <w:color w:val="000000"/>
                <w:sz w:val="20"/>
                <w:szCs w:val="20"/>
              </w:rPr>
              <w:t>7. Sign-off</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2CC0A5C" w14:textId="77777777" w:rsidR="00ED27EA" w:rsidRPr="00242AEA" w:rsidRDefault="00ED27EA">
            <w:pPr>
              <w:rPr>
                <w:sz w:val="22"/>
                <w:szCs w:val="22"/>
              </w:rPr>
            </w:pPr>
            <w:r w:rsidRPr="00242AEA">
              <w:rPr>
                <w:sz w:val="20"/>
                <w:szCs w:val="20"/>
              </w:rPr>
              <w:t>Final Deliverable Package</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8B62E68" w14:textId="77777777" w:rsidR="00ED27EA" w:rsidRPr="00242AEA" w:rsidRDefault="00ED27EA">
            <w:pPr>
              <w:rPr>
                <w:sz w:val="22"/>
                <w:szCs w:val="22"/>
              </w:rPr>
            </w:pPr>
            <w:r w:rsidRPr="00242AEA">
              <w:rPr>
                <w:sz w:val="20"/>
                <w:szCs w:val="20"/>
              </w:rPr>
              <w:t>All formats</w:t>
            </w:r>
          </w:p>
        </w:tc>
        <w:tc>
          <w:tcPr>
            <w:tcW w:w="35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01F3476" w14:textId="77777777" w:rsidR="00ED27EA" w:rsidRPr="00242AEA" w:rsidRDefault="00ED27EA">
            <w:pPr>
              <w:rPr>
                <w:sz w:val="22"/>
                <w:szCs w:val="22"/>
              </w:rPr>
            </w:pPr>
            <w:r w:rsidRPr="00242AEA">
              <w:rPr>
                <w:sz w:val="20"/>
                <w:szCs w:val="20"/>
              </w:rPr>
              <w:t>Customer formal acceptance signature.</w:t>
            </w:r>
          </w:p>
        </w:tc>
      </w:tr>
    </w:tbl>
    <w:p w14:paraId="7AA7E956"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5. Timeline</w:t>
      </w:r>
    </w:p>
    <w:p w14:paraId="2E56EBBD" w14:textId="77777777" w:rsidR="008E10D9" w:rsidRPr="00242AEA" w:rsidRDefault="008E10D9">
      <w:pPr>
        <w:spacing w:after="120"/>
        <w:rPr>
          <w:rFonts w:asciiTheme="minorHAnsi" w:hAnsiTheme="minorHAnsi"/>
          <w:kern w:val="2"/>
          <w14:ligatures w14:val="standardContextual"/>
        </w:rPr>
      </w:pPr>
      <w:r w:rsidRPr="00242AEA">
        <w:rPr>
          <w:rFonts w:asciiTheme="minorHAnsi" w:hAnsiTheme="minorHAnsi"/>
        </w:rPr>
        <w:t xml:space="preserve">The engagement runs for </w:t>
      </w:r>
      <w:r w:rsidRPr="00242AEA">
        <w:rPr>
          <w:rFonts w:asciiTheme="minorHAnsi" w:hAnsiTheme="minorHAnsi"/>
          <w:b/>
          <w:bCs/>
        </w:rPr>
        <w:t>16 weeks total (elapsed)</w:t>
      </w:r>
      <w:r w:rsidRPr="00242AEA">
        <w:rPr>
          <w:rFonts w:asciiTheme="minorHAnsi" w:hAnsiTheme="minorHAnsi"/>
        </w:rPr>
        <w:t xml:space="preserve">, beginning </w:t>
      </w:r>
      <w:r w:rsidRPr="00242AEA">
        <w:rPr>
          <w:rFonts w:asciiTheme="minorHAnsi" w:hAnsiTheme="minorHAnsi"/>
          <w:b/>
          <w:bCs/>
        </w:rPr>
        <w:t>[Start Date]</w:t>
      </w:r>
      <w:r w:rsidRPr="00242AEA">
        <w:rPr>
          <w:rFonts w:asciiTheme="minorHAnsi" w:hAnsiTheme="minorHAnsi"/>
        </w:rPr>
        <w:t xml:space="preserve"> (or the mutually agreed start date). All activities and phase exit gates outlined in this SOW are planned within this 16-week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3058"/>
        <w:gridCol w:w="1444"/>
        <w:gridCol w:w="1194"/>
        <w:gridCol w:w="2607"/>
      </w:tblGrid>
      <w:tr w:rsidR="00F04435" w:rsidRPr="00242AEA" w14:paraId="5D4778B0" w14:textId="77777777" w:rsidTr="00F04435">
        <w:trPr>
          <w:tblCellSpacing w:w="15" w:type="dxa"/>
        </w:trPr>
        <w:tc>
          <w:tcPr>
            <w:tcW w:w="1000" w:type="dxa"/>
            <w:tcBorders>
              <w:top w:val="single" w:sz="8" w:space="0" w:color="BFBFBF"/>
              <w:left w:val="single" w:sz="8" w:space="0" w:color="BFBFBF"/>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5EBFF01B" w14:textId="77777777" w:rsidR="00F04435" w:rsidRPr="00242AEA" w:rsidRDefault="00F04435">
            <w:pPr>
              <w:rPr>
                <w:rFonts w:asciiTheme="minorHAnsi" w:hAnsiTheme="minorHAnsi"/>
                <w:kern w:val="2"/>
                <w14:ligatures w14:val="standardContextual"/>
              </w:rPr>
            </w:pPr>
            <w:r w:rsidRPr="00242AEA">
              <w:rPr>
                <w:rFonts w:asciiTheme="minorHAnsi" w:hAnsiTheme="minorHAnsi"/>
                <w:b/>
                <w:bCs/>
                <w:color w:val="FFFFFF"/>
                <w:sz w:val="20"/>
                <w:szCs w:val="20"/>
              </w:rPr>
              <w:t>Phase</w:t>
            </w:r>
          </w:p>
        </w:tc>
        <w:tc>
          <w:tcPr>
            <w:tcW w:w="32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046B228A" w14:textId="77777777" w:rsidR="00F04435" w:rsidRPr="00242AEA" w:rsidRDefault="00F04435">
            <w:pPr>
              <w:rPr>
                <w:rFonts w:asciiTheme="minorHAnsi" w:hAnsiTheme="minorHAnsi"/>
              </w:rPr>
            </w:pPr>
            <w:r w:rsidRPr="00242AEA">
              <w:rPr>
                <w:rFonts w:asciiTheme="minorHAnsi" w:hAnsiTheme="minorHAnsi"/>
                <w:b/>
                <w:bCs/>
                <w:color w:val="FFFFFF"/>
                <w:sz w:val="20"/>
                <w:szCs w:val="20"/>
              </w:rPr>
              <w:t>Name</w:t>
            </w:r>
          </w:p>
        </w:tc>
        <w:tc>
          <w:tcPr>
            <w:tcW w:w="13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1D18BCBC" w14:textId="77777777" w:rsidR="00F04435" w:rsidRPr="00242AEA" w:rsidRDefault="00F04435">
            <w:pPr>
              <w:rPr>
                <w:rFonts w:asciiTheme="minorHAnsi" w:hAnsiTheme="minorHAnsi"/>
              </w:rPr>
            </w:pPr>
            <w:r w:rsidRPr="00242AEA">
              <w:rPr>
                <w:rFonts w:asciiTheme="minorHAnsi" w:hAnsiTheme="minorHAnsi"/>
                <w:b/>
                <w:bCs/>
                <w:color w:val="FFFFFF"/>
                <w:sz w:val="20"/>
                <w:szCs w:val="20"/>
              </w:rPr>
              <w:t>Weeks</w:t>
            </w:r>
          </w:p>
        </w:tc>
        <w:tc>
          <w:tcPr>
            <w:tcW w:w="12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590D3F67" w14:textId="77777777" w:rsidR="00F04435" w:rsidRPr="00242AEA" w:rsidRDefault="00F04435">
            <w:pPr>
              <w:rPr>
                <w:rFonts w:asciiTheme="minorHAnsi" w:hAnsiTheme="minorHAnsi"/>
              </w:rPr>
            </w:pPr>
            <w:r w:rsidRPr="00242AEA">
              <w:rPr>
                <w:rFonts w:asciiTheme="minorHAnsi" w:hAnsiTheme="minorHAnsi"/>
                <w:b/>
                <w:bCs/>
                <w:color w:val="FFFFFF"/>
                <w:sz w:val="20"/>
                <w:szCs w:val="20"/>
              </w:rPr>
              <w:t>Effort (PD)</w:t>
            </w:r>
          </w:p>
        </w:tc>
        <w:tc>
          <w:tcPr>
            <w:tcW w:w="266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6C463AB7" w14:textId="77777777" w:rsidR="00F04435" w:rsidRPr="00242AEA" w:rsidRDefault="00F04435">
            <w:pPr>
              <w:rPr>
                <w:rFonts w:asciiTheme="minorHAnsi" w:hAnsiTheme="minorHAnsi"/>
              </w:rPr>
            </w:pPr>
            <w:r w:rsidRPr="00242AEA">
              <w:rPr>
                <w:rFonts w:asciiTheme="minorHAnsi" w:hAnsiTheme="minorHAnsi"/>
                <w:b/>
                <w:bCs/>
                <w:color w:val="FFFFFF"/>
                <w:sz w:val="20"/>
                <w:szCs w:val="20"/>
              </w:rPr>
              <w:t>Critical Constraint</w:t>
            </w:r>
          </w:p>
        </w:tc>
      </w:tr>
      <w:tr w:rsidR="00377DCC" w:rsidRPr="00242AEA" w14:paraId="551178F4"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6D90CC3" w14:textId="77777777" w:rsidR="00377DCC" w:rsidRPr="00242AEA" w:rsidRDefault="00377DCC">
            <w:pPr>
              <w:rPr>
                <w:rFonts w:asciiTheme="minorHAnsi" w:hAnsiTheme="minorHAnsi"/>
              </w:rPr>
            </w:pPr>
            <w:r w:rsidRPr="00242AEA">
              <w:rPr>
                <w:rFonts w:asciiTheme="minorHAnsi" w:hAnsiTheme="minorHAnsi"/>
                <w:b/>
                <w:bCs/>
                <w:color w:val="000000"/>
                <w:sz w:val="20"/>
                <w:szCs w:val="20"/>
              </w:rPr>
              <w:t>0</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FCB73D9" w14:textId="77777777" w:rsidR="00377DCC" w:rsidRPr="00242AEA" w:rsidRDefault="00377DCC">
            <w:pPr>
              <w:rPr>
                <w:rFonts w:asciiTheme="minorHAnsi" w:hAnsiTheme="minorHAnsi"/>
              </w:rPr>
            </w:pPr>
            <w:r w:rsidRPr="00242AEA">
              <w:rPr>
                <w:rFonts w:asciiTheme="minorHAnsi" w:hAnsiTheme="minorHAnsi"/>
                <w:b/>
                <w:bCs/>
                <w:sz w:val="20"/>
                <w:szCs w:val="20"/>
              </w:rPr>
              <w:t xml:space="preserve">Initiate &amp; </w:t>
            </w:r>
            <w:proofErr w:type="gramStart"/>
            <w:r w:rsidRPr="00242AEA">
              <w:rPr>
                <w:rFonts w:asciiTheme="minorHAnsi" w:hAnsiTheme="minorHAnsi"/>
                <w:b/>
                <w:bCs/>
                <w:sz w:val="20"/>
                <w:szCs w:val="20"/>
              </w:rPr>
              <w:t>Mobilize</w:t>
            </w:r>
            <w:proofErr w:type="gramEnd"/>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B2831F5" w14:textId="736C5087" w:rsidR="00377DCC" w:rsidRPr="00242AEA" w:rsidRDefault="00A9072D" w:rsidP="00A9072D">
            <w:r w:rsidRPr="00A9072D">
              <w:rPr>
                <w:rFonts w:ascii="Aptos" w:hAnsi="Aptos"/>
                <w:color w:val="000000"/>
                <w:sz w:val="20"/>
              </w:rPr>
              <w:t>Weeks 1 to 2</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01173F2" w14:textId="77777777" w:rsidR="00377DCC" w:rsidRPr="00242AEA" w:rsidRDefault="00377DCC">
            <w:pPr>
              <w:rPr>
                <w:rFonts w:asciiTheme="minorHAnsi" w:hAnsiTheme="minorHAnsi"/>
              </w:rPr>
            </w:pPr>
            <w:r w:rsidRPr="00242AEA">
              <w:rPr>
                <w:rFonts w:asciiTheme="minorHAnsi" w:hAnsiTheme="minorHAnsi"/>
                <w:sz w:val="20"/>
                <w:szCs w:val="20"/>
              </w:rPr>
              <w:t>18</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899F324" w14:textId="77777777" w:rsidR="00377DCC" w:rsidRPr="00242AEA" w:rsidRDefault="00377DCC">
            <w:pPr>
              <w:rPr>
                <w:rFonts w:asciiTheme="minorHAnsi" w:hAnsiTheme="minorHAnsi"/>
              </w:rPr>
            </w:pPr>
            <w:r w:rsidRPr="00242AEA">
              <w:rPr>
                <w:rFonts w:asciiTheme="minorHAnsi" w:hAnsiTheme="minorHAnsi"/>
                <w:sz w:val="20"/>
                <w:szCs w:val="20"/>
              </w:rPr>
              <w:t>Tooling licensing and access lead time</w:t>
            </w:r>
          </w:p>
        </w:tc>
      </w:tr>
      <w:tr w:rsidR="00377DCC" w:rsidRPr="00242AEA" w14:paraId="61693179"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A5A106B" w14:textId="77777777" w:rsidR="00377DCC" w:rsidRPr="00242AEA" w:rsidRDefault="00377DCC">
            <w:pPr>
              <w:rPr>
                <w:rFonts w:asciiTheme="minorHAnsi" w:hAnsiTheme="minorHAnsi"/>
              </w:rPr>
            </w:pPr>
            <w:r w:rsidRPr="00242AEA">
              <w:rPr>
                <w:rFonts w:asciiTheme="minorHAnsi" w:hAnsiTheme="minorHAnsi"/>
                <w:b/>
                <w:bCs/>
                <w:color w:val="000000"/>
                <w:sz w:val="20"/>
                <w:szCs w:val="20"/>
              </w:rPr>
              <w:t>1</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C34A24E" w14:textId="77777777" w:rsidR="00377DCC" w:rsidRPr="00242AEA" w:rsidRDefault="00377DCC">
            <w:pPr>
              <w:rPr>
                <w:rFonts w:asciiTheme="minorHAnsi" w:hAnsiTheme="minorHAnsi"/>
              </w:rPr>
            </w:pPr>
            <w:r w:rsidRPr="00242AEA">
              <w:rPr>
                <w:rFonts w:asciiTheme="minorHAnsi" w:hAnsiTheme="minorHAnsi"/>
                <w:b/>
                <w:bCs/>
                <w:sz w:val="20"/>
                <w:szCs w:val="20"/>
              </w:rPr>
              <w:t>Discovery — Tooling Setup</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A433E1C" w14:textId="389B15E2" w:rsidR="00377DCC" w:rsidRPr="00242AEA" w:rsidRDefault="00A9072D" w:rsidP="00A9072D">
            <w:r w:rsidRPr="00A9072D">
              <w:rPr>
                <w:rFonts w:ascii="Aptos" w:hAnsi="Aptos"/>
                <w:color w:val="000000"/>
                <w:sz w:val="20"/>
              </w:rPr>
              <w:t>Weeks 3–5</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0B2A5B7" w14:textId="77777777" w:rsidR="00377DCC" w:rsidRPr="00242AEA" w:rsidRDefault="00377DCC">
            <w:pPr>
              <w:rPr>
                <w:rFonts w:asciiTheme="minorHAnsi" w:hAnsiTheme="minorHAnsi"/>
              </w:rPr>
            </w:pPr>
            <w:r w:rsidRPr="00242AEA">
              <w:rPr>
                <w:rFonts w:asciiTheme="minorHAnsi" w:hAnsiTheme="minorHAnsi"/>
                <w:sz w:val="20"/>
                <w:szCs w:val="20"/>
              </w:rPr>
              <w:t>42</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08C4CC0" w14:textId="77777777" w:rsidR="00377DCC" w:rsidRPr="00242AEA" w:rsidRDefault="00377DCC">
            <w:pPr>
              <w:rPr>
                <w:rFonts w:asciiTheme="minorHAnsi" w:hAnsiTheme="minorHAnsi"/>
              </w:rPr>
            </w:pPr>
            <w:r w:rsidRPr="00242AEA">
              <w:rPr>
                <w:rFonts w:asciiTheme="minorHAnsi" w:hAnsiTheme="minorHAnsi"/>
                <w:sz w:val="20"/>
                <w:szCs w:val="20"/>
              </w:rPr>
              <w:t xml:space="preserve">CAB </w:t>
            </w:r>
            <w:proofErr w:type="gramStart"/>
            <w:r w:rsidRPr="00242AEA">
              <w:rPr>
                <w:rFonts w:asciiTheme="minorHAnsi" w:hAnsiTheme="minorHAnsi"/>
                <w:sz w:val="20"/>
                <w:szCs w:val="20"/>
              </w:rPr>
              <w:t>lead</w:t>
            </w:r>
            <w:proofErr w:type="gramEnd"/>
            <w:r w:rsidRPr="00242AEA">
              <w:rPr>
                <w:rFonts w:asciiTheme="minorHAnsi" w:hAnsiTheme="minorHAnsi"/>
                <w:sz w:val="20"/>
                <w:szCs w:val="20"/>
              </w:rPr>
              <w:t xml:space="preserve"> time; OS/firewall troubleshooting</w:t>
            </w:r>
          </w:p>
        </w:tc>
      </w:tr>
      <w:tr w:rsidR="00377DCC" w:rsidRPr="00242AEA" w14:paraId="11063525"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B9BD2FD" w14:textId="77777777" w:rsidR="00377DCC" w:rsidRPr="00242AEA" w:rsidRDefault="00377DCC">
            <w:pPr>
              <w:rPr>
                <w:rFonts w:asciiTheme="minorHAnsi" w:hAnsiTheme="minorHAnsi"/>
              </w:rPr>
            </w:pPr>
            <w:r w:rsidRPr="00242AEA">
              <w:rPr>
                <w:rFonts w:asciiTheme="minorHAnsi" w:hAnsiTheme="minorHAnsi"/>
                <w:b/>
                <w:bCs/>
                <w:color w:val="000000"/>
                <w:sz w:val="20"/>
                <w:szCs w:val="20"/>
              </w:rPr>
              <w:t>2</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3F9FA31" w14:textId="77777777" w:rsidR="00377DCC" w:rsidRPr="00242AEA" w:rsidRDefault="00377DCC">
            <w:pPr>
              <w:rPr>
                <w:rFonts w:asciiTheme="minorHAnsi" w:hAnsiTheme="minorHAnsi"/>
              </w:rPr>
            </w:pPr>
            <w:r w:rsidRPr="00242AEA">
              <w:rPr>
                <w:rFonts w:asciiTheme="minorHAnsi" w:hAnsiTheme="minorHAnsi"/>
                <w:b/>
                <w:bCs/>
                <w:sz w:val="20"/>
                <w:szCs w:val="20"/>
              </w:rPr>
              <w:t>Discovery — Data Collection</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800122C" w14:textId="4415D9D7" w:rsidR="00377DCC" w:rsidRPr="00242AEA" w:rsidRDefault="00F50EF3" w:rsidP="00F50EF3">
            <w:r w:rsidRPr="00F50EF3">
              <w:rPr>
                <w:rFonts w:ascii="Aptos" w:hAnsi="Aptos"/>
                <w:color w:val="000000"/>
                <w:sz w:val="20"/>
              </w:rPr>
              <w:t>Weeks 6 to 9</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5C62329" w14:textId="77777777" w:rsidR="00377DCC" w:rsidRPr="00242AEA" w:rsidRDefault="00377DCC">
            <w:pPr>
              <w:rPr>
                <w:rFonts w:asciiTheme="minorHAnsi" w:hAnsiTheme="minorHAnsi"/>
              </w:rPr>
            </w:pPr>
            <w:r w:rsidRPr="00242AEA">
              <w:rPr>
                <w:rFonts w:asciiTheme="minorHAnsi" w:hAnsiTheme="minorHAnsi"/>
                <w:sz w:val="20"/>
                <w:szCs w:val="20"/>
              </w:rPr>
              <w:t>40</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D3FBB6D" w14:textId="77777777" w:rsidR="00377DCC" w:rsidRPr="00242AEA" w:rsidRDefault="00377DCC">
            <w:pPr>
              <w:rPr>
                <w:rFonts w:asciiTheme="minorHAnsi" w:hAnsiTheme="minorHAnsi"/>
              </w:rPr>
            </w:pPr>
            <w:r w:rsidRPr="00242AEA">
              <w:rPr>
                <w:rFonts w:asciiTheme="minorHAnsi" w:hAnsiTheme="minorHAnsi"/>
                <w:sz w:val="20"/>
                <w:szCs w:val="20"/>
              </w:rPr>
              <w:t>2-week minimum utilization data window</w:t>
            </w:r>
          </w:p>
        </w:tc>
      </w:tr>
      <w:tr w:rsidR="00377DCC" w:rsidRPr="00242AEA" w14:paraId="1CB2F5CD"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6317953" w14:textId="77777777" w:rsidR="00377DCC" w:rsidRPr="00242AEA" w:rsidRDefault="00377DCC">
            <w:pPr>
              <w:rPr>
                <w:rFonts w:asciiTheme="minorHAnsi" w:hAnsiTheme="minorHAnsi"/>
              </w:rPr>
            </w:pPr>
            <w:r w:rsidRPr="00242AEA">
              <w:rPr>
                <w:rFonts w:asciiTheme="minorHAnsi" w:hAnsiTheme="minorHAnsi"/>
                <w:b/>
                <w:bCs/>
                <w:color w:val="000000"/>
                <w:sz w:val="20"/>
                <w:szCs w:val="20"/>
              </w:rPr>
              <w:t>3</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308376D" w14:textId="77777777" w:rsidR="00377DCC" w:rsidRPr="00242AEA" w:rsidRDefault="00377DCC">
            <w:pPr>
              <w:rPr>
                <w:rFonts w:asciiTheme="minorHAnsi" w:hAnsiTheme="minorHAnsi"/>
              </w:rPr>
            </w:pPr>
            <w:r w:rsidRPr="00242AEA">
              <w:rPr>
                <w:rFonts w:asciiTheme="minorHAnsi" w:hAnsiTheme="minorHAnsi"/>
                <w:b/>
                <w:bCs/>
                <w:sz w:val="20"/>
                <w:szCs w:val="20"/>
              </w:rPr>
              <w:t>Analysis — Profiling</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D431503" w14:textId="25E06134" w:rsidR="00377DCC" w:rsidRPr="00242AEA" w:rsidRDefault="00F50EF3" w:rsidP="00F50EF3">
            <w:r w:rsidRPr="00F50EF3">
              <w:rPr>
                <w:rFonts w:ascii="Aptos" w:hAnsi="Aptos"/>
                <w:color w:val="000000"/>
                <w:sz w:val="20"/>
              </w:rPr>
              <w:t>Weeks 8–11 (concurrent)</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189C158" w14:textId="77777777" w:rsidR="00377DCC" w:rsidRPr="00242AEA" w:rsidRDefault="00377DCC">
            <w:pPr>
              <w:rPr>
                <w:rFonts w:asciiTheme="minorHAnsi" w:hAnsiTheme="minorHAnsi"/>
              </w:rPr>
            </w:pPr>
            <w:r w:rsidRPr="00242AEA">
              <w:rPr>
                <w:rFonts w:asciiTheme="minorHAnsi" w:hAnsiTheme="minorHAnsi"/>
                <w:sz w:val="20"/>
                <w:szCs w:val="20"/>
              </w:rPr>
              <w:t>38</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CCB4214" w14:textId="77777777" w:rsidR="00377DCC" w:rsidRPr="00242AEA" w:rsidRDefault="00377DCC">
            <w:pPr>
              <w:rPr>
                <w:rFonts w:asciiTheme="minorHAnsi" w:hAnsiTheme="minorHAnsi"/>
              </w:rPr>
            </w:pPr>
            <w:r w:rsidRPr="00242AEA">
              <w:rPr>
                <w:rFonts w:asciiTheme="minorHAnsi" w:hAnsiTheme="minorHAnsi"/>
                <w:sz w:val="20"/>
                <w:szCs w:val="20"/>
              </w:rPr>
              <w:t>Application owner availability</w:t>
            </w:r>
          </w:p>
        </w:tc>
      </w:tr>
      <w:tr w:rsidR="00377DCC" w:rsidRPr="00242AEA" w14:paraId="212AA349"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88C68C1" w14:textId="77777777" w:rsidR="00377DCC" w:rsidRPr="00242AEA" w:rsidRDefault="00377DCC">
            <w:pPr>
              <w:rPr>
                <w:rFonts w:asciiTheme="minorHAnsi" w:hAnsiTheme="minorHAnsi"/>
              </w:rPr>
            </w:pPr>
            <w:r w:rsidRPr="00242AEA">
              <w:rPr>
                <w:rFonts w:asciiTheme="minorHAnsi" w:hAnsiTheme="minorHAnsi"/>
                <w:b/>
                <w:bCs/>
                <w:color w:val="000000"/>
                <w:sz w:val="20"/>
                <w:szCs w:val="20"/>
              </w:rPr>
              <w:t>4</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D9B7F31" w14:textId="77777777" w:rsidR="00377DCC" w:rsidRPr="00242AEA" w:rsidRDefault="00377DCC">
            <w:pPr>
              <w:rPr>
                <w:rFonts w:asciiTheme="minorHAnsi" w:hAnsiTheme="minorHAnsi"/>
              </w:rPr>
            </w:pPr>
            <w:r w:rsidRPr="00242AEA">
              <w:rPr>
                <w:rFonts w:asciiTheme="minorHAnsi" w:hAnsiTheme="minorHAnsi"/>
                <w:b/>
                <w:bCs/>
                <w:sz w:val="20"/>
                <w:szCs w:val="20"/>
              </w:rPr>
              <w:t>Evaluation — Right-Sizing &amp; TCO</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16B54CA" w14:textId="436B0FE5" w:rsidR="00377DCC" w:rsidRPr="00242AEA" w:rsidRDefault="00F50EF3" w:rsidP="00F50EF3">
            <w:r w:rsidRPr="00F50EF3">
              <w:rPr>
                <w:rFonts w:ascii="Aptos" w:hAnsi="Aptos"/>
                <w:color w:val="000000"/>
                <w:sz w:val="20"/>
              </w:rPr>
              <w:t>Weeks 10–12</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DA0A8FD" w14:textId="77777777" w:rsidR="00377DCC" w:rsidRPr="00242AEA" w:rsidRDefault="00377DCC">
            <w:pPr>
              <w:rPr>
                <w:rFonts w:asciiTheme="minorHAnsi" w:hAnsiTheme="minorHAnsi"/>
              </w:rPr>
            </w:pPr>
            <w:r w:rsidRPr="00242AEA">
              <w:rPr>
                <w:rFonts w:asciiTheme="minorHAnsi" w:hAnsiTheme="minorHAnsi"/>
                <w:sz w:val="20"/>
                <w:szCs w:val="20"/>
              </w:rPr>
              <w:t>32</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77FE96C" w14:textId="77777777" w:rsidR="00377DCC" w:rsidRPr="00242AEA" w:rsidRDefault="00377DCC">
            <w:pPr>
              <w:rPr>
                <w:rFonts w:asciiTheme="minorHAnsi" w:hAnsiTheme="minorHAnsi"/>
              </w:rPr>
            </w:pPr>
            <w:r w:rsidRPr="00242AEA">
              <w:rPr>
                <w:rFonts w:asciiTheme="minorHAnsi" w:hAnsiTheme="minorHAnsi"/>
                <w:sz w:val="20"/>
                <w:szCs w:val="20"/>
              </w:rPr>
              <w:t>Hard gate on 2 weeks of clean data</w:t>
            </w:r>
          </w:p>
        </w:tc>
      </w:tr>
      <w:tr w:rsidR="00377DCC" w:rsidRPr="00242AEA" w14:paraId="71ECB20F"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7BC6F332" w14:textId="77777777" w:rsidR="00377DCC" w:rsidRPr="00242AEA" w:rsidRDefault="00377DCC">
            <w:pPr>
              <w:rPr>
                <w:rFonts w:asciiTheme="minorHAnsi" w:hAnsiTheme="minorHAnsi"/>
              </w:rPr>
            </w:pPr>
            <w:r w:rsidRPr="00242AEA">
              <w:rPr>
                <w:rFonts w:asciiTheme="minorHAnsi" w:hAnsiTheme="minorHAnsi"/>
                <w:b/>
                <w:bCs/>
                <w:color w:val="000000"/>
                <w:sz w:val="20"/>
                <w:szCs w:val="20"/>
              </w:rPr>
              <w:t>5</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A6CB08A" w14:textId="77777777" w:rsidR="00377DCC" w:rsidRPr="00242AEA" w:rsidRDefault="00377DCC">
            <w:pPr>
              <w:rPr>
                <w:rFonts w:asciiTheme="minorHAnsi" w:hAnsiTheme="minorHAnsi"/>
              </w:rPr>
            </w:pPr>
            <w:r w:rsidRPr="00242AEA">
              <w:rPr>
                <w:rFonts w:asciiTheme="minorHAnsi" w:hAnsiTheme="minorHAnsi"/>
                <w:b/>
                <w:bCs/>
                <w:sz w:val="20"/>
                <w:szCs w:val="20"/>
              </w:rPr>
              <w:t>Planning — Migration Waves</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6BD5CD9" w14:textId="23B7A179" w:rsidR="00377DCC" w:rsidRPr="00242AEA" w:rsidRDefault="00F50EF3" w:rsidP="00F50EF3">
            <w:r w:rsidRPr="00F50EF3">
              <w:rPr>
                <w:rFonts w:ascii="Aptos" w:hAnsi="Aptos"/>
                <w:color w:val="000000"/>
                <w:sz w:val="20"/>
              </w:rPr>
              <w:t>Weeks 13–14</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99FCBF2" w14:textId="77777777" w:rsidR="00377DCC" w:rsidRPr="00242AEA" w:rsidRDefault="00377DCC">
            <w:pPr>
              <w:rPr>
                <w:rFonts w:asciiTheme="minorHAnsi" w:hAnsiTheme="minorHAnsi"/>
              </w:rPr>
            </w:pPr>
            <w:r w:rsidRPr="00242AEA">
              <w:rPr>
                <w:rFonts w:asciiTheme="minorHAnsi" w:hAnsiTheme="minorHAnsi"/>
                <w:sz w:val="20"/>
                <w:szCs w:val="20"/>
              </w:rPr>
              <w:t>22</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25FD7F5" w14:textId="77777777" w:rsidR="00377DCC" w:rsidRPr="00242AEA" w:rsidRDefault="00377DCC">
            <w:pPr>
              <w:rPr>
                <w:rFonts w:asciiTheme="minorHAnsi" w:hAnsiTheme="minorHAnsi"/>
              </w:rPr>
            </w:pPr>
            <w:r w:rsidRPr="00242AEA">
              <w:rPr>
                <w:rFonts w:asciiTheme="minorHAnsi" w:hAnsiTheme="minorHAnsi"/>
                <w:sz w:val="20"/>
                <w:szCs w:val="20"/>
              </w:rPr>
              <w:t>Dependency map quality</w:t>
            </w:r>
          </w:p>
        </w:tc>
      </w:tr>
      <w:tr w:rsidR="00377DCC" w:rsidRPr="00242AEA" w14:paraId="6D227487"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077E469" w14:textId="77777777" w:rsidR="00377DCC" w:rsidRPr="00242AEA" w:rsidRDefault="00377DCC">
            <w:pPr>
              <w:rPr>
                <w:rFonts w:asciiTheme="minorHAnsi" w:hAnsiTheme="minorHAnsi"/>
              </w:rPr>
            </w:pPr>
            <w:r w:rsidRPr="00242AEA">
              <w:rPr>
                <w:rFonts w:asciiTheme="minorHAnsi" w:hAnsiTheme="minorHAnsi"/>
                <w:b/>
                <w:bCs/>
                <w:color w:val="000000"/>
                <w:sz w:val="20"/>
                <w:szCs w:val="20"/>
              </w:rPr>
              <w:lastRenderedPageBreak/>
              <w:t>6</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2824678" w14:textId="77777777" w:rsidR="00377DCC" w:rsidRPr="00242AEA" w:rsidRDefault="00377DCC">
            <w:pPr>
              <w:rPr>
                <w:rFonts w:asciiTheme="minorHAnsi" w:hAnsiTheme="minorHAnsi"/>
              </w:rPr>
            </w:pPr>
            <w:r w:rsidRPr="00242AEA">
              <w:rPr>
                <w:rFonts w:asciiTheme="minorHAnsi" w:hAnsiTheme="minorHAnsi"/>
                <w:b/>
                <w:bCs/>
                <w:sz w:val="20"/>
                <w:szCs w:val="20"/>
              </w:rPr>
              <w:t>Readiness Report</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AD63785" w14:textId="4706D8C3" w:rsidR="00377DCC" w:rsidRPr="00242AEA" w:rsidRDefault="00564903" w:rsidP="00564903">
            <w:r w:rsidRPr="00564903">
              <w:rPr>
                <w:rFonts w:ascii="Aptos" w:hAnsi="Aptos"/>
                <w:color w:val="000000"/>
                <w:sz w:val="20"/>
              </w:rPr>
              <w:t>Week 15</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71CBF90" w14:textId="77777777" w:rsidR="00377DCC" w:rsidRPr="00242AEA" w:rsidRDefault="00377DCC">
            <w:pPr>
              <w:rPr>
                <w:rFonts w:asciiTheme="minorHAnsi" w:hAnsiTheme="minorHAnsi"/>
              </w:rPr>
            </w:pPr>
            <w:r w:rsidRPr="00242AEA">
              <w:rPr>
                <w:rFonts w:asciiTheme="minorHAnsi" w:hAnsiTheme="minorHAnsi"/>
                <w:sz w:val="20"/>
                <w:szCs w:val="20"/>
              </w:rPr>
              <w:t>12</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4EDAD69" w14:textId="77777777" w:rsidR="00377DCC" w:rsidRPr="00242AEA" w:rsidRDefault="00377DCC">
            <w:pPr>
              <w:rPr>
                <w:rFonts w:asciiTheme="minorHAnsi" w:hAnsiTheme="minorHAnsi"/>
              </w:rPr>
            </w:pPr>
            <w:r w:rsidRPr="00242AEA">
              <w:rPr>
                <w:rFonts w:asciiTheme="minorHAnsi" w:hAnsiTheme="minorHAnsi"/>
                <w:sz w:val="20"/>
                <w:szCs w:val="20"/>
              </w:rPr>
              <w:t>Internal QA cycle</w:t>
            </w:r>
          </w:p>
        </w:tc>
      </w:tr>
      <w:tr w:rsidR="00377DCC" w:rsidRPr="00242AEA" w14:paraId="5B482A49"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5DDD41A6" w14:textId="77777777" w:rsidR="00377DCC" w:rsidRPr="00242AEA" w:rsidRDefault="00377DCC">
            <w:pPr>
              <w:rPr>
                <w:rFonts w:asciiTheme="minorHAnsi" w:hAnsiTheme="minorHAnsi"/>
              </w:rPr>
            </w:pPr>
            <w:r w:rsidRPr="00242AEA">
              <w:rPr>
                <w:rFonts w:asciiTheme="minorHAnsi" w:hAnsiTheme="minorHAnsi"/>
                <w:b/>
                <w:bCs/>
                <w:color w:val="000000"/>
                <w:sz w:val="20"/>
                <w:szCs w:val="20"/>
              </w:rPr>
              <w:t>7</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C2C58A5" w14:textId="77777777" w:rsidR="00377DCC" w:rsidRPr="00242AEA" w:rsidRDefault="00377DCC">
            <w:pPr>
              <w:rPr>
                <w:rFonts w:asciiTheme="minorHAnsi" w:hAnsiTheme="minorHAnsi"/>
              </w:rPr>
            </w:pPr>
            <w:r w:rsidRPr="00242AEA">
              <w:rPr>
                <w:rFonts w:asciiTheme="minorHAnsi" w:hAnsiTheme="minorHAnsi"/>
                <w:b/>
                <w:bCs/>
                <w:sz w:val="20"/>
                <w:szCs w:val="20"/>
              </w:rPr>
              <w:t>Stakeholder Sign-off</w:t>
            </w:r>
          </w:p>
        </w:tc>
        <w:tc>
          <w:tcPr>
            <w:tcW w:w="13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C517587" w14:textId="2FA5C165" w:rsidR="00377DCC" w:rsidRPr="00242AEA" w:rsidRDefault="00564903" w:rsidP="00564903">
            <w:r w:rsidRPr="00564903">
              <w:rPr>
                <w:rFonts w:ascii="Aptos" w:hAnsi="Aptos"/>
                <w:color w:val="000000"/>
                <w:sz w:val="20"/>
              </w:rPr>
              <w:t>Week 16</w:t>
            </w:r>
          </w:p>
        </w:tc>
        <w:tc>
          <w:tcPr>
            <w:tcW w:w="1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C168FBC" w14:textId="77777777" w:rsidR="00377DCC" w:rsidRPr="00242AEA" w:rsidRDefault="00377DCC">
            <w:pPr>
              <w:rPr>
                <w:rFonts w:asciiTheme="minorHAnsi" w:hAnsiTheme="minorHAnsi"/>
              </w:rPr>
            </w:pPr>
            <w:r w:rsidRPr="00242AEA">
              <w:rPr>
                <w:rFonts w:asciiTheme="minorHAnsi" w:hAnsiTheme="minorHAnsi"/>
                <w:sz w:val="20"/>
                <w:szCs w:val="20"/>
              </w:rPr>
              <w:t>7</w:t>
            </w:r>
          </w:p>
        </w:tc>
        <w:tc>
          <w:tcPr>
            <w:tcW w:w="26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8951B62" w14:textId="77777777" w:rsidR="00377DCC" w:rsidRPr="00242AEA" w:rsidRDefault="00377DCC">
            <w:pPr>
              <w:rPr>
                <w:rFonts w:asciiTheme="minorHAnsi" w:hAnsiTheme="minorHAnsi"/>
              </w:rPr>
            </w:pPr>
            <w:r w:rsidRPr="00242AEA">
              <w:rPr>
                <w:rFonts w:asciiTheme="minorHAnsi" w:hAnsiTheme="minorHAnsi"/>
                <w:sz w:val="20"/>
                <w:szCs w:val="20"/>
              </w:rPr>
              <w:t>Executive availability</w:t>
            </w:r>
          </w:p>
        </w:tc>
      </w:tr>
      <w:tr w:rsidR="00377DCC" w:rsidRPr="00242AEA" w14:paraId="35D26C57" w14:textId="77777777">
        <w:trPr>
          <w:tblCellSpacing w:w="15" w:type="dxa"/>
        </w:trPr>
        <w:tc>
          <w:tcPr>
            <w:tcW w:w="1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7A8B0862" w14:textId="77777777" w:rsidR="00377DCC" w:rsidRPr="00242AEA" w:rsidRDefault="00377DCC">
            <w:pPr>
              <w:rPr>
                <w:rFonts w:asciiTheme="minorHAnsi" w:hAnsiTheme="minorHAnsi"/>
              </w:rPr>
            </w:pPr>
            <w:r w:rsidRPr="00242AEA">
              <w:rPr>
                <w:rFonts w:asciiTheme="minorHAnsi" w:hAnsiTheme="minorHAnsi"/>
                <w:color w:val="000000"/>
              </w:rPr>
              <w:t> </w:t>
            </w:r>
          </w:p>
        </w:tc>
        <w:tc>
          <w:tcPr>
            <w:tcW w:w="3200" w:type="dxa"/>
            <w:tcBorders>
              <w:top w:val="nil"/>
              <w:left w:val="nil"/>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2CD9DF3" w14:textId="77777777" w:rsidR="00377DCC" w:rsidRPr="00242AEA" w:rsidRDefault="00377DCC">
            <w:pPr>
              <w:rPr>
                <w:rFonts w:asciiTheme="minorHAnsi" w:hAnsiTheme="minorHAnsi"/>
              </w:rPr>
            </w:pPr>
            <w:r w:rsidRPr="00242AEA">
              <w:rPr>
                <w:rFonts w:asciiTheme="minorHAnsi" w:hAnsiTheme="minorHAnsi"/>
                <w:b/>
                <w:bCs/>
                <w:color w:val="000000"/>
                <w:sz w:val="20"/>
                <w:szCs w:val="20"/>
              </w:rPr>
              <w:t>Total Elapsed (parallelized)</w:t>
            </w:r>
          </w:p>
        </w:tc>
        <w:tc>
          <w:tcPr>
            <w:tcW w:w="1300" w:type="dxa"/>
            <w:tcBorders>
              <w:top w:val="nil"/>
              <w:left w:val="nil"/>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53140FA" w14:textId="77777777" w:rsidR="00377DCC" w:rsidRPr="00242AEA" w:rsidRDefault="00377DCC">
            <w:pPr>
              <w:rPr>
                <w:rFonts w:asciiTheme="minorHAnsi" w:hAnsiTheme="minorHAnsi"/>
              </w:rPr>
            </w:pPr>
            <w:r w:rsidRPr="00242AEA">
              <w:rPr>
                <w:rFonts w:asciiTheme="minorHAnsi" w:hAnsiTheme="minorHAnsi"/>
                <w:b/>
                <w:bCs/>
                <w:color w:val="000000"/>
                <w:sz w:val="20"/>
                <w:szCs w:val="20"/>
              </w:rPr>
              <w:t>16 weeks</w:t>
            </w:r>
          </w:p>
        </w:tc>
        <w:tc>
          <w:tcPr>
            <w:tcW w:w="1200" w:type="dxa"/>
            <w:tcBorders>
              <w:top w:val="nil"/>
              <w:left w:val="nil"/>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D969E86" w14:textId="77777777" w:rsidR="00377DCC" w:rsidRPr="00242AEA" w:rsidRDefault="00377DCC">
            <w:pPr>
              <w:rPr>
                <w:rFonts w:asciiTheme="minorHAnsi" w:hAnsiTheme="minorHAnsi"/>
              </w:rPr>
            </w:pPr>
            <w:r w:rsidRPr="00242AEA">
              <w:rPr>
                <w:rFonts w:asciiTheme="minorHAnsi" w:hAnsiTheme="minorHAnsi"/>
                <w:b/>
                <w:bCs/>
                <w:color w:val="000000"/>
                <w:sz w:val="20"/>
                <w:szCs w:val="20"/>
              </w:rPr>
              <w:t>211</w:t>
            </w:r>
          </w:p>
        </w:tc>
        <w:tc>
          <w:tcPr>
            <w:tcW w:w="2660" w:type="dxa"/>
            <w:tcBorders>
              <w:top w:val="nil"/>
              <w:left w:val="nil"/>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064C3D25" w14:textId="77777777" w:rsidR="00377DCC" w:rsidRPr="00242AEA" w:rsidRDefault="00377DCC">
            <w:pPr>
              <w:rPr>
                <w:rFonts w:asciiTheme="minorHAnsi" w:hAnsiTheme="minorHAnsi"/>
              </w:rPr>
            </w:pPr>
            <w:r w:rsidRPr="00242AEA">
              <w:rPr>
                <w:rFonts w:asciiTheme="minorHAnsi" w:hAnsiTheme="minorHAnsi"/>
                <w:b/>
                <w:bCs/>
                <w:color w:val="000000"/>
                <w:sz w:val="20"/>
                <w:szCs w:val="20"/>
              </w:rPr>
              <w:t>Sequential equivalent: ~22 weeks</w:t>
            </w:r>
          </w:p>
        </w:tc>
      </w:tr>
    </w:tbl>
    <w:p w14:paraId="598CD5C2" w14:textId="77777777" w:rsidR="00825406" w:rsidRPr="00242AEA" w:rsidRDefault="00825406">
      <w:pPr>
        <w:spacing w:after="120"/>
        <w:rPr>
          <w:rFonts w:asciiTheme="minorHAnsi" w:hAnsiTheme="minorHAnsi"/>
          <w:kern w:val="2"/>
          <w14:ligatures w14:val="standardContextual"/>
        </w:rPr>
      </w:pPr>
      <w:r w:rsidRPr="00242AEA">
        <w:rPr>
          <w:rFonts w:asciiTheme="minorHAnsi" w:hAnsiTheme="minorHAnsi"/>
          <w:i/>
          <w:iCs/>
          <w:color w:val="595959"/>
          <w:sz w:val="18"/>
          <w:szCs w:val="18"/>
        </w:rPr>
        <w:t>Phase 3 (Analysis) is parallelized with the back half of Phase 2 (Data Collection). The detailed week-by-week Gantt is maintained in the accompanying Project Plan workbook.</w:t>
      </w:r>
    </w:p>
    <w:p w14:paraId="2A39DF17"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6. Team &amp; Responsibilities</w:t>
      </w:r>
    </w:p>
    <w:p w14:paraId="2938B770" w14:textId="77777777" w:rsidR="000A512E" w:rsidRPr="00242AEA" w:rsidRDefault="000A512E">
      <w:pPr>
        <w:spacing w:after="120"/>
        <w:rPr>
          <w:rFonts w:asciiTheme="minorHAnsi" w:hAnsiTheme="minorHAnsi"/>
          <w:kern w:val="2"/>
          <w14:ligatures w14:val="standardContextual"/>
        </w:rPr>
      </w:pPr>
      <w:r w:rsidRPr="00242AEA">
        <w:rPr>
          <w:rFonts w:asciiTheme="minorHAnsi" w:hAnsiTheme="minorHAnsi"/>
        </w:rPr>
        <w:t>The engagement is delivered by the joint customer-and-provider delivery team described below. Roles and responsibilities are aligned to the Project Plan workbook (Resource Plan and RACI) and are used to govern accountability for each activity and phase exit gate.</w:t>
      </w:r>
    </w:p>
    <w:p w14:paraId="420D2748" w14:textId="77777777" w:rsidR="00B6513D" w:rsidRPr="00242AEA" w:rsidRDefault="00B6513D" w:rsidP="00B6513D">
      <w:pPr>
        <w:pStyle w:val="Heading2"/>
        <w:rPr>
          <w:rFonts w:asciiTheme="minorHAnsi" w:hAnsiTheme="minorHAnsi"/>
          <w:kern w:val="2"/>
          <w14:ligatures w14:val="standardContextual"/>
        </w:rPr>
      </w:pPr>
      <w:r w:rsidRPr="00242AEA">
        <w:rPr>
          <w:rFonts w:asciiTheme="minorHAnsi" w:hAnsiTheme="minorHAnsi"/>
          <w:color w:val="C00000"/>
        </w:rPr>
        <w:t>6.2 Baseline Delivery Team (per Project Plan workbook)</w:t>
      </w:r>
    </w:p>
    <w:p w14:paraId="17974F93" w14:textId="77777777" w:rsidR="00AC45A5" w:rsidRPr="00242AEA" w:rsidRDefault="00AC45A5" w:rsidP="00AC45A5">
      <w:pPr>
        <w:pStyle w:val="ListParagraph"/>
        <w:numPr>
          <w:ilvl w:val="0"/>
          <w:numId w:val="29"/>
        </w:numPr>
        <w:rPr>
          <w:rFonts w:asciiTheme="minorHAnsi" w:hAnsiTheme="minorHAnsi"/>
          <w:kern w:val="2"/>
          <w14:ligatures w14:val="standardContextual"/>
        </w:rPr>
      </w:pPr>
      <w:r w:rsidRPr="00242AEA">
        <w:rPr>
          <w:rFonts w:asciiTheme="minorHAnsi" w:hAnsiTheme="minorHAnsi"/>
          <w:b/>
          <w:bCs/>
        </w:rPr>
        <w:t>Executive Sponsor (Customer)</w:t>
      </w:r>
      <w:r w:rsidRPr="00242AEA">
        <w:rPr>
          <w:rFonts w:asciiTheme="minorHAnsi" w:hAnsiTheme="minorHAnsi"/>
        </w:rPr>
        <w:t xml:space="preserve"> — accountable for business outcomes, removes roadblocks, and provides executive decisions at key gates.</w:t>
      </w:r>
    </w:p>
    <w:p w14:paraId="22D4869B"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Steering Committee (Customer)</w:t>
      </w:r>
      <w:r w:rsidRPr="00242AEA">
        <w:rPr>
          <w:rFonts w:asciiTheme="minorHAnsi" w:hAnsiTheme="minorHAnsi"/>
        </w:rPr>
        <w:t xml:space="preserve"> — provides governance oversight, confirms priorities, and supports escalation and decision cadence.</w:t>
      </w:r>
    </w:p>
    <w:p w14:paraId="4E3CB7BB"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Project Manager (Provider)</w:t>
      </w:r>
      <w:r w:rsidRPr="00242AEA">
        <w:rPr>
          <w:rFonts w:asciiTheme="minorHAnsi" w:hAnsiTheme="minorHAnsi"/>
        </w:rPr>
        <w:t xml:space="preserve"> — owns the integrated project plan, governance cadence, RAID log, change control, stakeholder coordination, and phase exit gate orchestration.</w:t>
      </w:r>
    </w:p>
    <w:p w14:paraId="46D4802A" w14:textId="77777777" w:rsidR="00E1042C" w:rsidRPr="00242AEA" w:rsidRDefault="00E1042C" w:rsidP="00E1042C">
      <w:pPr>
        <w:pStyle w:val="ListParagraph"/>
        <w:numPr>
          <w:ilvl w:val="0"/>
          <w:numId w:val="29"/>
        </w:numPr>
        <w:rPr>
          <w:rFonts w:asciiTheme="minorHAnsi" w:hAnsiTheme="minorHAnsi"/>
          <w:kern w:val="2"/>
          <w14:ligatures w14:val="standardContextual"/>
        </w:rPr>
      </w:pPr>
      <w:r w:rsidRPr="00242AEA">
        <w:rPr>
          <w:rFonts w:asciiTheme="minorHAnsi" w:hAnsiTheme="minorHAnsi"/>
          <w:b/>
          <w:bCs/>
        </w:rPr>
        <w:t>Lead Cloud Solutions Architect / Cloud Architects (Provider)</w:t>
      </w:r>
      <w:r w:rsidRPr="00242AEA">
        <w:rPr>
          <w:rFonts w:asciiTheme="minorHAnsi" w:hAnsiTheme="minorHAnsi"/>
        </w:rPr>
        <w:t xml:space="preserve"> — solution authority for the assessment and accountable for architecture decisions and recommendation quality. The provider will staff either (a) </w:t>
      </w:r>
      <w:r w:rsidRPr="00242AEA">
        <w:rPr>
          <w:rFonts w:asciiTheme="minorHAnsi" w:hAnsiTheme="minorHAnsi"/>
          <w:b/>
          <w:bCs/>
        </w:rPr>
        <w:t>one multi-cloud architect</w:t>
      </w:r>
      <w:r w:rsidRPr="00242AEA">
        <w:rPr>
          <w:rFonts w:asciiTheme="minorHAnsi" w:hAnsiTheme="minorHAnsi"/>
        </w:rPr>
        <w:t xml:space="preserve"> with proven expertise across </w:t>
      </w:r>
      <w:r w:rsidRPr="00242AEA">
        <w:rPr>
          <w:rFonts w:asciiTheme="minorHAnsi" w:hAnsiTheme="minorHAnsi"/>
          <w:b/>
          <w:bCs/>
        </w:rPr>
        <w:t>AWS, Azure, and Google Cloud</w:t>
      </w:r>
      <w:r w:rsidRPr="00242AEA">
        <w:rPr>
          <w:rFonts w:asciiTheme="minorHAnsi" w:hAnsiTheme="minorHAnsi"/>
        </w:rPr>
        <w:t xml:space="preserve">, or (b) </w:t>
      </w:r>
      <w:r w:rsidRPr="00242AEA">
        <w:rPr>
          <w:rFonts w:asciiTheme="minorHAnsi" w:hAnsiTheme="minorHAnsi"/>
          <w:b/>
          <w:bCs/>
        </w:rPr>
        <w:t>three platform architects</w:t>
      </w:r>
      <w:r w:rsidRPr="00242AEA">
        <w:rPr>
          <w:rFonts w:asciiTheme="minorHAnsi" w:hAnsiTheme="minorHAnsi"/>
        </w:rPr>
        <w:t xml:space="preserve"> (one each for </w:t>
      </w:r>
      <w:r w:rsidRPr="00242AEA">
        <w:rPr>
          <w:rFonts w:asciiTheme="minorHAnsi" w:hAnsiTheme="minorHAnsi"/>
          <w:b/>
          <w:bCs/>
        </w:rPr>
        <w:t>AWS</w:t>
      </w:r>
      <w:r w:rsidRPr="00242AEA">
        <w:rPr>
          <w:rFonts w:asciiTheme="minorHAnsi" w:hAnsiTheme="minorHAnsi"/>
        </w:rPr>
        <w:t xml:space="preserve">, </w:t>
      </w:r>
      <w:r w:rsidRPr="00242AEA">
        <w:rPr>
          <w:rFonts w:asciiTheme="minorHAnsi" w:hAnsiTheme="minorHAnsi"/>
          <w:b/>
          <w:bCs/>
        </w:rPr>
        <w:t>Azure</w:t>
      </w:r>
      <w:r w:rsidRPr="00242AEA">
        <w:rPr>
          <w:rFonts w:asciiTheme="minorHAnsi" w:hAnsiTheme="minorHAnsi"/>
        </w:rPr>
        <w:t xml:space="preserve">, and </w:t>
      </w:r>
      <w:r w:rsidRPr="00242AEA">
        <w:rPr>
          <w:rFonts w:asciiTheme="minorHAnsi" w:hAnsiTheme="minorHAnsi"/>
          <w:b/>
          <w:bCs/>
        </w:rPr>
        <w:t>Google Cloud</w:t>
      </w:r>
      <w:r w:rsidRPr="00242AEA">
        <w:rPr>
          <w:rFonts w:asciiTheme="minorHAnsi" w:hAnsiTheme="minorHAnsi"/>
        </w:rPr>
        <w:t xml:space="preserve">) if a single multi-cloud architect is not available. The lead runs technical workshops, validates data-quality gates, and signs off technical exit gates. Platform architects support service mapping and validate recommendations for their respective </w:t>
      </w:r>
      <w:proofErr w:type="spellStart"/>
      <w:r w:rsidRPr="00242AEA">
        <w:rPr>
          <w:rFonts w:asciiTheme="minorHAnsi" w:hAnsiTheme="minorHAnsi"/>
        </w:rPr>
        <w:t>hyperscaler</w:t>
      </w:r>
      <w:proofErr w:type="spellEnd"/>
      <w:r w:rsidRPr="00242AEA">
        <w:rPr>
          <w:rFonts w:asciiTheme="minorHAnsi" w:hAnsiTheme="minorHAnsi"/>
        </w:rPr>
        <w:t>.</w:t>
      </w:r>
    </w:p>
    <w:p w14:paraId="56FD8BE8"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Cloud Engineer (Provider)</w:t>
      </w:r>
      <w:r w:rsidRPr="00242AEA">
        <w:rPr>
          <w:rFonts w:asciiTheme="minorHAnsi" w:hAnsiTheme="minorHAnsi"/>
        </w:rPr>
        <w:t xml:space="preserve"> — implements discovery tooling setup, data collection, daily health checks, and troubleshooting for connectivity/credential/OS-level issues; supports dependency mapping.</w:t>
      </w:r>
    </w:p>
    <w:p w14:paraId="57ED2A28"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Technical Consultant (Provider)</w:t>
      </w:r>
      <w:r w:rsidRPr="00242AEA">
        <w:rPr>
          <w:rFonts w:asciiTheme="minorHAnsi" w:hAnsiTheme="minorHAnsi"/>
        </w:rPr>
        <w:t xml:space="preserve"> — leads application interviews and profiling, criticality/tiering, 6Rs disposition, right-sizing inputs, and TCO analysis in coordination with the Lead Cloud Solutions Architect.</w:t>
      </w:r>
    </w:p>
    <w:p w14:paraId="4077296E"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Network / Firewall SME (Provider)</w:t>
      </w:r>
      <w:r w:rsidRPr="00242AEA">
        <w:rPr>
          <w:rFonts w:asciiTheme="minorHAnsi" w:hAnsiTheme="minorHAnsi"/>
        </w:rPr>
        <w:t xml:space="preserve"> — supports CAB submissions, firewall/network change requests, and troubleshooting required to enable discovery tooling connectivity.</w:t>
      </w:r>
    </w:p>
    <w:p w14:paraId="367D4631" w14:textId="77777777" w:rsidR="00AC45A5" w:rsidRPr="00242AEA" w:rsidRDefault="00AC45A5" w:rsidP="00AC45A5">
      <w:pPr>
        <w:pStyle w:val="ListParagraph"/>
        <w:numPr>
          <w:ilvl w:val="0"/>
          <w:numId w:val="29"/>
        </w:numPr>
        <w:rPr>
          <w:rFonts w:asciiTheme="minorHAnsi" w:hAnsiTheme="minorHAnsi"/>
        </w:rPr>
      </w:pPr>
      <w:r w:rsidRPr="00242AEA">
        <w:rPr>
          <w:rFonts w:asciiTheme="minorHAnsi" w:hAnsiTheme="minorHAnsi"/>
          <w:b/>
          <w:bCs/>
        </w:rPr>
        <w:t>Customer Application Owners (Customer)</w:t>
      </w:r>
      <w:r w:rsidRPr="00242AEA">
        <w:rPr>
          <w:rFonts w:asciiTheme="minorHAnsi" w:hAnsiTheme="minorHAnsi"/>
        </w:rPr>
        <w:t xml:space="preserve"> — provide application context, participate in interviews/workshops, validate dependencies and criticality, and review recommendations for their applications.</w:t>
      </w:r>
    </w:p>
    <w:p w14:paraId="79DDC997" w14:textId="776ECEF1" w:rsidR="00B85C2B" w:rsidRPr="00242AEA" w:rsidRDefault="00B85C2B">
      <w:pPr>
        <w:spacing w:after="120"/>
        <w:rPr>
          <w:rFonts w:asciiTheme="minorHAnsi" w:hAnsiTheme="minorHAnsi"/>
          <w:kern w:val="2"/>
          <w14:ligatures w14:val="standardContextual"/>
        </w:rPr>
      </w:pPr>
      <w:r w:rsidRPr="00242AEA">
        <w:rPr>
          <w:rFonts w:asciiTheme="minorHAnsi" w:hAnsiTheme="minorHAnsi"/>
        </w:rPr>
        <w:t xml:space="preserve">A RACI matrix is maintained as part of the engagement project plan to confirm accountability for each activity and phase </w:t>
      </w:r>
      <w:r w:rsidR="00330D42" w:rsidRPr="00242AEA">
        <w:rPr>
          <w:rFonts w:asciiTheme="minorHAnsi" w:hAnsiTheme="minorHAnsi"/>
        </w:rPr>
        <w:t>gate and</w:t>
      </w:r>
      <w:r w:rsidRPr="00242AEA">
        <w:rPr>
          <w:rFonts w:asciiTheme="minorHAnsi" w:hAnsiTheme="minorHAnsi"/>
        </w:rPr>
        <w:t xml:space="preserve"> is reviewed during mobilization.</w:t>
      </w:r>
    </w:p>
    <w:p w14:paraId="2D1EDEBD"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7. Customer Obligations</w:t>
      </w:r>
    </w:p>
    <w:p w14:paraId="5BE40EAB" w14:textId="77777777" w:rsidR="0066115C" w:rsidRPr="00242AEA" w:rsidRDefault="0066115C">
      <w:pPr>
        <w:spacing w:after="120"/>
        <w:rPr>
          <w:rFonts w:asciiTheme="minorHAnsi" w:hAnsiTheme="minorHAnsi"/>
          <w:kern w:val="2"/>
          <w14:ligatures w14:val="standardContextual"/>
        </w:rPr>
      </w:pPr>
      <w:r w:rsidRPr="00242AEA">
        <w:rPr>
          <w:rFonts w:asciiTheme="minorHAnsi" w:hAnsiTheme="minorHAnsi"/>
        </w:rPr>
        <w:lastRenderedPageBreak/>
        <w:t>To stay on schedule, the customer must meet the commitments below. These align with the RACI in the Project Plan workbook. If any commitment slips, we will escalate through the Steering Committee and may need to re-baseline the plan.</w:t>
      </w:r>
    </w:p>
    <w:p w14:paraId="3949A6BC" w14:textId="77777777" w:rsidR="00C528B6" w:rsidRPr="00242AEA" w:rsidRDefault="00C528B6" w:rsidP="00C528B6">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Provide a named </w:t>
      </w:r>
      <w:r w:rsidRPr="00242AEA">
        <w:rPr>
          <w:rFonts w:asciiTheme="minorHAnsi" w:hAnsiTheme="minorHAnsi"/>
          <w:b/>
          <w:bCs/>
        </w:rPr>
        <w:t>Executive Sponsor</w:t>
      </w:r>
      <w:r w:rsidRPr="00242AEA">
        <w:rPr>
          <w:rFonts w:asciiTheme="minorHAnsi" w:hAnsiTheme="minorHAnsi"/>
        </w:rPr>
        <w:t xml:space="preserve"> and ensure they (or a designated delegate) is available for executive decisions and final acceptance/sign-off.</w:t>
      </w:r>
    </w:p>
    <w:p w14:paraId="1580F848" w14:textId="77777777" w:rsidR="00C528B6" w:rsidRPr="00242AEA" w:rsidRDefault="00C528B6" w:rsidP="00C528B6">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Establish a </w:t>
      </w:r>
      <w:r w:rsidRPr="00242AEA">
        <w:rPr>
          <w:rFonts w:asciiTheme="minorHAnsi" w:hAnsiTheme="minorHAnsi"/>
          <w:b/>
          <w:bCs/>
        </w:rPr>
        <w:t>Steering Committee</w:t>
      </w:r>
      <w:r w:rsidRPr="00242AEA">
        <w:rPr>
          <w:rFonts w:asciiTheme="minorHAnsi" w:hAnsiTheme="minorHAnsi"/>
        </w:rPr>
        <w:t xml:space="preserve"> and maintain the agreed governance cadence (weekly Steering Committee; bi-weekly executive readout) to resolve risks, confirm priorities, and support escalations.</w:t>
      </w:r>
    </w:p>
    <w:p w14:paraId="3FDED710" w14:textId="77777777" w:rsidR="00C528B6" w:rsidRPr="00242AEA" w:rsidRDefault="00C528B6" w:rsidP="00C528B6">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Ensure </w:t>
      </w:r>
      <w:r w:rsidRPr="00242AEA">
        <w:rPr>
          <w:rFonts w:asciiTheme="minorHAnsi" w:hAnsiTheme="minorHAnsi"/>
          <w:b/>
          <w:bCs/>
        </w:rPr>
        <w:t>Customer Application Owners</w:t>
      </w:r>
      <w:r w:rsidRPr="00242AEA">
        <w:rPr>
          <w:rFonts w:asciiTheme="minorHAnsi" w:hAnsiTheme="minorHAnsi"/>
        </w:rPr>
        <w:t xml:space="preserve"> participate in interviews/workshops (assumed </w:t>
      </w:r>
      <w:r w:rsidRPr="00242AEA">
        <w:rPr>
          <w:rFonts w:asciiTheme="minorHAnsi" w:hAnsiTheme="minorHAnsi"/>
          <w:b/>
          <w:bCs/>
        </w:rPr>
        <w:t>2–3 hours per week per in-scope application</w:t>
      </w:r>
      <w:r w:rsidRPr="00242AEA">
        <w:rPr>
          <w:rFonts w:asciiTheme="minorHAnsi" w:hAnsiTheme="minorHAnsi"/>
        </w:rPr>
        <w:t xml:space="preserve"> during the Analysis phase) and validate application criticality, dependencies, and recommendation assumptions.</w:t>
      </w:r>
    </w:p>
    <w:p w14:paraId="73E6B85A" w14:textId="77777777" w:rsidR="00286A5F" w:rsidRPr="00242AEA" w:rsidRDefault="00286A5F" w:rsidP="003A40C5">
      <w:pPr>
        <w:pStyle w:val="ListParagraph"/>
        <w:numPr>
          <w:ilvl w:val="0"/>
          <w:numId w:val="2"/>
        </w:numPr>
        <w:rPr>
          <w:rFonts w:asciiTheme="minorHAnsi" w:hAnsiTheme="minorHAnsi"/>
          <w:kern w:val="2"/>
          <w14:ligatures w14:val="standardContextual"/>
        </w:rPr>
      </w:pPr>
      <w:r w:rsidRPr="00242AEA">
        <w:rPr>
          <w:rFonts w:asciiTheme="minorHAnsi" w:hAnsiTheme="minorHAnsi"/>
        </w:rPr>
        <w:t xml:space="preserve">Process firewall and network change requests through the CAB within the standard </w:t>
      </w:r>
      <w:r w:rsidRPr="00242AEA">
        <w:rPr>
          <w:rFonts w:asciiTheme="minorHAnsi" w:hAnsiTheme="minorHAnsi"/>
          <w:b/>
          <w:bCs/>
        </w:rPr>
        <w:t>5–10 business day</w:t>
      </w:r>
      <w:r w:rsidRPr="00242AEA">
        <w:rPr>
          <w:rFonts w:asciiTheme="minorHAnsi" w:hAnsiTheme="minorHAnsi"/>
        </w:rPr>
        <w:t xml:space="preserve"> lead time. Provide approvals on time so discovery can run.</w:t>
      </w:r>
    </w:p>
    <w:p w14:paraId="08464AB5" w14:textId="77777777" w:rsidR="003A40C5" w:rsidRPr="003A40C5" w:rsidRDefault="003A40C5" w:rsidP="003A40C5">
      <w:pPr>
        <w:pStyle w:val="ListParagraph"/>
        <w:numPr>
          <w:ilvl w:val="0"/>
          <w:numId w:val="2"/>
        </w:numPr>
        <w:rPr>
          <w:rFonts w:asciiTheme="minorHAnsi" w:hAnsiTheme="minorHAnsi"/>
          <w:kern w:val="2"/>
          <w14:ligatures w14:val="standardContextual"/>
        </w:rPr>
      </w:pPr>
      <w:r>
        <w:rPr>
          <w:rFonts w:ascii="Aptos" w:hAnsi="Aptos"/>
        </w:rPr>
        <w:t xml:space="preserve">Customer is responsible for all </w:t>
      </w:r>
      <w:r>
        <w:rPr>
          <w:rFonts w:ascii="Aptos" w:hAnsi="Aptos"/>
          <w:b/>
          <w:bCs/>
        </w:rPr>
        <w:t>on-premises</w:t>
      </w:r>
      <w:r>
        <w:rPr>
          <w:rFonts w:ascii="Aptos" w:hAnsi="Aptos"/>
        </w:rPr>
        <w:t xml:space="preserve"> server and network troubleshooting required to enable discovery tooling (for example: firewall rule remediation, routing/DNS issues, proxy configuration, host-based firewall changes, WMI/SSH access enablement, and credential/permission remediation). Rackspace will provide required ports, connectivity requirements, and validation results to support resolution.</w:t>
      </w:r>
    </w:p>
    <w:p w14:paraId="75EC996E" w14:textId="77777777" w:rsidR="00286A5F" w:rsidRPr="00242AEA" w:rsidRDefault="00286A5F" w:rsidP="003A40C5">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Provide the required service accounts, credentials, and access listed in the Discovery Architecture Design. Complete security reviews on time so approved discovery methods can be used.</w:t>
      </w:r>
    </w:p>
    <w:p w14:paraId="2FEC1872" w14:textId="77777777" w:rsidR="00C528B6" w:rsidRPr="00242AEA" w:rsidRDefault="00C528B6" w:rsidP="00C528B6">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 xml:space="preserve">Provide read access (or export extracts) for relevant systems (e.g., </w:t>
      </w:r>
      <w:r w:rsidRPr="00242AEA">
        <w:rPr>
          <w:rFonts w:asciiTheme="minorHAnsi" w:hAnsiTheme="minorHAnsi"/>
          <w:b/>
          <w:bCs/>
        </w:rPr>
        <w:t>CMDB</w:t>
      </w:r>
      <w:r w:rsidRPr="00242AEA">
        <w:rPr>
          <w:rFonts w:asciiTheme="minorHAnsi" w:hAnsiTheme="minorHAnsi"/>
        </w:rPr>
        <w:t>, monitoring, ITSM) to support inventory reconciliation, dependency validation, and assumptions confirmation.</w:t>
      </w:r>
    </w:p>
    <w:p w14:paraId="2BFB345F" w14:textId="77777777" w:rsidR="00286A5F" w:rsidRPr="00242AEA" w:rsidRDefault="00286A5F" w:rsidP="00286A5F">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Provide on-site access where required for discovery setup and for the final technical and executive readouts.</w:t>
      </w:r>
    </w:p>
    <w:p w14:paraId="36473E75"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8. Exclusions</w:t>
      </w:r>
    </w:p>
    <w:p w14:paraId="66C0D447" w14:textId="77777777" w:rsidR="00C43DB1" w:rsidRPr="00242AEA" w:rsidRDefault="00000000">
      <w:pPr>
        <w:spacing w:after="120"/>
        <w:rPr>
          <w:rFonts w:asciiTheme="minorHAnsi" w:hAnsiTheme="minorHAnsi"/>
        </w:rPr>
      </w:pPr>
      <w:r w:rsidRPr="00242AEA">
        <w:rPr>
          <w:rFonts w:asciiTheme="minorHAnsi" w:hAnsiTheme="minorHAnsi"/>
        </w:rPr>
        <w:t>The following are explicitly out of scope for this SOW and require a separate change order to add:</w:t>
      </w:r>
    </w:p>
    <w:p w14:paraId="66C0D448"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Migration execution, including target environment build-out, data migration, and cutover.</w:t>
      </w:r>
    </w:p>
    <w:p w14:paraId="66C0D449"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Application code refactoring, modernization proofs of concept, and containerization work.</w:t>
      </w:r>
    </w:p>
    <w:p w14:paraId="66C0D44A"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End-user computing, virtual desktop infrastructure, and mobile device management.</w:t>
      </w:r>
    </w:p>
    <w:p w14:paraId="66C0D44B"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Industrial control systems, SCADA, IoT, and OT estate.</w:t>
      </w:r>
    </w:p>
    <w:p w14:paraId="35749D16" w14:textId="77777777" w:rsidR="0053038D" w:rsidRPr="00242AEA" w:rsidRDefault="0053038D" w:rsidP="0053038D">
      <w:pPr>
        <w:pStyle w:val="ListParagraph"/>
        <w:numPr>
          <w:ilvl w:val="0"/>
          <w:numId w:val="2"/>
        </w:numPr>
        <w:spacing w:after="60"/>
        <w:rPr>
          <w:rFonts w:asciiTheme="minorHAnsi" w:hAnsiTheme="minorHAnsi"/>
          <w:kern w:val="2"/>
          <w14:ligatures w14:val="standardContextual"/>
        </w:rPr>
      </w:pPr>
      <w:r w:rsidRPr="00242AEA">
        <w:rPr>
          <w:rFonts w:asciiTheme="minorHAnsi" w:hAnsiTheme="minorHAnsi"/>
        </w:rPr>
        <w:t>Workload-level multi-cloud architecture deep dives (portfolio-level comparative analysis is included).</w:t>
      </w:r>
    </w:p>
    <w:p w14:paraId="66C0D44D"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Detailed FinOps operating model design and tooling rollout.</w:t>
      </w:r>
    </w:p>
    <w:p w14:paraId="66C0D44E" w14:textId="77777777" w:rsidR="00C43DB1" w:rsidRPr="00242AEA" w:rsidRDefault="00000000">
      <w:pPr>
        <w:pStyle w:val="ListParagraph"/>
        <w:numPr>
          <w:ilvl w:val="0"/>
          <w:numId w:val="2"/>
        </w:numPr>
        <w:spacing w:after="60"/>
        <w:rPr>
          <w:rFonts w:asciiTheme="minorHAnsi" w:hAnsiTheme="minorHAnsi"/>
        </w:rPr>
      </w:pPr>
      <w:r w:rsidRPr="00242AEA">
        <w:rPr>
          <w:rFonts w:asciiTheme="minorHAnsi" w:hAnsiTheme="minorHAnsi"/>
        </w:rPr>
        <w:t>Production support, managed services, and post-assessment break-fix activities.</w:t>
      </w:r>
    </w:p>
    <w:p w14:paraId="38F9EF99"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9. Key Risks &amp; Mitigations</w:t>
      </w:r>
    </w:p>
    <w:p w14:paraId="66C0D450" w14:textId="77777777" w:rsidR="00C43DB1" w:rsidRPr="00242AEA" w:rsidRDefault="00000000">
      <w:pPr>
        <w:spacing w:after="120"/>
        <w:rPr>
          <w:rFonts w:asciiTheme="minorHAnsi" w:hAnsiTheme="minorHAnsi"/>
        </w:rPr>
      </w:pPr>
      <w:r w:rsidRPr="00242AEA">
        <w:rPr>
          <w:rFonts w:asciiTheme="minorHAnsi" w:hAnsiTheme="minorHAnsi"/>
        </w:rPr>
        <w:t>The top risks and their mitigations are summarized below; the full risk register is maintained in the Project Plan workbook.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3454"/>
        <w:gridCol w:w="1025"/>
        <w:gridCol w:w="4020"/>
      </w:tblGrid>
      <w:tr w:rsidR="00F04435" w:rsidRPr="00242AEA" w14:paraId="2435168A" w14:textId="77777777" w:rsidTr="00F04435">
        <w:trPr>
          <w:tblCellSpacing w:w="15" w:type="dxa"/>
        </w:trPr>
        <w:tc>
          <w:tcPr>
            <w:tcW w:w="800" w:type="dxa"/>
            <w:tcBorders>
              <w:top w:val="single" w:sz="8" w:space="0" w:color="BFBFBF"/>
              <w:left w:val="single" w:sz="8" w:space="0" w:color="BFBFBF"/>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337A71FC" w14:textId="77777777" w:rsidR="00F04435" w:rsidRPr="00242AEA" w:rsidRDefault="00F04435">
            <w:pPr>
              <w:rPr>
                <w:rFonts w:asciiTheme="minorHAnsi" w:hAnsiTheme="minorHAnsi"/>
                <w:kern w:val="2"/>
                <w14:ligatures w14:val="standardContextual"/>
              </w:rPr>
            </w:pPr>
            <w:r w:rsidRPr="00242AEA">
              <w:rPr>
                <w:rFonts w:asciiTheme="minorHAnsi" w:hAnsiTheme="minorHAnsi"/>
                <w:b/>
                <w:bCs/>
                <w:color w:val="FFFFFF"/>
                <w:sz w:val="20"/>
                <w:szCs w:val="20"/>
              </w:rPr>
              <w:lastRenderedPageBreak/>
              <w:t>ID</w:t>
            </w:r>
          </w:p>
        </w:tc>
        <w:tc>
          <w:tcPr>
            <w:tcW w:w="35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7B73AFED" w14:textId="77777777" w:rsidR="00F04435" w:rsidRPr="00242AEA" w:rsidRDefault="00F04435">
            <w:pPr>
              <w:rPr>
                <w:rFonts w:asciiTheme="minorHAnsi" w:hAnsiTheme="minorHAnsi"/>
              </w:rPr>
            </w:pPr>
            <w:r w:rsidRPr="00242AEA">
              <w:rPr>
                <w:rFonts w:asciiTheme="minorHAnsi" w:hAnsiTheme="minorHAnsi"/>
                <w:b/>
                <w:bCs/>
                <w:color w:val="FFFFFF"/>
                <w:sz w:val="20"/>
                <w:szCs w:val="20"/>
              </w:rPr>
              <w:t>Risk</w:t>
            </w:r>
          </w:p>
        </w:tc>
        <w:tc>
          <w:tcPr>
            <w:tcW w:w="10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20312012" w14:textId="77777777" w:rsidR="00F04435" w:rsidRPr="00242AEA" w:rsidRDefault="00F04435">
            <w:pPr>
              <w:rPr>
                <w:rFonts w:asciiTheme="minorHAnsi" w:hAnsiTheme="minorHAnsi"/>
              </w:rPr>
            </w:pPr>
            <w:r w:rsidRPr="00242AEA">
              <w:rPr>
                <w:rFonts w:asciiTheme="minorHAnsi" w:hAnsiTheme="minorHAnsi"/>
                <w:b/>
                <w:bCs/>
                <w:color w:val="FFFFFF"/>
                <w:sz w:val="20"/>
                <w:szCs w:val="20"/>
              </w:rPr>
              <w:t>Score</w:t>
            </w:r>
          </w:p>
        </w:tc>
        <w:tc>
          <w:tcPr>
            <w:tcW w:w="406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17A80784" w14:textId="77777777" w:rsidR="00F04435" w:rsidRPr="00242AEA" w:rsidRDefault="00F04435">
            <w:pPr>
              <w:rPr>
                <w:rFonts w:asciiTheme="minorHAnsi" w:hAnsiTheme="minorHAnsi"/>
              </w:rPr>
            </w:pPr>
            <w:r w:rsidRPr="00242AEA">
              <w:rPr>
                <w:rFonts w:asciiTheme="minorHAnsi" w:hAnsiTheme="minorHAnsi"/>
                <w:b/>
                <w:bCs/>
                <w:color w:val="FFFFFF"/>
                <w:sz w:val="20"/>
                <w:szCs w:val="20"/>
              </w:rPr>
              <w:t>Mitigation</w:t>
            </w:r>
          </w:p>
        </w:tc>
      </w:tr>
      <w:tr w:rsidR="00377DCC" w:rsidRPr="00242AEA" w14:paraId="145BC6A8"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6946748"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R01</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64B0627" w14:textId="77777777" w:rsidR="00377DCC" w:rsidRPr="00242AEA" w:rsidRDefault="00377DCC">
            <w:pPr>
              <w:rPr>
                <w:rFonts w:asciiTheme="minorHAnsi" w:hAnsiTheme="minorHAnsi"/>
              </w:rPr>
            </w:pPr>
            <w:r w:rsidRPr="00242AEA">
              <w:rPr>
                <w:rFonts w:asciiTheme="minorHAnsi" w:hAnsiTheme="minorHAnsi"/>
                <w:sz w:val="20"/>
                <w:szCs w:val="20"/>
              </w:rPr>
              <w:t>Firewall / network CAB delays block discovery appliance.</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737ED92" w14:textId="77777777" w:rsidR="00377DCC" w:rsidRPr="00242AEA" w:rsidRDefault="00377DCC">
            <w:pPr>
              <w:rPr>
                <w:rFonts w:asciiTheme="minorHAnsi" w:hAnsiTheme="minorHAnsi"/>
              </w:rPr>
            </w:pPr>
            <w:r w:rsidRPr="00242AEA">
              <w:rPr>
                <w:rFonts w:asciiTheme="minorHAnsi" w:hAnsiTheme="minorHAnsi"/>
                <w:sz w:val="20"/>
                <w:szCs w:val="20"/>
              </w:rPr>
              <w:t>16</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7A1C6FD" w14:textId="77777777" w:rsidR="00377DCC" w:rsidRPr="00242AEA" w:rsidRDefault="00377DCC">
            <w:pPr>
              <w:rPr>
                <w:rFonts w:asciiTheme="minorHAnsi" w:hAnsiTheme="minorHAnsi"/>
              </w:rPr>
            </w:pPr>
            <w:r w:rsidRPr="00242AEA">
              <w:rPr>
                <w:rFonts w:asciiTheme="minorHAnsi" w:hAnsiTheme="minorHAnsi"/>
                <w:sz w:val="20"/>
                <w:szCs w:val="20"/>
              </w:rPr>
              <w:t>Submit CAB on Day 1 of Phase 0; pre-stage all ports/IPs; defined escalation to Network Director.</w:t>
            </w:r>
          </w:p>
        </w:tc>
      </w:tr>
      <w:tr w:rsidR="00377DCC" w:rsidRPr="00242AEA" w14:paraId="11FD1D65"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1FE0E07E"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R02</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11103DD" w14:textId="77777777" w:rsidR="00377DCC" w:rsidRPr="00242AEA" w:rsidRDefault="00377DCC">
            <w:pPr>
              <w:rPr>
                <w:rFonts w:asciiTheme="minorHAnsi" w:hAnsiTheme="minorHAnsi"/>
              </w:rPr>
            </w:pPr>
            <w:r w:rsidRPr="00242AEA">
              <w:rPr>
                <w:rFonts w:asciiTheme="minorHAnsi" w:hAnsiTheme="minorHAnsi"/>
                <w:sz w:val="20"/>
                <w:szCs w:val="20"/>
              </w:rPr>
              <w:t>OS-level restrictions block WMI/SSH discovery on subset of hosts.</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4CDF0B4" w14:textId="77777777" w:rsidR="00377DCC" w:rsidRPr="00242AEA" w:rsidRDefault="00377DCC">
            <w:pPr>
              <w:rPr>
                <w:rFonts w:asciiTheme="minorHAnsi" w:hAnsiTheme="minorHAnsi"/>
              </w:rPr>
            </w:pPr>
            <w:r w:rsidRPr="00242AEA">
              <w:rPr>
                <w:rFonts w:asciiTheme="minorHAnsi" w:hAnsiTheme="minorHAnsi"/>
                <w:sz w:val="20"/>
                <w:szCs w:val="20"/>
              </w:rPr>
              <w:t>15</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B9804CD" w14:textId="77777777" w:rsidR="00377DCC" w:rsidRPr="00242AEA" w:rsidRDefault="00377DCC">
            <w:pPr>
              <w:rPr>
                <w:rFonts w:asciiTheme="minorHAnsi" w:hAnsiTheme="minorHAnsi"/>
              </w:rPr>
            </w:pPr>
            <w:r w:rsidRPr="00242AEA">
              <w:rPr>
                <w:rFonts w:asciiTheme="minorHAnsi" w:hAnsiTheme="minorHAnsi"/>
                <w:sz w:val="20"/>
                <w:szCs w:val="20"/>
              </w:rPr>
              <w:t>1-week troubleshooting buffer in Phase 1; 10-host pilot validation before full rollout; agent-based fallback prepared.</w:t>
            </w:r>
          </w:p>
        </w:tc>
      </w:tr>
      <w:tr w:rsidR="00377DCC" w:rsidRPr="00242AEA" w14:paraId="1146E3A0"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65D54FA"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R03</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591D7E2" w14:textId="77777777" w:rsidR="00377DCC" w:rsidRPr="00242AEA" w:rsidRDefault="00377DCC">
            <w:pPr>
              <w:rPr>
                <w:rFonts w:asciiTheme="minorHAnsi" w:hAnsiTheme="minorHAnsi"/>
              </w:rPr>
            </w:pPr>
            <w:r w:rsidRPr="00242AEA">
              <w:rPr>
                <w:rFonts w:asciiTheme="minorHAnsi" w:hAnsiTheme="minorHAnsi"/>
                <w:sz w:val="20"/>
                <w:szCs w:val="20"/>
              </w:rPr>
              <w:t xml:space="preserve">Less than 2 weeks of clean utilization data before Phase 4 </w:t>
            </w:r>
            <w:proofErr w:type="spellStart"/>
            <w:r w:rsidRPr="00242AEA">
              <w:rPr>
                <w:rFonts w:asciiTheme="minorHAnsi" w:hAnsiTheme="minorHAnsi"/>
                <w:sz w:val="20"/>
                <w:szCs w:val="20"/>
              </w:rPr>
              <w:t>kickoff</w:t>
            </w:r>
            <w:proofErr w:type="spellEnd"/>
            <w:r w:rsidRPr="00242AEA">
              <w:rPr>
                <w:rFonts w:asciiTheme="minorHAnsi" w:hAnsiTheme="minorHAnsi"/>
                <w:sz w:val="20"/>
                <w:szCs w:val="20"/>
              </w:rPr>
              <w:t>.</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713C382" w14:textId="77777777" w:rsidR="00377DCC" w:rsidRPr="00242AEA" w:rsidRDefault="00377DCC">
            <w:pPr>
              <w:rPr>
                <w:rFonts w:asciiTheme="minorHAnsi" w:hAnsiTheme="minorHAnsi"/>
              </w:rPr>
            </w:pPr>
            <w:r w:rsidRPr="00242AEA">
              <w:rPr>
                <w:rFonts w:asciiTheme="minorHAnsi" w:hAnsiTheme="minorHAnsi"/>
                <w:sz w:val="20"/>
                <w:szCs w:val="20"/>
              </w:rPr>
              <w:t>15</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C4013DE" w14:textId="77777777" w:rsidR="00377DCC" w:rsidRPr="00242AEA" w:rsidRDefault="00377DCC">
            <w:pPr>
              <w:rPr>
                <w:rFonts w:asciiTheme="minorHAnsi" w:hAnsiTheme="minorHAnsi"/>
              </w:rPr>
            </w:pPr>
            <w:r w:rsidRPr="00242AEA">
              <w:rPr>
                <w:rFonts w:asciiTheme="minorHAnsi" w:hAnsiTheme="minorHAnsi"/>
                <w:sz w:val="20"/>
                <w:szCs w:val="20"/>
              </w:rPr>
              <w:t>Hard gate — Phase 4 cannot start without the 2-week threshold; PM tracks daily; Steering escalation if slipping.</w:t>
            </w:r>
          </w:p>
        </w:tc>
      </w:tr>
      <w:tr w:rsidR="00377DCC" w:rsidRPr="00242AEA" w14:paraId="278BB405"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7971889"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R04</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A952E71" w14:textId="77777777" w:rsidR="00377DCC" w:rsidRPr="00242AEA" w:rsidRDefault="00377DCC">
            <w:pPr>
              <w:rPr>
                <w:rFonts w:asciiTheme="minorHAnsi" w:hAnsiTheme="minorHAnsi"/>
              </w:rPr>
            </w:pPr>
            <w:r w:rsidRPr="00242AEA">
              <w:rPr>
                <w:rFonts w:asciiTheme="minorHAnsi" w:hAnsiTheme="minorHAnsi"/>
                <w:sz w:val="20"/>
                <w:szCs w:val="20"/>
              </w:rPr>
              <w:t>Application owner availability below threshold during Phase 3.</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8236364" w14:textId="77777777" w:rsidR="00377DCC" w:rsidRPr="00242AEA" w:rsidRDefault="00377DCC">
            <w:pPr>
              <w:rPr>
                <w:rFonts w:asciiTheme="minorHAnsi" w:hAnsiTheme="minorHAnsi"/>
              </w:rPr>
            </w:pPr>
            <w:r w:rsidRPr="00242AEA">
              <w:rPr>
                <w:rFonts w:asciiTheme="minorHAnsi" w:hAnsiTheme="minorHAnsi"/>
                <w:sz w:val="20"/>
                <w:szCs w:val="20"/>
              </w:rPr>
              <w:t>16</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0A8D1F6" w14:textId="77777777" w:rsidR="00377DCC" w:rsidRPr="00242AEA" w:rsidRDefault="00377DCC">
            <w:pPr>
              <w:rPr>
                <w:rFonts w:asciiTheme="minorHAnsi" w:hAnsiTheme="minorHAnsi"/>
              </w:rPr>
            </w:pPr>
            <w:r w:rsidRPr="00242AEA">
              <w:rPr>
                <w:rFonts w:asciiTheme="minorHAnsi" w:hAnsiTheme="minorHAnsi"/>
                <w:sz w:val="20"/>
                <w:szCs w:val="20"/>
              </w:rPr>
              <w:t>Customer scheduling commitment in Phase 0; Steering escalation if owner participation drops below 80% per week.</w:t>
            </w:r>
          </w:p>
        </w:tc>
      </w:tr>
      <w:tr w:rsidR="00377DCC" w:rsidRPr="00242AEA" w14:paraId="438BEB33"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585DBA4"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R05</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B47E26A" w14:textId="77777777" w:rsidR="00377DCC" w:rsidRPr="00242AEA" w:rsidRDefault="00377DCC">
            <w:pPr>
              <w:rPr>
                <w:rFonts w:asciiTheme="minorHAnsi" w:hAnsiTheme="minorHAnsi"/>
              </w:rPr>
            </w:pPr>
            <w:r w:rsidRPr="00242AEA">
              <w:rPr>
                <w:rFonts w:asciiTheme="minorHAnsi" w:hAnsiTheme="minorHAnsi"/>
                <w:sz w:val="20"/>
                <w:szCs w:val="20"/>
              </w:rPr>
              <w:t>CMDB stale or incomplete, requiring manual reconciliation.</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FC5F36B" w14:textId="77777777" w:rsidR="00377DCC" w:rsidRPr="00242AEA" w:rsidRDefault="00377DCC">
            <w:pPr>
              <w:rPr>
                <w:rFonts w:asciiTheme="minorHAnsi" w:hAnsiTheme="minorHAnsi"/>
              </w:rPr>
            </w:pPr>
            <w:r w:rsidRPr="00242AEA">
              <w:rPr>
                <w:rFonts w:asciiTheme="minorHAnsi" w:hAnsiTheme="minorHAnsi"/>
                <w:sz w:val="20"/>
                <w:szCs w:val="20"/>
              </w:rPr>
              <w:t>12</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81833E7" w14:textId="77777777" w:rsidR="00377DCC" w:rsidRPr="00242AEA" w:rsidRDefault="00377DCC">
            <w:pPr>
              <w:rPr>
                <w:rFonts w:asciiTheme="minorHAnsi" w:hAnsiTheme="minorHAnsi"/>
              </w:rPr>
            </w:pPr>
            <w:r w:rsidRPr="00242AEA">
              <w:rPr>
                <w:rFonts w:asciiTheme="minorHAnsi" w:hAnsiTheme="minorHAnsi"/>
                <w:sz w:val="20"/>
                <w:szCs w:val="20"/>
              </w:rPr>
              <w:t>Pre-engagement CMDB sample review in Phase 0; discovery output treated as authoritative.</w:t>
            </w:r>
          </w:p>
        </w:tc>
      </w:tr>
      <w:tr w:rsidR="00377DCC" w:rsidRPr="00242AEA" w14:paraId="4EA71006" w14:textId="77777777">
        <w:trPr>
          <w:tblCellSpacing w:w="15" w:type="dxa"/>
        </w:trPr>
        <w:tc>
          <w:tcPr>
            <w:tcW w:w="8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9CAEBE6" w14:textId="77777777" w:rsidR="00377DCC" w:rsidRPr="00242AEA" w:rsidRDefault="00377DCC">
            <w:pPr>
              <w:rPr>
                <w:rFonts w:asciiTheme="minorHAnsi" w:hAnsiTheme="minorHAnsi"/>
              </w:rPr>
            </w:pPr>
            <w:r w:rsidRPr="00242AEA">
              <w:rPr>
                <w:rFonts w:asciiTheme="minorHAnsi" w:hAnsiTheme="minorHAnsi"/>
                <w:b/>
                <w:bCs/>
                <w:color w:val="000000"/>
                <w:sz w:val="20"/>
                <w:szCs w:val="20"/>
              </w:rPr>
              <w:t>R11</w:t>
            </w:r>
          </w:p>
        </w:tc>
        <w:tc>
          <w:tcPr>
            <w:tcW w:w="35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8C8D7BC" w14:textId="77777777" w:rsidR="00377DCC" w:rsidRPr="00242AEA" w:rsidRDefault="00377DCC">
            <w:pPr>
              <w:rPr>
                <w:rFonts w:asciiTheme="minorHAnsi" w:hAnsiTheme="minorHAnsi"/>
              </w:rPr>
            </w:pPr>
            <w:r w:rsidRPr="00242AEA">
              <w:rPr>
                <w:rFonts w:asciiTheme="minorHAnsi" w:hAnsiTheme="minorHAnsi"/>
                <w:sz w:val="20"/>
                <w:szCs w:val="20"/>
              </w:rPr>
              <w:t xml:space="preserve">Right-sizing </w:t>
            </w:r>
            <w:proofErr w:type="spellStart"/>
            <w:r w:rsidRPr="00242AEA">
              <w:rPr>
                <w:rFonts w:asciiTheme="minorHAnsi" w:hAnsiTheme="minorHAnsi"/>
                <w:sz w:val="20"/>
                <w:szCs w:val="20"/>
              </w:rPr>
              <w:t>miscalibrated</w:t>
            </w:r>
            <w:proofErr w:type="spellEnd"/>
            <w:r w:rsidRPr="00242AEA">
              <w:rPr>
                <w:rFonts w:asciiTheme="minorHAnsi" w:hAnsiTheme="minorHAnsi"/>
                <w:sz w:val="20"/>
                <w:szCs w:val="20"/>
              </w:rPr>
              <w:t xml:space="preserve"> due to no peak-event capture (e.g., no month-end).</w:t>
            </w:r>
          </w:p>
        </w:tc>
        <w:tc>
          <w:tcPr>
            <w:tcW w:w="10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C090078" w14:textId="77777777" w:rsidR="00377DCC" w:rsidRPr="00242AEA" w:rsidRDefault="00377DCC">
            <w:pPr>
              <w:rPr>
                <w:rFonts w:asciiTheme="minorHAnsi" w:hAnsiTheme="minorHAnsi"/>
              </w:rPr>
            </w:pPr>
            <w:r w:rsidRPr="00242AEA">
              <w:rPr>
                <w:rFonts w:asciiTheme="minorHAnsi" w:hAnsiTheme="minorHAnsi"/>
                <w:sz w:val="20"/>
                <w:szCs w:val="20"/>
              </w:rPr>
              <w:t>12</w:t>
            </w:r>
          </w:p>
        </w:tc>
        <w:tc>
          <w:tcPr>
            <w:tcW w:w="40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063C5C6" w14:textId="77777777" w:rsidR="00377DCC" w:rsidRPr="00242AEA" w:rsidRDefault="00377DCC">
            <w:pPr>
              <w:rPr>
                <w:rFonts w:asciiTheme="minorHAnsi" w:hAnsiTheme="minorHAnsi"/>
              </w:rPr>
            </w:pPr>
            <w:r w:rsidRPr="00242AEA">
              <w:rPr>
                <w:rFonts w:asciiTheme="minorHAnsi" w:hAnsiTheme="minorHAnsi"/>
                <w:sz w:val="20"/>
                <w:szCs w:val="20"/>
              </w:rPr>
              <w:t>Target 4-week data window; if 2-week only, recommendations are flagged as medium confidence with a sensitivity range.</w:t>
            </w:r>
          </w:p>
        </w:tc>
      </w:tr>
    </w:tbl>
    <w:p w14:paraId="7FFF2038"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10. Change Control</w:t>
      </w:r>
    </w:p>
    <w:p w14:paraId="331C7229"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Any change to scope, deliverables, timeline, team, or commercial terms must be agreed in writing through a Change Order signed by both parties. The Change Order will describe the change and confirm the impact on schedule and cost. Work continues against the current baseline until both parties sign the Change Order.</w:t>
      </w:r>
    </w:p>
    <w:p w14:paraId="3B1C10E0"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11. Acceptance Criteria</w:t>
      </w:r>
    </w:p>
    <w:p w14:paraId="1679920B" w14:textId="77777777" w:rsidR="00286A5F" w:rsidRPr="00242AEA" w:rsidRDefault="00286A5F">
      <w:pPr>
        <w:spacing w:after="120"/>
        <w:rPr>
          <w:rFonts w:asciiTheme="minorHAnsi" w:hAnsiTheme="minorHAnsi"/>
          <w:kern w:val="2"/>
          <w14:ligatures w14:val="standardContextual"/>
        </w:rPr>
      </w:pPr>
      <w:r w:rsidRPr="00242AEA">
        <w:rPr>
          <w:rFonts w:asciiTheme="minorHAnsi" w:hAnsiTheme="minorHAnsi"/>
        </w:rPr>
        <w:t>We review each deliverable against the acceptance criteria in the Project Plan workbook. The customer will review each deliverable within five business days of submission. If the customer does not reject a deliverable in writing within that window, it is treated as accepted. Final acceptance happens at the end of Phase 7 when the customer signs the Final Deliverable Package.</w:t>
      </w:r>
    </w:p>
    <w:p w14:paraId="1CD92F0A"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12. Commercial Terms</w:t>
      </w:r>
    </w:p>
    <w:p w14:paraId="38B0144D" w14:textId="77777777" w:rsidR="00107F82" w:rsidRPr="00242AEA" w:rsidRDefault="00107F82">
      <w:pPr>
        <w:spacing w:after="120"/>
        <w:rPr>
          <w:rFonts w:asciiTheme="minorHAnsi" w:hAnsiTheme="minorHAnsi"/>
          <w:kern w:val="2"/>
          <w14:ligatures w14:val="standardContextual"/>
        </w:rPr>
      </w:pPr>
      <w:r w:rsidRPr="00242AEA">
        <w:rPr>
          <w:rFonts w:asciiTheme="minorHAnsi" w:hAnsiTheme="minorHAnsi"/>
        </w:rPr>
        <w:t xml:space="preserve">This engagement is delivered on a </w:t>
      </w:r>
      <w:r w:rsidRPr="00242AEA">
        <w:rPr>
          <w:rFonts w:asciiTheme="minorHAnsi" w:hAnsiTheme="minorHAnsi"/>
          <w:b/>
          <w:bCs/>
        </w:rPr>
        <w:t>Fixed Fee</w:t>
      </w:r>
      <w:r w:rsidRPr="00242AEA">
        <w:rPr>
          <w:rFonts w:asciiTheme="minorHAnsi" w:hAnsiTheme="minorHAnsi"/>
        </w:rPr>
        <w:t xml:space="preserve"> basis. Invoicing is milestone-based, tied to phase exit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gridCol w:w="3179"/>
        <w:gridCol w:w="3151"/>
      </w:tblGrid>
      <w:tr w:rsidR="00F04435" w:rsidRPr="00242AEA" w14:paraId="185B6FB0" w14:textId="77777777" w:rsidTr="00F04435">
        <w:trPr>
          <w:tblCellSpacing w:w="15" w:type="dxa"/>
        </w:trPr>
        <w:tc>
          <w:tcPr>
            <w:tcW w:w="3000" w:type="dxa"/>
            <w:tcBorders>
              <w:top w:val="single" w:sz="8" w:space="0" w:color="BFBFBF"/>
              <w:left w:val="single" w:sz="8" w:space="0" w:color="BFBFBF"/>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20F1A3C9" w14:textId="77777777" w:rsidR="00F04435" w:rsidRPr="00242AEA" w:rsidRDefault="00F04435">
            <w:pPr>
              <w:rPr>
                <w:rFonts w:asciiTheme="minorHAnsi" w:hAnsiTheme="minorHAnsi"/>
                <w:kern w:val="2"/>
                <w14:ligatures w14:val="standardContextual"/>
              </w:rPr>
            </w:pPr>
            <w:r w:rsidRPr="00242AEA">
              <w:rPr>
                <w:rFonts w:asciiTheme="minorHAnsi" w:hAnsiTheme="minorHAnsi"/>
                <w:b/>
                <w:bCs/>
                <w:color w:val="FFFFFF"/>
                <w:sz w:val="20"/>
                <w:szCs w:val="20"/>
              </w:rPr>
              <w:t>Milestone</w:t>
            </w:r>
          </w:p>
        </w:tc>
        <w:tc>
          <w:tcPr>
            <w:tcW w:w="320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712513C2" w14:textId="77777777" w:rsidR="00F04435" w:rsidRPr="00242AEA" w:rsidRDefault="00F04435">
            <w:pPr>
              <w:rPr>
                <w:rFonts w:asciiTheme="minorHAnsi" w:hAnsiTheme="minorHAnsi"/>
              </w:rPr>
            </w:pPr>
            <w:r w:rsidRPr="00242AEA">
              <w:rPr>
                <w:rFonts w:asciiTheme="minorHAnsi" w:hAnsiTheme="minorHAnsi"/>
                <w:b/>
                <w:bCs/>
                <w:color w:val="FFFFFF"/>
                <w:sz w:val="20"/>
                <w:szCs w:val="20"/>
              </w:rPr>
              <w:t>Trigger</w:t>
            </w:r>
          </w:p>
        </w:tc>
        <w:tc>
          <w:tcPr>
            <w:tcW w:w="316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3673ED18" w14:textId="77777777" w:rsidR="00F04435" w:rsidRPr="00242AEA" w:rsidRDefault="00F04435">
            <w:pPr>
              <w:rPr>
                <w:rFonts w:asciiTheme="minorHAnsi" w:hAnsiTheme="minorHAnsi"/>
              </w:rPr>
            </w:pPr>
            <w:r w:rsidRPr="00242AEA">
              <w:rPr>
                <w:rFonts w:asciiTheme="minorHAnsi" w:hAnsiTheme="minorHAnsi"/>
                <w:b/>
                <w:bCs/>
                <w:color w:val="FFFFFF"/>
                <w:sz w:val="20"/>
                <w:szCs w:val="20"/>
              </w:rPr>
              <w:t>% of Total</w:t>
            </w:r>
          </w:p>
        </w:tc>
      </w:tr>
      <w:tr w:rsidR="00377DCC" w:rsidRPr="00242AEA" w14:paraId="2310F536"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778918BB" w14:textId="77777777" w:rsidR="00377DCC" w:rsidRPr="00242AEA" w:rsidRDefault="00377DCC">
            <w:pPr>
              <w:rPr>
                <w:rFonts w:asciiTheme="minorHAnsi" w:hAnsiTheme="minorHAnsi"/>
              </w:rPr>
            </w:pPr>
            <w:r w:rsidRPr="00242AEA">
              <w:rPr>
                <w:rFonts w:asciiTheme="minorHAnsi" w:hAnsiTheme="minorHAnsi"/>
                <w:b/>
                <w:bCs/>
                <w:color w:val="000000"/>
                <w:sz w:val="20"/>
                <w:szCs w:val="20"/>
              </w:rPr>
              <w:lastRenderedPageBreak/>
              <w:t>M1 — Mobilization Complete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186C7A6" w14:textId="77777777" w:rsidR="00377DCC" w:rsidRPr="00242AEA" w:rsidRDefault="00377DCC">
            <w:pPr>
              <w:rPr>
                <w:rFonts w:asciiTheme="minorHAnsi" w:hAnsiTheme="minorHAnsi"/>
              </w:rPr>
            </w:pPr>
            <w:r w:rsidRPr="00242AEA">
              <w:rPr>
                <w:rFonts w:asciiTheme="minorHAnsi" w:hAnsiTheme="minorHAnsi"/>
                <w:sz w:val="20"/>
                <w:szCs w:val="20"/>
              </w:rPr>
              <w:t>Phase 0 exit gate signed</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AA6261E" w14:textId="77777777" w:rsidR="00377DCC" w:rsidRPr="00242AEA" w:rsidRDefault="00377DCC">
            <w:pPr>
              <w:rPr>
                <w:rFonts w:asciiTheme="minorHAnsi" w:hAnsiTheme="minorHAnsi"/>
              </w:rPr>
            </w:pPr>
            <w:r w:rsidRPr="00242AEA">
              <w:rPr>
                <w:rFonts w:asciiTheme="minorHAnsi" w:hAnsiTheme="minorHAnsi"/>
                <w:sz w:val="20"/>
                <w:szCs w:val="20"/>
              </w:rPr>
              <w:t>10%</w:t>
            </w:r>
          </w:p>
        </w:tc>
      </w:tr>
      <w:tr w:rsidR="00377DCC" w:rsidRPr="00242AEA" w14:paraId="78BEE317"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5C9BE7D1" w14:textId="77777777" w:rsidR="00377DCC" w:rsidRPr="00242AEA" w:rsidRDefault="00377DCC">
            <w:pPr>
              <w:rPr>
                <w:rFonts w:asciiTheme="minorHAnsi" w:hAnsiTheme="minorHAnsi"/>
              </w:rPr>
            </w:pPr>
            <w:r w:rsidRPr="00242AEA">
              <w:rPr>
                <w:rFonts w:asciiTheme="minorHAnsi" w:hAnsiTheme="minorHAnsi"/>
                <w:b/>
                <w:bCs/>
                <w:color w:val="000000"/>
                <w:sz w:val="20"/>
                <w:szCs w:val="20"/>
              </w:rPr>
              <w:t>M2 — Discovery Operational</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419168A" w14:textId="77777777" w:rsidR="00377DCC" w:rsidRPr="00242AEA" w:rsidRDefault="00377DCC">
            <w:pPr>
              <w:rPr>
                <w:rFonts w:asciiTheme="minorHAnsi" w:hAnsiTheme="minorHAnsi"/>
              </w:rPr>
            </w:pPr>
            <w:r w:rsidRPr="00242AEA">
              <w:rPr>
                <w:rFonts w:asciiTheme="minorHAnsi" w:hAnsiTheme="minorHAnsi"/>
                <w:sz w:val="20"/>
                <w:szCs w:val="20"/>
              </w:rPr>
              <w:t>Phase 1 exit gate signed</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1828F44" w14:textId="77777777" w:rsidR="00377DCC" w:rsidRPr="00242AEA" w:rsidRDefault="00377DCC">
            <w:pPr>
              <w:rPr>
                <w:rFonts w:asciiTheme="minorHAnsi" w:hAnsiTheme="minorHAnsi"/>
              </w:rPr>
            </w:pPr>
            <w:r w:rsidRPr="00242AEA">
              <w:rPr>
                <w:rFonts w:asciiTheme="minorHAnsi" w:hAnsiTheme="minorHAnsi"/>
                <w:sz w:val="20"/>
                <w:szCs w:val="20"/>
              </w:rPr>
              <w:t>15%</w:t>
            </w:r>
          </w:p>
        </w:tc>
      </w:tr>
      <w:tr w:rsidR="00377DCC" w:rsidRPr="00242AEA" w14:paraId="55A1AAD0"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4E1ADCD2" w14:textId="77777777" w:rsidR="00377DCC" w:rsidRPr="00242AEA" w:rsidRDefault="00377DCC">
            <w:pPr>
              <w:rPr>
                <w:rFonts w:asciiTheme="minorHAnsi" w:hAnsiTheme="minorHAnsi"/>
              </w:rPr>
            </w:pPr>
            <w:r w:rsidRPr="00242AEA">
              <w:rPr>
                <w:rFonts w:asciiTheme="minorHAnsi" w:hAnsiTheme="minorHAnsi"/>
                <w:b/>
                <w:bCs/>
                <w:color w:val="000000"/>
                <w:sz w:val="20"/>
                <w:szCs w:val="20"/>
              </w:rPr>
              <w:t>M3 — Data Collection Complete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7963AAE" w14:textId="77777777" w:rsidR="00377DCC" w:rsidRPr="00242AEA" w:rsidRDefault="00377DCC">
            <w:pPr>
              <w:rPr>
                <w:rFonts w:asciiTheme="minorHAnsi" w:hAnsiTheme="minorHAnsi"/>
              </w:rPr>
            </w:pPr>
            <w:r w:rsidRPr="00242AEA">
              <w:rPr>
                <w:rFonts w:asciiTheme="minorHAnsi" w:hAnsiTheme="minorHAnsi"/>
                <w:sz w:val="20"/>
                <w:szCs w:val="20"/>
              </w:rPr>
              <w:t>Phase 2 exit gate signed</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9560F9C" w14:textId="77777777" w:rsidR="00377DCC" w:rsidRPr="00242AEA" w:rsidRDefault="00377DCC">
            <w:pPr>
              <w:rPr>
                <w:rFonts w:asciiTheme="minorHAnsi" w:hAnsiTheme="minorHAnsi"/>
              </w:rPr>
            </w:pPr>
            <w:r w:rsidRPr="00242AEA">
              <w:rPr>
                <w:rFonts w:asciiTheme="minorHAnsi" w:hAnsiTheme="minorHAnsi"/>
                <w:sz w:val="20"/>
                <w:szCs w:val="20"/>
              </w:rPr>
              <w:t>20%</w:t>
            </w:r>
          </w:p>
        </w:tc>
      </w:tr>
      <w:tr w:rsidR="00377DCC" w:rsidRPr="00242AEA" w14:paraId="6164625D"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3622D0EB" w14:textId="77777777" w:rsidR="00377DCC" w:rsidRPr="00242AEA" w:rsidRDefault="00377DCC">
            <w:pPr>
              <w:rPr>
                <w:rFonts w:asciiTheme="minorHAnsi" w:hAnsiTheme="minorHAnsi"/>
              </w:rPr>
            </w:pPr>
            <w:r w:rsidRPr="00242AEA">
              <w:rPr>
                <w:rFonts w:asciiTheme="minorHAnsi" w:hAnsiTheme="minorHAnsi"/>
                <w:b/>
                <w:bCs/>
                <w:color w:val="000000"/>
                <w:sz w:val="20"/>
                <w:szCs w:val="20"/>
              </w:rPr>
              <w:t>M4 — Analysis &amp; Evaluation Complete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0B59BAA" w14:textId="77777777" w:rsidR="00377DCC" w:rsidRPr="00242AEA" w:rsidRDefault="00377DCC">
            <w:pPr>
              <w:rPr>
                <w:rFonts w:asciiTheme="minorHAnsi" w:hAnsiTheme="minorHAnsi"/>
              </w:rPr>
            </w:pPr>
            <w:r w:rsidRPr="00242AEA">
              <w:rPr>
                <w:rFonts w:asciiTheme="minorHAnsi" w:hAnsiTheme="minorHAnsi"/>
                <w:sz w:val="20"/>
                <w:szCs w:val="20"/>
              </w:rPr>
              <w:t>Phase 4 exit gate signed</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221AFDD" w14:textId="77777777" w:rsidR="00377DCC" w:rsidRPr="00242AEA" w:rsidRDefault="00377DCC">
            <w:pPr>
              <w:rPr>
                <w:rFonts w:asciiTheme="minorHAnsi" w:hAnsiTheme="minorHAnsi"/>
              </w:rPr>
            </w:pPr>
            <w:r w:rsidRPr="00242AEA">
              <w:rPr>
                <w:rFonts w:asciiTheme="minorHAnsi" w:hAnsiTheme="minorHAnsi"/>
                <w:sz w:val="20"/>
                <w:szCs w:val="20"/>
              </w:rPr>
              <w:t>25%</w:t>
            </w:r>
          </w:p>
        </w:tc>
      </w:tr>
      <w:tr w:rsidR="00377DCC" w:rsidRPr="00242AEA" w14:paraId="340B1786"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631E62A7" w14:textId="77777777" w:rsidR="00377DCC" w:rsidRPr="00242AEA" w:rsidRDefault="00377DCC">
            <w:pPr>
              <w:rPr>
                <w:rFonts w:asciiTheme="minorHAnsi" w:hAnsiTheme="minorHAnsi"/>
              </w:rPr>
            </w:pPr>
            <w:r w:rsidRPr="00242AEA">
              <w:rPr>
                <w:rFonts w:asciiTheme="minorHAnsi" w:hAnsiTheme="minorHAnsi"/>
                <w:b/>
                <w:bCs/>
                <w:color w:val="000000"/>
                <w:sz w:val="20"/>
                <w:szCs w:val="20"/>
              </w:rPr>
              <w:t>M5 — Wave Plan Approved</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FBB7B7C" w14:textId="77777777" w:rsidR="00377DCC" w:rsidRPr="00242AEA" w:rsidRDefault="00377DCC">
            <w:pPr>
              <w:rPr>
                <w:rFonts w:asciiTheme="minorHAnsi" w:hAnsiTheme="minorHAnsi"/>
              </w:rPr>
            </w:pPr>
            <w:r w:rsidRPr="00242AEA">
              <w:rPr>
                <w:rFonts w:asciiTheme="minorHAnsi" w:hAnsiTheme="minorHAnsi"/>
                <w:sz w:val="20"/>
                <w:szCs w:val="20"/>
              </w:rPr>
              <w:t>Phase 5 exit gate signed</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67CFD37" w14:textId="77777777" w:rsidR="00377DCC" w:rsidRPr="00242AEA" w:rsidRDefault="00377DCC">
            <w:pPr>
              <w:rPr>
                <w:rFonts w:asciiTheme="minorHAnsi" w:hAnsiTheme="minorHAnsi"/>
              </w:rPr>
            </w:pPr>
            <w:r w:rsidRPr="00242AEA">
              <w:rPr>
                <w:rFonts w:asciiTheme="minorHAnsi" w:hAnsiTheme="minorHAnsi"/>
                <w:sz w:val="20"/>
                <w:szCs w:val="20"/>
              </w:rPr>
              <w:t>10%</w:t>
            </w:r>
          </w:p>
        </w:tc>
      </w:tr>
      <w:tr w:rsidR="00377DCC" w:rsidRPr="00242AEA" w14:paraId="1CDC015B" w14:textId="77777777">
        <w:trPr>
          <w:tblCellSpacing w:w="15" w:type="dxa"/>
        </w:trPr>
        <w:tc>
          <w:tcPr>
            <w:tcW w:w="3000" w:type="dxa"/>
            <w:tcBorders>
              <w:top w:val="nil"/>
              <w:left w:val="single" w:sz="8" w:space="0" w:color="BFBFBF"/>
              <w:bottom w:val="single" w:sz="8" w:space="0" w:color="BFBFBF"/>
              <w:right w:val="single" w:sz="8" w:space="0" w:color="BFBFBF"/>
            </w:tcBorders>
            <w:shd w:val="clear" w:color="auto" w:fill="D9E2F3"/>
            <w:tcMar>
              <w:top w:w="120" w:type="dxa"/>
              <w:left w:w="160" w:type="dxa"/>
              <w:bottom w:w="120" w:type="dxa"/>
              <w:right w:w="160" w:type="dxa"/>
            </w:tcMar>
            <w:vAlign w:val="center"/>
            <w:hideMark/>
          </w:tcPr>
          <w:p w14:paraId="289242ED" w14:textId="77777777" w:rsidR="00377DCC" w:rsidRPr="00242AEA" w:rsidRDefault="00377DCC">
            <w:pPr>
              <w:rPr>
                <w:rFonts w:asciiTheme="minorHAnsi" w:hAnsiTheme="minorHAnsi"/>
              </w:rPr>
            </w:pPr>
            <w:r w:rsidRPr="00242AEA">
              <w:rPr>
                <w:rFonts w:asciiTheme="minorHAnsi" w:hAnsiTheme="minorHAnsi"/>
                <w:b/>
                <w:bCs/>
                <w:color w:val="000000"/>
                <w:sz w:val="20"/>
                <w:szCs w:val="20"/>
              </w:rPr>
              <w:t>M6 — Final Acceptance</w:t>
            </w:r>
          </w:p>
        </w:tc>
        <w:tc>
          <w:tcPr>
            <w:tcW w:w="32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E1E505F" w14:textId="77777777" w:rsidR="00377DCC" w:rsidRPr="00242AEA" w:rsidRDefault="00377DCC">
            <w:pPr>
              <w:rPr>
                <w:rFonts w:asciiTheme="minorHAnsi" w:hAnsiTheme="minorHAnsi"/>
              </w:rPr>
            </w:pPr>
            <w:r w:rsidRPr="00242AEA">
              <w:rPr>
                <w:rFonts w:asciiTheme="minorHAnsi" w:hAnsiTheme="minorHAnsi"/>
                <w:sz w:val="20"/>
                <w:szCs w:val="20"/>
              </w:rPr>
              <w:t>Phase 7 final sign-off</w:t>
            </w:r>
          </w:p>
        </w:tc>
        <w:tc>
          <w:tcPr>
            <w:tcW w:w="316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BFE10EC" w14:textId="77777777" w:rsidR="00377DCC" w:rsidRPr="00242AEA" w:rsidRDefault="00377DCC">
            <w:pPr>
              <w:rPr>
                <w:rFonts w:asciiTheme="minorHAnsi" w:hAnsiTheme="minorHAnsi"/>
              </w:rPr>
            </w:pPr>
            <w:r w:rsidRPr="00242AEA">
              <w:rPr>
                <w:rFonts w:asciiTheme="minorHAnsi" w:hAnsiTheme="minorHAnsi"/>
                <w:sz w:val="20"/>
                <w:szCs w:val="20"/>
              </w:rPr>
              <w:t>20%</w:t>
            </w:r>
          </w:p>
        </w:tc>
      </w:tr>
    </w:tbl>
    <w:p w14:paraId="11DD0AB1" w14:textId="77777777" w:rsidR="00107F82" w:rsidRPr="00242AEA" w:rsidRDefault="00107F82">
      <w:pPr>
        <w:spacing w:after="120"/>
        <w:rPr>
          <w:rFonts w:asciiTheme="minorHAnsi" w:hAnsiTheme="minorHAnsi"/>
          <w:kern w:val="2"/>
          <w14:ligatures w14:val="standardContextual"/>
        </w:rPr>
      </w:pPr>
      <w:r w:rsidRPr="00242AEA">
        <w:rPr>
          <w:rFonts w:asciiTheme="minorHAnsi" w:hAnsiTheme="minorHAnsi"/>
        </w:rPr>
        <w:t>The fixed fee amount and payment schedule are documented in the Commercial Annex. Travel and out-of-pocket expenses (if applicable) are reimbursed at cost upon receipt, unless otherwise specified in the Commercial Annex.</w:t>
      </w:r>
    </w:p>
    <w:p w14:paraId="607B0CC4" w14:textId="77777777" w:rsidR="001325FD" w:rsidRPr="00242AEA" w:rsidRDefault="001325FD" w:rsidP="001325FD">
      <w:pPr>
        <w:pStyle w:val="Heading1"/>
        <w:rPr>
          <w:rFonts w:asciiTheme="minorHAnsi" w:hAnsiTheme="minorHAnsi"/>
          <w:kern w:val="36"/>
          <w14:ligatures w14:val="standardContextual"/>
        </w:rPr>
      </w:pPr>
      <w:r w:rsidRPr="00242AEA">
        <w:rPr>
          <w:rFonts w:asciiTheme="minorHAnsi" w:hAnsiTheme="minorHAnsi"/>
          <w:color w:val="C00000"/>
        </w:rPr>
        <w:t>13. Signatures</w:t>
      </w:r>
    </w:p>
    <w:p w14:paraId="66C0D498" w14:textId="77777777" w:rsidR="00C43DB1" w:rsidRPr="00242AEA" w:rsidRDefault="00000000">
      <w:pPr>
        <w:spacing w:after="120"/>
        <w:rPr>
          <w:rFonts w:asciiTheme="minorHAnsi" w:hAnsiTheme="minorHAnsi"/>
        </w:rPr>
      </w:pPr>
      <w:r w:rsidRPr="00242AEA">
        <w:rPr>
          <w:rFonts w:asciiTheme="minorHAnsi" w:hAnsiTheme="minorHAnsi"/>
        </w:rPr>
        <w:t>By signing below, both parties acknowledge they have read, understood, and agree to the terms of this Statement of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1"/>
        <w:gridCol w:w="4669"/>
      </w:tblGrid>
      <w:tr w:rsidR="00F04435" w:rsidRPr="00242AEA" w14:paraId="50B7F20F" w14:textId="77777777" w:rsidTr="00F04435">
        <w:trPr>
          <w:tblCellSpacing w:w="15" w:type="dxa"/>
        </w:trPr>
        <w:tc>
          <w:tcPr>
            <w:tcW w:w="4680" w:type="dxa"/>
            <w:tcBorders>
              <w:top w:val="single" w:sz="8" w:space="0" w:color="BFBFBF"/>
              <w:left w:val="single" w:sz="8" w:space="0" w:color="BFBFBF"/>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4A4EFDB4" w14:textId="77777777" w:rsidR="00F04435" w:rsidRPr="00242AEA" w:rsidRDefault="00F04435">
            <w:pPr>
              <w:rPr>
                <w:rFonts w:asciiTheme="minorHAnsi" w:hAnsiTheme="minorHAnsi"/>
                <w:kern w:val="2"/>
                <w14:ligatures w14:val="standardContextual"/>
              </w:rPr>
            </w:pPr>
            <w:r w:rsidRPr="00242AEA">
              <w:rPr>
                <w:rFonts w:asciiTheme="minorHAnsi" w:hAnsiTheme="minorHAnsi"/>
                <w:b/>
                <w:bCs/>
                <w:color w:val="FFFFFF"/>
                <w:sz w:val="20"/>
                <w:szCs w:val="20"/>
              </w:rPr>
              <w:t>[Customer Name]</w:t>
            </w:r>
          </w:p>
        </w:tc>
        <w:tc>
          <w:tcPr>
            <w:tcW w:w="4680" w:type="dxa"/>
            <w:tcBorders>
              <w:top w:val="single" w:sz="8" w:space="0" w:color="BFBFBF"/>
              <w:left w:val="nil"/>
              <w:bottom w:val="single" w:sz="8" w:space="0" w:color="BFBFBF"/>
              <w:right w:val="single" w:sz="8" w:space="0" w:color="BFBFBF"/>
            </w:tcBorders>
            <w:shd w:val="clear" w:color="auto" w:fill="C00000"/>
            <w:tcMar>
              <w:top w:w="120" w:type="dxa"/>
              <w:left w:w="160" w:type="dxa"/>
              <w:bottom w:w="120" w:type="dxa"/>
              <w:right w:w="160" w:type="dxa"/>
            </w:tcMar>
            <w:vAlign w:val="center"/>
            <w:hideMark/>
          </w:tcPr>
          <w:p w14:paraId="5367D089" w14:textId="77777777" w:rsidR="00F04435" w:rsidRPr="00242AEA" w:rsidRDefault="00F04435">
            <w:pPr>
              <w:rPr>
                <w:rFonts w:asciiTheme="minorHAnsi" w:hAnsiTheme="minorHAnsi"/>
              </w:rPr>
            </w:pPr>
            <w:r w:rsidRPr="00242AEA">
              <w:rPr>
                <w:rFonts w:asciiTheme="minorHAnsi" w:hAnsiTheme="minorHAnsi"/>
                <w:b/>
                <w:bCs/>
                <w:color w:val="FFFFFF"/>
                <w:sz w:val="20"/>
                <w:szCs w:val="20"/>
              </w:rPr>
              <w:t>Cloud Solutions Architecture Team</w:t>
            </w:r>
          </w:p>
        </w:tc>
      </w:tr>
      <w:tr w:rsidR="00F42441" w:rsidRPr="00242AEA" w14:paraId="4FD053A3" w14:textId="77777777" w:rsidTr="00F42441">
        <w:trPr>
          <w:tblCellSpacing w:w="15" w:type="dxa"/>
        </w:trPr>
        <w:tc>
          <w:tcPr>
            <w:tcW w:w="4680" w:type="dxa"/>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033EF4F" w14:textId="77777777" w:rsidR="00F42441" w:rsidRPr="00242AEA" w:rsidRDefault="00F42441">
            <w:pPr>
              <w:spacing w:before="400"/>
              <w:rPr>
                <w:rFonts w:asciiTheme="minorHAnsi" w:hAnsiTheme="minorHAnsi"/>
                <w:kern w:val="2"/>
                <w14:ligatures w14:val="standardContextual"/>
              </w:rPr>
            </w:pPr>
            <w:proofErr w:type="gramStart"/>
            <w:r w:rsidRPr="00242AEA">
              <w:rPr>
                <w:rFonts w:asciiTheme="minorHAnsi" w:hAnsiTheme="minorHAnsi"/>
              </w:rPr>
              <w:t>Signature:_</w:t>
            </w:r>
            <w:proofErr w:type="gramEnd"/>
            <w:r w:rsidRPr="00242AEA">
              <w:rPr>
                <w:rFonts w:asciiTheme="minorHAnsi" w:hAnsiTheme="minorHAnsi"/>
              </w:rPr>
              <w:t>_______________________</w:t>
            </w:r>
          </w:p>
          <w:p w14:paraId="4370A601" w14:textId="77777777" w:rsidR="00F42441" w:rsidRPr="00242AEA" w:rsidRDefault="00F42441">
            <w:pPr>
              <w:spacing w:before="200"/>
              <w:rPr>
                <w:rFonts w:asciiTheme="minorHAnsi" w:hAnsiTheme="minorHAnsi"/>
              </w:rPr>
            </w:pPr>
            <w:proofErr w:type="gramStart"/>
            <w:r w:rsidRPr="00242AEA">
              <w:rPr>
                <w:rFonts w:asciiTheme="minorHAnsi" w:hAnsiTheme="minorHAnsi"/>
              </w:rPr>
              <w:t>Date:_</w:t>
            </w:r>
            <w:proofErr w:type="gramEnd"/>
            <w:r w:rsidRPr="00242AEA">
              <w:rPr>
                <w:rFonts w:asciiTheme="minorHAnsi" w:hAnsiTheme="minorHAnsi"/>
              </w:rPr>
              <w:t>____________________________</w:t>
            </w:r>
          </w:p>
          <w:p w14:paraId="539D5B50" w14:textId="77777777" w:rsidR="00F42441" w:rsidRPr="00242AEA" w:rsidRDefault="00F42441">
            <w:pPr>
              <w:spacing w:before="200"/>
              <w:rPr>
                <w:rFonts w:asciiTheme="minorHAnsi" w:hAnsiTheme="minorHAnsi"/>
              </w:rPr>
            </w:pPr>
            <w:proofErr w:type="gramStart"/>
            <w:r w:rsidRPr="00242AEA">
              <w:rPr>
                <w:rFonts w:asciiTheme="minorHAnsi" w:hAnsiTheme="minorHAnsi"/>
              </w:rPr>
              <w:t>Name:_</w:t>
            </w:r>
            <w:proofErr w:type="gramEnd"/>
            <w:r w:rsidRPr="00242AEA">
              <w:rPr>
                <w:rFonts w:asciiTheme="minorHAnsi" w:hAnsiTheme="minorHAnsi"/>
              </w:rPr>
              <w:t>___________________________</w:t>
            </w:r>
          </w:p>
          <w:p w14:paraId="56C4FBEE" w14:textId="77777777" w:rsidR="00F42441" w:rsidRPr="00242AEA" w:rsidRDefault="00F42441">
            <w:pPr>
              <w:spacing w:before="200"/>
              <w:rPr>
                <w:rFonts w:asciiTheme="minorHAnsi" w:hAnsiTheme="minorHAnsi"/>
              </w:rPr>
            </w:pPr>
            <w:proofErr w:type="gramStart"/>
            <w:r w:rsidRPr="00242AEA">
              <w:rPr>
                <w:rFonts w:asciiTheme="minorHAnsi" w:hAnsiTheme="minorHAnsi"/>
              </w:rPr>
              <w:t>Title:_</w:t>
            </w:r>
            <w:proofErr w:type="gramEnd"/>
            <w:r w:rsidRPr="00242AEA">
              <w:rPr>
                <w:rFonts w:asciiTheme="minorHAnsi" w:hAnsiTheme="minorHAnsi"/>
              </w:rPr>
              <w:t>____________________________</w:t>
            </w:r>
          </w:p>
          <w:p w14:paraId="5E01BA91" w14:textId="77777777" w:rsidR="00F42441" w:rsidRPr="00242AEA" w:rsidRDefault="00F42441">
            <w:pPr>
              <w:spacing w:before="200" w:after="200"/>
              <w:rPr>
                <w:rFonts w:asciiTheme="minorHAnsi" w:hAnsiTheme="minorHAnsi"/>
              </w:rPr>
            </w:pPr>
            <w:r w:rsidRPr="00242AEA">
              <w:rPr>
                <w:rFonts w:asciiTheme="minorHAnsi" w:hAnsiTheme="minorHAnsi"/>
              </w:rPr>
              <w:t xml:space="preserve">Company: </w:t>
            </w:r>
            <w:r w:rsidRPr="00242AEA">
              <w:rPr>
                <w:rFonts w:asciiTheme="minorHAnsi" w:hAnsiTheme="minorHAnsi"/>
                <w:b/>
                <w:bCs/>
              </w:rPr>
              <w:t>[Customer Legal Entity]</w:t>
            </w:r>
          </w:p>
        </w:tc>
        <w:tc>
          <w:tcPr>
            <w:tcW w:w="468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35F361B" w14:textId="77777777" w:rsidR="00F42441" w:rsidRPr="00242AEA" w:rsidRDefault="00F42441">
            <w:pPr>
              <w:spacing w:before="400"/>
              <w:rPr>
                <w:rFonts w:asciiTheme="minorHAnsi" w:hAnsiTheme="minorHAnsi"/>
              </w:rPr>
            </w:pPr>
            <w:proofErr w:type="gramStart"/>
            <w:r w:rsidRPr="00242AEA">
              <w:rPr>
                <w:rFonts w:asciiTheme="minorHAnsi" w:hAnsiTheme="minorHAnsi"/>
              </w:rPr>
              <w:t>Signature:_</w:t>
            </w:r>
            <w:proofErr w:type="gramEnd"/>
            <w:r w:rsidRPr="00242AEA">
              <w:rPr>
                <w:rFonts w:asciiTheme="minorHAnsi" w:hAnsiTheme="minorHAnsi"/>
              </w:rPr>
              <w:t>_______________________</w:t>
            </w:r>
          </w:p>
          <w:p w14:paraId="76AB4CB9" w14:textId="77777777" w:rsidR="00F42441" w:rsidRPr="00242AEA" w:rsidRDefault="00F42441">
            <w:pPr>
              <w:spacing w:before="200"/>
              <w:rPr>
                <w:rFonts w:asciiTheme="minorHAnsi" w:hAnsiTheme="minorHAnsi"/>
              </w:rPr>
            </w:pPr>
            <w:proofErr w:type="gramStart"/>
            <w:r w:rsidRPr="00242AEA">
              <w:rPr>
                <w:rFonts w:asciiTheme="minorHAnsi" w:hAnsiTheme="minorHAnsi"/>
              </w:rPr>
              <w:t>Date:_</w:t>
            </w:r>
            <w:proofErr w:type="gramEnd"/>
            <w:r w:rsidRPr="00242AEA">
              <w:rPr>
                <w:rFonts w:asciiTheme="minorHAnsi" w:hAnsiTheme="minorHAnsi"/>
              </w:rPr>
              <w:t>____________________________</w:t>
            </w:r>
          </w:p>
          <w:p w14:paraId="24AB47C6" w14:textId="77777777" w:rsidR="00F42441" w:rsidRPr="00242AEA" w:rsidRDefault="00F42441">
            <w:pPr>
              <w:spacing w:before="200"/>
              <w:rPr>
                <w:rFonts w:asciiTheme="minorHAnsi" w:hAnsiTheme="minorHAnsi"/>
              </w:rPr>
            </w:pPr>
            <w:proofErr w:type="gramStart"/>
            <w:r w:rsidRPr="00242AEA">
              <w:rPr>
                <w:rFonts w:asciiTheme="minorHAnsi" w:hAnsiTheme="minorHAnsi"/>
              </w:rPr>
              <w:t>Name:_</w:t>
            </w:r>
            <w:proofErr w:type="gramEnd"/>
            <w:r w:rsidRPr="00242AEA">
              <w:rPr>
                <w:rFonts w:asciiTheme="minorHAnsi" w:hAnsiTheme="minorHAnsi"/>
              </w:rPr>
              <w:t>___________________________</w:t>
            </w:r>
          </w:p>
          <w:p w14:paraId="59ED466D" w14:textId="77777777" w:rsidR="00F42441" w:rsidRPr="00242AEA" w:rsidRDefault="00F42441">
            <w:pPr>
              <w:spacing w:before="200"/>
              <w:rPr>
                <w:rFonts w:asciiTheme="minorHAnsi" w:hAnsiTheme="minorHAnsi"/>
              </w:rPr>
            </w:pPr>
            <w:proofErr w:type="gramStart"/>
            <w:r w:rsidRPr="00242AEA">
              <w:rPr>
                <w:rFonts w:asciiTheme="minorHAnsi" w:hAnsiTheme="minorHAnsi"/>
              </w:rPr>
              <w:t>Title:_</w:t>
            </w:r>
            <w:proofErr w:type="gramEnd"/>
            <w:r w:rsidRPr="00242AEA">
              <w:rPr>
                <w:rFonts w:asciiTheme="minorHAnsi" w:hAnsiTheme="minorHAnsi"/>
              </w:rPr>
              <w:t>____________________________</w:t>
            </w:r>
          </w:p>
          <w:p w14:paraId="3FED723D" w14:textId="77777777" w:rsidR="0004546C" w:rsidRPr="00242AEA" w:rsidRDefault="0004546C">
            <w:pPr>
              <w:spacing w:before="200" w:after="200"/>
              <w:rPr>
                <w:rFonts w:asciiTheme="minorHAnsi" w:hAnsiTheme="minorHAnsi"/>
                <w:kern w:val="2"/>
                <w14:ligatures w14:val="standardContextual"/>
              </w:rPr>
            </w:pPr>
            <w:r w:rsidRPr="00242AEA">
              <w:rPr>
                <w:rFonts w:asciiTheme="minorHAnsi" w:hAnsiTheme="minorHAnsi"/>
              </w:rPr>
              <w:t xml:space="preserve">Company: </w:t>
            </w:r>
            <w:r w:rsidRPr="00242AEA">
              <w:rPr>
                <w:rFonts w:asciiTheme="minorHAnsi" w:hAnsiTheme="minorHAnsi"/>
                <w:b/>
                <w:bCs/>
              </w:rPr>
              <w:t>[Rackspace Legal Entity]</w:t>
            </w:r>
          </w:p>
          <w:p w14:paraId="7EB3B915" w14:textId="212913E8" w:rsidR="00F42441" w:rsidRPr="00242AEA" w:rsidRDefault="00F42441">
            <w:pPr>
              <w:spacing w:before="200" w:after="200"/>
              <w:rPr>
                <w:rFonts w:asciiTheme="minorHAnsi" w:hAnsiTheme="minorHAnsi"/>
              </w:rPr>
            </w:pPr>
          </w:p>
        </w:tc>
      </w:tr>
    </w:tbl>
    <w:p w14:paraId="66C0D4A6" w14:textId="77777777" w:rsidR="002034F6" w:rsidRPr="00242AEA" w:rsidRDefault="002034F6">
      <w:pPr>
        <w:rPr>
          <w:rFonts w:asciiTheme="minorHAnsi" w:hAnsiTheme="minorHAnsi"/>
        </w:rPr>
      </w:pPr>
    </w:p>
    <w:sectPr w:rsidR="002034F6" w:rsidRPr="00242AE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E10B" w14:textId="77777777" w:rsidR="002034F6" w:rsidRDefault="002034F6">
      <w:r>
        <w:separator/>
      </w:r>
    </w:p>
  </w:endnote>
  <w:endnote w:type="continuationSeparator" w:id="0">
    <w:p w14:paraId="013FCC63" w14:textId="77777777" w:rsidR="002034F6" w:rsidRDefault="0020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D4A7" w14:textId="325B733D" w:rsidR="00C43DB1" w:rsidRDefault="00000000">
    <w:pPr>
      <w:tabs>
        <w:tab w:val="right" w:pos="9360"/>
      </w:tabs>
    </w:pPr>
    <w:r>
      <w:rPr>
        <w:color w:val="595959"/>
        <w:sz w:val="18"/>
        <w:szCs w:val="18"/>
      </w:rPr>
      <w:t>© 2026 — Prepared for [Customer Name]</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175F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175F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D1A29" w14:textId="77777777" w:rsidR="002034F6" w:rsidRDefault="002034F6">
      <w:r>
        <w:separator/>
      </w:r>
    </w:p>
  </w:footnote>
  <w:footnote w:type="continuationSeparator" w:id="0">
    <w:p w14:paraId="25CF4B75" w14:textId="77777777" w:rsidR="002034F6" w:rsidRDefault="00203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D4A6" w14:textId="77777777" w:rsidR="00C43DB1" w:rsidRDefault="00000000">
    <w:pPr>
      <w:pBdr>
        <w:bottom w:val="single" w:sz="6" w:space="4" w:color="2E75B6"/>
      </w:pBdr>
      <w:tabs>
        <w:tab w:val="right" w:pos="9360"/>
      </w:tabs>
    </w:pPr>
    <w:r>
      <w:rPr>
        <w:color w:val="595959"/>
        <w:sz w:val="18"/>
        <w:szCs w:val="18"/>
      </w:rPr>
      <w:t>Cloud Readiness Assessment — Statement of Work</w:t>
    </w:r>
    <w:r>
      <w:rPr>
        <w:color w:val="595959"/>
        <w:sz w:val="18"/>
        <w:szCs w:val="18"/>
      </w:rPr>
      <w:tab/>
      <w:t>Confidential — Draft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F28"/>
    <w:multiLevelType w:val="multilevel"/>
    <w:tmpl w:val="FC82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5D77"/>
    <w:multiLevelType w:val="multilevel"/>
    <w:tmpl w:val="C85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73DD5"/>
    <w:multiLevelType w:val="multilevel"/>
    <w:tmpl w:val="B012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163C"/>
    <w:multiLevelType w:val="multilevel"/>
    <w:tmpl w:val="5AEA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67F4E"/>
    <w:multiLevelType w:val="hybridMultilevel"/>
    <w:tmpl w:val="9072FA94"/>
    <w:lvl w:ilvl="0" w:tplc="BE9C197E">
      <w:start w:val="1"/>
      <w:numFmt w:val="bullet"/>
      <w:lvlText w:val="●"/>
      <w:lvlJc w:val="left"/>
      <w:pPr>
        <w:ind w:left="720" w:hanging="360"/>
      </w:pPr>
    </w:lvl>
    <w:lvl w:ilvl="1" w:tplc="46B6232C">
      <w:start w:val="1"/>
      <w:numFmt w:val="bullet"/>
      <w:lvlText w:val="○"/>
      <w:lvlJc w:val="left"/>
      <w:pPr>
        <w:ind w:left="1440" w:hanging="360"/>
      </w:pPr>
    </w:lvl>
    <w:lvl w:ilvl="2" w:tplc="B25AC37C">
      <w:start w:val="1"/>
      <w:numFmt w:val="bullet"/>
      <w:lvlText w:val="■"/>
      <w:lvlJc w:val="left"/>
      <w:pPr>
        <w:ind w:left="2160" w:hanging="360"/>
      </w:pPr>
    </w:lvl>
    <w:lvl w:ilvl="3" w:tplc="293C6CA2">
      <w:start w:val="1"/>
      <w:numFmt w:val="bullet"/>
      <w:lvlText w:val="●"/>
      <w:lvlJc w:val="left"/>
      <w:pPr>
        <w:ind w:left="2880" w:hanging="360"/>
      </w:pPr>
    </w:lvl>
    <w:lvl w:ilvl="4" w:tplc="12A6AA2A">
      <w:start w:val="1"/>
      <w:numFmt w:val="bullet"/>
      <w:lvlText w:val="○"/>
      <w:lvlJc w:val="left"/>
      <w:pPr>
        <w:ind w:left="3600" w:hanging="360"/>
      </w:pPr>
    </w:lvl>
    <w:lvl w:ilvl="5" w:tplc="BF54A6FA">
      <w:start w:val="1"/>
      <w:numFmt w:val="bullet"/>
      <w:lvlText w:val="■"/>
      <w:lvlJc w:val="left"/>
      <w:pPr>
        <w:ind w:left="4320" w:hanging="360"/>
      </w:pPr>
    </w:lvl>
    <w:lvl w:ilvl="6" w:tplc="44803B38">
      <w:start w:val="1"/>
      <w:numFmt w:val="bullet"/>
      <w:lvlText w:val="●"/>
      <w:lvlJc w:val="left"/>
      <w:pPr>
        <w:ind w:left="5040" w:hanging="360"/>
      </w:pPr>
    </w:lvl>
    <w:lvl w:ilvl="7" w:tplc="1F5421AC">
      <w:start w:val="1"/>
      <w:numFmt w:val="bullet"/>
      <w:lvlText w:val="●"/>
      <w:lvlJc w:val="left"/>
      <w:pPr>
        <w:ind w:left="5760" w:hanging="360"/>
      </w:pPr>
    </w:lvl>
    <w:lvl w:ilvl="8" w:tplc="120A8F54">
      <w:start w:val="1"/>
      <w:numFmt w:val="bullet"/>
      <w:lvlText w:val="●"/>
      <w:lvlJc w:val="left"/>
      <w:pPr>
        <w:ind w:left="6480" w:hanging="360"/>
      </w:pPr>
    </w:lvl>
  </w:abstractNum>
  <w:abstractNum w:abstractNumId="5" w15:restartNumberingAfterBreak="0">
    <w:nsid w:val="0F4570E5"/>
    <w:multiLevelType w:val="multilevel"/>
    <w:tmpl w:val="91C8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62B3B"/>
    <w:multiLevelType w:val="multilevel"/>
    <w:tmpl w:val="65E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E589B"/>
    <w:multiLevelType w:val="multilevel"/>
    <w:tmpl w:val="E908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F5D3C"/>
    <w:multiLevelType w:val="multilevel"/>
    <w:tmpl w:val="41C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33203"/>
    <w:multiLevelType w:val="multilevel"/>
    <w:tmpl w:val="D114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51C61"/>
    <w:multiLevelType w:val="multilevel"/>
    <w:tmpl w:val="C32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B6D41"/>
    <w:multiLevelType w:val="multilevel"/>
    <w:tmpl w:val="517C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E7C32"/>
    <w:multiLevelType w:val="multilevel"/>
    <w:tmpl w:val="BD78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E0EFD"/>
    <w:multiLevelType w:val="multilevel"/>
    <w:tmpl w:val="85A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F1CBB"/>
    <w:multiLevelType w:val="multilevel"/>
    <w:tmpl w:val="DA8C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D64F4"/>
    <w:multiLevelType w:val="multilevel"/>
    <w:tmpl w:val="3C6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9125B"/>
    <w:multiLevelType w:val="multilevel"/>
    <w:tmpl w:val="C61E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42F8C"/>
    <w:multiLevelType w:val="hybridMultilevel"/>
    <w:tmpl w:val="AFD4CE64"/>
    <w:lvl w:ilvl="0" w:tplc="8FDA1B7C">
      <w:start w:val="1"/>
      <w:numFmt w:val="bullet"/>
      <w:lvlText w:val="•"/>
      <w:lvlJc w:val="left"/>
      <w:pPr>
        <w:ind w:left="720" w:hanging="360"/>
      </w:pPr>
    </w:lvl>
    <w:lvl w:ilvl="1" w:tplc="DC02F412">
      <w:start w:val="1"/>
      <w:numFmt w:val="bullet"/>
      <w:lvlText w:val="◦"/>
      <w:lvlJc w:val="left"/>
      <w:pPr>
        <w:ind w:left="1440" w:hanging="360"/>
      </w:pPr>
    </w:lvl>
    <w:lvl w:ilvl="2" w:tplc="FDC8A526">
      <w:numFmt w:val="decimal"/>
      <w:lvlText w:val=""/>
      <w:lvlJc w:val="left"/>
    </w:lvl>
    <w:lvl w:ilvl="3" w:tplc="2ADCA634">
      <w:numFmt w:val="decimal"/>
      <w:lvlText w:val=""/>
      <w:lvlJc w:val="left"/>
    </w:lvl>
    <w:lvl w:ilvl="4" w:tplc="AB4AAFCC">
      <w:numFmt w:val="decimal"/>
      <w:lvlText w:val=""/>
      <w:lvlJc w:val="left"/>
    </w:lvl>
    <w:lvl w:ilvl="5" w:tplc="C8CE270A">
      <w:numFmt w:val="decimal"/>
      <w:lvlText w:val=""/>
      <w:lvlJc w:val="left"/>
    </w:lvl>
    <w:lvl w:ilvl="6" w:tplc="2AAA31B6">
      <w:numFmt w:val="decimal"/>
      <w:lvlText w:val=""/>
      <w:lvlJc w:val="left"/>
    </w:lvl>
    <w:lvl w:ilvl="7" w:tplc="891A2C92">
      <w:numFmt w:val="decimal"/>
      <w:lvlText w:val=""/>
      <w:lvlJc w:val="left"/>
    </w:lvl>
    <w:lvl w:ilvl="8" w:tplc="5B2C0026">
      <w:numFmt w:val="decimal"/>
      <w:lvlText w:val=""/>
      <w:lvlJc w:val="left"/>
    </w:lvl>
  </w:abstractNum>
  <w:abstractNum w:abstractNumId="18" w15:restartNumberingAfterBreak="0">
    <w:nsid w:val="23DF625F"/>
    <w:multiLevelType w:val="multilevel"/>
    <w:tmpl w:val="21C0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E7E45"/>
    <w:multiLevelType w:val="multilevel"/>
    <w:tmpl w:val="F3DC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F1277"/>
    <w:multiLevelType w:val="multilevel"/>
    <w:tmpl w:val="0424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41DB2"/>
    <w:multiLevelType w:val="multilevel"/>
    <w:tmpl w:val="E41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733D0"/>
    <w:multiLevelType w:val="multilevel"/>
    <w:tmpl w:val="DDC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C0452"/>
    <w:multiLevelType w:val="multilevel"/>
    <w:tmpl w:val="B9A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9340D"/>
    <w:multiLevelType w:val="multilevel"/>
    <w:tmpl w:val="2B22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B2ECC"/>
    <w:multiLevelType w:val="multilevel"/>
    <w:tmpl w:val="08C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D4921"/>
    <w:multiLevelType w:val="multilevel"/>
    <w:tmpl w:val="7E1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E69E3"/>
    <w:multiLevelType w:val="multilevel"/>
    <w:tmpl w:val="023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37AE9"/>
    <w:multiLevelType w:val="multilevel"/>
    <w:tmpl w:val="21A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4086A"/>
    <w:multiLevelType w:val="multilevel"/>
    <w:tmpl w:val="047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B1196"/>
    <w:multiLevelType w:val="multilevel"/>
    <w:tmpl w:val="9CC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C52C5"/>
    <w:multiLevelType w:val="multilevel"/>
    <w:tmpl w:val="25F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173CBA"/>
    <w:multiLevelType w:val="multilevel"/>
    <w:tmpl w:val="F5D4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575BBB"/>
    <w:multiLevelType w:val="multilevel"/>
    <w:tmpl w:val="A5C2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B7AC1"/>
    <w:multiLevelType w:val="multilevel"/>
    <w:tmpl w:val="102C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F32B33"/>
    <w:multiLevelType w:val="hybridMultilevel"/>
    <w:tmpl w:val="FD5402F6"/>
    <w:lvl w:ilvl="0" w:tplc="143C84C0">
      <w:start w:val="1"/>
      <w:numFmt w:val="decimal"/>
      <w:lvlText w:val="%1."/>
      <w:lvlJc w:val="left"/>
      <w:pPr>
        <w:ind w:left="720" w:hanging="360"/>
      </w:pPr>
    </w:lvl>
    <w:lvl w:ilvl="1" w:tplc="505E9D66">
      <w:numFmt w:val="decimal"/>
      <w:lvlText w:val=""/>
      <w:lvlJc w:val="left"/>
    </w:lvl>
    <w:lvl w:ilvl="2" w:tplc="E91A1F10">
      <w:numFmt w:val="decimal"/>
      <w:lvlText w:val=""/>
      <w:lvlJc w:val="left"/>
    </w:lvl>
    <w:lvl w:ilvl="3" w:tplc="0DC6A228">
      <w:numFmt w:val="decimal"/>
      <w:lvlText w:val=""/>
      <w:lvlJc w:val="left"/>
    </w:lvl>
    <w:lvl w:ilvl="4" w:tplc="7C88FC54">
      <w:numFmt w:val="decimal"/>
      <w:lvlText w:val=""/>
      <w:lvlJc w:val="left"/>
    </w:lvl>
    <w:lvl w:ilvl="5" w:tplc="BB788DE2">
      <w:numFmt w:val="decimal"/>
      <w:lvlText w:val=""/>
      <w:lvlJc w:val="left"/>
    </w:lvl>
    <w:lvl w:ilvl="6" w:tplc="A482C302">
      <w:numFmt w:val="decimal"/>
      <w:lvlText w:val=""/>
      <w:lvlJc w:val="left"/>
    </w:lvl>
    <w:lvl w:ilvl="7" w:tplc="9FDC4D24">
      <w:numFmt w:val="decimal"/>
      <w:lvlText w:val=""/>
      <w:lvlJc w:val="left"/>
    </w:lvl>
    <w:lvl w:ilvl="8" w:tplc="C1B602EA">
      <w:numFmt w:val="decimal"/>
      <w:lvlText w:val=""/>
      <w:lvlJc w:val="left"/>
    </w:lvl>
  </w:abstractNum>
  <w:abstractNum w:abstractNumId="36" w15:restartNumberingAfterBreak="0">
    <w:nsid w:val="48146D2B"/>
    <w:multiLevelType w:val="multilevel"/>
    <w:tmpl w:val="94C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628F4"/>
    <w:multiLevelType w:val="multilevel"/>
    <w:tmpl w:val="B8B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DD0B7E"/>
    <w:multiLevelType w:val="multilevel"/>
    <w:tmpl w:val="416E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177F8B"/>
    <w:multiLevelType w:val="multilevel"/>
    <w:tmpl w:val="A8A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F132CA"/>
    <w:multiLevelType w:val="multilevel"/>
    <w:tmpl w:val="7FB4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80AC3"/>
    <w:multiLevelType w:val="multilevel"/>
    <w:tmpl w:val="15B4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E114BF"/>
    <w:multiLevelType w:val="multilevel"/>
    <w:tmpl w:val="0EB2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592FE5"/>
    <w:multiLevelType w:val="multilevel"/>
    <w:tmpl w:val="3980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33E95"/>
    <w:multiLevelType w:val="multilevel"/>
    <w:tmpl w:val="1E6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140403"/>
    <w:multiLevelType w:val="multilevel"/>
    <w:tmpl w:val="168A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6F381B"/>
    <w:multiLevelType w:val="multilevel"/>
    <w:tmpl w:val="304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D71306"/>
    <w:multiLevelType w:val="multilevel"/>
    <w:tmpl w:val="DD98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1E717B"/>
    <w:multiLevelType w:val="multilevel"/>
    <w:tmpl w:val="B150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C821AB"/>
    <w:multiLevelType w:val="multilevel"/>
    <w:tmpl w:val="CC3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D90CAF"/>
    <w:multiLevelType w:val="multilevel"/>
    <w:tmpl w:val="6CD6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9D59BF"/>
    <w:multiLevelType w:val="multilevel"/>
    <w:tmpl w:val="87B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D23511"/>
    <w:multiLevelType w:val="multilevel"/>
    <w:tmpl w:val="219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ED37FA"/>
    <w:multiLevelType w:val="multilevel"/>
    <w:tmpl w:val="78FE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914F3D"/>
    <w:multiLevelType w:val="multilevel"/>
    <w:tmpl w:val="280A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5443EA"/>
    <w:multiLevelType w:val="multilevel"/>
    <w:tmpl w:val="3E8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7B0EB8"/>
    <w:multiLevelType w:val="multilevel"/>
    <w:tmpl w:val="D8FA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8217C8"/>
    <w:multiLevelType w:val="multilevel"/>
    <w:tmpl w:val="2778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B0058C"/>
    <w:multiLevelType w:val="multilevel"/>
    <w:tmpl w:val="ED1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D478F6"/>
    <w:multiLevelType w:val="multilevel"/>
    <w:tmpl w:val="A3E0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2E75DD"/>
    <w:multiLevelType w:val="multilevel"/>
    <w:tmpl w:val="C12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333539"/>
    <w:multiLevelType w:val="multilevel"/>
    <w:tmpl w:val="F9C4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4F1963"/>
    <w:multiLevelType w:val="multilevel"/>
    <w:tmpl w:val="2E82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7F2691"/>
    <w:multiLevelType w:val="multilevel"/>
    <w:tmpl w:val="68D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916C3B"/>
    <w:multiLevelType w:val="multilevel"/>
    <w:tmpl w:val="BE6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F0016A"/>
    <w:multiLevelType w:val="multilevel"/>
    <w:tmpl w:val="D2A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474209">
    <w:abstractNumId w:val="4"/>
    <w:lvlOverride w:ilvl="0">
      <w:startOverride w:val="1"/>
    </w:lvlOverride>
  </w:num>
  <w:num w:numId="2" w16cid:durableId="1159804821">
    <w:abstractNumId w:val="17"/>
    <w:lvlOverride w:ilvl="0">
      <w:startOverride w:val="1"/>
    </w:lvlOverride>
  </w:num>
  <w:num w:numId="3" w16cid:durableId="1401711624">
    <w:abstractNumId w:val="51"/>
  </w:num>
  <w:num w:numId="4" w16cid:durableId="154029132">
    <w:abstractNumId w:val="47"/>
  </w:num>
  <w:num w:numId="5" w16cid:durableId="67924866">
    <w:abstractNumId w:val="9"/>
  </w:num>
  <w:num w:numId="6" w16cid:durableId="1127745922">
    <w:abstractNumId w:val="59"/>
  </w:num>
  <w:num w:numId="7" w16cid:durableId="995377952">
    <w:abstractNumId w:val="19"/>
  </w:num>
  <w:num w:numId="8" w16cid:durableId="415054813">
    <w:abstractNumId w:val="25"/>
  </w:num>
  <w:num w:numId="9" w16cid:durableId="1883904959">
    <w:abstractNumId w:val="10"/>
  </w:num>
  <w:num w:numId="10" w16cid:durableId="1468082941">
    <w:abstractNumId w:val="39"/>
  </w:num>
  <w:num w:numId="11" w16cid:durableId="842815418">
    <w:abstractNumId w:val="32"/>
  </w:num>
  <w:num w:numId="12" w16cid:durableId="1046877315">
    <w:abstractNumId w:val="52"/>
  </w:num>
  <w:num w:numId="13" w16cid:durableId="509222016">
    <w:abstractNumId w:val="16"/>
  </w:num>
  <w:num w:numId="14" w16cid:durableId="2093238617">
    <w:abstractNumId w:val="38"/>
  </w:num>
  <w:num w:numId="15" w16cid:durableId="468480944">
    <w:abstractNumId w:val="21"/>
  </w:num>
  <w:num w:numId="16" w16cid:durableId="628904300">
    <w:abstractNumId w:val="45"/>
  </w:num>
  <w:num w:numId="17" w16cid:durableId="1850213187">
    <w:abstractNumId w:val="65"/>
  </w:num>
  <w:num w:numId="18" w16cid:durableId="1020475241">
    <w:abstractNumId w:val="22"/>
  </w:num>
  <w:num w:numId="19" w16cid:durableId="516386892">
    <w:abstractNumId w:val="13"/>
  </w:num>
  <w:num w:numId="20" w16cid:durableId="1132020039">
    <w:abstractNumId w:val="36"/>
  </w:num>
  <w:num w:numId="21" w16cid:durableId="1781071990">
    <w:abstractNumId w:val="33"/>
  </w:num>
  <w:num w:numId="22" w16cid:durableId="1719237182">
    <w:abstractNumId w:val="60"/>
  </w:num>
  <w:num w:numId="23" w16cid:durableId="1411998335">
    <w:abstractNumId w:val="14"/>
  </w:num>
  <w:num w:numId="24" w16cid:durableId="1630477378">
    <w:abstractNumId w:val="27"/>
  </w:num>
  <w:num w:numId="25" w16cid:durableId="550311901">
    <w:abstractNumId w:val="29"/>
  </w:num>
  <w:num w:numId="26" w16cid:durableId="1779179399">
    <w:abstractNumId w:val="18"/>
  </w:num>
  <w:num w:numId="27" w16cid:durableId="1153832575">
    <w:abstractNumId w:val="34"/>
  </w:num>
  <w:num w:numId="28" w16cid:durableId="1748915684">
    <w:abstractNumId w:val="48"/>
  </w:num>
  <w:num w:numId="29" w16cid:durableId="317347816">
    <w:abstractNumId w:val="40"/>
  </w:num>
  <w:num w:numId="30" w16cid:durableId="619801082">
    <w:abstractNumId w:val="53"/>
  </w:num>
  <w:num w:numId="31" w16cid:durableId="1923949022">
    <w:abstractNumId w:val="61"/>
  </w:num>
  <w:num w:numId="32" w16cid:durableId="986594364">
    <w:abstractNumId w:val="64"/>
  </w:num>
  <w:num w:numId="33" w16cid:durableId="1599947029">
    <w:abstractNumId w:val="43"/>
  </w:num>
  <w:num w:numId="34" w16cid:durableId="1327635791">
    <w:abstractNumId w:val="28"/>
  </w:num>
  <w:num w:numId="35" w16cid:durableId="1495680438">
    <w:abstractNumId w:val="42"/>
  </w:num>
  <w:num w:numId="36" w16cid:durableId="1193421867">
    <w:abstractNumId w:val="54"/>
  </w:num>
  <w:num w:numId="37" w16cid:durableId="1223982097">
    <w:abstractNumId w:val="50"/>
  </w:num>
  <w:num w:numId="38" w16cid:durableId="1495756621">
    <w:abstractNumId w:val="31"/>
  </w:num>
  <w:num w:numId="39" w16cid:durableId="394207503">
    <w:abstractNumId w:val="11"/>
  </w:num>
  <w:num w:numId="40" w16cid:durableId="1006326083">
    <w:abstractNumId w:val="37"/>
  </w:num>
  <w:num w:numId="41" w16cid:durableId="1049106240">
    <w:abstractNumId w:val="49"/>
  </w:num>
  <w:num w:numId="42" w16cid:durableId="1404331736">
    <w:abstractNumId w:val="57"/>
  </w:num>
  <w:num w:numId="43" w16cid:durableId="101656075">
    <w:abstractNumId w:val="5"/>
  </w:num>
  <w:num w:numId="44" w16cid:durableId="505439405">
    <w:abstractNumId w:val="2"/>
  </w:num>
  <w:num w:numId="45" w16cid:durableId="1832519304">
    <w:abstractNumId w:val="55"/>
  </w:num>
  <w:num w:numId="46" w16cid:durableId="1593784503">
    <w:abstractNumId w:val="41"/>
  </w:num>
  <w:num w:numId="47" w16cid:durableId="2092387547">
    <w:abstractNumId w:val="23"/>
  </w:num>
  <w:num w:numId="48" w16cid:durableId="1355618199">
    <w:abstractNumId w:val="26"/>
  </w:num>
  <w:num w:numId="49" w16cid:durableId="1569800042">
    <w:abstractNumId w:val="7"/>
  </w:num>
  <w:num w:numId="50" w16cid:durableId="1738284963">
    <w:abstractNumId w:val="8"/>
  </w:num>
  <w:num w:numId="51" w16cid:durableId="1849709356">
    <w:abstractNumId w:val="63"/>
  </w:num>
  <w:num w:numId="52" w16cid:durableId="948437293">
    <w:abstractNumId w:val="0"/>
  </w:num>
  <w:num w:numId="53" w16cid:durableId="1284077734">
    <w:abstractNumId w:val="1"/>
  </w:num>
  <w:num w:numId="54" w16cid:durableId="904880192">
    <w:abstractNumId w:val="15"/>
  </w:num>
  <w:num w:numId="55" w16cid:durableId="1597134475">
    <w:abstractNumId w:val="62"/>
  </w:num>
  <w:num w:numId="56" w16cid:durableId="240602517">
    <w:abstractNumId w:val="56"/>
  </w:num>
  <w:num w:numId="57" w16cid:durableId="1066144414">
    <w:abstractNumId w:val="44"/>
  </w:num>
  <w:num w:numId="58" w16cid:durableId="959458127">
    <w:abstractNumId w:val="24"/>
  </w:num>
  <w:num w:numId="59" w16cid:durableId="1653947858">
    <w:abstractNumId w:val="3"/>
  </w:num>
  <w:num w:numId="60" w16cid:durableId="337467684">
    <w:abstractNumId w:val="46"/>
  </w:num>
  <w:num w:numId="61" w16cid:durableId="1047145973">
    <w:abstractNumId w:val="6"/>
  </w:num>
  <w:num w:numId="62" w16cid:durableId="1707483305">
    <w:abstractNumId w:val="30"/>
  </w:num>
  <w:num w:numId="63" w16cid:durableId="2012294279">
    <w:abstractNumId w:val="12"/>
  </w:num>
  <w:num w:numId="64" w16cid:durableId="972637461">
    <w:abstractNumId w:val="20"/>
  </w:num>
  <w:num w:numId="65" w16cid:durableId="20017238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B1"/>
    <w:rsid w:val="0004546C"/>
    <w:rsid w:val="000A512E"/>
    <w:rsid w:val="000B3F97"/>
    <w:rsid w:val="000E0D71"/>
    <w:rsid w:val="00107F82"/>
    <w:rsid w:val="001325FD"/>
    <w:rsid w:val="002034F6"/>
    <w:rsid w:val="00242AEA"/>
    <w:rsid w:val="00286A5F"/>
    <w:rsid w:val="002D5568"/>
    <w:rsid w:val="00330D42"/>
    <w:rsid w:val="00333909"/>
    <w:rsid w:val="00377DCC"/>
    <w:rsid w:val="003A40C5"/>
    <w:rsid w:val="0047195B"/>
    <w:rsid w:val="004B7271"/>
    <w:rsid w:val="0053038D"/>
    <w:rsid w:val="00564903"/>
    <w:rsid w:val="005A2848"/>
    <w:rsid w:val="005B26FF"/>
    <w:rsid w:val="006175F5"/>
    <w:rsid w:val="00655136"/>
    <w:rsid w:val="0066115C"/>
    <w:rsid w:val="006613FD"/>
    <w:rsid w:val="00665F10"/>
    <w:rsid w:val="00676AAF"/>
    <w:rsid w:val="00720FD1"/>
    <w:rsid w:val="00784CDB"/>
    <w:rsid w:val="0079338A"/>
    <w:rsid w:val="00813A98"/>
    <w:rsid w:val="00825406"/>
    <w:rsid w:val="0085353C"/>
    <w:rsid w:val="008B569E"/>
    <w:rsid w:val="008D3FEF"/>
    <w:rsid w:val="008E10D9"/>
    <w:rsid w:val="009468DE"/>
    <w:rsid w:val="009547AC"/>
    <w:rsid w:val="00A62A20"/>
    <w:rsid w:val="00A9072D"/>
    <w:rsid w:val="00AA1487"/>
    <w:rsid w:val="00AC45A5"/>
    <w:rsid w:val="00AF214E"/>
    <w:rsid w:val="00B6513D"/>
    <w:rsid w:val="00B85C2B"/>
    <w:rsid w:val="00BD09AD"/>
    <w:rsid w:val="00BF1B8B"/>
    <w:rsid w:val="00C33F07"/>
    <w:rsid w:val="00C43DB1"/>
    <w:rsid w:val="00C528B6"/>
    <w:rsid w:val="00D01577"/>
    <w:rsid w:val="00D9499B"/>
    <w:rsid w:val="00E1042C"/>
    <w:rsid w:val="00E50D59"/>
    <w:rsid w:val="00E577DA"/>
    <w:rsid w:val="00ED27EA"/>
    <w:rsid w:val="00F04435"/>
    <w:rsid w:val="00F32824"/>
    <w:rsid w:val="00F42441"/>
    <w:rsid w:val="00F50EF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D34B"/>
  <w15:docId w15:val="{8E6B32CC-E5A3-43F2-BCF1-20FA54B5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ktiv Grotesk" w:eastAsia="Aktiv Grotesk" w:hAnsi="Aktiv Grotesk" w:cs="Aktiv Grotesk"/>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3864"/>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9468DE"/>
    <w:pPr>
      <w:tabs>
        <w:tab w:val="center" w:pos="4513"/>
        <w:tab w:val="right" w:pos="9026"/>
      </w:tabs>
    </w:pPr>
    <w:rPr>
      <w:rFonts w:cs="Mangal"/>
      <w:szCs w:val="20"/>
    </w:rPr>
  </w:style>
  <w:style w:type="character" w:customStyle="1" w:styleId="HeaderChar">
    <w:name w:val="Header Char"/>
    <w:basedOn w:val="DefaultParagraphFont"/>
    <w:link w:val="Header"/>
    <w:uiPriority w:val="99"/>
    <w:semiHidden/>
    <w:rsid w:val="009468DE"/>
    <w:rPr>
      <w:rFonts w:cs="Mangal"/>
      <w:szCs w:val="20"/>
    </w:rPr>
  </w:style>
  <w:style w:type="paragraph" w:styleId="Footer">
    <w:name w:val="footer"/>
    <w:basedOn w:val="Normal"/>
    <w:link w:val="FooterChar"/>
    <w:uiPriority w:val="99"/>
    <w:semiHidden/>
    <w:unhideWhenUsed/>
    <w:rsid w:val="009468DE"/>
    <w:pPr>
      <w:tabs>
        <w:tab w:val="center" w:pos="4513"/>
        <w:tab w:val="right" w:pos="9026"/>
      </w:tabs>
    </w:pPr>
    <w:rPr>
      <w:rFonts w:cs="Mangal"/>
      <w:szCs w:val="20"/>
    </w:rPr>
  </w:style>
  <w:style w:type="character" w:customStyle="1" w:styleId="FooterChar">
    <w:name w:val="Footer Char"/>
    <w:basedOn w:val="DefaultParagraphFont"/>
    <w:link w:val="Footer"/>
    <w:uiPriority w:val="99"/>
    <w:semiHidden/>
    <w:rsid w:val="009468DE"/>
    <w:rPr>
      <w:rFonts w:cs="Mangal"/>
      <w:szCs w:val="20"/>
    </w:rPr>
  </w:style>
  <w:style w:type="character" w:customStyle="1" w:styleId="Heading2Char">
    <w:name w:val="Heading 2 Char"/>
    <w:basedOn w:val="DefaultParagraphFont"/>
    <w:link w:val="Heading2"/>
    <w:uiPriority w:val="9"/>
    <w:rsid w:val="00C33F07"/>
    <w:rPr>
      <w:b/>
      <w:bCs/>
      <w:color w:val="2E75B6"/>
      <w:sz w:val="26"/>
      <w:szCs w:val="26"/>
    </w:rPr>
  </w:style>
  <w:style w:type="character" w:customStyle="1" w:styleId="Heading1Char">
    <w:name w:val="Heading 1 Char"/>
    <w:basedOn w:val="DefaultParagraphFont"/>
    <w:link w:val="Heading1"/>
    <w:uiPriority w:val="9"/>
    <w:rsid w:val="00825406"/>
    <w:rPr>
      <w:b/>
      <w:bCs/>
      <w:color w:val="1F3864"/>
      <w:sz w:val="30"/>
      <w:szCs w:val="30"/>
    </w:rPr>
  </w:style>
  <w:style w:type="table" w:styleId="GridTable4-Accent1">
    <w:name w:val="Grid Table 4 Accent 1"/>
    <w:basedOn w:val="TableNormal"/>
    <w:uiPriority w:val="49"/>
    <w:rsid w:val="00825406"/>
    <w:rPr>
      <w:rFonts w:asciiTheme="minorHAnsi" w:hAnsiTheme="minorHAnsi"/>
      <w:kern w:val="2"/>
      <w:sz w:val="24"/>
      <w:szCs w:val="24"/>
      <w14:ligatures w14:val="standardContextual"/>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ktiv Grotesk"/>
        <a:font script="Bugi" typeface="Leelawadee UI"/>
        <a:font script="Bopo" typeface="Microsoft JhengHei"/>
        <a:font script="Java" typeface="Javanese Text"/>
        <a:font script="Lisu" typeface="Aktiv Grotesk"/>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ktiv Grotesk"/>
        <a:font script="Hebr" typeface="Aktiv Grotesk"/>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ktiv Grotesk"/>
        <a:font script="Uigh" typeface="Microsoft Uighur"/>
        <a:font script="Geor" typeface="Sylfaen"/>
        <a:font script="Armn" typeface="Aktiv Grotesk"/>
        <a:font script="Bugi" typeface="Leelawadee UI"/>
        <a:font script="Bopo" typeface="Microsoft JhengHei"/>
        <a:font script="Java" typeface="Javanese Text"/>
        <a:font script="Lisu" typeface="Aktiv Grotesk"/>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Template>
  <TotalTime>191</TotalTime>
  <Pages>12</Pages>
  <Words>3589</Words>
  <Characters>21755</Characters>
  <Application>Microsoft Office Word</Application>
  <DocSecurity>0</DocSecurity>
  <Lines>659</Lines>
  <Paragraphs>460</Paragraphs>
  <ScaleCrop>false</ScaleCrop>
  <Company/>
  <LinksUpToDate>false</LinksUpToDate>
  <CharactersWithSpaces>24884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Readiness Assessment — Statement of Work</dc:title>
  <dc:creator>Cloud Solutions Architecture Team</dc:creator>
  <cp:lastModifiedBy>Upendra Kumar</cp:lastModifiedBy>
  <cp:revision>57</cp:revision>
  <dcterms:created xsi:type="dcterms:W3CDTF">2026-04-25T14:45:00Z</dcterms:created>
  <dcterms:modified xsi:type="dcterms:W3CDTF">2026-04-25T18:42:00Z</dcterms:modified>
</cp:coreProperties>
</file>