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600" w:after="0"/>
        <w:jc w:val="center"/>
        <w:rPr/>
      </w:pPr>
      <w:r>
        <w:rPr>
          <w:rFonts w:eastAsia="Calibri" w:cs="Calibri" w:ascii="Calibri" w:hAnsi="Calibri"/>
          <w:b/>
          <w:bCs/>
          <w:color w:val="595959"/>
          <w:sz w:val="20"/>
          <w:szCs w:val="20"/>
        </w:rPr>
        <w:t>SGSI · ISO/IEC 27001 · ISO/IEC 27002 · ISO/IEC 27005</w:t>
      </w:r>
    </w:p>
    <w:p>
      <w:pPr>
        <w:pStyle w:val="Normal"/>
        <w:spacing w:before="200" w:after="0"/>
        <w:jc w:val="center"/>
        <w:rPr/>
      </w:pPr>
      <w:r>
        <w:rPr>
          <w:rFonts w:eastAsia="Calibri" w:cs="Calibri" w:ascii="Calibri" w:hAnsi="Calibri"/>
          <w:color w:val="595959"/>
          <w:sz w:val="20"/>
          <w:szCs w:val="20"/>
        </w:rPr>
        <w:t xml:space="preserve">PROYECTO </w:t>
      </w:r>
      <w:r>
        <w:rPr>
          <w:rFonts w:eastAsia="Calibri" w:cs="Calibri" w:ascii="Calibri" w:hAnsi="Calibri"/>
          <w:color w:val="595959"/>
          <w:sz w:val="20"/>
          <w:szCs w:val="20"/>
        </w:rPr>
        <w:t>DE FIN DE CARRERA</w:t>
      </w:r>
      <w:r>
        <w:rPr>
          <w:rFonts w:eastAsia="Calibri" w:cs="Calibri" w:ascii="Calibri" w:hAnsi="Calibri"/>
          <w:color w:val="595959"/>
          <w:sz w:val="20"/>
          <w:szCs w:val="20"/>
        </w:rPr>
        <w:t xml:space="preserve"> — ARQUITECTURA DE SEGURIDAD HÍBRIDA</w:t>
      </w:r>
    </w:p>
    <w:p>
      <w:pPr>
        <w:pStyle w:val="Normal"/>
        <w:spacing w:before="200" w:after="0"/>
        <w:jc w:val="center"/>
        <w:rPr/>
      </w:pPr>
      <w:r>
        <w:rPr>
          <w:rFonts w:eastAsia="Calibri" w:cs="Calibri" w:ascii="Calibri" w:hAnsi="Calibri"/>
          <w:i/>
          <w:iCs/>
          <w:color w:val="595959"/>
          <w:sz w:val="20"/>
          <w:szCs w:val="20"/>
        </w:rPr>
        <w:t>On-Premise (VMware ESXi) + AWS</w:t>
      </w:r>
    </w:p>
    <w:p>
      <w:pPr>
        <w:pStyle w:val="Normal"/>
        <w:spacing w:before="700" w:after="200"/>
        <w:jc w:val="center"/>
        <w:rPr/>
      </w:pPr>
      <w:r>
        <w:rPr>
          <w:rFonts w:eastAsia="Calibri" w:cs="Calibri" w:ascii="Calibri" w:hAnsi="Calibri"/>
          <w:b/>
          <w:bCs/>
          <w:color w:val="1F3864"/>
          <w:sz w:val="52"/>
          <w:szCs w:val="52"/>
        </w:rPr>
        <w:t>Análisis y Diseño de Centro de Datos Híbrido</w:t>
      </w:r>
    </w:p>
    <w:p>
      <w:pPr>
        <w:pStyle w:val="Normal"/>
        <w:spacing w:before="0" w:after="500"/>
        <w:jc w:val="center"/>
        <w:rPr/>
      </w:pPr>
      <w:r>
        <w:rPr>
          <w:rFonts w:eastAsia="Calibri" w:cs="Calibri" w:ascii="Calibri" w:hAnsi="Calibri"/>
          <w:color w:val="1F3864"/>
          <w:sz w:val="26"/>
          <w:szCs w:val="26"/>
        </w:rPr>
        <w:t>Plantilla y guía de estructura del informe</w:t>
      </w:r>
    </w:p>
    <w:p>
      <w:pPr>
        <w:pStyle w:val="Normal"/>
        <w:shd w:val="clear" w:color="auto" w:fill="C55A11"/>
        <w:spacing w:before="0" w:after="900"/>
        <w:jc w:val="center"/>
        <w:rPr/>
      </w:pPr>
      <w:r>
        <w:rPr>
          <w:rFonts w:eastAsia="Calibri" w:cs="Calibri" w:ascii="Calibri" w:hAnsi="Calibri"/>
          <w:b/>
          <w:bCs/>
          <w:color w:val="FFFFFF"/>
          <w:sz w:val="22"/>
          <w:szCs w:val="22"/>
        </w:rPr>
        <w:t>SEMESTRE 1 · ENTREGABLE 2 DE 2</w:t>
      </w:r>
    </w:p>
    <w:p>
      <w:pPr>
        <w:pStyle w:val="Normal"/>
        <w:spacing w:before="2000" w:after="100"/>
        <w:rPr/>
      </w:pPr>
      <w:r>
        <w:rPr>
          <w:rFonts w:eastAsia="Calibri" w:cs="Calibri" w:ascii="Calibri" w:hAnsi="Calibri"/>
          <w:sz w:val="21"/>
          <w:szCs w:val="21"/>
        </w:rPr>
        <w:t>Preparado por: ______________________________</w:t>
      </w:r>
    </w:p>
    <w:p>
      <w:pPr>
        <w:pStyle w:val="Normal"/>
        <w:spacing w:before="100" w:after="100"/>
        <w:rPr/>
      </w:pPr>
      <w:r>
        <w:rPr>
          <w:rFonts w:eastAsia="Calibri" w:cs="Calibri" w:ascii="Calibri" w:hAnsi="Calibri"/>
          <w:sz w:val="21"/>
          <w:szCs w:val="21"/>
        </w:rPr>
        <w:t>Docente / curso: ______________________________</w:t>
      </w:r>
    </w:p>
    <w:p>
      <w:pPr>
        <w:pStyle w:val="Normal"/>
        <w:spacing w:before="100" w:after="100"/>
        <w:rPr/>
      </w:pPr>
      <w:r>
        <w:rPr>
          <w:rFonts w:eastAsia="Calibri" w:cs="Calibri" w:ascii="Calibri" w:hAnsi="Calibri"/>
          <w:color w:val="595959"/>
          <w:sz w:val="19"/>
          <w:szCs w:val="19"/>
        </w:rPr>
        <w:t>Ingeniería de Sistemas — Proyecto Integrador · Seguridad de la Información / Habilidades Directivas</w:t>
      </w:r>
    </w:p>
    <w:p>
      <w:pPr>
        <w:pStyle w:val="Normal"/>
        <w:spacing w:before="100" w:after="0"/>
        <w:rPr/>
      </w:pPr>
      <w:r>
        <w:rPr>
          <w:rFonts w:eastAsia="Calibri" w:cs="Calibri" w:ascii="Calibri" w:hAnsi="Calibri"/>
          <w:color w:val="595959"/>
          <w:sz w:val="21"/>
          <w:szCs w:val="21"/>
        </w:rPr>
        <w:t>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rFonts w:eastAsia="Calibri" w:cs="Calibri" w:ascii="Calibri" w:hAnsi="Calibri"/>
          <w:b/>
          <w:bCs/>
          <w:color w:val="1F3864"/>
          <w:sz w:val="30"/>
          <w:szCs w:val="30"/>
        </w:rPr>
        <w:t>Tabla de contenidos</w:t>
      </w:r>
    </w:p>
    <w:p>
      <w:pPr>
        <w:pStyle w:val="Normal"/>
        <w:pBdr>
          <w:left w:val="single" w:sz="18" w:space="8" w:color="C55A11"/>
        </w:pBdr>
        <w:spacing w:before="0" w:after="200"/>
        <w:ind w:start="200"/>
        <w:rPr/>
      </w:pPr>
      <w:r>
        <w:rPr>
          <w:rFonts w:eastAsia="Calibri" w:cs="Calibri" w:ascii="Calibri" w:hAnsi="Calibri"/>
          <w:i/>
          <w:iCs/>
          <w:color w:val="595959"/>
          <w:sz w:val="20"/>
          <w:szCs w:val="20"/>
        </w:rPr>
        <w:t>Esta tabla se actualiza automáticamente al abrir el documento en Word. Si no se muestra, clic derecho sobre esta área → "Actualizar campos" (o seleccionar todo el documento y presionar F9).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rPr/>
          </w:pPr>
          <w:r>
            <w:fldChar w:fldCharType="begin"/>
          </w:r>
          <w:r>
            <w:rPr/>
            <w:instrText xml:space="preserve"> TOC \o "1-2" \h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sdtContent>
    </w:sdt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4" w:color="1F3864"/>
        </w:pBdr>
        <w:spacing w:before="0" w:after="160"/>
        <w:rPr/>
      </w:pPr>
      <w:r>
        <w:rPr>
          <w:rFonts w:eastAsia="Calibri" w:cs="Calibri" w:ascii="Calibri" w:hAnsi="Calibri"/>
          <w:b/>
          <w:bCs/>
          <w:color w:val="1F3864"/>
          <w:sz w:val="30"/>
          <w:szCs w:val="30"/>
        </w:rPr>
        <w:t>1. Resumen ejecutivo del diseño del centro de datos híbrido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i w:val="false"/>
          <w:iCs w:val="false"/>
          <w:sz w:val="21"/>
          <w:szCs w:val="21"/>
        </w:rPr>
        <w:t>Debe permitir entender el diseño del centro de datos sin necesidad de leer el resto del documento. Debe contener, como mínimo: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Nombre del proyecto y organización sobre la que se desarrolla.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Problema de capacidad, disponibilidad o costos que se busca resolver.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Tecnología on-premise seleccionada (VMware ESXi) y su justificación.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Tecnología cloud seleccionada (AWS) y su justificación.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Descripción breve del dimensionamiento propuesto (cómputo, almacenamiento, red).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Resultados esperados del diseño y siguientes pasos hacia la implementación (Semestre 2).</w:t>
      </w:r>
    </w:p>
    <w:tbl>
      <w:tblPr>
        <w:tblW w:w="5000" w:type="pct"/>
        <w:jc w:val="start"/>
        <w:tblInd w:w="0" w:type="dxa"/>
        <w:tblLayout w:type="fixed"/>
        <w:tblCellMar>
          <w:top w:w="200" w:type="dxa"/>
          <w:start w:w="200" w:type="dxa"/>
          <w:bottom w:w="200" w:type="dxa"/>
          <w:end w:w="20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7F7F7F"/>
                <w:sz w:val="20"/>
                <w:szCs w:val="20"/>
              </w:rPr>
              <w:t>[ Espacio para diagrama — Topología ejecutiva del centro de datos híbrido ]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i/>
                <w:iCs/>
                <w:color w:val="7F7F7F"/>
                <w:sz w:val="18"/>
                <w:szCs w:val="18"/>
              </w:rPr>
              <w:t>Vista de alto nivel: rack on-premise (ESXi) y entorno AWS, mostrando el punto de integración.</w:t>
            </w:r>
          </w:p>
        </w:tc>
      </w:tr>
    </w:tbl>
    <w:p>
      <w:pPr>
        <w:pStyle w:val="Normal"/>
        <w:spacing w:before="80" w:after="240"/>
        <w:jc w:val="center"/>
        <w:rPr/>
      </w:pPr>
      <w:r>
        <w:rPr>
          <w:rFonts w:eastAsia="Calibri" w:cs="Calibri" w:ascii="Calibri" w:hAnsi="Calibri"/>
          <w:i/>
          <w:iCs/>
          <w:color w:val="595959"/>
          <w:sz w:val="18"/>
          <w:szCs w:val="18"/>
        </w:rPr>
        <w:t>Figura 1.1 — Topología ejecutiva simplificada del centro de datos</w:t>
      </w:r>
    </w:p>
    <w:p>
      <w:pPr>
        <w:pStyle w:val="Heading1"/>
        <w:pBdr>
          <w:bottom w:val="single" w:sz="6" w:space="4" w:color="1F3864"/>
        </w:pBdr>
        <w:spacing w:before="360" w:after="160"/>
        <w:rPr/>
      </w:pPr>
      <w:r>
        <w:rPr>
          <w:rFonts w:eastAsia="Calibri" w:cs="Calibri" w:ascii="Calibri" w:hAnsi="Calibri"/>
          <w:b/>
          <w:bCs/>
          <w:color w:val="1F3864"/>
          <w:sz w:val="30"/>
          <w:szCs w:val="30"/>
        </w:rPr>
        <w:t>2. Descripción de la organización y necesidades de infraestructura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i w:val="false"/>
          <w:iCs w:val="false"/>
          <w:sz w:val="21"/>
          <w:szCs w:val="21"/>
        </w:rPr>
        <w:t>Debe explicarse qué se va a alojar y por qué. Debe indicarse: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Nombre de la organización, rubro y actividad principal.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Servicios TI que requieren cómputo, almacenamiento o base de datos.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Uso previsto de cloud y de infraestructura local, y el criterio de reparto entre ambos.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Necesidades tecnológicas actuales y crecimiento estimado a mediano plazo.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Calibri" w:cs="Calibri" w:ascii="Calibri" w:hAnsi="Calibri"/>
          <w:sz w:val="21"/>
          <w:szCs w:val="21"/>
        </w:rPr>
        <w:t>Importancia de la información que alojará cada entorno.</w:t>
      </w:r>
    </w:p>
    <w:p>
      <w:pPr>
        <w:pStyle w:val="Heading1"/>
        <w:pBdr>
          <w:bottom w:val="single" w:sz="6" w:space="4" w:color="1F3864"/>
        </w:pBdr>
        <w:spacing w:before="360" w:after="160"/>
        <w:rPr/>
      </w:pPr>
      <w:r>
        <w:rPr>
          <w:rFonts w:eastAsia="Calibri" w:cs="Calibri" w:ascii="Calibri" w:hAnsi="Calibri"/>
          <w:b/>
          <w:bCs/>
          <w:color w:val="1F3864"/>
          <w:sz w:val="30"/>
          <w:szCs w:val="30"/>
        </w:rPr>
        <w:t>3. Alcance del diseño de centro de datos híbrido</w:t>
      </w:r>
    </w:p>
    <w:p>
      <w:pPr>
        <w:pStyle w:val="Heading2"/>
        <w:spacing w:before="260" w:after="120"/>
        <w:rPr/>
      </w:pPr>
      <w:r>
        <w:rPr>
          <w:rFonts w:eastAsia="Calibri" w:cs="Calibri" w:ascii="Calibri" w:hAnsi="Calibri"/>
          <w:b/>
          <w:bCs/>
          <w:color w:val="1F3864"/>
          <w:sz w:val="24"/>
          <w:szCs w:val="24"/>
        </w:rPr>
        <w:t>3.1 Declaración de alcance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i w:val="false"/>
          <w:iCs w:val="false"/>
          <w:sz w:val="21"/>
          <w:szCs w:val="21"/>
        </w:rPr>
        <w:t>Ejemplo: El diseño comprende la infraestructura virtualizada VMware ESXi del centro de datos local y los recursos que se desplegarán en AWS (VPC, subredes, instancias EC2), incluyendo su dimensionamiento y mecanismos de gestión.</w:t>
      </w:r>
    </w:p>
    <w:p>
      <w:pPr>
        <w:pStyle w:val="Heading2"/>
        <w:spacing w:before="260" w:after="120"/>
        <w:rPr/>
      </w:pPr>
      <w:r>
        <w:rPr>
          <w:rFonts w:eastAsia="Calibri" w:cs="Calibri" w:ascii="Calibri" w:hAnsi="Calibri"/>
          <w:b/>
          <w:bCs/>
          <w:color w:val="1F3864"/>
          <w:sz w:val="24"/>
          <w:szCs w:val="24"/>
        </w:rPr>
        <w:t>3.2 Límites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i w:val="false"/>
          <w:iCs w:val="false"/>
          <w:sz w:val="21"/>
          <w:szCs w:val="21"/>
        </w:rPr>
        <w:t>Físicos: centro de datos, laboratorio, rack, servidores, almacenamiento, UPS.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i w:val="false"/>
          <w:iCs w:val="false"/>
          <w:sz w:val="21"/>
          <w:szCs w:val="21"/>
        </w:rPr>
        <w:t>Tecnológicos: ESXi, vSwitches, VM, AWS, VPC, EC2, Security Groups, NACL.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i w:val="false"/>
          <w:iCs w:val="false"/>
          <w:sz w:val="21"/>
          <w:szCs w:val="21"/>
        </w:rPr>
        <w:t>Organizacionales: debe indicarse quién administrará cada componente del centro de datos.</w:t>
      </w:r>
    </w:p>
    <w:p>
      <w:pPr>
        <w:pStyle w:val="Heading2"/>
        <w:spacing w:before="260" w:after="120"/>
        <w:rPr/>
      </w:pPr>
      <w:r>
        <w:rPr>
          <w:rFonts w:eastAsia="Calibri" w:cs="Calibri" w:ascii="Calibri" w:hAnsi="Calibri"/>
          <w:b/>
          <w:bCs/>
          <w:color w:val="1F3864"/>
          <w:sz w:val="24"/>
          <w:szCs w:val="24"/>
        </w:rPr>
        <w:t>3.3 Exclusiones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i w:val="false"/>
          <w:iCs w:val="false"/>
          <w:sz w:val="21"/>
          <w:szCs w:val="21"/>
        </w:rPr>
        <w:t>Ejemplo: El equipamiento de usuario final no forma parte del alcance de este diseño. Toda exclusión debe justificarse explícitamente.</w:t>
      </w:r>
    </w:p>
    <w:p>
      <w:pPr>
        <w:pStyle w:val="Heading1"/>
        <w:pBdr>
          <w:bottom w:val="single" w:sz="6" w:space="4" w:color="1F3864"/>
        </w:pBdr>
        <w:spacing w:before="360" w:after="160"/>
        <w:rPr/>
      </w:pPr>
      <w:r>
        <w:rPr>
          <w:rFonts w:eastAsia="Calibri" w:cs="Calibri" w:ascii="Calibri" w:hAnsi="Calibri"/>
          <w:b/>
          <w:bCs/>
          <w:color w:val="1F3864"/>
          <w:sz w:val="30"/>
          <w:szCs w:val="30"/>
        </w:rPr>
        <w:t>4. Objetivos del diseño de centro de datos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i w:val="false"/>
          <w:iCs w:val="false"/>
          <w:sz w:val="21"/>
          <w:szCs w:val="21"/>
        </w:rPr>
        <w:t>Los objetivos deben ser medibles y orientados a capacidad y disponibilidad:</w:t>
      </w:r>
    </w:p>
    <w:tbl>
      <w:tblPr>
        <w:tblW w:w="960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3000"/>
        <w:gridCol w:w="2599"/>
        <w:gridCol w:w="2001"/>
        <w:gridCol w:w="2000"/>
      </w:tblGrid>
      <w:tr>
        <w:trPr>
          <w:tblHeader w:val="true"/>
        </w:trPr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Objetivo</w:t>
            </w:r>
          </w:p>
        </w:tc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Indicador</w:t>
            </w:r>
          </w:p>
        </w:tc>
        <w:tc>
          <w:tcPr>
            <w:tcW w:w="2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Meta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Dimensionar el host ESXi</w:t>
            </w:r>
          </w:p>
        </w:tc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Recursos asignados vs. requeridos</w:t>
            </w:r>
          </w:p>
        </w:tc>
        <w:tc>
          <w:tcPr>
            <w:tcW w:w="2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100 % cubierto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Infraestructura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Definir arquitectura AWS costo-eficiente</w:t>
            </w:r>
          </w:p>
        </w:tc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Servicios seleccionados justificados</w:t>
            </w:r>
          </w:p>
        </w:tc>
        <w:tc>
          <w:tcPr>
            <w:tcW w:w="2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100 % documentado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Cloud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Planificar disponibilidad mínima</w:t>
            </w:r>
          </w:p>
        </w:tc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RTO/RPO objetivo preliminar definido</w:t>
            </w:r>
          </w:p>
        </w:tc>
        <w:tc>
          <w:tcPr>
            <w:tcW w:w="2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RTO ≤ 2 h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Infraestructura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1"/>
        <w:pBdr>
          <w:bottom w:val="single" w:sz="6" w:space="4" w:color="1F3864"/>
        </w:pBdr>
        <w:spacing w:before="360" w:after="160"/>
        <w:rPr/>
      </w:pPr>
      <w:r>
        <w:rPr>
          <w:rFonts w:eastAsia="Calibri" w:cs="Calibri" w:ascii="Calibri" w:hAnsi="Calibri"/>
          <w:b/>
          <w:bCs/>
          <w:color w:val="1F3864"/>
          <w:sz w:val="30"/>
          <w:szCs w:val="30"/>
        </w:rPr>
        <w:t>5. Arquitectura on-premise — diseño (VMware ESXi)</w:t>
      </w:r>
    </w:p>
    <w:p>
      <w:pPr>
        <w:pStyle w:val="Heading2"/>
        <w:spacing w:before="260" w:after="120"/>
        <w:rPr/>
      </w:pPr>
      <w:r>
        <w:rPr>
          <w:rFonts w:eastAsia="Calibri" w:cs="Calibri" w:ascii="Calibri" w:hAnsi="Calibri"/>
          <w:b/>
          <w:bCs/>
          <w:color w:val="1F3864"/>
          <w:sz w:val="24"/>
          <w:szCs w:val="24"/>
        </w:rPr>
        <w:t>5.1 Topología física propuesta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i w:val="false"/>
          <w:iCs w:val="false"/>
          <w:sz w:val="21"/>
          <w:szCs w:val="21"/>
        </w:rPr>
        <w:t>Debe indicarse la ubicación física de cada componente: servidores, firewall, switches, almacenamiento, host ESXi, enlaces y su disposición en el rack.</w:t>
      </w:r>
    </w:p>
    <w:tbl>
      <w:tblPr>
        <w:tblW w:w="5000" w:type="pct"/>
        <w:jc w:val="start"/>
        <w:tblInd w:w="0" w:type="dxa"/>
        <w:tblLayout w:type="fixed"/>
        <w:tblCellMar>
          <w:top w:w="200" w:type="dxa"/>
          <w:start w:w="200" w:type="dxa"/>
          <w:bottom w:w="200" w:type="dxa"/>
          <w:end w:w="20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7F7F7F"/>
                <w:sz w:val="20"/>
                <w:szCs w:val="20"/>
              </w:rPr>
              <w:t>[ Espacio para diagrama — Topología física propuesta (on-premise) ]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i/>
                <w:iCs/>
                <w:color w:val="7F7F7F"/>
                <w:sz w:val="18"/>
                <w:szCs w:val="18"/>
              </w:rPr>
              <w:t>Disposición de rack: firewall, switch de core, switch de acceso, host ESXi, almacenamiento y UPS.</w:t>
            </w:r>
          </w:p>
        </w:tc>
      </w:tr>
    </w:tbl>
    <w:p>
      <w:pPr>
        <w:pStyle w:val="Normal"/>
        <w:spacing w:before="80" w:after="240"/>
        <w:jc w:val="center"/>
        <w:rPr/>
      </w:pPr>
      <w:r>
        <w:rPr>
          <w:rFonts w:eastAsia="Calibri" w:cs="Calibri" w:ascii="Calibri" w:hAnsi="Calibri"/>
          <w:i/>
          <w:iCs/>
          <w:color w:val="595959"/>
          <w:sz w:val="18"/>
          <w:szCs w:val="18"/>
        </w:rPr>
        <w:t>Figura 5.1 — Topología física propuesta del centro de datos on-premise</w:t>
      </w:r>
    </w:p>
    <w:p>
      <w:pPr>
        <w:pStyle w:val="Heading2"/>
        <w:spacing w:before="260" w:after="120"/>
        <w:rPr/>
      </w:pPr>
      <w:r>
        <w:rPr>
          <w:rFonts w:eastAsia="Calibri" w:cs="Calibri" w:ascii="Calibri" w:hAnsi="Calibri"/>
          <w:b/>
          <w:bCs/>
          <w:color w:val="1F3864"/>
          <w:sz w:val="24"/>
          <w:szCs w:val="24"/>
        </w:rPr>
        <w:t>5.2 Diseño del hipervisor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i w:val="false"/>
          <w:iCs w:val="false"/>
          <w:sz w:val="21"/>
          <w:szCs w:val="21"/>
        </w:rPr>
        <w:t>Debe planificarse lo que ocurrirá dentro del hipervisor: vSwitches, port groups, VLAN asociadas, NIC físicas (teaming) y las máquinas virtuales previstas.</w:t>
      </w:r>
    </w:p>
    <w:tbl>
      <w:tblPr>
        <w:tblW w:w="940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2399"/>
        <w:gridCol w:w="1201"/>
        <w:gridCol w:w="1199"/>
        <w:gridCol w:w="1201"/>
        <w:gridCol w:w="1399"/>
        <w:gridCol w:w="2001"/>
      </w:tblGrid>
      <w:tr>
        <w:trPr>
          <w:tblHeader w:val="true"/>
        </w:trPr>
        <w:tc>
          <w:tcPr>
            <w:tcW w:w="2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VM planeada</w:t>
            </w:r>
          </w:p>
        </w:tc>
        <w:tc>
          <w:tcPr>
            <w:tcW w:w="1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vCPU</w:t>
            </w:r>
          </w:p>
        </w:tc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RAM</w:t>
            </w:r>
          </w:p>
        </w:tc>
        <w:tc>
          <w:tcPr>
            <w:tcW w:w="1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Disco</w:t>
            </w:r>
          </w:p>
        </w:tc>
        <w:tc>
          <w:tcPr>
            <w:tcW w:w="1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SO</w:t>
            </w:r>
          </w:p>
        </w:tc>
        <w:tc>
          <w:tcPr>
            <w:tcW w:w="2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Función</w:t>
            </w:r>
          </w:p>
        </w:tc>
      </w:tr>
      <w:tr>
        <w:trPr/>
        <w:tc>
          <w:tcPr>
            <w:tcW w:w="2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FW-virtual</w:t>
            </w:r>
          </w:p>
        </w:tc>
        <w:tc>
          <w:tcPr>
            <w:tcW w:w="1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2</w:t>
            </w:r>
          </w:p>
        </w:tc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4 GB</w:t>
            </w:r>
          </w:p>
        </w:tc>
        <w:tc>
          <w:tcPr>
            <w:tcW w:w="1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40 GB</w:t>
            </w:r>
          </w:p>
        </w:tc>
        <w:tc>
          <w:tcPr>
            <w:tcW w:w="1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pfSense</w:t>
            </w:r>
          </w:p>
        </w:tc>
        <w:tc>
          <w:tcPr>
            <w:tcW w:w="2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Firewall virtual / VPN</w:t>
            </w:r>
          </w:p>
        </w:tc>
      </w:tr>
      <w:tr>
        <w:trPr/>
        <w:tc>
          <w:tcPr>
            <w:tcW w:w="2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SIEM</w:t>
            </w:r>
          </w:p>
        </w:tc>
        <w:tc>
          <w:tcPr>
            <w:tcW w:w="1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4</w:t>
            </w:r>
          </w:p>
        </w:tc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8 GB</w:t>
            </w:r>
          </w:p>
        </w:tc>
        <w:tc>
          <w:tcPr>
            <w:tcW w:w="1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100 GB</w:t>
            </w:r>
          </w:p>
        </w:tc>
        <w:tc>
          <w:tcPr>
            <w:tcW w:w="1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Linux</w:t>
            </w:r>
          </w:p>
        </w:tc>
        <w:tc>
          <w:tcPr>
            <w:tcW w:w="2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Correlación de eventos</w:t>
            </w:r>
          </w:p>
        </w:tc>
      </w:tr>
      <w:tr>
        <w:trPr/>
        <w:tc>
          <w:tcPr>
            <w:tcW w:w="2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WEB-DMZ</w:t>
            </w:r>
          </w:p>
        </w:tc>
        <w:tc>
          <w:tcPr>
            <w:tcW w:w="1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2</w:t>
            </w:r>
          </w:p>
        </w:tc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4 GB</w:t>
            </w:r>
          </w:p>
        </w:tc>
        <w:tc>
          <w:tcPr>
            <w:tcW w:w="1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40 GB</w:t>
            </w:r>
          </w:p>
        </w:tc>
        <w:tc>
          <w:tcPr>
            <w:tcW w:w="1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Ubuntu</w:t>
            </w:r>
          </w:p>
        </w:tc>
        <w:tc>
          <w:tcPr>
            <w:tcW w:w="2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Servidor web público</w:t>
            </w:r>
          </w:p>
        </w:tc>
      </w:tr>
      <w:tr>
        <w:trPr/>
        <w:tc>
          <w:tcPr>
            <w:tcW w:w="2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DB-Servidor</w:t>
            </w:r>
          </w:p>
        </w:tc>
        <w:tc>
          <w:tcPr>
            <w:tcW w:w="1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4</w:t>
            </w:r>
          </w:p>
        </w:tc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16 GB</w:t>
            </w:r>
          </w:p>
        </w:tc>
        <w:tc>
          <w:tcPr>
            <w:tcW w:w="1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200 GB</w:t>
            </w:r>
          </w:p>
        </w:tc>
        <w:tc>
          <w:tcPr>
            <w:tcW w:w="1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Linux</w:t>
            </w:r>
          </w:p>
        </w:tc>
        <w:tc>
          <w:tcPr>
            <w:tcW w:w="2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Base de datos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200" w:type="dxa"/>
          <w:start w:w="200" w:type="dxa"/>
          <w:bottom w:w="200" w:type="dxa"/>
          <w:end w:w="20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7F7F7F"/>
                <w:sz w:val="20"/>
                <w:szCs w:val="20"/>
              </w:rPr>
              <w:t>[ Espacio para diagrama — Topología interna del hipervisor (diseño) ]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i/>
                <w:iCs/>
                <w:color w:val="7F7F7F"/>
                <w:sz w:val="18"/>
                <w:szCs w:val="18"/>
              </w:rPr>
              <w:t>vSwitches y port groups por zona (ADMIN, LAN, DMZ), VM asociadas y NIC físicas del host.</w:t>
            </w:r>
          </w:p>
        </w:tc>
      </w:tr>
    </w:tbl>
    <w:p>
      <w:pPr>
        <w:pStyle w:val="Normal"/>
        <w:spacing w:before="80" w:after="240"/>
        <w:jc w:val="center"/>
        <w:rPr/>
      </w:pPr>
      <w:r>
        <w:rPr>
          <w:rFonts w:eastAsia="Calibri" w:cs="Calibri" w:ascii="Calibri" w:hAnsi="Calibri"/>
          <w:i/>
          <w:iCs/>
          <w:color w:val="595959"/>
          <w:sz w:val="18"/>
          <w:szCs w:val="18"/>
        </w:rPr>
        <w:t>Figura 5.2 — Diseño interno del hipervisor VMware ESXi</w:t>
      </w:r>
    </w:p>
    <w:p>
      <w:pPr>
        <w:pStyle w:val="Heading1"/>
        <w:pBdr>
          <w:bottom w:val="single" w:sz="6" w:space="4" w:color="1F3864"/>
        </w:pBdr>
        <w:spacing w:before="360" w:after="160"/>
        <w:rPr/>
      </w:pPr>
      <w:r>
        <w:rPr>
          <w:rFonts w:eastAsia="Calibri" w:cs="Calibri" w:ascii="Calibri" w:hAnsi="Calibri"/>
          <w:b/>
          <w:bCs/>
          <w:color w:val="1F3864"/>
          <w:sz w:val="30"/>
          <w:szCs w:val="30"/>
        </w:rPr>
        <w:t>6. Arquitectura AWS — diseño</w:t>
      </w:r>
    </w:p>
    <w:p>
      <w:pPr>
        <w:pStyle w:val="Heading2"/>
        <w:spacing w:before="260" w:after="120"/>
        <w:rPr/>
      </w:pPr>
      <w:r>
        <w:rPr>
          <w:rFonts w:eastAsia="Calibri" w:cs="Calibri" w:ascii="Calibri" w:hAnsi="Calibri"/>
          <w:b/>
          <w:bCs/>
          <w:color w:val="1F3864"/>
          <w:sz w:val="24"/>
          <w:szCs w:val="24"/>
        </w:rPr>
        <w:t>6.1 Selección de región y justificación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i w:val="false"/>
          <w:iCs w:val="false"/>
          <w:sz w:val="21"/>
          <w:szCs w:val="21"/>
        </w:rPr>
        <w:t>Debe justificarse la región AWS elegida considerando latencia, cumplimiento normativo y disponibilidad de servicios.</w:t>
      </w:r>
    </w:p>
    <w:p>
      <w:pPr>
        <w:pStyle w:val="Heading2"/>
        <w:spacing w:before="260" w:after="120"/>
        <w:rPr/>
      </w:pPr>
      <w:r>
        <w:rPr>
          <w:rFonts w:eastAsia="Calibri" w:cs="Calibri" w:ascii="Calibri" w:hAnsi="Calibri"/>
          <w:b/>
          <w:bCs/>
          <w:color w:val="1F3864"/>
          <w:sz w:val="24"/>
          <w:szCs w:val="24"/>
        </w:rPr>
        <w:t>6.2 Diseño de VPC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i w:val="false"/>
          <w:iCs w:val="false"/>
          <w:sz w:val="21"/>
          <w:szCs w:val="21"/>
        </w:rPr>
        <w:t>No basta con colocar una nube con la palabra «AWS»: debe detallarse el CIDR de la VPC, subredes públicas y privadas, route tables, Internet Gateway y NAT.</w:t>
      </w:r>
    </w:p>
    <w:tbl>
      <w:tblPr>
        <w:tblW w:w="1020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2599"/>
        <w:gridCol w:w="2201"/>
        <w:gridCol w:w="2200"/>
        <w:gridCol w:w="3200"/>
      </w:tblGrid>
      <w:tr>
        <w:trPr>
          <w:tblHeader w:val="true"/>
        </w:trPr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Subred</w:t>
            </w:r>
          </w:p>
        </w:tc>
        <w:tc>
          <w:tcPr>
            <w:tcW w:w="2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CIDR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Propósito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Pública</w:t>
            </w:r>
          </w:p>
        </w:tc>
        <w:tc>
          <w:tcPr>
            <w:tcW w:w="2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10.10.1.0/24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Pública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Bastion / recursos con salida a Internet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Privada — App</w:t>
            </w:r>
          </w:p>
        </w:tc>
        <w:tc>
          <w:tcPr>
            <w:tcW w:w="2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10.10.2.0/24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Privada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Servidores de aplicación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Privada — DB</w:t>
            </w:r>
          </w:p>
        </w:tc>
        <w:tc>
          <w:tcPr>
            <w:tcW w:w="22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10.10.3.0/24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Privada</w:t>
            </w:r>
          </w:p>
        </w:tc>
        <w:tc>
          <w:tcPr>
            <w:tcW w:w="3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Base de datos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200" w:type="dxa"/>
          <w:start w:w="200" w:type="dxa"/>
          <w:bottom w:w="200" w:type="dxa"/>
          <w:end w:w="20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  <w:vAlign w:val="center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7F7F7F"/>
                <w:sz w:val="20"/>
                <w:szCs w:val="20"/>
              </w:rPr>
              <w:t>[ Espacio para diagrama — Topología AWS / VPC (diseño) ]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i/>
                <w:iCs/>
                <w:color w:val="7F7F7F"/>
                <w:sz w:val="18"/>
                <w:szCs w:val="18"/>
              </w:rPr>
              <w:t>VPC con subred pública y privada, route tables, NACL, VPN Gateway y su relación con el on-premise.</w:t>
            </w:r>
          </w:p>
        </w:tc>
      </w:tr>
    </w:tbl>
    <w:p>
      <w:pPr>
        <w:pStyle w:val="Normal"/>
        <w:spacing w:before="80" w:after="240"/>
        <w:jc w:val="center"/>
        <w:rPr/>
      </w:pPr>
      <w:r>
        <w:rPr>
          <w:rFonts w:eastAsia="Calibri" w:cs="Calibri" w:ascii="Calibri" w:hAnsi="Calibri"/>
          <w:i/>
          <w:iCs/>
          <w:color w:val="595959"/>
          <w:sz w:val="18"/>
          <w:szCs w:val="18"/>
        </w:rPr>
        <w:t>Figura 6.1 — Diseño de arquitectura AWS / VPC</w:t>
      </w:r>
    </w:p>
    <w:p>
      <w:pPr>
        <w:pStyle w:val="Heading2"/>
        <w:spacing w:before="260" w:after="120"/>
        <w:rPr/>
      </w:pPr>
      <w:r>
        <w:rPr>
          <w:rFonts w:eastAsia="Calibri" w:cs="Calibri" w:ascii="Calibri" w:hAnsi="Calibri"/>
          <w:b/>
          <w:bCs/>
          <w:color w:val="1F3864"/>
          <w:sz w:val="24"/>
          <w:szCs w:val="24"/>
        </w:rPr>
        <w:t>6.3 Servicios EC2 planeados</w:t>
      </w:r>
    </w:p>
    <w:tbl>
      <w:tblPr>
        <w:tblW w:w="1020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2599"/>
        <w:gridCol w:w="2001"/>
        <w:gridCol w:w="3199"/>
        <w:gridCol w:w="2401"/>
      </w:tblGrid>
      <w:tr>
        <w:trPr>
          <w:tblHeader w:val="true"/>
        </w:trPr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Instancia</w:t>
            </w:r>
          </w:p>
        </w:tc>
        <w:tc>
          <w:tcPr>
            <w:tcW w:w="2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3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Función</w:t>
            </w:r>
          </w:p>
        </w:tc>
        <w:tc>
          <w:tcPr>
            <w:tcW w:w="2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Subred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EC2-Bastion</w:t>
            </w:r>
          </w:p>
        </w:tc>
        <w:tc>
          <w:tcPr>
            <w:tcW w:w="2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t3.micro</w:t>
            </w:r>
          </w:p>
        </w:tc>
        <w:tc>
          <w:tcPr>
            <w:tcW w:w="3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Acceso administrativo / NAT</w:t>
            </w:r>
          </w:p>
        </w:tc>
        <w:tc>
          <w:tcPr>
            <w:tcW w:w="2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Pública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EC2-App</w:t>
            </w:r>
          </w:p>
        </w:tc>
        <w:tc>
          <w:tcPr>
            <w:tcW w:w="2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t3.medium</w:t>
            </w:r>
          </w:p>
        </w:tc>
        <w:tc>
          <w:tcPr>
            <w:tcW w:w="3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Servidor de aplicación</w:t>
            </w:r>
          </w:p>
        </w:tc>
        <w:tc>
          <w:tcPr>
            <w:tcW w:w="2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Privada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2"/>
        <w:spacing w:before="260" w:after="120"/>
        <w:rPr/>
      </w:pPr>
      <w:r>
        <w:rPr>
          <w:rFonts w:eastAsia="Calibri" w:cs="Calibri" w:ascii="Calibri" w:hAnsi="Calibri"/>
          <w:b/>
          <w:bCs/>
          <w:color w:val="1F3864"/>
          <w:sz w:val="24"/>
          <w:szCs w:val="24"/>
        </w:rPr>
        <w:t>6.4 Security Groups y NACL planeados</w:t>
      </w:r>
    </w:p>
    <w:tbl>
      <w:tblPr>
        <w:tblW w:w="1020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2599"/>
        <w:gridCol w:w="2001"/>
        <w:gridCol w:w="5600"/>
      </w:tblGrid>
      <w:tr>
        <w:trPr>
          <w:tblHeader w:val="true"/>
        </w:trPr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Nombre</w:t>
            </w:r>
          </w:p>
        </w:tc>
        <w:tc>
          <w:tcPr>
            <w:tcW w:w="2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Alcance</w:t>
            </w:r>
          </w:p>
        </w:tc>
        <w:tc>
          <w:tcPr>
            <w:tcW w:w="5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Regla principal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SG-web</w:t>
            </w:r>
          </w:p>
        </w:tc>
        <w:tc>
          <w:tcPr>
            <w:tcW w:w="2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Instancia</w:t>
            </w:r>
          </w:p>
        </w:tc>
        <w:tc>
          <w:tcPr>
            <w:tcW w:w="5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Permite 443 desde Internet, deniega el resto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SG-db</w:t>
            </w:r>
          </w:p>
        </w:tc>
        <w:tc>
          <w:tcPr>
            <w:tcW w:w="2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Instancia</w:t>
            </w:r>
          </w:p>
        </w:tc>
        <w:tc>
          <w:tcPr>
            <w:tcW w:w="5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Permite 5432 solo desde SG-app</w:t>
            </w:r>
          </w:p>
        </w:tc>
      </w:tr>
      <w:tr>
        <w:trPr/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NACL-privada</w:t>
            </w:r>
          </w:p>
        </w:tc>
        <w:tc>
          <w:tcPr>
            <w:tcW w:w="2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Subred</w:t>
            </w:r>
          </w:p>
        </w:tc>
        <w:tc>
          <w:tcPr>
            <w:tcW w:w="5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Deniega tráfico entrante directo desde Internet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1"/>
        <w:pBdr>
          <w:bottom w:val="single" w:sz="6" w:space="4" w:color="1F3864"/>
        </w:pBdr>
        <w:spacing w:before="360" w:after="160"/>
        <w:rPr/>
      </w:pPr>
      <w:r>
        <w:rPr>
          <w:rFonts w:eastAsia="Calibri" w:cs="Calibri" w:ascii="Calibri" w:hAnsi="Calibri"/>
          <w:b/>
          <w:bCs/>
          <w:color w:val="1F3864"/>
          <w:sz w:val="30"/>
          <w:szCs w:val="30"/>
        </w:rPr>
        <w:t>7. Mecanismo de integración híbrida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i w:val="false"/>
          <w:iCs w:val="false"/>
          <w:sz w:val="21"/>
          <w:szCs w:val="21"/>
        </w:rPr>
        <w:t>Este diseño se conecta con el entregable «Análisis y Diseño de Red»: el túnel VPN IPsec entre el firewall on-premise y el VPN Gateway de AWS es el mecanismo de integración. Aquí solo se referencia la coherencia entre ambos diseños (mismas redes anunciadas, mismos extremos); el detalle del diseño de la VPN se desarrolla en el entregable de red.</w:t>
      </w:r>
    </w:p>
    <w:p>
      <w:pPr>
        <w:pStyle w:val="Heading1"/>
        <w:pBdr>
          <w:bottom w:val="single" w:sz="6" w:space="4" w:color="1F3864"/>
        </w:pBdr>
        <w:spacing w:before="360" w:after="160"/>
        <w:rPr/>
      </w:pPr>
      <w:r>
        <w:rPr>
          <w:rFonts w:eastAsia="Calibri" w:cs="Calibri" w:ascii="Calibri" w:hAnsi="Calibri"/>
          <w:b/>
          <w:bCs/>
          <w:color w:val="1F3864"/>
          <w:sz w:val="30"/>
          <w:szCs w:val="30"/>
        </w:rPr>
        <w:t>8. Matriz de componentes del centro de datos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i w:val="false"/>
          <w:iCs w:val="false"/>
          <w:sz w:val="21"/>
          <w:szCs w:val="21"/>
        </w:rPr>
        <w:t>Todo elemento dibujado en las topologías anteriores —on-premise y AWS— debe aparecer en esta tabla consolidada, de modo que el diseño sea auditable desde el inicio:</w:t>
      </w:r>
    </w:p>
    <w:tbl>
      <w:tblPr>
        <w:tblW w:w="960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2200"/>
        <w:gridCol w:w="1800"/>
        <w:gridCol w:w="1800"/>
        <w:gridCol w:w="2199"/>
        <w:gridCol w:w="1601"/>
      </w:tblGrid>
      <w:tr>
        <w:trPr>
          <w:tblHeader w:val="true"/>
        </w:trPr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Componente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Entorno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Función</w:t>
            </w:r>
          </w:p>
        </w:tc>
        <w:tc>
          <w:tcPr>
            <w:tcW w:w="1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Criticidad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Host ESXi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On-premise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Hipervisor</w:t>
            </w:r>
          </w:p>
        </w:tc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Virtualización</w:t>
            </w:r>
          </w:p>
        </w:tc>
        <w:tc>
          <w:tcPr>
            <w:tcW w:w="1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Alta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Storage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On-premise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Almacenamiento</w:t>
            </w:r>
          </w:p>
        </w:tc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Datastore de VM</w:t>
            </w:r>
          </w:p>
        </w:tc>
        <w:tc>
          <w:tcPr>
            <w:tcW w:w="1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Alta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VPC principal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AWS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Red virtual</w:t>
            </w:r>
          </w:p>
        </w:tc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Aislamiento de recursos cloud</w:t>
            </w:r>
          </w:p>
        </w:tc>
        <w:tc>
          <w:tcPr>
            <w:tcW w:w="1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Alta</w:t>
            </w:r>
          </w:p>
        </w:tc>
      </w:tr>
      <w:tr>
        <w:trPr/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EC2-App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AWS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Cómputo</w:t>
            </w:r>
          </w:p>
        </w:tc>
        <w:tc>
          <w:tcPr>
            <w:tcW w:w="2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Aplicación</w:t>
            </w:r>
          </w:p>
        </w:tc>
        <w:tc>
          <w:tcPr>
            <w:tcW w:w="1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7F7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sz w:val="19"/>
                <w:szCs w:val="19"/>
              </w:rPr>
              <w:t>Alta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1"/>
        <w:pBdr>
          <w:bottom w:val="single" w:sz="6" w:space="4" w:color="1F3864"/>
        </w:pBdr>
        <w:spacing w:before="360" w:after="160"/>
        <w:rPr/>
      </w:pPr>
      <w:r>
        <w:rPr>
          <w:rFonts w:eastAsia="Calibri" w:cs="Calibri" w:ascii="Calibri" w:hAnsi="Calibri"/>
          <w:b/>
          <w:bCs/>
          <w:color w:val="1F3864"/>
          <w:sz w:val="30"/>
          <w:szCs w:val="30"/>
        </w:rPr>
        <w:t>9. Dimensionamiento y capacidad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i w:val="false"/>
          <w:iCs w:val="false"/>
          <w:sz w:val="21"/>
          <w:szCs w:val="21"/>
        </w:rPr>
        <w:t>Debe justificarse técnicamente el dimensionamiento propuesto: cálculo de vCPU/RAM/almacenamiento requerido por las VM planeadas frente a la capacidad del host, y el tipo de instancia AWS elegido frente a la carga esperada. Debe indicarse el margen de crecimiento estimado.</w:t>
      </w:r>
    </w:p>
    <w:p>
      <w:pPr>
        <w:pStyle w:val="Heading1"/>
        <w:pBdr>
          <w:bottom w:val="single" w:sz="6" w:space="4" w:color="1F3864"/>
        </w:pBdr>
        <w:spacing w:before="360" w:after="160"/>
        <w:rPr/>
      </w:pPr>
      <w:r>
        <w:rPr>
          <w:rFonts w:eastAsia="Calibri" w:cs="Calibri" w:ascii="Calibri" w:hAnsi="Calibri"/>
          <w:b/>
          <w:bCs/>
          <w:color w:val="1F3864"/>
          <w:sz w:val="30"/>
          <w:szCs w:val="30"/>
        </w:rPr>
        <w:t>10. Consideraciones de disponibilidad y continuidad en el diseño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i w:val="false"/>
          <w:iCs w:val="false"/>
          <w:sz w:val="21"/>
          <w:szCs w:val="21"/>
        </w:rPr>
        <w:t>Debe sustentarse, a nivel de diseño y sin implementarlo aún, cómo se contempla la disponibilidad: redundancia de almacenamiento, estrategia de respaldo prevista y un RTO/RPO objetivo preliminar por servicio, que se validará en el entregable de implementación del Semestre 2.</w:t>
      </w:r>
    </w:p>
    <w:p>
      <w:pPr>
        <w:pStyle w:val="Heading1"/>
        <w:pBdr>
          <w:bottom w:val="single" w:sz="6" w:space="4" w:color="1F3864"/>
        </w:pBdr>
        <w:spacing w:before="360" w:after="160"/>
        <w:rPr/>
      </w:pPr>
      <w:r>
        <w:rPr>
          <w:rFonts w:eastAsia="Calibri" w:cs="Calibri" w:ascii="Calibri" w:hAnsi="Calibri"/>
          <w:b/>
          <w:bCs/>
          <w:color w:val="1F3864"/>
          <w:sz w:val="30"/>
          <w:szCs w:val="30"/>
        </w:rPr>
        <w:t>11. Conclusiones y hoja de ruta hacia la implementación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i w:val="false"/>
          <w:iCs w:val="false"/>
          <w:sz w:val="21"/>
          <w:szCs w:val="21"/>
        </w:rPr>
        <w:t>Debe resumirse el diseño propuesto y señalar explícitamente qué queda pendiente de desplegar, configurar y probar en el entregable «Implementación, gestión y control de centro de datos» del Semestre 2.</w:t>
      </w:r>
    </w:p>
    <w:p>
      <w:pPr>
        <w:pStyle w:val="Heading1"/>
        <w:pBdr>
          <w:bottom w:val="single" w:sz="6" w:space="4" w:color="1F3864"/>
        </w:pBdr>
        <w:spacing w:before="360" w:after="160"/>
        <w:rPr/>
      </w:pPr>
      <w:r>
        <w:rPr>
          <w:rFonts w:eastAsia="Calibri" w:cs="Calibri" w:ascii="Calibri" w:hAnsi="Calibri"/>
          <w:b/>
          <w:bCs/>
          <w:color w:val="1F3864"/>
          <w:sz w:val="30"/>
          <w:szCs w:val="30"/>
        </w:rPr>
        <w:t>12. Referencias</w:t>
      </w:r>
    </w:p>
    <w:p>
      <w:pPr>
        <w:pStyle w:val="Normal"/>
        <w:spacing w:before="0" w:after="160"/>
        <w:rPr/>
      </w:pPr>
      <w:r>
        <w:rPr>
          <w:rFonts w:eastAsia="Calibri" w:cs="Calibri" w:ascii="Calibri" w:hAnsi="Calibri"/>
          <w:i w:val="false"/>
          <w:iCs w:val="false"/>
          <w:sz w:val="21"/>
          <w:szCs w:val="21"/>
        </w:rPr>
        <w:t>Formato IEEE. Deben incluirse, principalmente: documentación oficial de VMware, documentación oficial de AWS (VPC, EC2, IAM), ISO/IEC 27001 e ISO/IEC 27002, y guías de dimensionamiento (sizing) del fabricante correspondiente.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708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Calibri" w:cs="Calibri" w:ascii="Calibri" w:hAnsi="Calibri"/>
        <w:color w:val="595959"/>
        <w:sz w:val="16"/>
        <w:szCs w:val="16"/>
      </w:rPr>
      <w:t xml:space="preserve">Proyecto Integrador — Análisis y Diseño de Centro de Datos Híbrido · Página </w:t>
    </w:r>
    <w:r>
      <w:rPr>
        <w:rFonts w:eastAsia="Calibri" w:cs="Calibri" w:ascii="Calibri" w:hAnsi="Calibri"/>
        <w:i w:val="false"/>
        <w:iCs w:val="false"/>
        <w:sz w:val="21"/>
        <w:szCs w:val="21"/>
      </w:rPr>
      <w:fldChar w:fldCharType="begin"/>
    </w:r>
    <w:r>
      <w:rPr>
        <w:rFonts w:eastAsia="Calibri" w:cs="Calibri" w:ascii="Calibri" w:hAnsi="Calibri"/>
        <w:i w:val="false"/>
        <w:iCs w:val="false"/>
        <w:sz w:val="21"/>
        <w:szCs w:val="21"/>
      </w:rPr>
      <w:instrText xml:space="preserve"> PAGE </w:instrText>
    </w:r>
    <w:r>
      <w:rPr>
        <w:rFonts w:eastAsia="Calibri" w:cs="Calibri" w:ascii="Calibri" w:hAnsi="Calibri"/>
        <w:i w:val="false"/>
        <w:iCs w:val="false"/>
        <w:sz w:val="21"/>
        <w:szCs w:val="21"/>
      </w:rPr>
      <w:fldChar w:fldCharType="separate"/>
    </w:r>
    <w:r>
      <w:rPr>
        <w:rFonts w:eastAsia="Calibri" w:cs="Calibri" w:ascii="Calibri" w:hAnsi="Calibri"/>
        <w:i w:val="false"/>
        <w:iCs w:val="false"/>
        <w:sz w:val="21"/>
        <w:szCs w:val="21"/>
      </w:rPr>
      <w:t>6</w:t>
    </w:r>
    <w:r>
      <w:rPr>
        <w:rFonts w:eastAsia="Calibri" w:cs="Calibri" w:ascii="Calibri" w:hAnsi="Calibri"/>
        <w:i w:val="false"/>
        <w:iCs w:val="false"/>
        <w:sz w:val="21"/>
        <w:szCs w:val="21"/>
      </w:rPr>
      <w:fldChar w:fldCharType="end"/>
    </w:r>
    <w:r>
      <w:rPr>
        <w:rFonts w:eastAsia="Calibri" w:cs="Calibri" w:ascii="Calibri" w:hAnsi="Calibri"/>
        <w:color w:val="595959"/>
        <w:sz w:val="16"/>
        <w:szCs w:val="16"/>
      </w:rPr>
      <w:t xml:space="preserve"> de </w:t>
    </w:r>
    <w:r>
      <w:rPr>
        <w:rFonts w:eastAsia="Calibri" w:cs="Calibri" w:ascii="Calibri" w:hAnsi="Calibri"/>
        <w:i w:val="false"/>
        <w:iCs w:val="false"/>
        <w:sz w:val="21"/>
        <w:szCs w:val="21"/>
      </w:rPr>
      <w:fldChar w:fldCharType="begin"/>
    </w:r>
    <w:r>
      <w:rPr>
        <w:rFonts w:eastAsia="Calibri" w:cs="Calibri" w:ascii="Calibri" w:hAnsi="Calibri"/>
        <w:i w:val="false"/>
        <w:iCs w:val="false"/>
        <w:sz w:val="21"/>
        <w:szCs w:val="21"/>
      </w:rPr>
      <w:instrText xml:space="preserve"> NUMPAGES </w:instrText>
    </w:r>
    <w:r>
      <w:rPr>
        <w:rFonts w:eastAsia="Calibri" w:cs="Calibri" w:ascii="Calibri" w:hAnsi="Calibri"/>
        <w:i w:val="false"/>
        <w:iCs w:val="false"/>
        <w:sz w:val="21"/>
        <w:szCs w:val="21"/>
      </w:rPr>
      <w:fldChar w:fldCharType="separate"/>
    </w:r>
    <w:r>
      <w:rPr>
        <w:rFonts w:eastAsia="Calibri" w:cs="Calibri" w:ascii="Calibri" w:hAnsi="Calibri"/>
        <w:i w:val="false"/>
        <w:iCs w:val="false"/>
        <w:sz w:val="21"/>
        <w:szCs w:val="21"/>
      </w:rPr>
      <w:t>6</w:t>
    </w:r>
    <w:r>
      <w:rPr>
        <w:rFonts w:eastAsia="Calibri" w:cs="Calibri" w:ascii="Calibri" w:hAnsi="Calibri"/>
        <w:i w:val="false"/>
        <w:iCs w:val="false"/>
        <w:sz w:val="21"/>
        <w:szCs w:val="21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Calibri" w:cs="Calibri" w:ascii="Calibri" w:hAnsi="Calibri"/>
        <w:color w:val="595959"/>
        <w:sz w:val="16"/>
        <w:szCs w:val="16"/>
      </w:rPr>
      <w:t xml:space="preserve">Proyecto Integrador — Análisis y Diseño de Centro de Datos Híbrido · Página </w:t>
    </w:r>
    <w:r>
      <w:rPr>
        <w:rFonts w:eastAsia="Calibri" w:cs="Calibri" w:ascii="Calibri" w:hAnsi="Calibri"/>
        <w:i w:val="false"/>
        <w:iCs w:val="false"/>
        <w:sz w:val="21"/>
        <w:szCs w:val="21"/>
      </w:rPr>
      <w:fldChar w:fldCharType="begin"/>
    </w:r>
    <w:r>
      <w:rPr>
        <w:rFonts w:eastAsia="Calibri" w:cs="Calibri" w:ascii="Calibri" w:hAnsi="Calibri"/>
        <w:i w:val="false"/>
        <w:iCs w:val="false"/>
        <w:sz w:val="21"/>
        <w:szCs w:val="21"/>
      </w:rPr>
      <w:instrText xml:space="preserve"> PAGE </w:instrText>
    </w:r>
    <w:r>
      <w:rPr>
        <w:rFonts w:eastAsia="Calibri" w:cs="Calibri" w:ascii="Calibri" w:hAnsi="Calibri"/>
        <w:i w:val="false"/>
        <w:iCs w:val="false"/>
        <w:sz w:val="21"/>
        <w:szCs w:val="21"/>
      </w:rPr>
      <w:fldChar w:fldCharType="separate"/>
    </w:r>
    <w:r>
      <w:rPr>
        <w:rFonts w:eastAsia="Calibri" w:cs="Calibri" w:ascii="Calibri" w:hAnsi="Calibri"/>
        <w:i w:val="false"/>
        <w:iCs w:val="false"/>
        <w:sz w:val="21"/>
        <w:szCs w:val="21"/>
      </w:rPr>
      <w:t>6</w:t>
    </w:r>
    <w:r>
      <w:rPr>
        <w:rFonts w:eastAsia="Calibri" w:cs="Calibri" w:ascii="Calibri" w:hAnsi="Calibri"/>
        <w:i w:val="false"/>
        <w:iCs w:val="false"/>
        <w:sz w:val="21"/>
        <w:szCs w:val="21"/>
      </w:rPr>
      <w:fldChar w:fldCharType="end"/>
    </w:r>
    <w:r>
      <w:rPr>
        <w:rFonts w:eastAsia="Calibri" w:cs="Calibri" w:ascii="Calibri" w:hAnsi="Calibri"/>
        <w:color w:val="595959"/>
        <w:sz w:val="16"/>
        <w:szCs w:val="16"/>
      </w:rPr>
      <w:t xml:space="preserve"> de </w:t>
    </w:r>
    <w:r>
      <w:rPr>
        <w:rFonts w:eastAsia="Calibri" w:cs="Calibri" w:ascii="Calibri" w:hAnsi="Calibri"/>
        <w:i w:val="false"/>
        <w:iCs w:val="false"/>
        <w:sz w:val="21"/>
        <w:szCs w:val="21"/>
      </w:rPr>
      <w:fldChar w:fldCharType="begin"/>
    </w:r>
    <w:r>
      <w:rPr>
        <w:rFonts w:eastAsia="Calibri" w:cs="Calibri" w:ascii="Calibri" w:hAnsi="Calibri"/>
        <w:i w:val="false"/>
        <w:iCs w:val="false"/>
        <w:sz w:val="21"/>
        <w:szCs w:val="21"/>
      </w:rPr>
      <w:instrText xml:space="preserve"> NUMPAGES </w:instrText>
    </w:r>
    <w:r>
      <w:rPr>
        <w:rFonts w:eastAsia="Calibri" w:cs="Calibri" w:ascii="Calibri" w:hAnsi="Calibri"/>
        <w:i w:val="false"/>
        <w:iCs w:val="false"/>
        <w:sz w:val="21"/>
        <w:szCs w:val="21"/>
      </w:rPr>
      <w:fldChar w:fldCharType="separate"/>
    </w:r>
    <w:r>
      <w:rPr>
        <w:rFonts w:eastAsia="Calibri" w:cs="Calibri" w:ascii="Calibri" w:hAnsi="Calibri"/>
        <w:i w:val="false"/>
        <w:iCs w:val="false"/>
        <w:sz w:val="21"/>
        <w:szCs w:val="21"/>
      </w:rPr>
      <w:t>6</w:t>
    </w:r>
    <w:r>
      <w:rPr>
        <w:rFonts w:eastAsia="Calibri" w:cs="Calibri" w:ascii="Calibri" w:hAnsi="Calibri"/>
        <w:i w:val="false"/>
        <w:iCs w:val="false"/>
        <w:sz w:val="21"/>
        <w:szCs w:val="21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BFBFBF"/>
      </w:pBdr>
      <w:jc w:val="end"/>
      <w:rPr/>
    </w:pPr>
    <w:r>
      <w:rPr>
        <w:rFonts w:eastAsia="Calibri" w:cs="Calibri" w:ascii="Calibri" w:hAnsi="Calibri"/>
        <w:i/>
        <w:iCs/>
        <w:color w:val="595959"/>
        <w:sz w:val="16"/>
        <w:szCs w:val="16"/>
      </w:rPr>
      <w:t>Diseño de Centro de Datos Híbrido — Plantilla de informe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BFBFBF"/>
      </w:pBdr>
      <w:jc w:val="end"/>
      <w:rPr/>
    </w:pPr>
    <w:r>
      <w:rPr>
        <w:rFonts w:eastAsia="Calibri" w:cs="Calibri" w:ascii="Calibri" w:hAnsi="Calibri"/>
        <w:i/>
        <w:iCs/>
        <w:color w:val="595959"/>
        <w:sz w:val="16"/>
        <w:szCs w:val="16"/>
      </w:rPr>
      <w:t>Diseño de Centro de Datos Híbrido — Plantilla de informe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431" w:hanging="259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s-E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s-E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s-E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  <Pages>6</Pages>
  <Words>1124</Words>
  <Characters>6433</Characters>
  <CharactersWithSpaces>7375</CharactersWithSpaces>
  <Paragraphs>187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2026-08-20T00:18:43Z</dcterms:created>
  <dc:creator>Un-named</dc:creator>
  <dc:description/>
  <dc:language>es-ES</dc:language>
  <cp:lastModifiedBy/>
  <dcterms:modified xsi:type="dcterms:W3CDTF">2026-08-19T19:25:34Z</dcterms:modified>
  <cp:revision>2</cp:revision>
  <dc:subject/>
  <dc:title/>
</cp:coreProperties>
</file>