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4399"/>
        <w:gridCol w:w="2350"/>
        <w:gridCol w:w="1700"/>
      </w:tblGrid>
      <w:tr w:rsidR="00710B4C" w:rsidRPr="00667515" w:rsidTr="00FE233B">
        <w:trPr>
          <w:trHeight w:val="284"/>
        </w:trPr>
        <w:tc>
          <w:tcPr>
            <w:tcW w:w="912" w:type="dxa"/>
            <w:vMerge w:val="restart"/>
          </w:tcPr>
          <w:p w:rsidR="00710B4C" w:rsidRPr="00667515" w:rsidRDefault="00710B4C" w:rsidP="00FE233B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2B85D2E" wp14:editId="45DB6F7F">
                  <wp:extent cx="428625" cy="4667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10B4C" w:rsidRPr="00936289" w:rsidRDefault="00710B4C" w:rsidP="00FE233B">
            <w:pPr>
              <w:pStyle w:val="NoSpacing"/>
              <w:rPr>
                <w:sz w:val="28"/>
                <w:szCs w:val="28"/>
              </w:rPr>
            </w:pPr>
            <w:r w:rsidRPr="00936289">
              <w:rPr>
                <w:sz w:val="28"/>
                <w:szCs w:val="28"/>
              </w:rPr>
              <w:t>420-536 Windows Networking</w:t>
            </w:r>
          </w:p>
        </w:tc>
        <w:tc>
          <w:tcPr>
            <w:tcW w:w="2430" w:type="dxa"/>
          </w:tcPr>
          <w:p w:rsidR="00710B4C" w:rsidRPr="00936289" w:rsidRDefault="00710B4C" w:rsidP="00FE233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:rsidR="00710B4C" w:rsidRPr="00936289" w:rsidRDefault="00710B4C" w:rsidP="00710B4C">
            <w:pPr>
              <w:pStyle w:val="NoSpacing"/>
              <w:rPr>
                <w:sz w:val="28"/>
                <w:szCs w:val="28"/>
              </w:rPr>
            </w:pPr>
            <w:r w:rsidRPr="00936289">
              <w:rPr>
                <w:sz w:val="28"/>
                <w:szCs w:val="28"/>
              </w:rPr>
              <w:t xml:space="preserve">Worth </w:t>
            </w:r>
            <w:r>
              <w:rPr>
                <w:sz w:val="28"/>
                <w:szCs w:val="28"/>
              </w:rPr>
              <w:t>3</w:t>
            </w:r>
            <w:r w:rsidRPr="00936289">
              <w:rPr>
                <w:sz w:val="28"/>
                <w:szCs w:val="28"/>
              </w:rPr>
              <w:t>.5%</w:t>
            </w:r>
          </w:p>
        </w:tc>
      </w:tr>
      <w:tr w:rsidR="00710B4C" w:rsidRPr="00667515" w:rsidTr="00FE233B">
        <w:trPr>
          <w:trHeight w:val="323"/>
        </w:trPr>
        <w:tc>
          <w:tcPr>
            <w:tcW w:w="912" w:type="dxa"/>
            <w:vMerge/>
          </w:tcPr>
          <w:p w:rsidR="00710B4C" w:rsidRPr="00667515" w:rsidRDefault="00710B4C" w:rsidP="00FE233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506" w:type="dxa"/>
          </w:tcPr>
          <w:p w:rsidR="00710B4C" w:rsidRPr="00667515" w:rsidRDefault="00710B4C" w:rsidP="00D95B09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color w:val="000000"/>
                <w:sz w:val="28"/>
                <w:szCs w:val="28"/>
              </w:rPr>
              <w:t>Winter 201</w:t>
            </w:r>
            <w:r w:rsidR="00D95B09">
              <w:rPr>
                <w:color w:val="000000"/>
                <w:sz w:val="28"/>
                <w:szCs w:val="28"/>
              </w:rPr>
              <w:t>7</w:t>
            </w:r>
            <w:r w:rsidRPr="0066751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2430" w:type="dxa"/>
          </w:tcPr>
          <w:p w:rsidR="00710B4C" w:rsidRPr="00667515" w:rsidRDefault="00710B4C" w:rsidP="00FE233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</w:tcPr>
          <w:p w:rsidR="00710B4C" w:rsidRPr="00667515" w:rsidRDefault="00710B4C" w:rsidP="00FE233B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A4186" w:rsidRPr="000B44A4" w:rsidRDefault="00710B4C" w:rsidP="00BA4186">
      <w:pPr>
        <w:jc w:val="center"/>
      </w:pPr>
      <w:r w:rsidRPr="00484657">
        <w:rPr>
          <w:sz w:val="28"/>
          <w:szCs w:val="28"/>
          <w:u w:val="single"/>
        </w:rPr>
        <w:t>Assignment #</w:t>
      </w:r>
      <w:r w:rsidR="00D95B09">
        <w:rPr>
          <w:sz w:val="28"/>
          <w:szCs w:val="28"/>
          <w:u w:val="single"/>
        </w:rPr>
        <w:t>1c</w:t>
      </w:r>
      <w:r>
        <w:rPr>
          <w:sz w:val="28"/>
          <w:szCs w:val="28"/>
          <w:u w:val="single"/>
        </w:rPr>
        <w:t>: Installing Windows Server</w:t>
      </w:r>
    </w:p>
    <w:p w:rsidR="00BA4186" w:rsidRDefault="00BA4186"/>
    <w:p w:rsidR="00C76829" w:rsidRDefault="00002AAF" w:rsidP="00002AAF">
      <w:pPr>
        <w:pStyle w:val="Heading1"/>
      </w:pPr>
      <w:r>
        <w:t>Preamble</w:t>
      </w:r>
    </w:p>
    <w:p w:rsidR="00002AAF" w:rsidRPr="00002AAF" w:rsidRDefault="00002AAF" w:rsidP="00002AAF"/>
    <w:p w:rsidR="00C76829" w:rsidRPr="00002AAF" w:rsidRDefault="00C76829" w:rsidP="00C76829">
      <w:pPr>
        <w:rPr>
          <w:color w:val="231F20"/>
          <w:sz w:val="24"/>
          <w:szCs w:val="24"/>
        </w:rPr>
      </w:pPr>
      <w:r w:rsidRPr="00002AAF">
        <w:rPr>
          <w:sz w:val="24"/>
          <w:szCs w:val="24"/>
        </w:rPr>
        <w:t xml:space="preserve">In this </w:t>
      </w:r>
      <w:r w:rsidR="00910677">
        <w:rPr>
          <w:sz w:val="24"/>
          <w:szCs w:val="24"/>
        </w:rPr>
        <w:t>portion</w:t>
      </w:r>
      <w:r w:rsidRPr="00002AAF">
        <w:rPr>
          <w:sz w:val="24"/>
          <w:szCs w:val="24"/>
        </w:rPr>
        <w:t xml:space="preserve"> you will be </w:t>
      </w:r>
      <w:r w:rsidR="00910677">
        <w:rPr>
          <w:sz w:val="24"/>
          <w:szCs w:val="24"/>
        </w:rPr>
        <w:t>researching some basic question about Server installation</w:t>
      </w:r>
      <w:r w:rsidRPr="00002AAF">
        <w:rPr>
          <w:sz w:val="24"/>
          <w:szCs w:val="24"/>
        </w:rPr>
        <w:t>.</w:t>
      </w:r>
    </w:p>
    <w:p w:rsidR="00C76829" w:rsidRDefault="00C76829" w:rsidP="00002AAF">
      <w:pPr>
        <w:pStyle w:val="Heading1"/>
      </w:pPr>
      <w:r w:rsidRPr="00C76829">
        <w:t>Mindset</w:t>
      </w:r>
    </w:p>
    <w:p w:rsidR="00002AAF" w:rsidRPr="00002AAF" w:rsidRDefault="00002AAF" w:rsidP="00002AAF"/>
    <w:p w:rsidR="00C76829" w:rsidRPr="00002AAF" w:rsidRDefault="00C76829" w:rsidP="00C76829">
      <w:pPr>
        <w:rPr>
          <w:color w:val="231F20"/>
          <w:sz w:val="24"/>
          <w:szCs w:val="24"/>
        </w:rPr>
      </w:pPr>
      <w:r w:rsidRPr="00002AAF">
        <w:rPr>
          <w:color w:val="231F20"/>
          <w:sz w:val="24"/>
          <w:szCs w:val="24"/>
        </w:rPr>
        <w:t xml:space="preserve">In many cases, organizations purchase servers without operating systems installed—sometimes called </w:t>
      </w:r>
      <w:r w:rsidRPr="00002AAF">
        <w:rPr>
          <w:i/>
          <w:iCs/>
          <w:color w:val="231F20"/>
          <w:sz w:val="24"/>
          <w:szCs w:val="24"/>
        </w:rPr>
        <w:t>bare metal servers</w:t>
      </w:r>
      <w:r w:rsidRPr="00002AAF">
        <w:rPr>
          <w:color w:val="231F20"/>
          <w:sz w:val="24"/>
          <w:szCs w:val="24"/>
        </w:rPr>
        <w:t>—either because they have an existing license agreement or because they intend to purchase the OS through another channel. In these cases, you perform what is known as a</w:t>
      </w:r>
      <w:r w:rsidR="00D4654E">
        <w:rPr>
          <w:color w:val="231F20"/>
          <w:sz w:val="24"/>
          <w:szCs w:val="24"/>
        </w:rPr>
        <w:t xml:space="preserve"> </w:t>
      </w:r>
      <w:r w:rsidRPr="00002AAF">
        <w:rPr>
          <w:i/>
          <w:iCs/>
          <w:color w:val="231F20"/>
          <w:sz w:val="24"/>
          <w:szCs w:val="24"/>
        </w:rPr>
        <w:t>clean operating system installation</w:t>
      </w:r>
      <w:r w:rsidRPr="00002AAF">
        <w:rPr>
          <w:color w:val="231F20"/>
          <w:sz w:val="24"/>
          <w:szCs w:val="24"/>
        </w:rPr>
        <w:t>, which is a procedure that creates a new server with its default operating system settings.</w:t>
      </w:r>
    </w:p>
    <w:p w:rsidR="00C76829" w:rsidRDefault="00C76829">
      <w:pPr>
        <w:rPr>
          <w:rFonts w:ascii="Times-Roman" w:hAnsi="Times-Roman"/>
          <w:color w:val="231F20"/>
        </w:rPr>
      </w:pPr>
      <w:r>
        <w:rPr>
          <w:rFonts w:ascii="Times-Roman" w:hAnsi="Times-Roman"/>
          <w:color w:val="231F20"/>
        </w:rPr>
        <w:br w:type="page"/>
      </w:r>
    </w:p>
    <w:p w:rsidR="00002AAF" w:rsidRPr="00002AAF" w:rsidRDefault="00910677" w:rsidP="00305ACA">
      <w:pPr>
        <w:pStyle w:val="Heading1"/>
      </w:pPr>
      <w:r w:rsidRPr="00305ACA">
        <w:rPr>
          <w:rStyle w:val="Heading1Char"/>
        </w:rPr>
        <w:lastRenderedPageBreak/>
        <w:t>Questions</w:t>
      </w:r>
    </w:p>
    <w:p w:rsidR="008633CF" w:rsidRDefault="008633CF" w:rsidP="007D22D6">
      <w:pPr>
        <w:pStyle w:val="ListParagraph"/>
        <w:rPr>
          <w:rStyle w:val="Heading1Char"/>
        </w:rPr>
      </w:pPr>
    </w:p>
    <w:p w:rsidR="00305ACA" w:rsidRPr="00305ACA" w:rsidRDefault="00305ACA" w:rsidP="00305ACA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305ACA">
        <w:rPr>
          <w:rStyle w:val="Heading1Char"/>
          <w:rFonts w:asciiTheme="minorHAnsi" w:eastAsiaTheme="minorHAnsi" w:hAnsiTheme="minorHAnsi" w:cstheme="minorBidi"/>
          <w:b/>
          <w:color w:val="auto"/>
          <w:sz w:val="24"/>
          <w:szCs w:val="22"/>
        </w:rPr>
        <w:t>Question #</w:t>
      </w:r>
      <w:r>
        <w:rPr>
          <w:rStyle w:val="Heading1Char"/>
          <w:rFonts w:asciiTheme="minorHAnsi" w:eastAsiaTheme="minorHAnsi" w:hAnsiTheme="minorHAnsi" w:cstheme="minorBidi"/>
          <w:b/>
          <w:color w:val="auto"/>
          <w:sz w:val="24"/>
          <w:szCs w:val="22"/>
        </w:rPr>
        <w:t>1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: What should you do </w:t>
      </w: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if the Windows installer doesn’t 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list any drives or partitions?</w:t>
      </w:r>
    </w:p>
    <w:p w:rsidR="00305ACA" w:rsidRDefault="00305ACA" w:rsidP="00305ACA">
      <w:pPr>
        <w:rPr>
          <w:rStyle w:val="Heading1Char"/>
          <w:rFonts w:asciiTheme="minorHAnsi" w:eastAsiaTheme="minorHAnsi" w:hAnsiTheme="minorHAnsi" w:cstheme="minorBidi"/>
          <w:b/>
          <w:color w:val="auto"/>
          <w:sz w:val="24"/>
          <w:szCs w:val="22"/>
        </w:rPr>
      </w:pPr>
    </w:p>
    <w:p w:rsidR="00992A32" w:rsidRPr="00305ACA" w:rsidRDefault="00C76829" w:rsidP="00305ACA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305ACA">
        <w:rPr>
          <w:rStyle w:val="Heading1Char"/>
          <w:rFonts w:asciiTheme="minorHAnsi" w:eastAsiaTheme="minorHAnsi" w:hAnsiTheme="minorHAnsi" w:cstheme="minorBidi"/>
          <w:b/>
          <w:color w:val="auto"/>
          <w:sz w:val="24"/>
          <w:szCs w:val="22"/>
        </w:rPr>
        <w:t xml:space="preserve">Question </w:t>
      </w:r>
      <w:r w:rsidR="00305ACA">
        <w:rPr>
          <w:rStyle w:val="Heading1Char"/>
          <w:rFonts w:asciiTheme="minorHAnsi" w:eastAsiaTheme="minorHAnsi" w:hAnsiTheme="minorHAnsi" w:cstheme="minorBidi"/>
          <w:b/>
          <w:color w:val="auto"/>
          <w:sz w:val="24"/>
          <w:szCs w:val="22"/>
        </w:rPr>
        <w:t>#2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: </w:t>
      </w:r>
      <w:r w:rsid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What should you do </w:t>
      </w:r>
      <w:r w:rsid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during the Windows Server 2012r2 installation process 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if the drive on which you want to install already has a partition on it </w:t>
      </w:r>
      <w:r w:rsid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with an </w:t>
      </w:r>
      <w:r w:rsidRPr="00305AC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operating system and data you do not need?</w:t>
      </w:r>
    </w:p>
    <w:p w:rsidR="00305ACA" w:rsidRPr="00305ACA" w:rsidRDefault="00305ACA" w:rsidP="00305ACA">
      <w:pPr>
        <w:rPr>
          <w:sz w:val="24"/>
        </w:rPr>
      </w:pPr>
    </w:p>
    <w:p w:rsidR="00361F91" w:rsidRPr="00305ACA" w:rsidRDefault="00361F91" w:rsidP="00305ACA">
      <w:pPr>
        <w:rPr>
          <w:sz w:val="24"/>
        </w:rPr>
      </w:pPr>
      <w:r w:rsidRPr="00305ACA">
        <w:rPr>
          <w:b/>
          <w:sz w:val="24"/>
        </w:rPr>
        <w:t xml:space="preserve">Question </w:t>
      </w:r>
      <w:r w:rsidR="00AD0D28" w:rsidRPr="00305ACA">
        <w:rPr>
          <w:b/>
          <w:sz w:val="24"/>
        </w:rPr>
        <w:t>#</w:t>
      </w:r>
      <w:r w:rsidRPr="00305ACA">
        <w:rPr>
          <w:b/>
          <w:sz w:val="24"/>
        </w:rPr>
        <w:t>3</w:t>
      </w:r>
      <w:r w:rsidRPr="00305ACA">
        <w:rPr>
          <w:sz w:val="24"/>
        </w:rPr>
        <w:t xml:space="preserve">: </w:t>
      </w:r>
      <w:r w:rsidR="00305ACA">
        <w:rPr>
          <w:sz w:val="24"/>
        </w:rPr>
        <w:t>Windows Server can be installed using either a new install or upgrade install process.  Under what conditions is the upgrade option not available</w:t>
      </w:r>
      <w:r w:rsidRPr="00305ACA">
        <w:rPr>
          <w:sz w:val="24"/>
        </w:rPr>
        <w:t>?</w:t>
      </w:r>
    </w:p>
    <w:p w:rsidR="00AD0D28" w:rsidRPr="00305ACA" w:rsidRDefault="00AD0D28" w:rsidP="00305ACA">
      <w:pPr>
        <w:rPr>
          <w:sz w:val="24"/>
        </w:rPr>
      </w:pPr>
    </w:p>
    <w:p w:rsidR="00AD0D28" w:rsidRPr="00305ACA" w:rsidRDefault="00AD0D28" w:rsidP="00305ACA">
      <w:pPr>
        <w:rPr>
          <w:sz w:val="24"/>
        </w:rPr>
      </w:pPr>
      <w:r w:rsidRPr="00305ACA">
        <w:rPr>
          <w:b/>
          <w:sz w:val="24"/>
        </w:rPr>
        <w:t>Question #4</w:t>
      </w:r>
      <w:r w:rsidRPr="00305ACA">
        <w:rPr>
          <w:sz w:val="24"/>
        </w:rPr>
        <w:t xml:space="preserve">: </w:t>
      </w:r>
      <w:r w:rsidR="00305ACA">
        <w:rPr>
          <w:sz w:val="24"/>
        </w:rPr>
        <w:t xml:space="preserve">Instead of doing an upgrade install, you can use </w:t>
      </w:r>
      <w:r w:rsidRPr="00305ACA">
        <w:rPr>
          <w:sz w:val="24"/>
        </w:rPr>
        <w:t xml:space="preserve">the Windows Server Migration Tool </w:t>
      </w:r>
      <w:r w:rsidR="00305ACA">
        <w:rPr>
          <w:sz w:val="24"/>
        </w:rPr>
        <w:t>with a fresh install</w:t>
      </w:r>
      <w:r w:rsidRPr="00305ACA">
        <w:rPr>
          <w:sz w:val="24"/>
        </w:rPr>
        <w:t xml:space="preserve">.  How </w:t>
      </w:r>
      <w:r w:rsidR="00305ACA">
        <w:rPr>
          <w:sz w:val="24"/>
        </w:rPr>
        <w:t>is this different from an upgrade install?  What is WSMT doing?</w:t>
      </w:r>
      <w:bookmarkStart w:id="0" w:name="_GoBack"/>
      <w:bookmarkEnd w:id="0"/>
    </w:p>
    <w:p w:rsidR="00AD0D28" w:rsidRPr="00AD0D28" w:rsidRDefault="00AD0D28" w:rsidP="00AD0D28"/>
    <w:p w:rsidR="009275E0" w:rsidRDefault="009275E0">
      <w:r>
        <w:br w:type="page"/>
      </w:r>
    </w:p>
    <w:p w:rsidR="00361F91" w:rsidRDefault="00AD0D28" w:rsidP="009275E0">
      <w:pPr>
        <w:pStyle w:val="Heading1"/>
      </w:pPr>
      <w:r>
        <w:lastRenderedPageBreak/>
        <w:t>Deliverables:</w:t>
      </w:r>
    </w:p>
    <w:p w:rsidR="009275E0" w:rsidRDefault="009275E0" w:rsidP="00AD0D28"/>
    <w:p w:rsidR="00305ACA" w:rsidRDefault="00305ACA" w:rsidP="00AD0D28">
      <w:pPr>
        <w:pStyle w:val="ListParagraph"/>
        <w:numPr>
          <w:ilvl w:val="0"/>
          <w:numId w:val="1"/>
        </w:numPr>
      </w:pPr>
      <w:r>
        <w:t>A zip file (</w:t>
      </w:r>
      <w:r w:rsidRPr="00305ACA">
        <w:rPr>
          <w:b/>
          <w:u w:val="single"/>
        </w:rPr>
        <w:t>no other formats!</w:t>
      </w:r>
      <w:r>
        <w:t>) containing:</w:t>
      </w:r>
    </w:p>
    <w:p w:rsidR="00AD0D28" w:rsidRDefault="00AD0D28" w:rsidP="00305ACA">
      <w:pPr>
        <w:pStyle w:val="ListParagraph"/>
        <w:numPr>
          <w:ilvl w:val="1"/>
          <w:numId w:val="1"/>
        </w:numPr>
      </w:pPr>
      <w:r>
        <w:t>An MS-Word or PDF document (</w:t>
      </w:r>
      <w:r w:rsidRPr="009275E0">
        <w:rPr>
          <w:b/>
          <w:u w:val="single"/>
        </w:rPr>
        <w:t>no other formats!</w:t>
      </w:r>
      <w:r>
        <w:t>) with answers to the four research questions in the lab.</w:t>
      </w:r>
    </w:p>
    <w:p w:rsidR="00AD0D28" w:rsidRDefault="00AD0D28" w:rsidP="00305ACA">
      <w:pPr>
        <w:pStyle w:val="ListParagraph"/>
        <w:numPr>
          <w:ilvl w:val="1"/>
          <w:numId w:val="1"/>
        </w:numPr>
      </w:pPr>
      <w:r>
        <w:t xml:space="preserve">A </w:t>
      </w:r>
      <w:r w:rsidR="00A20C6A">
        <w:t xml:space="preserve">Powershell script </w:t>
      </w:r>
      <w:r>
        <w:t>that does the following:</w:t>
      </w:r>
    </w:p>
    <w:p w:rsidR="008577C2" w:rsidRDefault="00AD0D28" w:rsidP="00305ACA">
      <w:pPr>
        <w:pStyle w:val="ListParagraph"/>
        <w:numPr>
          <w:ilvl w:val="2"/>
          <w:numId w:val="1"/>
        </w:numPr>
      </w:pPr>
      <w:r>
        <w:t>C</w:t>
      </w:r>
      <w:r w:rsidR="00372AFD">
        <w:t xml:space="preserve">reate a </w:t>
      </w:r>
      <w:r w:rsidR="008577C2">
        <w:t xml:space="preserve">local </w:t>
      </w:r>
      <w:r w:rsidR="00372AFD">
        <w:t xml:space="preserve">group called </w:t>
      </w:r>
      <w:r w:rsidR="00372AFD" w:rsidRPr="008577C2">
        <w:rPr>
          <w:b/>
          <w:i/>
        </w:rPr>
        <w:t>teachers</w:t>
      </w:r>
      <w:r w:rsidR="00375216">
        <w:t xml:space="preserve"> </w:t>
      </w:r>
    </w:p>
    <w:p w:rsidR="00A20C6A" w:rsidRDefault="00AD0D28" w:rsidP="00305ACA">
      <w:pPr>
        <w:pStyle w:val="ListParagraph"/>
        <w:numPr>
          <w:ilvl w:val="2"/>
          <w:numId w:val="1"/>
        </w:numPr>
      </w:pPr>
      <w:r>
        <w:t xml:space="preserve">Create a user called </w:t>
      </w:r>
      <w:r w:rsidR="007D22D6">
        <w:rPr>
          <w:b/>
          <w:i/>
        </w:rPr>
        <w:t>Jim</w:t>
      </w:r>
      <w:r w:rsidR="00B91549">
        <w:t xml:space="preserve"> (note the exact case</w:t>
      </w:r>
      <w:r w:rsidR="00372AFD">
        <w:t xml:space="preserve"> and spelling</w:t>
      </w:r>
      <w:r w:rsidR="00B91549">
        <w:t>)</w:t>
      </w:r>
      <w:r w:rsidR="00375216">
        <w:t>.</w:t>
      </w:r>
      <w:r>
        <w:t xml:space="preserve">  Add the account to the </w:t>
      </w:r>
      <w:r w:rsidRPr="008577C2">
        <w:rPr>
          <w:b/>
          <w:i/>
        </w:rPr>
        <w:t>teachers</w:t>
      </w:r>
      <w:r>
        <w:t xml:space="preserve"> group</w:t>
      </w:r>
      <w:r w:rsidR="008577C2">
        <w:t xml:space="preserve"> </w:t>
      </w:r>
      <w:r w:rsidR="008577C2" w:rsidRPr="007D22D6">
        <w:rPr>
          <w:u w:val="single"/>
        </w:rPr>
        <w:t>and</w:t>
      </w:r>
      <w:r w:rsidR="008577C2">
        <w:t xml:space="preserve"> local administrators groups</w:t>
      </w:r>
      <w:r>
        <w:t>.</w:t>
      </w:r>
      <w:r w:rsidR="00BA4186">
        <w:t xml:space="preserve">  Set the password to something secure – </w:t>
      </w:r>
      <w:r w:rsidR="00BA4186" w:rsidRPr="008577C2">
        <w:rPr>
          <w:b/>
          <w:i/>
        </w:rPr>
        <w:t>take note of it</w:t>
      </w:r>
      <w:r w:rsidR="00BA4186">
        <w:t>.</w:t>
      </w:r>
    </w:p>
    <w:p w:rsidR="00375216" w:rsidRDefault="00372AFD" w:rsidP="00305ACA">
      <w:pPr>
        <w:pStyle w:val="ListParagraph"/>
        <w:numPr>
          <w:ilvl w:val="2"/>
          <w:numId w:val="1"/>
        </w:numPr>
      </w:pPr>
      <w:r>
        <w:t>Create</w:t>
      </w:r>
      <w:r w:rsidR="00B91549">
        <w:t xml:space="preserve"> a</w:t>
      </w:r>
      <w:r w:rsidR="008577C2">
        <w:t xml:space="preserve"> local</w:t>
      </w:r>
      <w:r w:rsidR="00B91549">
        <w:t xml:space="preserve"> </w:t>
      </w:r>
      <w:r w:rsidR="00B91549" w:rsidRPr="00B91549">
        <w:rPr>
          <w:b/>
          <w:i/>
        </w:rPr>
        <w:t>students</w:t>
      </w:r>
      <w:r w:rsidR="00B91549">
        <w:t xml:space="preserve"> group</w:t>
      </w:r>
      <w:r w:rsidR="0004172F">
        <w:t xml:space="preserve"> and create all the usernames found on the first page of this assignment.  </w:t>
      </w:r>
      <w:r w:rsidR="00375216">
        <w:t>Set the pas</w:t>
      </w:r>
      <w:r w:rsidR="00D4654E">
        <w:t xml:space="preserve">swords to “Password123” for now.  </w:t>
      </w:r>
      <w:r w:rsidR="00D4654E" w:rsidRPr="00D4654E">
        <w:t xml:space="preserve">Modify </w:t>
      </w:r>
      <w:r w:rsidR="00D4654E">
        <w:t xml:space="preserve">the minimum </w:t>
      </w:r>
      <w:r w:rsidR="00D4654E" w:rsidRPr="00D4654E">
        <w:t>password age policy to allow users to change their password immediately</w:t>
      </w:r>
      <w:r w:rsidR="00D4654E">
        <w:t xml:space="preserve"> </w:t>
      </w:r>
    </w:p>
    <w:p w:rsidR="00D4654E" w:rsidRDefault="00D4654E" w:rsidP="00305ACA">
      <w:pPr>
        <w:pStyle w:val="ListParagraph"/>
        <w:ind w:left="1080" w:firstLine="360"/>
      </w:pPr>
      <w:r w:rsidRPr="00D4654E">
        <w:rPr>
          <w:b/>
        </w:rPr>
        <w:t>NOTES</w:t>
      </w:r>
      <w:r>
        <w:t xml:space="preserve">:  </w:t>
      </w:r>
    </w:p>
    <w:p w:rsidR="00D4654E" w:rsidRDefault="00D4654E" w:rsidP="00D4654E">
      <w:pPr>
        <w:pStyle w:val="ListParagraph"/>
        <w:numPr>
          <w:ilvl w:val="0"/>
          <w:numId w:val="6"/>
        </w:numPr>
      </w:pPr>
      <w:r>
        <w:t xml:space="preserve">Use a single for loop to create and configure the student accounts.  </w:t>
      </w:r>
    </w:p>
    <w:p w:rsidR="00AD0D28" w:rsidRDefault="00AD0D28" w:rsidP="00305ACA">
      <w:pPr>
        <w:pStyle w:val="ListParagraph"/>
        <w:numPr>
          <w:ilvl w:val="1"/>
          <w:numId w:val="1"/>
        </w:numPr>
      </w:pPr>
      <w:r>
        <w:t xml:space="preserve">A file called password.txt containing nothing but the password for the </w:t>
      </w:r>
      <w:r w:rsidRPr="0004172F">
        <w:rPr>
          <w:b/>
          <w:i/>
        </w:rPr>
        <w:t>j</w:t>
      </w:r>
      <w:r w:rsidR="00305ACA">
        <w:rPr>
          <w:b/>
          <w:i/>
        </w:rPr>
        <w:t>im</w:t>
      </w:r>
      <w:r>
        <w:t xml:space="preserve"> administrator account.</w:t>
      </w:r>
    </w:p>
    <w:p w:rsidR="00BA4186" w:rsidRDefault="00BA4186" w:rsidP="00BA4186"/>
    <w:tbl>
      <w:tblPr>
        <w:tblStyle w:val="TableGrid"/>
        <w:tblW w:w="156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</w:tblGrid>
      <w:tr w:rsidR="00910677" w:rsidRPr="008F7E01" w:rsidTr="00C45562">
        <w:tc>
          <w:tcPr>
            <w:tcW w:w="1560" w:type="dxa"/>
            <w:shd w:val="clear" w:color="auto" w:fill="8DB3E2" w:themeFill="text2" w:themeFillTint="66"/>
          </w:tcPr>
          <w:p w:rsidR="00910677" w:rsidRPr="008F7E01" w:rsidRDefault="00910677" w:rsidP="00C45562">
            <w:r>
              <w:t>User Names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Ahmed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Buchanan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ElHindawi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Grondin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Jasiukajc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Jette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Lazarek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McKenzie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Roy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Tardy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Bhardwaj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Brazeau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Cote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Findleton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Hakala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Landovskis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Lefebvre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Leveille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Mavrick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>Mecksavanh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Merariu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lastRenderedPageBreak/>
              <w:t xml:space="preserve">Moscovitch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Nakhuda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Patel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Petion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</w:rPr>
            </w:pPr>
            <w:r w:rsidRPr="007D22D6">
              <w:rPr>
                <w:rFonts w:cstheme="minorHAnsi"/>
                <w:szCs w:val="18"/>
              </w:rPr>
              <w:t xml:space="preserve">Pinard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 xml:space="preserve">Rafters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 xml:space="preserve">Roux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 xml:space="preserve">Said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 xml:space="preserve">Shah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 xml:space="preserve">Therrien 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>Ve</w:t>
            </w:r>
          </w:p>
        </w:tc>
      </w:tr>
      <w:tr w:rsidR="00910677" w:rsidRPr="008F7E01" w:rsidTr="00C45562">
        <w:tc>
          <w:tcPr>
            <w:tcW w:w="1560" w:type="dxa"/>
          </w:tcPr>
          <w:p w:rsidR="00910677" w:rsidRPr="007D22D6" w:rsidRDefault="00910677" w:rsidP="00C45562">
            <w:pPr>
              <w:jc w:val="both"/>
              <w:rPr>
                <w:rFonts w:cstheme="minorHAnsi"/>
                <w:szCs w:val="18"/>
              </w:rPr>
            </w:pPr>
            <w:r w:rsidRPr="007D22D6">
              <w:rPr>
                <w:rFonts w:cstheme="minorHAnsi"/>
                <w:szCs w:val="18"/>
              </w:rPr>
              <w:t>Verma</w:t>
            </w:r>
          </w:p>
        </w:tc>
      </w:tr>
    </w:tbl>
    <w:p w:rsidR="00910677" w:rsidRDefault="00910677" w:rsidP="00BA4186"/>
    <w:p w:rsidR="00BA4186" w:rsidRDefault="00BA4186" w:rsidP="00BA4186">
      <w:r>
        <w:t xml:space="preserve">Once completed, submit the </w:t>
      </w:r>
      <w:r w:rsidR="0004172F">
        <w:t xml:space="preserve">zip file to </w:t>
      </w:r>
      <w:r w:rsidR="00782C16">
        <w:t xml:space="preserve">Lea.  </w:t>
      </w:r>
      <w:r w:rsidR="0004172F">
        <w:t xml:space="preserve"> </w:t>
      </w:r>
      <w:r w:rsidR="00782C16">
        <w:t xml:space="preserve">I will log into machines individually to </w:t>
      </w:r>
      <w:r w:rsidR="0004172F">
        <w:t xml:space="preserve">check the </w:t>
      </w:r>
      <w:r w:rsidR="0004172F" w:rsidRPr="00D4654E">
        <w:rPr>
          <w:b/>
          <w:i/>
        </w:rPr>
        <w:t>jmatthews</w:t>
      </w:r>
      <w:r w:rsidR="0004172F">
        <w:t xml:space="preserve"> account, so please test that it works</w:t>
      </w:r>
      <w:r w:rsidR="00782C16">
        <w:t xml:space="preserve">.  </w:t>
      </w:r>
      <w:r w:rsidR="0004172F">
        <w:t>I</w:t>
      </w:r>
      <w:r w:rsidR="00782C16">
        <w:t>f I c</w:t>
      </w:r>
      <w:r w:rsidR="0004172F">
        <w:t>an’t login, I cannot assess many assignments through the semester</w:t>
      </w:r>
      <w:r w:rsidR="00782C16">
        <w:t>!</w:t>
      </w:r>
    </w:p>
    <w:p w:rsidR="00782C16" w:rsidRDefault="00782C16" w:rsidP="00BA4186"/>
    <w:p w:rsidR="00782C16" w:rsidRDefault="00782C16" w:rsidP="00BA4186">
      <w:r w:rsidRPr="009275E0">
        <w:rPr>
          <w:u w:val="single"/>
        </w:rPr>
        <w:t>Late submissions will not be graded</w:t>
      </w:r>
      <w:r>
        <w:t xml:space="preserve"> but subsequent assignments as well as the project will require a configured server.</w:t>
      </w:r>
    </w:p>
    <w:sectPr w:rsidR="0078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2A50"/>
    <w:multiLevelType w:val="hybridMultilevel"/>
    <w:tmpl w:val="D74AB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8A4356"/>
    <w:multiLevelType w:val="hybridMultilevel"/>
    <w:tmpl w:val="103E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342"/>
    <w:multiLevelType w:val="hybridMultilevel"/>
    <w:tmpl w:val="3F8A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45073"/>
    <w:multiLevelType w:val="hybridMultilevel"/>
    <w:tmpl w:val="2E16751A"/>
    <w:lvl w:ilvl="0" w:tplc="D6AAB666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color w:val="auto"/>
        <w:sz w:val="24"/>
        <w:szCs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A31BE"/>
    <w:multiLevelType w:val="hybridMultilevel"/>
    <w:tmpl w:val="1436A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04D05"/>
    <w:multiLevelType w:val="hybridMultilevel"/>
    <w:tmpl w:val="F094F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7"/>
    <w:rsid w:val="00002AAF"/>
    <w:rsid w:val="0004172F"/>
    <w:rsid w:val="0004613D"/>
    <w:rsid w:val="000B44A4"/>
    <w:rsid w:val="000F27A1"/>
    <w:rsid w:val="00114C1C"/>
    <w:rsid w:val="00167BA5"/>
    <w:rsid w:val="001C508E"/>
    <w:rsid w:val="001C62F2"/>
    <w:rsid w:val="002357CD"/>
    <w:rsid w:val="002D6170"/>
    <w:rsid w:val="00305ACA"/>
    <w:rsid w:val="00310562"/>
    <w:rsid w:val="00343144"/>
    <w:rsid w:val="00361F91"/>
    <w:rsid w:val="00372AFD"/>
    <w:rsid w:val="00375216"/>
    <w:rsid w:val="0039051B"/>
    <w:rsid w:val="004944CE"/>
    <w:rsid w:val="00526FB5"/>
    <w:rsid w:val="00592C77"/>
    <w:rsid w:val="005A2B22"/>
    <w:rsid w:val="00667F63"/>
    <w:rsid w:val="006E3363"/>
    <w:rsid w:val="007078DC"/>
    <w:rsid w:val="00710B4C"/>
    <w:rsid w:val="00762DB3"/>
    <w:rsid w:val="00782C16"/>
    <w:rsid w:val="00790CD6"/>
    <w:rsid w:val="007D22D6"/>
    <w:rsid w:val="00821807"/>
    <w:rsid w:val="008577C2"/>
    <w:rsid w:val="008633CF"/>
    <w:rsid w:val="008A6436"/>
    <w:rsid w:val="008F7E01"/>
    <w:rsid w:val="00910677"/>
    <w:rsid w:val="009275E0"/>
    <w:rsid w:val="00992A32"/>
    <w:rsid w:val="00A20C6A"/>
    <w:rsid w:val="00A21FF2"/>
    <w:rsid w:val="00AD0D28"/>
    <w:rsid w:val="00B679A1"/>
    <w:rsid w:val="00B91549"/>
    <w:rsid w:val="00BA4186"/>
    <w:rsid w:val="00BD784A"/>
    <w:rsid w:val="00C37F69"/>
    <w:rsid w:val="00C76829"/>
    <w:rsid w:val="00C812E8"/>
    <w:rsid w:val="00CB60F8"/>
    <w:rsid w:val="00D4654E"/>
    <w:rsid w:val="00D95B09"/>
    <w:rsid w:val="00DA01BE"/>
    <w:rsid w:val="00F009D9"/>
    <w:rsid w:val="00F4060A"/>
    <w:rsid w:val="00F47B97"/>
    <w:rsid w:val="00F63EA9"/>
    <w:rsid w:val="00F9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7BEF"/>
  <w15:docId w15:val="{EFA7EAD5-7DF3-4CB0-B200-E75A83D2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8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3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710B4C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92A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8EB04405</Template>
  <TotalTime>750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Matthews</cp:lastModifiedBy>
  <cp:revision>23</cp:revision>
  <cp:lastPrinted>2015-02-12T13:23:00Z</cp:lastPrinted>
  <dcterms:created xsi:type="dcterms:W3CDTF">2015-12-26T20:19:00Z</dcterms:created>
  <dcterms:modified xsi:type="dcterms:W3CDTF">2017-01-26T17:51:00Z</dcterms:modified>
</cp:coreProperties>
</file>