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r>
        <w:rPr>
          <w:rFonts w:ascii="Palatino Linotype" w:hAnsi="Palatino Linotype"/>
          <w:b/>
        </w:rPr>
        <w:t>Ujang Badru Jaman</w:t>
      </w:r>
      <w:r w:rsidRPr="0002247F">
        <w:rPr>
          <w:rFonts w:ascii="Palatino Linotype" w:hAnsi="Palatino Linotype"/>
          <w:b/>
          <w:vertAlign w:val="superscript"/>
        </w:rPr>
        <w:t>3</w:t>
      </w:r>
      <w:r w:rsidRPr="002B49EF">
        <w:rPr>
          <w:rFonts w:ascii="Palatino Linotype" w:hAnsi="Palatino Linotype"/>
          <w:b/>
        </w:rPr>
        <w:t xml:space="preserve"> (10 pt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(9 pt)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pt)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pt)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r w:rsidRPr="00526980">
              <w:rPr>
                <w:rFonts w:ascii="Palatino Linotype" w:hAnsi="Palatino Linotype"/>
                <w:color w:val="000000"/>
                <w:sz w:val="18"/>
                <w:szCs w:val="18"/>
              </w:rPr>
              <w:t>Abstrak dibuat dalam bentuk paragraf dengan jumlah kata 100 sampai dengan 250 kata. Abstrak terdiri dari inti latar belakang masalah, tujuan penelitian, metode penelitian (populasi, metode penentuan sampel, sampel, teknik analisis data), simpulan utama, kebaruan penelitian dan implikasi penelitian</w:t>
            </w:r>
            <w:r>
              <w:rPr>
                <w:rFonts w:ascii="Palatino Linotype" w:hAnsi="Palatino Linotype"/>
                <w:color w:val="000000"/>
                <w:sz w:val="18"/>
                <w:szCs w:val="18"/>
              </w:rPr>
              <w:t xml:space="preserve"> (9 pt)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Kata Kunci:</w:t>
            </w:r>
            <w:r>
              <w:rPr>
                <w:rFonts w:ascii="Palatino Linotype" w:hAnsi="Palatino Linotype"/>
                <w:i/>
                <w:color w:val="000000"/>
                <w:sz w:val="18"/>
                <w:szCs w:val="18"/>
              </w:rPr>
              <w:t xml:space="preserve"> </w:t>
            </w:r>
            <w:r w:rsidRPr="003C1DC5">
              <w:rPr>
                <w:rFonts w:ascii="Palatino Linotype" w:hAnsi="Palatino Linotype"/>
                <w:i/>
                <w:sz w:val="18"/>
              </w:rPr>
              <w:t>Kata Kunci Pertama, Kata Kunci Kedua, Kata Kunci Ketiga, Kata Kunci Keempat</w:t>
            </w:r>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(9 pt)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Gambar 1. MarkPlus’s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r w:rsidRPr="004201A2">
        <w:rPr>
          <w:rFonts w:ascii="Palatino Linotype" w:hAnsi="Palatino Linotype"/>
        </w:rPr>
        <w:t>T</w:t>
      </w:r>
      <w:r>
        <w:rPr>
          <w:rFonts w:ascii="Palatino Linotype" w:hAnsi="Palatino Linotype"/>
        </w:rPr>
        <w:t>abel 1</w:t>
      </w:r>
      <w:r w:rsidRPr="004201A2">
        <w:rPr>
          <w:rFonts w:ascii="Palatino Linotype" w:hAnsi="Palatino Linotype"/>
        </w:rPr>
        <w:t>. Koefisien Jalur Dimensi-dimensi Kualitas Layanan</w:t>
      </w:r>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pt)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Choiriyah, Siti, &amp; Setyo Riyanto. (2020). "Desain Pelatihan pada Masa Pendemi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Harianto &amp; Saputra, A. (2020). Pengaruh Pengawasan Kerja Dan Disiplin Kerja Terhadap Kinerja Karyawan Pada Pt Centric Powerindo di Kota Batam. Jurnal EMBA. Vol.8 No.1 Februari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Hasibuan, M. (2012). Manajemen SDM. Edisi Revisi, Cetakan Ke Tigabelas. Jakarta: Bumi Aksara.</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Hermanto. (2005). Analisis Pengaruh Pelatihan, Pendidikan dan Pembinaan Karyawan terhadap Kinerja Pegawai Sekretariat Kabupaten Sorong. Jurnal Aplikasi Manajemen,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Ivancevich, J, M., Robert, K. &amp; Michael, T. M. (2007). Perilaku dan Manajemen Organisasi, Jakarta: Erlangga.</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Khurotin, N., &amp; Afrianty, T. W. (2018). Analisis pelatihan dan Pengembangan Sumber Daya Manusia di PT Beon Intermedia Cabang Malang. Jurnal Administrasi Bisnis,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Kitchenham, B. and Charters, S. (2007) Guidelines for Performing Systematic Literature Reviews in Software Engineering, Technical Report EBSE 2007-001, Keele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Lolowang, Melivin Grady dkk. (2016). Pengaruh Pelatihan dan Pengembangan Sumber Daya Manusia Terhadap Kinerja Karyawan Pada PT Berlian Kharisma Pasifik Manado. Jurnal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Mangkunegara, A. A Anwar prabu. (2017). Manajemen Sumber Daya Manusia Perusahaan, Bandung: Remaja Rosdakarya.</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Marjaya, I., &amp; Fajar, P. (2019). "Pengaruh Kepemimpinan, Motivasi, Dan Pelatihan Terhadap Kinerja Pegawai." Maneggio: Jurnal Ilmiah Magister Manajemen 2.1 (2019): 129-147.</w:t>
      </w:r>
    </w:p>
    <w:p w14:paraId="75D6AB81" w14:textId="77777777" w:rsidR="00F86346" w:rsidRDefault="00CA54CE"/>
    <w:sectPr w:rsidR="00F86346" w:rsidSect="00CE0B77">
      <w:footerReference w:type="even" r:id="rId14"/>
      <w:type w:val="continuous"/>
      <w:pgSz w:w="11907" w:h="16840"/>
      <w:pgMar w:top="1418" w:right="1418" w:bottom="1418" w:left="1701" w:header="812" w:footer="1134"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6225" w14:textId="77777777" w:rsidR="00CA54CE" w:rsidRDefault="00CA54CE">
      <w:r>
        <w:separator/>
      </w:r>
    </w:p>
  </w:endnote>
  <w:endnote w:type="continuationSeparator" w:id="0">
    <w:p w14:paraId="4FB61C84" w14:textId="77777777" w:rsidR="00CA54CE" w:rsidRDefault="00CA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CA54CE">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p w14:paraId="4C82914D" w14:textId="77777777" w:rsidR="00A62BED" w:rsidRPr="00EE7E34" w:rsidRDefault="00CA54CE"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6484ECCA"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xml:space="preserve">: </w:t>
    </w:r>
    <w:r w:rsidR="00CB34F4" w:rsidRPr="00CB34F4">
      <w:rPr>
        <w:i/>
        <w:color w:val="000000"/>
      </w:rPr>
      <w:t>https://</w:t>
    </w:r>
    <w:r w:rsidR="003D1A47">
      <w:rPr>
        <w:i/>
        <w:color w:val="000000"/>
      </w:rPr>
      <w:t>asj.</w:t>
    </w:r>
    <w:r w:rsidR="00CB34F4" w:rsidRPr="00CB34F4">
      <w:rPr>
        <w:i/>
        <w:color w:val="000000"/>
      </w:rPr>
      <w:t>eastasouth-institute.com</w:t>
    </w:r>
    <w:r w:rsidR="003D1A47">
      <w:rPr>
        <w:i/>
        <w:color w:val="000000"/>
      </w:rPr>
      <w:t>/index.php/aslhr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5621" w14:textId="77777777" w:rsidR="00CA54CE" w:rsidRDefault="00CA54CE">
      <w:r>
        <w:separator/>
      </w:r>
    </w:p>
  </w:footnote>
  <w:footnote w:type="continuationSeparator" w:id="0">
    <w:p w14:paraId="6F6D9B5F" w14:textId="77777777" w:rsidR="00CA54CE" w:rsidRDefault="00CA5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r>
      <w:rPr>
        <w:rFonts w:ascii="Palatino Linotype" w:hAnsi="Palatino Linotype"/>
        <w:b/>
        <w:color w:val="000000"/>
        <w:sz w:val="18"/>
      </w:rPr>
      <w:t>Sanskara Akuntansi dan Keuangan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4FA6">
      <w:rPr>
        <w:rStyle w:val="PageNumber"/>
        <w:noProof/>
      </w:rPr>
      <w:t>4</w:t>
    </w:r>
    <w:r>
      <w:rPr>
        <w:rStyle w:val="PageNumber"/>
      </w:rPr>
      <w:fldChar w:fldCharType="end"/>
    </w:r>
  </w:p>
  <w:p w14:paraId="29E591FB" w14:textId="77777777" w:rsidR="00EE7E34" w:rsidRPr="00AD02B2" w:rsidRDefault="003B7629" w:rsidP="00CE0B77">
    <w:pPr>
      <w:pBdr>
        <w:top w:val="nil"/>
        <w:left w:val="nil"/>
        <w:bottom w:val="nil"/>
        <w:right w:val="nil"/>
        <w:between w:val="nil"/>
      </w:pBdr>
      <w:ind w:right="360"/>
      <w:rPr>
        <w:rFonts w:ascii="Palatino Linotype" w:hAnsi="Palatino Linotype"/>
        <w:b/>
        <w:color w:val="000000"/>
        <w:sz w:val="18"/>
      </w:rPr>
    </w:pPr>
    <w:r>
      <w:rPr>
        <w:rFonts w:ascii="Palatino Linotype" w:hAnsi="Palatino Linotype"/>
        <w:b/>
        <w:color w:val="000000"/>
        <w:sz w:val="18"/>
      </w:rPr>
      <w:t>Sanskara Akuntansi dan Keuangan (SAK)</w:t>
    </w:r>
    <w:r>
      <w:rPr>
        <w:color w:val="000000"/>
      </w:rPr>
      <w:tab/>
    </w:r>
    <w:r>
      <w:rPr>
        <w:color w:val="000000"/>
      </w:rPr>
      <w:tab/>
    </w:r>
    <w:r>
      <w:rPr>
        <w:color w:val="000000"/>
      </w:rPr>
      <w:tab/>
    </w:r>
    <w:r>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7520" w14:textId="30FCF7D8" w:rsidR="00A62BED" w:rsidRPr="00EE7E34" w:rsidRDefault="00CB34F4">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All Studies in Law and Human Rights</w:t>
    </w:r>
  </w:p>
  <w:p w14:paraId="61E914DB" w14:textId="77777777"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r>
      <w:rPr>
        <w:rFonts w:ascii="Palatino Linotype" w:hAnsi="Palatino Linotype"/>
        <w:color w:val="000000"/>
        <w:sz w:val="18"/>
      </w:rPr>
      <w:t>Terbit</w:t>
    </w:r>
    <w:r w:rsidRPr="00EE7E34">
      <w:rPr>
        <w:rFonts w:ascii="Palatino Linotype" w:hAnsi="Palatino Linotype"/>
        <w:color w:val="000000"/>
        <w:sz w:val="18"/>
      </w:rPr>
      <w:t>, pp. xx~xx</w:t>
    </w:r>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2C22F6"/>
    <w:rsid w:val="003B7629"/>
    <w:rsid w:val="003C1DC5"/>
    <w:rsid w:val="003D1A47"/>
    <w:rsid w:val="00794FA6"/>
    <w:rsid w:val="00996922"/>
    <w:rsid w:val="009A3613"/>
    <w:rsid w:val="00CA54CE"/>
    <w:rsid w:val="00CB34F4"/>
    <w:rsid w:val="00D0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3</cp:revision>
  <dcterms:created xsi:type="dcterms:W3CDTF">2022-05-19T04:35:00Z</dcterms:created>
  <dcterms:modified xsi:type="dcterms:W3CDTF">2022-05-28T02:24:00Z</dcterms:modified>
</cp:coreProperties>
</file>