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w:t>
      </w:r>
      <w:r>
        <w:t xml:space="preserve"> </w:t>
      </w:r>
      <w:r>
        <w:t xml:space="preserve">CoE</w:t>
      </w:r>
      <w:r>
        <w:t xml:space="preserve"> </w:t>
      </w:r>
      <w:r>
        <w:t xml:space="preserve">Dev</w:t>
      </w:r>
      <w:r>
        <w:t xml:space="preserve"> </w:t>
      </w:r>
      <w:r>
        <w:t xml:space="preserve">Platform</w:t>
      </w:r>
    </w:p>
    <w:p>
      <w:pPr>
        <w:pStyle w:val="Subtitle"/>
      </w:pPr>
      <w:r>
        <w:t xml:space="preserve">Implementation</w:t>
      </w:r>
      <w:r>
        <w:t xml:space="preserve"> </w:t>
      </w:r>
      <w:r>
        <w:t xml:space="preserve">Runbook</w:t>
      </w:r>
      <w:r>
        <w:t xml:space="preserve"> </w:t>
      </w:r>
      <w:r>
        <w:t xml:space="preserve">—</w:t>
      </w:r>
      <w:r>
        <w:t xml:space="preserve"> </w:t>
      </w:r>
      <w:r>
        <w:t xml:space="preserve">Google</w:t>
      </w:r>
      <w:r>
        <w:t xml:space="preserve"> </w:t>
      </w:r>
      <w:r>
        <w:t xml:space="preserve">Cloud</w:t>
      </w:r>
      <w:r>
        <w:t xml:space="preserve"> </w:t>
      </w:r>
      <w:r>
        <w:t xml:space="preserve">Console</w:t>
      </w:r>
    </w:p>
    <w:p>
      <w:pPr>
        <w:pStyle w:val="Author"/>
      </w:pPr>
      <w:r>
        <w:rPr>
          <w:i/>
        </w:rPr>
        <w:t>The design of record is LLD - AICOE GCP Infrastructure v2.0.2, which covers Sandbox and Development and is what the Terraform is built against. This runbook is the console build path; where the two disagree, the LLD wins. Addresses here follow the LLD's Development plan — the unrouted range is 192.168.4.0/22.</w:t>
      </w:r>
      <w:r/>
      <w:r/>
      <w:r/>
      <w:r/>
      <w:r/>
      <w:r/>
      <w:r/>
      <w:r/>
      <w:r/>
      <w:r/>
      <w:r/>
      <w:r/>
      <w:r/>
      <w:r/>
      <w:r/>
      <w:r/>
      <w:r/>
      <w:r/>
    </w:p>
    <w:p>
      <w:pPr>
        <w:pStyle w:val="Author"/>
      </w:pPr>
      <w:r>
        <w:t xml:space="preserve">Prodapt</w:t>
      </w:r>
      <w:r>
        <w:t xml:space="preserve"> </w:t>
      </w:r>
      <w:r>
        <w:t xml:space="preserve">·</w:t>
      </w:r>
      <w:r>
        <w:t xml:space="preserve"> </w:t>
      </w:r>
      <w:r>
        <w:t xml:space="preserve">Colt</w:t>
      </w:r>
      <w:r>
        <w:t xml:space="preserve"> </w:t>
      </w:r>
      <w:r>
        <w:t xml:space="preserve">Technology</w:t>
      </w:r>
      <w:r>
        <w:t xml:space="preserve"> </w:t>
      </w:r>
      <w:r>
        <w:t xml:space="preserve">Services</w:t>
      </w:r>
      <w:r>
        <w:t xml:space="preserve"> </w:t>
      </w:r>
      <w:r>
        <w:t xml:space="preserve">·</w:t>
      </w:r>
      <w:r>
        <w:t xml:space="preserve"> </w:t>
      </w:r>
      <w:r>
        <w:t xml:space="preserve">AI</w:t>
      </w:r>
      <w:r>
        <w:t xml:space="preserve"> </w:t>
      </w:r>
      <w:r>
        <w:t xml:space="preserve">Centre</w:t>
      </w:r>
      <w:r>
        <w:t xml:space="preserve"> </w:t>
      </w:r>
      <w:r>
        <w:t xml:space="preserve">of</w:t>
      </w:r>
      <w:r>
        <w:t xml:space="preserve"> </w:t>
      </w:r>
      <w:r>
        <w:t xml:space="preserve">Excellence</w:t>
      </w:r>
    </w:p>
    <w:p>
      <w:pPr>
        <w:pStyle w:val="Date"/>
      </w:pPr>
      <w:r>
        <w:t xml:space="preserve">Revision</w:t>
      </w:r>
      <w:r>
        <w:t xml:space="preserve"> </w:t>
      </w:r>
      <w:r>
        <w:t>R13</w:t>
      </w:r>
    </w:p>
    <w:sdt>
      <w:sdtPr>
        <w:docPartObj>
          <w:docPartGallery w:val="Table of Contents"/>
          <w:docPartUnique/>
        </w:docPartObj>
      </w:sdtPr>
      <w:sdtContent>
        <w:p>
          <w:pPr>
            <w:pStyle w:val="TOCHeading"/>
          </w:pPr>
          <w:r>
            <w:t xml:space="preserve">Contents</w:t>
          </w:r>
          <w:r>
            <w:t xml:space="preserve"> </w:t>
          </w:r>
          <w:r>
            <w:t xml:space="preserve">(in</w:t>
          </w:r>
          <w:r>
            <w:t xml:space="preserve"> </w:t>
          </w:r>
          <w:r>
            <w:t xml:space="preserve">Word:</w:t>
          </w:r>
          <w:r>
            <w:t xml:space="preserve"> </w:t>
          </w:r>
          <w:r>
            <w:t xml:space="preserve">right-click</w:t>
          </w:r>
          <w:r>
            <w:t xml:space="preserve"> </w:t>
          </w:r>
          <w:r>
            <w:t xml:space="preserve">this</w:t>
          </w:r>
          <w:r>
            <w:t xml:space="preserve"> </w:t>
          </w:r>
          <w:r>
            <w:t xml:space="preserve">list</w:t>
          </w:r>
          <w:r>
            <w:t xml:space="preserve"> </w:t>
          </w:r>
          <w:r>
            <w:t xml:space="preserve">and</w:t>
          </w:r>
          <w:r>
            <w:t xml:space="preserve"> </w:t>
          </w:r>
          <w:r>
            <w:t xml:space="preserve">choose</w:t>
          </w:r>
          <w:r>
            <w:t xml:space="preserve"> </w:t>
          </w:r>
          <w:r>
            <w:t xml:space="preserve">Update</w:t>
          </w:r>
          <w:r>
            <w:t xml:space="preserve"> </w:t>
          </w:r>
          <w:r>
            <w:t xml:space="preserve">Field</w:t>
          </w:r>
          <w:r>
            <w:t xml:space="preserve"> </w:t>
          </w:r>
          <w:r>
            <w:t xml:space="preserve">to</w:t>
          </w:r>
          <w:r>
            <w:t xml:space="preserve"> </w:t>
          </w:r>
          <w:r>
            <w:t xml:space="preserve">populate</w:t>
          </w:r>
          <w:r>
            <w:t xml:space="preserve"> </w:t>
          </w:r>
          <w:r>
            <w:t xml:space="preserve">it)</w:t>
          </w:r>
        </w:p>
        <w:p>
          <w:r>
            <w:fldChar w:fldCharType="begin" w:dirty="true"/>
            <w:instrText xml:space="preserve">TOC \o "1-2" \h \z \u</w:instrText>
            <w:fldChar w:fldCharType="separate"/>
            <w:fldChar w:fldCharType="end"/>
          </w:r>
        </w:p>
      </w:sdtContent>
    </w:sdt>
    <w:p>
      <w:r>
        <w:br w:type="page"/>
      </w:r>
    </w:p>
    <w:bookmarkStart w:id="21" w:name="implementation-runbook-gcp-console"/>
    <w:p>
      <w:pPr>
        <w:pStyle w:val="Heading1"/>
      </w:pPr>
      <w:r>
        <w:t xml:space="preserve">09 — Implementation runbook (GCP Console)</w:t>
      </w:r>
    </w:p>
    <w:p>
      <w:pPr>
        <w:pStyle w:val="FirstParagraph"/>
      </w:pPr>
      <w:r>
        <w:rPr>
          <w:bCs/>
          <w:b/>
        </w:rPr>
        <w:t>Revision R13. Reflects confirmed decisions: the second range is 192.168.4.0/22, the project is gclt-aicoe-dev-ingress, the resource-location policy is pinned to europe-west1, the UI is a Backend-for-Frontend rather than a static SPA, and Apigee is in the user request path so per-user rate limiting can be enforced (§0.2.1).</w:t>
      </w:r>
      <w:r/>
      <w:r/>
      <w:r/>
      <w:r>
        <w:rPr>
          <w:rStyle w:val="VerbatimChar"/>
        </w:rPr>
      </w:r>
      <w:r/>
      <w:r/>
      <w:r>
        <w:rPr>
          <w:rStyle w:val="VerbatimChar"/>
        </w:rPr>
      </w:r>
      <w:r/>
      <w:r/>
      <w:r>
        <w:rPr>
          <w:rStyle w:val="VerbatimChar"/>
        </w:rPr>
      </w:r>
      <w:r/>
      <w:r/>
      <w:r>
        <w:rPr>
          <w:bCs/>
          <w:b/>
        </w:rPr>
      </w:r>
      <w:r/>
      <w:r/>
      <w:r/>
      <w:r>
        <w:rPr>
          <w:bCs/>
          <w:b/>
        </w:rPr>
      </w:r>
      <w:r/>
      <w:r/>
    </w:p>
    <w:p>
      <w:pPr>
        <w:pStyle w:val="BodyText"/>
      </w:pPr>
      <w:r>
        <w:rPr>
          <w:bCs/>
          <w:b/>
        </w:rPr>
        <w:t xml:space="preserve">Correction in R7:</w:t>
      </w:r>
      <w:r>
        <w:t xml:space="preserve"> </w:t>
      </w:r>
      <w:r>
        <w:t xml:space="preserve">the two Private Service Connect addresses are</w:t>
      </w:r>
      <w:r>
        <w:t xml:space="preserve"> </w:t>
      </w:r>
      <w:r>
        <w:rPr>
          <w:bCs/>
          <w:b/>
        </w:rPr>
        <w:t xml:space="preserve">not yours to choose</w:t>
      </w:r>
      <w:r>
        <w:t xml:space="preserve">. Apigee’s service endpoint address is allocated by the provisioning flow and you look it up; the Vector Search address is best allocated automatically by a service connection policy. §0.6 now reserves a</w:t>
      </w:r>
      <w:r>
        <w:t xml:space="preserve"> </w:t>
      </w:r>
      <w:r>
        <w:rPr>
          <w:iCs/>
          <w:i/>
        </w:rPr>
        <w:t xml:space="preserve">range</w:t>
      </w:r>
      <w:r>
        <w:t xml:space="preserve"> </w:t>
      </w:r>
      <w:r>
        <w:t xml:space="preserve">with an owner per address rather than fixing values.</w:t>
      </w:r>
    </w:p>
    <w:p>
      <w:pPr>
        <w:pStyle w:val="BodyText"/>
      </w:pPr>
      <w:r>
        <w:rPr>
          <w:bCs/>
          <w:b/>
        </w:rPr>
        <w:t xml:space="preserve">R7 — the architecture changed.</w:t>
      </w:r>
      <w:r>
        <w:t xml:space="preserve"> </w:t>
      </w:r>
      <w:r>
        <w:t xml:space="preserve">The AI Hub UI is now a</w:t>
      </w:r>
      <w:r>
        <w:t xml:space="preserve"> </w:t>
      </w:r>
      <w:r>
        <w:rPr>
          <w:bCs/>
          <w:b/>
        </w:rPr>
        <w:t xml:space="preserve">Backend-for-Frontend</w:t>
      </w:r>
      <w:r>
        <w:t xml:space="preserve">, not a static SPA, and Apigee is back in the user request path. The browser holds only an opaque session cookie; the BFF is the OAuth client and calls Apigee server-side. See</w:t>
      </w:r>
      <w:r>
        <w:t xml:space="preserve"> </w:t>
      </w:r>
      <w:r>
        <w:rPr>
          <w:rStyle w:val="VerbatimChar"/>
        </w:rPr>
        <w:t xml:space="preserve">11-reconciled-architecture.md</w:t>
      </w:r>
      <w:r>
        <w:t xml:space="preserve"> </w:t>
      </w:r>
      <w:r>
        <w:t xml:space="preserve">for the reasoning. Parts affected: 11, 14, 16, 18, 19, 20, 21, 22, 24.</w:t>
      </w:r>
    </w:p>
    <w:p>
      <w:pPr>
        <w:pStyle w:val="BodyText"/>
      </w:pPr>
      <w:r>
        <w:rPr>
          <w:bCs/>
          <w:b/>
        </w:rPr>
        <w:t>R13a — coverage gaps closed.</w:t>
      </w:r>
      <w:r>
        <w:t xml:space="preserve"> </w:t>
      </w:r>
      <w:r>
        <w:t xml:space="preserve">A check against the design found eight things designed but never written into the build: both Entra app registrations and the App Role to group mapping (Part 13), and logout, session rotation, refresh serialisation, fail-closed behaviour and</w:t>
      </w:r>
      <w:r>
        <w:t xml:space="preserve"> </w:t>
      </w:r>
      <w:r>
        <w:rPr>
          <w:rStyle w:val="VerbatimChar"/>
        </w:rPr>
        <w:t xml:space="preserve">last_seen_at</w:t>
      </w:r>
      <w:r>
        <w:t xml:space="preserve"> </w:t>
      </w:r>
      <w:r>
        <w:t xml:space="preserve">throttling (§19.4). Platform limits added as §0.7.</w:t>
      </w:r>
    </w:p>
    <w:p>
      <w:pPr>
        <w:pStyle w:val="BodyText"/>
      </w:pPr>
      <w:r>
        <w:rPr>
          <w:bCs/>
          <w:b/>
        </w:rPr>
        <w:t>R13 — one IAP, and Cloud Run IAM for the machine hop.</w:t>
      </w:r>
      <w:r>
        <w:t xml:space="preserve"> </w:t>
      </w:r>
      <w:r>
        <w:t xml:space="preserve">IAP exists in exactly one place: the front door, authenticating people. The backend hop uses</w:t>
      </w:r>
      <w:r>
        <w:t xml:space="preserve"> </w:t>
      </w:r>
      <w:r>
        <w:rPr>
          <w:bCs/>
          <w:b/>
        </w:rPr>
        <w:t xml:space="preserve">Cloud Run IAM</w:t>
      </w:r>
      <w:r>
        <w:t xml:space="preserve"> </w:t>
      </w:r>
      <w:r>
        <w:t xml:space="preserve">— Apigee presents a Google ID token in</w:t>
      </w:r>
      <w:r>
        <w:t xml:space="preserve"> </w:t>
      </w:r>
      <w:r>
        <w:rPr>
          <w:rStyle w:val="VerbatimChar"/>
        </w:rPr>
        <w:t xml:space="preserve">X-Serverless-Authorization</w:t>
      </w:r>
      <w:r>
        <w:t xml:space="preserve"> </w:t>
      </w:r>
      <w:r>
        <w:t xml:space="preserve">and</w:t>
      </w:r>
      <w:r>
        <w:t xml:space="preserve"> </w:t>
      </w:r>
      <w:r>
        <w:rPr>
          <w:rStyle w:val="VerbatimChar"/>
        </w:rPr>
        <w:t xml:space="preserve">roles/run.invoker</w:t>
      </w:r>
      <w:r>
        <w:t xml:space="preserve"> </w:t>
      </w:r>
      <w:r>
        <w:t xml:space="preserve">is granted to the Apigee runtime service account alone. No IAP on the backends, no dedicated OAuth clients, no IAP latency on that hop. Authorization was always Apigee’s job and remains so. Parts affected: 18, 19, 20, 22, 24.</w:t>
      </w:r>
    </w:p>
    <w:p>
      <w:pPr>
        <w:pStyle w:val="BodyText"/>
      </w:pPr>
      <w:r>
        <w:rPr>
          <w:bCs/>
          <w:b/>
        </w:rPr>
        <w:t xml:space="preserve">R11 — IAP placement, superseded by R12.</w:t>
      </w:r>
      <w:r>
        <w:t xml:space="preserve"> </w:t>
      </w:r>
      <w:r>
        <w:t xml:space="preserve">IAP is enabled on</w:t>
      </w:r>
      <w:r>
        <w:t xml:space="preserve"> </w:t>
      </w:r>
      <w:r>
        <w:rPr>
          <w:bCs/>
          <w:b/>
        </w:rPr>
        <w:t xml:space="preserve">load balancer backend services</w:t>
      </w:r>
      <w:r>
        <w:t xml:space="preserve"> </w:t>
      </w:r>
      <w:r>
        <w:t xml:space="preserve">everywhere, not directly on Cloud Run. One pattern across the platform rather than two. The front door uses the workforce pool on</w:t>
      </w:r>
      <w:r>
        <w:t xml:space="preserve"> </w:t>
      </w:r>
      <w:r>
        <w:rPr>
          <w:rStyle w:val="VerbatimChar"/>
        </w:rPr>
        <w:t xml:space="preserve">bs-aihub-bff</w:t>
      </w:r>
      <w:r>
        <w:t xml:space="preserve">; the backends use a dedicated OAuth client on</w:t>
      </w:r>
      <w:r>
        <w:t xml:space="preserve"> </w:t>
      </w:r>
      <w:r>
        <w:rPr>
          <w:rStyle w:val="VerbatimChar"/>
        </w:rPr>
        <w:t xml:space="preserve">bs-translation</w:t>
      </w:r>
      <w:r>
        <w:t xml:space="preserve"> </w:t>
      </w:r>
      <w:r>
        <w:t xml:space="preserve">and</w:t>
      </w:r>
      <w:r>
        <w:t xml:space="preserve"> </w:t>
      </w:r>
      <w:r>
        <w:rPr>
          <w:rStyle w:val="VerbatimChar"/>
        </w:rPr>
        <w:t xml:space="preserve">bs-sales</w:t>
      </w:r>
      <w:r>
        <w:t xml:space="preserve">. Because those backend services live in</w:t>
      </w:r>
      <w:r>
        <w:t xml:space="preserve"> </w:t>
      </w:r>
      <w:r>
        <w:rPr>
          <w:bCs/>
          <w:b/>
        </w:rPr>
        <w:t xml:space="preserve">different projects</w:t>
      </w:r>
      <w:r>
        <w:t xml:space="preserve">, the OAuth brand collision that partly motivated R9 does not arise. Parts affected: 18, 19, 20, 22.</w:t>
      </w:r>
    </w:p>
    <w:p>
      <w:pPr>
        <w:pStyle w:val="BodyText"/>
      </w:pPr>
      <w:r>
        <w:rPr>
          <w:bCs/>
          <w:b/>
        </w:rPr>
        <w:t xml:space="preserve">R10 — five items closed.</w:t>
      </w:r>
      <w:r>
        <w:t xml:space="preserve"> </w:t>
      </w:r>
      <w:r>
        <w:t xml:space="preserve">Both LLM token policies are confirmed</w:t>
      </w:r>
      <w:r>
        <w:t xml:space="preserve"> </w:t>
      </w:r>
      <w:r>
        <w:rPr>
          <w:bCs/>
          <w:b/>
        </w:rPr>
        <w:t xml:space="preserve">Extensible</w:t>
      </w:r>
      <w:r>
        <w:t xml:space="preserve">, so the</w:t>
      </w:r>
      <w:r>
        <w:t xml:space="preserve"> </w:t>
      </w:r>
      <w:r>
        <w:rPr>
          <w:rStyle w:val="VerbatimChar"/>
        </w:rPr>
        <w:t xml:space="preserve">llm</w:t>
      </w:r>
      <w:r>
        <w:t xml:space="preserve"> </w:t>
      </w:r>
      <w:r>
        <w:t xml:space="preserve">environment must be Intermediate and the</w:t>
      </w:r>
      <w:r>
        <w:t xml:space="preserve"> </w:t>
      </w:r>
      <w:r>
        <w:rPr>
          <w:rStyle w:val="VerbatimChar"/>
        </w:rPr>
        <w:t xml:space="preserve">int</w:t>
      </w:r>
      <w:r>
        <w:t xml:space="preserve"> </w:t>
      </w:r>
      <w:r>
        <w:t xml:space="preserve">environment can stay Base (§14.5). Apigee runtime configuration goes in Git — what and what not in §22.13. Terraform layering and cross-project apply order added as Part 25. Business-unit labelling for retrieved documents comes from the Entra token (§15.6). Indirect prompt injection is handled application-side (§17.6).</w:t>
      </w:r>
    </w:p>
    <w:p>
      <w:pPr>
        <w:pStyle w:val="BodyText"/>
      </w:pPr>
      <w:r>
        <w:rPr>
          <w:bCs/>
          <w:b/>
        </w:rPr>
        <w:t xml:space="preserve">R9 — the backend path is decided.</w:t>
      </w:r>
      <w:r>
        <w:t xml:space="preserve"> </w:t>
      </w:r>
      <w:r>
        <w:t xml:space="preserve">IAP goes</w:t>
      </w:r>
      <w:r>
        <w:t xml:space="preserve"> </w:t>
      </w:r>
      <w:r>
        <w:rPr>
          <w:bCs/>
          <w:b/>
        </w:rPr>
        <w:t xml:space="preserve">directly on the backend Cloud Run services</w:t>
      </w:r>
      <w:r>
        <w:t xml:space="preserve">, and the Backend load balancer is a pure network path with no IAP of its own (§20.7). This is Google’s recommended placement, and it dissolves the</w:t>
      </w:r>
      <w:r>
        <w:t xml:space="preserve"> </w:t>
      </w:r>
      <w:r>
        <w:rPr>
          <w:rStyle w:val="VerbatimChar"/>
        </w:rPr>
        <w:t xml:space="preserve">allUsers</w:t>
      </w:r>
      <w:r>
        <w:t xml:space="preserve"> </w:t>
      </w:r>
      <w:r>
        <w:t xml:space="preserve">problem that had been open since the start: IAP authenticates at the Cloud Run front door, ahead of the IAM invoker check, so the load balancer never needs to authenticate at all.</w:t>
      </w:r>
    </w:p>
    <w:p>
      <w:pPr>
        <w:pStyle w:val="BodyText"/>
      </w:pPr>
      <w:r>
        <w:rPr>
          <w:bCs/>
          <w:b/>
        </w:rPr>
        <w:t xml:space="preserve">R8 — IAP corrections.</w:t>
      </w:r>
      <w:r>
        <w:t xml:space="preserve"> </w:t>
      </w:r>
      <w:r>
        <w:t xml:space="preserve">Three things verified against Google’s documentation.</w:t>
      </w:r>
      <w:r>
        <w:t xml:space="preserve"> </w:t>
      </w:r>
      <w:r>
        <w:rPr>
          <w:rStyle w:val="VerbatimChar"/>
        </w:rPr>
        <w:t xml:space="preserve">X-Serverless-Authorization</w:t>
      </w:r>
      <w:r>
        <w:t xml:space="preserve"> </w:t>
      </w:r>
      <w:r>
        <w:t xml:space="preserve">is IAP’s</w:t>
      </w:r>
      <w:r>
        <w:t xml:space="preserve"> </w:t>
      </w:r>
      <w:r>
        <w:rPr>
          <w:iCs/>
          <w:i/>
        </w:rPr>
        <w:t xml:space="preserve">internal</w:t>
      </w:r>
      <w:r>
        <w:t xml:space="preserve"> </w:t>
      </w:r>
      <w:r>
        <w:t xml:space="preserve">hop to Cloud Run and must never be sent by a caller (§20.7). The BFF must</w:t>
      </w:r>
      <w:r>
        <w:t xml:space="preserve"> </w:t>
      </w:r>
      <w:r>
        <w:rPr>
          <w:bCs/>
          <w:b/>
        </w:rPr>
        <w:t xml:space="preserve">strip</w:t>
      </w:r>
      <w:r>
        <w:t xml:space="preserve"> </w:t>
      </w:r>
      <w:r>
        <w:t xml:space="preserve">that header before forwarding, because Cloud Run passes it through (§19.4). R9 and R11 moved IAP placement twice more before R12 settled it: one IAP at the front door, Cloud Run IAM on the machine hop.</w:t>
      </w:r>
    </w:p>
    <w:p>
      <w:pPr>
        <w:pStyle w:val="BodyText"/>
      </w:pPr>
      <w:r>
        <w:rPr>
          <w:bCs/>
          <w:b/>
        </w:rPr>
        <w:t>Corrections in R6: the Cloud Run instance budget is not 49 — Google documents 2 addresses per instance at steady state and 4x during a revision rollout (§19.3). Apigee’s Quota and SpikeArrest return 500 by default, not 429 (§22.9). SpikeArrest is only per-message-processor when UseEffectiveCount is false, and the default template sets it true (§22.11). The Cloud Run to Apigee path is the documented service endpoint routing option, chosen at provisioning (§14.3, §21.3).</w:t>
      </w:r>
      <w:r/>
      <w:r/>
      <w:r/>
      <w:r>
        <w:rPr>
          <w:bCs/>
          <w:b/>
        </w:rPr>
      </w:r>
      <w:r/>
      <w:r/>
      <w:r>
        <w:rPr>
          <w:rStyle w:val="VerbatimChar"/>
        </w:rPr>
      </w:r>
      <w:r/>
      <w:r/>
      <w:r/>
      <w:r>
        <w:rPr>
          <w:rStyle w:val="VerbatimChar"/>
        </w:rPr>
      </w:r>
      <w:r/>
      <w:r/>
      <w:r/>
      <w:r>
        <w:rPr>
          <w:bCs/>
          <w:b/>
        </w:rPr>
      </w:r>
      <w:r/>
      <w:r/>
      <w:r/>
      <w:r>
        <w:rPr>
          <w:rStyle w:val="VerbatimChar"/>
        </w:rPr>
      </w:r>
      <w:r/>
      <w:r/>
      <w:r/>
      <w:r>
        <w:rPr>
          <w:rStyle w:val="VerbatimChar"/>
        </w:rPr>
      </w:r>
      <w:r/>
      <w:r/>
      <w:r/>
      <w:r>
        <w:rPr>
          <w:bCs/>
          <w:b/>
        </w:rPr>
      </w:r>
      <w:r/>
      <w:r/>
    </w:p>
    <w:p>
      <w:pPr>
        <w:pStyle w:val="BodyText"/>
      </w:pPr>
      <w:r>
        <w:rPr>
          <w:bCs/>
          <w:b/>
        </w:rPr>
        <w:t xml:space="preserve">Corrections in R5:</w:t>
      </w:r>
      <w:r>
        <w:t xml:space="preserve"> </w:t>
      </w:r>
      <w:r>
        <w:t xml:space="preserve">R4 stated that Model Armor was unavailable in</w:t>
      </w:r>
      <w:r>
        <w:t xml:space="preserve"> </w:t>
      </w:r>
      <w:r>
        <w:rPr>
          <w:rStyle w:val="VerbatimChar"/>
        </w:rPr>
        <w:t xml:space="preserve">europe-west1</w:t>
      </w:r>
      <w:r>
        <w:t xml:space="preserve"> </w:t>
      </w:r>
      <w:r>
        <w:t xml:space="preserve">— wrong; Google’s location list includes</w:t>
      </w:r>
      <w:r>
        <w:t xml:space="preserve"> </w:t>
      </w:r>
      <w:r>
        <w:rPr>
          <w:rStyle w:val="VerbatimChar"/>
        </w:rPr>
        <w:t xml:space="preserve">europe-west1</w:t>
      </w:r>
      <w:r>
        <w:t xml:space="preserve"> </w:t>
      </w:r>
      <w:r>
        <w:t xml:space="preserve">(Belgium), so Part 17 uses it, and the narrower constraint that does apply is in §17.2. R4 also cited a 2,000-token screening limit — also wrong; the documented limits are 10,000 tokens per filter and 130,000 for sensitive-data detection, with a 4 MB input ceiling. §17.4 has the corrected figures and the</w:t>
      </w:r>
      <w:r>
        <w:t xml:space="preserve"> </w:t>
      </w:r>
      <w:r>
        <w:rPr>
          <w:rStyle w:val="VerbatimChar"/>
        </w:rPr>
        <w:t xml:space="preserve">EXECUTION_SKIPPED</w:t>
      </w:r>
      <w:r>
        <w:t xml:space="preserve"> </w:t>
      </w:r>
      <w:r>
        <w:t xml:space="preserve">behaviour that matters more than the numbers.</w:t>
      </w:r>
    </w:p>
    <w:p>
      <w:pPr>
        <w:pStyle w:val="BodyText"/>
      </w:pPr>
      <w:r>
        <w:t xml:space="preserve">Step-by-step build of the AI CoE dev platform using the Google Cloud Console. Written to be followed by someone who has not built a landing zone before. No Terraform.</w:t>
      </w:r>
    </w:p>
    <w:p>
      <w:pPr>
        <w:pStyle w:val="BodyText"/>
      </w:pPr>
      <w:r>
        <w:rPr>
          <w:bCs/>
          <w:b/>
        </w:rPr>
        <w:t xml:space="preserve">What is in scope:</w:t>
      </w:r>
      <w:r>
        <w:t xml:space="preserve"> </w:t>
      </w:r>
      <w:r>
        <w:t xml:space="preserve">everything except creating the Cloud Run services themselves. You build those; §19 lists the exact settings each one must have so it fits the platform.</w:t>
      </w:r>
    </w:p>
    <w:p>
      <w:pPr>
        <w:pStyle w:val="BodyText"/>
      </w:pPr>
      <w:r>
        <w:rPr>
          <w:bCs/>
          <w:b/>
        </w:rPr>
        <w:t xml:space="preserve">How to read a step.</w:t>
      </w:r>
      <w:r>
        <w:t xml:space="preserve"> </w:t>
      </w:r>
      <w:r>
        <w:t xml:space="preserve">Every step has the same five parts:</w:t>
      </w:r>
    </w:p>
    <w:p>
      <w:pPr>
        <w:numPr>
          <w:ilvl w:val="0"/>
          <w:numId w:val="1001"/>
        </w:numPr>
        <w:pStyle w:val="Compact"/>
      </w:pPr>
      <w:r>
        <w:rPr>
          <w:bCs/>
          <w:b/>
        </w:rPr>
        <w:t xml:space="preserve">What this is</w:t>
      </w:r>
      <w:r>
        <w:t xml:space="preserve"> </w:t>
      </w:r>
      <w:r>
        <w:t xml:space="preserve">— plain-language explanation of the resource and why the platform needs it</w:t>
      </w:r>
    </w:p>
    <w:p>
      <w:pPr>
        <w:numPr>
          <w:ilvl w:val="0"/>
          <w:numId w:val="1001"/>
        </w:numPr>
        <w:pStyle w:val="Compact"/>
      </w:pPr>
      <w:r>
        <w:rPr>
          <w:bCs/>
          <w:b/>
        </w:rPr>
        <w:t xml:space="preserve">Where</w:t>
      </w:r>
      <w:r>
        <w:t xml:space="preserve"> </w:t>
      </w:r>
      <w:r>
        <w:t xml:space="preserve">— how to get to the right console page</w:t>
      </w:r>
    </w:p>
    <w:p>
      <w:pPr>
        <w:numPr>
          <w:ilvl w:val="0"/>
          <w:numId w:val="1001"/>
        </w:numPr>
        <w:pStyle w:val="Compact"/>
      </w:pPr>
      <w:r>
        <w:rPr>
          <w:bCs/>
          <w:b/>
        </w:rPr>
        <w:t xml:space="preserve">Do this</w:t>
      </w:r>
      <w:r>
        <w:t xml:space="preserve"> </w:t>
      </w:r>
      <w:r>
        <w:t xml:space="preserve">— the clicks and the exact values</w:t>
      </w:r>
    </w:p>
    <w:p>
      <w:pPr>
        <w:numPr>
          <w:ilvl w:val="0"/>
          <w:numId w:val="1001"/>
        </w:numPr>
        <w:pStyle w:val="Compact"/>
      </w:pPr>
      <w:r>
        <w:rPr>
          <w:bCs/>
          <w:b/>
        </w:rPr>
        <w:t xml:space="preserve">Check it worked</w:t>
      </w:r>
      <w:r>
        <w:t xml:space="preserve"> </w:t>
      </w:r>
      <w:r>
        <w:t xml:space="preserve">— how to confirm before moving on</w:t>
      </w:r>
    </w:p>
    <w:p>
      <w:pPr>
        <w:numPr>
          <w:ilvl w:val="0"/>
          <w:numId w:val="1001"/>
        </w:numPr>
        <w:pStyle w:val="Compact"/>
      </w:pPr>
      <w:r>
        <w:rPr>
          <w:bCs/>
          <w:b/>
        </w:rPr>
        <w:t xml:space="preserve">Watch out</w:t>
      </w:r>
      <w:r>
        <w:t xml:space="preserve"> </w:t>
      </w:r>
      <w:r>
        <w:t xml:space="preserve">— irreversible settings, common errors, waiting times</w:t>
      </w:r>
    </w:p>
    <w:p>
      <w:pPr>
        <w:pStyle w:val="FirstParagraph"/>
      </w:pPr>
      <w:r>
        <w:rPr>
          <w:bCs/>
          <w:b/>
        </w:rPr>
        <w:t xml:space="preserve">Two console habits that will save you time.</w:t>
      </w:r>
      <w:r>
        <w:t xml:space="preserve"> </w:t>
      </w:r>
      <w:r>
        <w:t xml:space="preserve">Use the search box at the very top of the console — typing</w:t>
      </w:r>
      <w:r>
        <w:t xml:space="preserve"> </w:t>
      </w:r>
      <w:r>
        <w:t xml:space="preserve">“</w:t>
      </w:r>
      <w:r>
        <w:t xml:space="preserve">log bucket</w:t>
      </w:r>
      <w:r>
        <w:t xml:space="preserve">”</w:t>
      </w:r>
      <w:r>
        <w:t xml:space="preserve"> </w:t>
      </w:r>
      <w:r>
        <w:t xml:space="preserve">or</w:t>
      </w:r>
      <w:r>
        <w:t xml:space="preserve"> </w:t>
      </w:r>
      <w:r>
        <w:t xml:space="preserve">“</w:t>
      </w:r>
      <w:r>
        <w:t xml:space="preserve">key ring</w:t>
      </w:r>
      <w:r>
        <w:t xml:space="preserve">”</w:t>
      </w:r>
      <w:r>
        <w:t xml:space="preserve"> </w:t>
      </w:r>
      <w:r>
        <w:t xml:space="preserve">jumps straight to the page, and it is more reliable than remembering menu paths, which Google changes. And always confirm the</w:t>
      </w:r>
      <w:r>
        <w:t xml:space="preserve"> </w:t>
      </w:r>
      <w:r>
        <w:rPr>
          <w:bCs/>
          <w:b/>
        </w:rPr>
        <w:t xml:space="preserve">project selector</w:t>
      </w:r>
      <w:r>
        <w:t xml:space="preserve"> </w:t>
      </w:r>
      <w:r>
        <w:t xml:space="preserve">at the top-left shows the project you intend, because roughly half of all landing-zone mistakes are a resource created in the wrong project.</w:t>
      </w:r>
    </w:p>
    <w:p>
      <w:pPr>
        <w:pStyle w:val="BodyText"/>
      </w:pPr>
      <w:r>
        <w:rPr>
          <w:bCs/>
          <w:b/>
        </w:rPr>
        <w:t xml:space="preserve">Cloud Shell.</w:t>
      </w:r>
      <w:r>
        <w:t xml:space="preserve"> </w:t>
      </w:r>
      <w:r>
        <w:t xml:space="preserve">A handful of steps have no console equivalent. Cloud Shell is the terminal built into the console — click the</w:t>
      </w:r>
      <w:r>
        <w:t xml:space="preserve"> </w:t>
      </w:r>
      <w:r>
        <w:rPr>
          <w:rStyle w:val="VerbatimChar"/>
        </w:rPr>
        <w:t xml:space="preserve">&gt;_</w:t>
      </w:r>
      <w:r>
        <w:t xml:space="preserve"> </w:t>
      </w:r>
      <w:r>
        <w:t xml:space="preserve">icon in the top-right. It is still</w:t>
      </w:r>
      <w:r>
        <w:t xml:space="preserve"> </w:t>
      </w:r>
      <w:r>
        <w:t xml:space="preserve">“</w:t>
      </w:r>
      <w:r>
        <w:t xml:space="preserve">the console</w:t>
      </w:r>
      <w:r>
        <w:t xml:space="preserve">”</w:t>
      </w:r>
      <w:r>
        <w:t xml:space="preserve">; it just types instead of clicking. Those steps are marked</w:t>
      </w:r>
      <w:r>
        <w:t xml:space="preserve"> </w:t>
      </w:r>
      <w:r>
        <w:rPr>
          <w:bCs/>
          <w:b/>
        </w:rPr>
        <w:t xml:space="preserve">Cloud Shell only</w:t>
      </w:r>
      <w:r>
        <w:t xml:space="preserve"> </w:t>
      </w:r>
      <w:r>
        <w:t xml:space="preserve">and the exact command is given.</w:t>
      </w:r>
    </w:p>
    <w:p>
      <w:r>
        <w:pict>
          <v:rect style="width:0;height:1.5pt" o:hralign="center" o:hrstd="t" o:hr="t"/>
        </w:pict>
      </w:r>
    </w:p>
    <w:bookmarkStart w:id="20" w:name="contents"/>
    <w:p>
      <w:pPr>
        <w:pStyle w:val="Heading2"/>
      </w:pPr>
      <w:r>
        <w:t xml:space="preserve">Contents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Part</w:t>
            </w:r>
          </w:p>
        </w:tc>
        <w:tc>
          <w:tcPr/>
          <w:p>
            <w:pPr>
              <w:pStyle w:val="Compact"/>
              <w:jc w:val="left"/>
            </w:pPr>
            <w:r>
              <w:t xml:space="preserve">Subject</w:t>
            </w:r>
          </w:p>
        </w:tc>
      </w:tr>
      <w:tr>
        <w:tc>
          <w:tcPr/>
          <w:p>
            <w:pPr>
              <w:pStyle w:val="Compact"/>
              <w:jc w:val="left"/>
            </w:pPr>
            <w:r>
              <w:t xml:space="preserve">0</w:t>
            </w:r>
          </w:p>
        </w:tc>
        <w:tc>
          <w:tcPr/>
          <w:p>
            <w:pPr>
              <w:pStyle w:val="Compact"/>
              <w:jc w:val="left"/>
            </w:pPr>
            <w:r>
              <w:t xml:space="preserve">Before you start — permissions, decisions, naming, limits</w:t>
            </w:r>
          </w:p>
        </w:tc>
      </w:tr>
      <w:tr>
        <w:tc>
          <w:tcPr/>
          <w:p>
            <w:pPr>
              <w:pStyle w:val="Compact"/>
              <w:jc w:val="left"/>
            </w:pPr>
            <w:r>
              <w:t xml:space="preserve">1</w:t>
            </w:r>
          </w:p>
        </w:tc>
        <w:tc>
          <w:tcPr/>
          <w:p>
            <w:pPr>
              <w:pStyle w:val="Compact"/>
              <w:jc w:val="left"/>
            </w:pPr>
            <w:r>
              <w:t xml:space="preserve">Organisation policies at the folder</w:t>
            </w:r>
          </w:p>
        </w:tc>
      </w:tr>
      <w:tr>
        <w:tc>
          <w:tcPr/>
          <w:p>
            <w:pPr>
              <w:pStyle w:val="Compact"/>
              <w:jc w:val="left"/>
            </w:pPr>
            <w:r>
              <w:t xml:space="preserve">2</w:t>
            </w:r>
          </w:p>
        </w:tc>
        <w:tc>
          <w:tcPr/>
          <w:p>
            <w:pPr>
              <w:pStyle w:val="Compact"/>
              <w:jc w:val="left"/>
            </w:pPr>
            <w:r>
              <w:t xml:space="preserve">Enable APIs in every project</w:t>
            </w:r>
          </w:p>
        </w:tc>
      </w:tr>
      <w:tr>
        <w:tc>
          <w:tcPr/>
          <w:p>
            <w:pPr>
              <w:pStyle w:val="Compact"/>
              <w:jc w:val="left"/>
            </w:pPr>
            <w:r>
              <w:t xml:space="preserve">3</w:t>
            </w:r>
          </w:p>
        </w:tc>
        <w:tc>
          <w:tcPr/>
          <w:p>
            <w:pPr>
              <w:pStyle w:val="Compact"/>
              <w:jc w:val="left"/>
            </w:pPr>
            <w:r>
              <w:t xml:space="preserve">Force service agents into existence</w:t>
            </w:r>
          </w:p>
        </w:tc>
      </w:tr>
      <w:tr>
        <w:tc>
          <w:tcPr/>
          <w:p>
            <w:pPr>
              <w:pStyle w:val="Compact"/>
              <w:jc w:val="left"/>
            </w:pPr>
            <w:r>
              <w:t xml:space="preserve">4</w:t>
            </w:r>
          </w:p>
        </w:tc>
        <w:tc>
          <w:tcPr/>
          <w:p>
            <w:pPr>
              <w:pStyle w:val="Compact"/>
              <w:jc w:val="left"/>
            </w:pPr>
            <w:r>
              <w:t xml:space="preserve">Encryption keys (Cloud KMS)</w:t>
            </w:r>
          </w:p>
        </w:tc>
      </w:tr>
      <w:tr>
        <w:tc>
          <w:tcPr/>
          <w:p>
            <w:pPr>
              <w:pStyle w:val="Compact"/>
              <w:jc w:val="left"/>
            </w:pPr>
            <w:r>
              <w:t xml:space="preserve">5</w:t>
            </w:r>
          </w:p>
        </w:tc>
        <w:tc>
          <w:tcPr/>
          <w:p>
            <w:pPr>
              <w:pStyle w:val="Compact"/>
              <w:jc w:val="left"/>
            </w:pPr>
            <w:r>
              <w:t xml:space="preserve">Logging — 400-day bucket, sinks, audit config</w:t>
            </w:r>
          </w:p>
        </w:tc>
      </w:tr>
      <w:tr>
        <w:tc>
          <w:tcPr/>
          <w:p>
            <w:pPr>
              <w:pStyle w:val="Compact"/>
              <w:jc w:val="left"/>
            </w:pPr>
            <w:r>
              <w:t xml:space="preserve">6</w:t>
            </w:r>
          </w:p>
        </w:tc>
        <w:tc>
          <w:tcPr/>
          <w:p>
            <w:pPr>
              <w:pStyle w:val="Compact"/>
              <w:jc w:val="left"/>
            </w:pPr>
            <w:r>
              <w:t xml:space="preserve">Network — Shared VPC, subnets, firewall, DNS</w:t>
            </w:r>
          </w:p>
        </w:tc>
      </w:tr>
      <w:tr>
        <w:tc>
          <w:tcPr/>
          <w:p>
            <w:pPr>
              <w:pStyle w:val="Compact"/>
              <w:jc w:val="left"/>
            </w:pPr>
            <w:r>
              <w:t xml:space="preserve">7</w:t>
            </w:r>
          </w:p>
        </w:tc>
        <w:tc>
          <w:tcPr/>
          <w:p>
            <w:pPr>
              <w:pStyle w:val="Compact"/>
              <w:jc w:val="left"/>
            </w:pPr>
            <w:r>
              <w:t xml:space="preserve">Attach service projects to the Shared VPC</w:t>
            </w:r>
          </w:p>
        </w:tc>
      </w:tr>
      <w:tr>
        <w:tc>
          <w:tcPr/>
          <w:p>
            <w:pPr>
              <w:pStyle w:val="Compact"/>
              <w:jc w:val="left"/>
            </w:pPr>
            <w:r>
              <w:t xml:space="preserve">8</w:t>
            </w:r>
          </w:p>
        </w:tc>
        <w:tc>
          <w:tcPr/>
          <w:p>
            <w:pPr>
              <w:pStyle w:val="Compact"/>
              <w:jc w:val="left"/>
            </w:pPr>
            <w:r>
              <w:t xml:space="preserve">Private Service Connect to Google APIs</w:t>
            </w:r>
          </w:p>
        </w:tc>
      </w:tr>
      <w:tr>
        <w:tc>
          <w:tcPr/>
          <w:p>
            <w:pPr>
              <w:pStyle w:val="Compact"/>
              <w:jc w:val="left"/>
            </w:pPr>
            <w:r>
              <w:t xml:space="preserve">9</w:t>
            </w:r>
          </w:p>
        </w:tc>
        <w:tc>
          <w:tcPr/>
          <w:p>
            <w:pPr>
              <w:pStyle w:val="Compact"/>
              <w:jc w:val="left"/>
            </w:pPr>
            <w:r>
              <w:t xml:space="preserve">Artifact Registry</w:t>
            </w:r>
          </w:p>
        </w:tc>
      </w:tr>
      <w:tr>
        <w:tc>
          <w:tcPr/>
          <w:p>
            <w:pPr>
              <w:pStyle w:val="Compact"/>
              <w:jc w:val="left"/>
            </w:pPr>
            <w:r>
              <w:t xml:space="preserve">10</w:t>
            </w:r>
          </w:p>
        </w:tc>
        <w:tc>
          <w:tcPr/>
          <w:p>
            <w:pPr>
              <w:pStyle w:val="Compact"/>
              <w:jc w:val="left"/>
            </w:pPr>
            <w:r>
              <w:t xml:space="preserve">Binary Authorization</w:t>
            </w:r>
          </w:p>
        </w:tc>
      </w:tr>
      <w:tr>
        <w:tc>
          <w:tcPr/>
          <w:p>
            <w:pPr>
              <w:pStyle w:val="Compact"/>
              <w:jc w:val="left"/>
            </w:pPr>
            <w:r>
              <w:t xml:space="preserve">11</w:t>
            </w:r>
          </w:p>
        </w:tc>
        <w:tc>
          <w:tcPr/>
          <w:p>
            <w:pPr>
              <w:pStyle w:val="Compact"/>
              <w:jc w:val="left"/>
            </w:pPr>
            <w:r>
              <w:t xml:space="preserve">Secret Manager</w:t>
            </w:r>
          </w:p>
        </w:tc>
      </w:tr>
      <w:tr>
        <w:tc>
          <w:tcPr/>
          <w:p>
            <w:pPr>
              <w:pStyle w:val="Compact"/>
              <w:jc w:val="left"/>
            </w:pPr>
            <w:r>
              <w:t xml:space="preserve">12</w:t>
            </w:r>
          </w:p>
        </w:tc>
        <w:tc>
          <w:tcPr/>
          <w:p>
            <w:pPr>
              <w:pStyle w:val="Compact"/>
              <w:jc w:val="left"/>
            </w:pPr>
            <w:r>
              <w:t xml:space="preserve">Workload Identity Federation for GitLab</w:t>
            </w:r>
          </w:p>
        </w:tc>
      </w:tr>
      <w:tr>
        <w:tc>
          <w:tcPr/>
          <w:p>
            <w:pPr>
              <w:pStyle w:val="Compact"/>
              <w:jc w:val="left"/>
            </w:pPr>
            <w:r>
              <w:t xml:space="preserve">13</w:t>
            </w:r>
          </w:p>
        </w:tc>
        <w:tc>
          <w:tcPr/>
          <w:p>
            <w:pPr>
              <w:pStyle w:val="Compact"/>
              <w:jc w:val="left"/>
            </w:pPr>
            <w:r>
              <w:t xml:space="preserve">Entra ID: workforce federation and app registrations</w:t>
            </w:r>
          </w:p>
        </w:tc>
      </w:tr>
      <w:tr>
        <w:tc>
          <w:tcPr/>
          <w:p>
            <w:pPr>
              <w:pStyle w:val="Compact"/>
              <w:jc w:val="left"/>
            </w:pPr>
            <w:r>
              <w:t xml:space="preserve">14</w:t>
            </w:r>
          </w:p>
        </w:tc>
        <w:tc>
          <w:tcPr/>
          <w:p>
            <w:pPr>
              <w:pStyle w:val="Compact"/>
              <w:jc w:val="left"/>
            </w:pPr>
            <w:r>
              <w:t xml:space="preserve">Apigee organisation, instance, environments</w:t>
            </w:r>
          </w:p>
        </w:tc>
      </w:tr>
      <w:tr>
        <w:tc>
          <w:tcPr/>
          <w:p>
            <w:pPr>
              <w:pStyle w:val="Compact"/>
              <w:jc w:val="left"/>
            </w:pPr>
            <w:r>
              <w:t xml:space="preserve">15</w:t>
            </w:r>
          </w:p>
        </w:tc>
        <w:tc>
          <w:tcPr/>
          <w:p>
            <w:pPr>
              <w:pStyle w:val="Compact"/>
              <w:jc w:val="left"/>
            </w:pPr>
            <w:r>
              <w:t xml:space="preserve">Vertex AI Vector Search</w:t>
            </w:r>
          </w:p>
        </w:tc>
      </w:tr>
      <w:tr>
        <w:tc>
          <w:tcPr/>
          <w:p>
            <w:pPr>
              <w:pStyle w:val="Compact"/>
              <w:jc w:val="left"/>
            </w:pPr>
            <w:r>
              <w:t xml:space="preserve">16</w:t>
            </w:r>
          </w:p>
        </w:tc>
        <w:tc>
          <w:tcPr/>
          <w:p>
            <w:pPr>
              <w:pStyle w:val="Compact"/>
              <w:jc w:val="left"/>
            </w:pPr>
            <w:r>
              <w:t xml:space="preserve">BigQuery, Cloud Storage, Cloud Tasks</w:t>
            </w:r>
          </w:p>
        </w:tc>
      </w:tr>
      <w:tr>
        <w:tc>
          <w:tcPr/>
          <w:p>
            <w:pPr>
              <w:pStyle w:val="Compact"/>
              <w:jc w:val="left"/>
            </w:pPr>
            <w:r>
              <w:t xml:space="preserve">17</w:t>
            </w:r>
          </w:p>
        </w:tc>
        <w:tc>
          <w:tcPr/>
          <w:p>
            <w:pPr>
              <w:pStyle w:val="Compact"/>
              <w:jc w:val="left"/>
            </w:pPr>
            <w:r>
              <w:t xml:space="preserve">Central LLM project, Model Armor and AI safety</w:t>
            </w:r>
          </w:p>
        </w:tc>
      </w:tr>
      <w:tr>
        <w:tc>
          <w:tcPr/>
          <w:p>
            <w:pPr>
              <w:pStyle w:val="Compact"/>
              <w:jc w:val="left"/>
            </w:pPr>
            <w:r>
              <w:t xml:space="preserve">18</w:t>
            </w:r>
          </w:p>
        </w:tc>
        <w:tc>
          <w:tcPr/>
          <w:p>
            <w:pPr>
              <w:pStyle w:val="Compact"/>
              <w:jc w:val="left"/>
            </w:pPr>
            <w:r>
              <w:t xml:space="preserve">Service accounts and IAM</w:t>
            </w:r>
          </w:p>
        </w:tc>
      </w:tr>
      <w:tr>
        <w:tc>
          <w:tcPr/>
          <w:p>
            <w:pPr>
              <w:pStyle w:val="Compact"/>
              <w:jc w:val="left"/>
            </w:pPr>
            <w:r>
              <w:t xml:space="preserve">19</w:t>
            </w:r>
          </w:p>
        </w:tc>
        <w:tc>
          <w:tcPr/>
          <w:p>
            <w:pPr>
              <w:pStyle w:val="Compact"/>
              <w:jc w:val="left"/>
            </w:pPr>
            <w:r>
              <w:t xml:space="preserve">Cloud Run settings you must apply</w:t>
            </w:r>
          </w:p>
        </w:tc>
      </w:tr>
      <w:tr>
        <w:tc>
          <w:tcPr/>
          <w:p>
            <w:pPr>
              <w:pStyle w:val="Compact"/>
              <w:jc w:val="left"/>
            </w:pPr>
            <w:r>
              <w:t xml:space="preserve">20</w:t>
            </w:r>
          </w:p>
        </w:tc>
        <w:tc>
          <w:tcPr/>
          <w:p>
            <w:pPr>
              <w:pStyle w:val="Compact"/>
              <w:jc w:val="left"/>
            </w:pPr>
            <w:r>
              <w:t xml:space="preserve">Load balancers and IAP</w:t>
            </w:r>
          </w:p>
        </w:tc>
      </w:tr>
      <w:tr>
        <w:tc>
          <w:tcPr/>
          <w:p>
            <w:pPr>
              <w:pStyle w:val="Compact"/>
              <w:jc w:val="left"/>
            </w:pPr>
            <w:r>
              <w:t xml:space="preserve">21</w:t>
            </w:r>
          </w:p>
        </w:tc>
        <w:tc>
          <w:tcPr/>
          <w:p>
            <w:pPr>
              <w:pStyle w:val="Compact"/>
              <w:jc w:val="left"/>
            </w:pPr>
            <w:r>
              <w:t xml:space="preserve">Private Service Connect for Apigee, both directions</w:t>
            </w:r>
          </w:p>
        </w:tc>
      </w:tr>
      <w:tr>
        <w:tc>
          <w:tcPr/>
          <w:p>
            <w:pPr>
              <w:pStyle w:val="Compact"/>
              <w:jc w:val="left"/>
            </w:pPr>
            <w:r>
              <w:t xml:space="preserve">22</w:t>
            </w:r>
          </w:p>
        </w:tc>
        <w:tc>
          <w:tcPr/>
          <w:p>
            <w:pPr>
              <w:pStyle w:val="Compact"/>
              <w:jc w:val="left"/>
            </w:pPr>
            <w:r>
              <w:t xml:space="preserve">Apigee configuration and proxies</w:t>
            </w:r>
          </w:p>
        </w:tc>
      </w:tr>
      <w:tr>
        <w:tc>
          <w:tcPr/>
          <w:p>
            <w:pPr>
              <w:pStyle w:val="Compact"/>
              <w:jc w:val="left"/>
            </w:pPr>
            <w:r>
              <w:t xml:space="preserve">23</w:t>
            </w:r>
          </w:p>
        </w:tc>
        <w:tc>
          <w:tcPr/>
          <w:p>
            <w:pPr>
              <w:pStyle w:val="Compact"/>
              <w:jc w:val="left"/>
            </w:pPr>
            <w:r>
              <w:t xml:space="preserve">Monitoring and alerts</w:t>
            </w:r>
          </w:p>
        </w:tc>
      </w:tr>
      <w:tr>
        <w:tc>
          <w:tcPr/>
          <w:p>
            <w:pPr>
              <w:pStyle w:val="Compact"/>
              <w:jc w:val="left"/>
            </w:pPr>
            <w:r>
              <w:t xml:space="preserve">24</w:t>
            </w:r>
          </w:p>
        </w:tc>
        <w:tc>
          <w:tcPr/>
          <w:p>
            <w:pPr>
              <w:pStyle w:val="Compact"/>
              <w:jc w:val="left"/>
            </w:pPr>
            <w:r>
              <w:t xml:space="preserve">End-to-end verification</w:t>
            </w:r>
          </w:p>
        </w:tc>
      </w:tr>
      <w:tr>
        <w:tc>
          <w:tcPr/>
          <w:p>
            <w:pPr>
              <w:pStyle w:val="Compact"/>
              <w:jc w:val="left"/>
            </w:pPr>
            <w:r>
              <w:t xml:space="preserve">25</w:t>
            </w:r>
          </w:p>
        </w:tc>
        <w:tc>
          <w:tcPr/>
          <w:p>
            <w:pPr>
              <w:pStyle w:val="Compact"/>
              <w:jc w:val="left"/>
            </w:pPr>
            <w:r>
              <w:t xml:space="preserve">Infrastructure as code: layering and apply order</w:t>
            </w:r>
          </w:p>
        </w:tc>
      </w:tr>
      <w:tr>
        <w:tc>
          <w:tcPr/>
          <w:p>
            <w:pPr>
              <w:pStyle w:val="Compact"/>
              <w:jc w:val="left"/>
            </w:pPr>
            <w:r>
              <w:t xml:space="preserve">A</w:t>
            </w:r>
          </w:p>
        </w:tc>
        <w:tc>
          <w:tcPr/>
          <w:p>
            <w:pPr>
              <w:pStyle w:val="Compact"/>
              <w:jc w:val="left"/>
            </w:pPr>
            <w:r>
              <w:t xml:space="preserve">What the console cannot do</w:t>
            </w:r>
          </w:p>
        </w:tc>
      </w:tr>
      <w:tr>
        <w:tc>
          <w:tcPr/>
          <w:p>
            <w:pPr>
              <w:pStyle w:val="Compact"/>
              <w:jc w:val="left"/>
            </w:pPr>
            <w:r>
              <w:t xml:space="preserve">B</w:t>
            </w:r>
          </w:p>
        </w:tc>
        <w:tc>
          <w:tcPr/>
          <w:p>
            <w:pPr>
              <w:pStyle w:val="Compact"/>
              <w:jc w:val="left"/>
            </w:pPr>
            <w:r>
              <w:t xml:space="preserve">Common errors and what they mean</w:t>
            </w:r>
          </w:p>
        </w:tc>
      </w:tr>
    </w:tbl>
    <w:p>
      <w:r>
        <w:br w:type="page"/>
      </w:r>
    </w:p>
    <w:bookmarkEnd w:id="20"/>
    <w:bookmarkEnd w:id="21"/>
    <w:bookmarkStart w:id="31" w:name="part-0-before-you-start"/>
    <w:p>
      <w:pPr>
        <w:pStyle w:val="Heading1"/>
      </w:pPr>
      <w:r>
        <w:t xml:space="preserve">Part 0 — Before you start</w:t>
      </w:r>
    </w:p>
    <w:bookmarkStart w:id="22" w:name="roles-you-need"/>
    <w:p>
      <w:pPr>
        <w:pStyle w:val="Heading2"/>
      </w:pPr>
      <w:r>
        <w:t xml:space="preserve">0.1 Roles you need</w:t>
      </w:r>
    </w:p>
    <w:p>
      <w:pPr>
        <w:pStyle w:val="FirstParagraph"/>
      </w:pPr>
      <w:r>
        <w:t xml:space="preserve">Ask whoever administers the organisation for these. Without them, steps fail with</w:t>
      </w:r>
      <w:r>
        <w:t xml:space="preserve"> </w:t>
      </w:r>
      <w:r>
        <w:t xml:space="preserve">“</w:t>
      </w:r>
      <w:r>
        <w:t xml:space="preserve">permission denied</w:t>
      </w:r>
      <w:r>
        <w:t xml:space="preserve">”</w:t>
      </w:r>
      <w:r>
        <w:t xml:space="preserve"> </w:t>
      </w:r>
      <w:r>
        <w:t xml:space="preserve">that looks like a bug.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Scope</w:t>
            </w:r>
          </w:p>
        </w:tc>
        <w:tc>
          <w:tcPr/>
          <w:p>
            <w:pPr>
              <w:pStyle w:val="Compact"/>
              <w:jc w:val="left"/>
            </w:pPr>
            <w:r>
              <w:t xml:space="preserve">Role</w:t>
            </w:r>
          </w:p>
        </w:tc>
        <w:tc>
          <w:tcPr/>
          <w:p>
            <w:pPr>
              <w:pStyle w:val="Compact"/>
              <w:jc w:val="left"/>
            </w:pPr>
            <w:r>
              <w:t xml:space="preserve">Needed for</w:t>
            </w:r>
          </w:p>
        </w:tc>
      </w:tr>
      <w:tr>
        <w:tc>
          <w:tcPr/>
          <w:p>
            <w:pPr>
              <w:pStyle w:val="Compact"/>
              <w:jc w:val="left"/>
            </w:pPr>
            <w:r>
              <w:t xml:space="preserve">Organisation</w:t>
            </w:r>
          </w:p>
        </w:tc>
        <w:tc>
          <w:tcPr/>
          <w:p>
            <w:pPr>
              <w:pStyle w:val="Compact"/>
              <w:jc w:val="left"/>
            </w:pPr>
            <w:r>
              <w:rPr>
                <w:rStyle w:val="VerbatimChar"/>
              </w:rPr>
              <w:t xml:space="preserve">roles/orgpolicy.policyAdmin</w:t>
            </w:r>
          </w:p>
        </w:tc>
        <w:tc>
          <w:tcPr/>
          <w:p>
            <w:pPr>
              <w:pStyle w:val="Compact"/>
              <w:jc w:val="left"/>
            </w:pPr>
            <w:r>
              <w:t xml:space="preserve">Part 1</w:t>
            </w:r>
          </w:p>
        </w:tc>
      </w:tr>
      <w:tr>
        <w:tc>
          <w:tcPr/>
          <w:p>
            <w:pPr>
              <w:pStyle w:val="Compact"/>
              <w:jc w:val="left"/>
            </w:pPr>
            <w:r>
              <w:t xml:space="preserve">Organisation</w:t>
            </w:r>
          </w:p>
        </w:tc>
        <w:tc>
          <w:tcPr/>
          <w:p>
            <w:pPr>
              <w:pStyle w:val="Compact"/>
              <w:jc w:val="left"/>
            </w:pPr>
            <w:r>
              <w:rPr>
                <w:rStyle w:val="VerbatimChar"/>
              </w:rPr>
              <w:t xml:space="preserve">roles/iam.workforcePoolAdmin</w:t>
            </w:r>
          </w:p>
        </w:tc>
        <w:tc>
          <w:tcPr/>
          <w:p>
            <w:pPr>
              <w:pStyle w:val="Compact"/>
              <w:jc w:val="left"/>
            </w:pPr>
            <w:r>
              <w:t xml:space="preserve">Part 13</w:t>
            </w:r>
          </w:p>
        </w:tc>
      </w:tr>
      <w:tr>
        <w:tc>
          <w:tcPr/>
          <w:p>
            <w:pPr>
              <w:pStyle w:val="Compact"/>
              <w:jc w:val="left"/>
            </w:pPr>
            <w:r>
              <w:t xml:space="preserve">Folder</w:t>
            </w:r>
            <w:r>
              <w:t xml:space="preserve"> </w:t>
            </w:r>
            <w:r>
              <w:rPr>
                <w:rStyle w:val="VerbatimChar"/>
              </w:rPr>
              <w:t xml:space="preserve">AI COE</w:t>
            </w:r>
          </w:p>
        </w:tc>
        <w:tc>
          <w:tcPr/>
          <w:p>
            <w:pPr>
              <w:pStyle w:val="Compact"/>
              <w:jc w:val="left"/>
            </w:pPr>
            <w:r>
              <w:rPr>
                <w:rStyle w:val="VerbatimChar"/>
              </w:rPr>
              <w:t xml:space="preserve">roles/logging.configWriter</w:t>
            </w:r>
          </w:p>
        </w:tc>
        <w:tc>
          <w:tcPr/>
          <w:p>
            <w:pPr>
              <w:pStyle w:val="Compact"/>
              <w:jc w:val="left"/>
            </w:pPr>
            <w:r>
              <w:t xml:space="preserve">Part 5 folder sinks</w:t>
            </w:r>
          </w:p>
        </w:tc>
      </w:tr>
      <w:tr>
        <w:tc>
          <w:tcPr/>
          <w:p>
            <w:pPr>
              <w:pStyle w:val="Compact"/>
              <w:jc w:val="left"/>
            </w:pPr>
            <w:r>
              <w:t xml:space="preserve">Folder</w:t>
            </w:r>
            <w:r>
              <w:t xml:space="preserve"> </w:t>
            </w:r>
            <w:r>
              <w:rPr>
                <w:rStyle w:val="VerbatimChar"/>
              </w:rPr>
              <w:t xml:space="preserve">AI COE</w:t>
            </w:r>
          </w:p>
        </w:tc>
        <w:tc>
          <w:tcPr/>
          <w:p>
            <w:pPr>
              <w:pStyle w:val="Compact"/>
              <w:jc w:val="left"/>
            </w:pPr>
            <w:r>
              <w:rPr>
                <w:rStyle w:val="VerbatimChar"/>
              </w:rPr>
              <w:t xml:space="preserve">roles/resourcemanager.folderAdmin</w:t>
            </w:r>
          </w:p>
        </w:tc>
        <w:tc>
          <w:tcPr/>
          <w:p>
            <w:pPr>
              <w:pStyle w:val="Compact"/>
              <w:jc w:val="left"/>
            </w:pPr>
            <w:r>
              <w:t xml:space="preserve">audit config</w:t>
            </w:r>
          </w:p>
        </w:tc>
      </w:tr>
      <w:tr>
        <w:tc>
          <w:tcPr/>
          <w:p>
            <w:pPr>
              <w:pStyle w:val="Compact"/>
              <w:jc w:val="left"/>
            </w:pPr>
            <w:r>
              <w:t xml:space="preserve">Each project</w:t>
            </w:r>
          </w:p>
        </w:tc>
        <w:tc>
          <w:tcPr/>
          <w:p>
            <w:pPr>
              <w:pStyle w:val="Compact"/>
              <w:jc w:val="left"/>
            </w:pPr>
            <w:r>
              <w:rPr>
                <w:rStyle w:val="VerbatimChar"/>
              </w:rPr>
              <w:t xml:space="preserve">roles/owner</w:t>
            </w:r>
            <w:r>
              <w:t xml:space="preserve"> </w:t>
            </w:r>
            <w:r>
              <w:t xml:space="preserve">for the build, reduced afterwards</w:t>
            </w:r>
          </w:p>
        </w:tc>
        <w:tc>
          <w:tcPr/>
          <w:p>
            <w:pPr>
              <w:pStyle w:val="Compact"/>
              <w:jc w:val="left"/>
            </w:pPr>
            <w:r>
              <w:t xml:space="preserve">most parts</w:t>
            </w:r>
          </w:p>
        </w:tc>
      </w:tr>
      <w:tr>
        <w:tc>
          <w:tcPr/>
          <w:p>
            <w:pPr>
              <w:pStyle w:val="Compact"/>
              <w:jc w:val="left"/>
            </w:pPr>
            <w:r>
              <w:t xml:space="preserve">Host project</w:t>
            </w:r>
          </w:p>
        </w:tc>
        <w:tc>
          <w:tcPr/>
          <w:p>
            <w:pPr>
              <w:pStyle w:val="Compact"/>
              <w:jc w:val="left"/>
            </w:pPr>
            <w:r>
              <w:rPr>
                <w:rStyle w:val="VerbatimChar"/>
              </w:rPr>
              <w:t xml:space="preserve">roles/compute.xpnAdmin</w:t>
            </w:r>
          </w:p>
        </w:tc>
        <w:tc>
          <w:tcPr/>
          <w:p>
            <w:pPr>
              <w:pStyle w:val="Compact"/>
              <w:jc w:val="left"/>
            </w:pPr>
            <w:r>
              <w:t xml:space="preserve">Shared VPC, Part 7</w:t>
            </w:r>
          </w:p>
        </w:tc>
      </w:tr>
      <w:tr>
        <w:tc>
          <w:tcPr/>
          <w:p>
            <w:pPr>
              <w:pStyle w:val="Compact"/>
              <w:jc w:val="left"/>
            </w:pPr>
            <w:r>
              <w:t xml:space="preserve">Host project</w:t>
            </w:r>
          </w:p>
        </w:tc>
        <w:tc>
          <w:tcPr/>
          <w:p>
            <w:pPr>
              <w:pStyle w:val="Compact"/>
              <w:jc w:val="left"/>
            </w:pPr>
            <w:r>
              <w:t xml:space="preserve">Shared VPC endpoint roles</w:t>
            </w:r>
          </w:p>
        </w:tc>
        <w:tc>
          <w:tcPr/>
          <w:p>
            <w:pPr>
              <w:pStyle w:val="Compact"/>
              <w:jc w:val="left"/>
            </w:pPr>
            <w:r>
              <w:t xml:space="preserve">Creating a Private Service Connect endpoint in a service project against a host-project subnet needs additional roles</w:t>
            </w:r>
            <w:r>
              <w:t xml:space="preserve"> </w:t>
            </w:r>
            <w:r>
              <w:rPr>
                <w:bCs/>
                <w:b/>
              </w:rPr>
              <w:t xml:space="preserve">on the host project</w:t>
            </w:r>
            <w:r>
              <w:t xml:space="preserve">, not just the service project. Parts 8, 15 and 21 all do this</w:t>
            </w:r>
          </w:p>
        </w:tc>
      </w:tr>
    </w:tbl>
    <w:p>
      <w:pPr>
        <w:pStyle w:val="BodyText"/>
      </w:pPr>
      <w:r>
        <w:t xml:space="preserve">Do not keep</w:t>
      </w:r>
      <w:r>
        <w:t xml:space="preserve"> </w:t>
      </w:r>
      <w:r>
        <w:rPr>
          <w:rStyle w:val="VerbatimChar"/>
        </w:rPr>
        <w:t xml:space="preserve">roles/owner</w:t>
      </w:r>
      <w:r>
        <w:t xml:space="preserve"> </w:t>
      </w:r>
      <w:r>
        <w:t xml:space="preserve">after the build. Part 18 covers what to reduce it to.</w:t>
      </w:r>
    </w:p>
    <w:bookmarkEnd w:id="22"/>
    <w:bookmarkStart w:id="24" w:name="decisions-answered"/>
    <w:p>
      <w:pPr>
        <w:pStyle w:val="Heading2"/>
      </w:pPr>
      <w:r>
        <w:t xml:space="preserve">0.2 Decisions — answered</w:t>
      </w:r>
    </w:p>
    <w:p>
      <w:pPr>
        <w:pStyle w:val="FirstParagraph"/>
      </w:pPr>
      <w:r>
        <w:t xml:space="preserve">Four of the five questions this runbook used to open with now have answers, and they change what you build.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Question</w:t>
            </w:r>
          </w:p>
        </w:tc>
        <w:tc>
          <w:tcPr/>
          <w:p>
            <w:pPr>
              <w:pStyle w:val="Compact"/>
              <w:jc w:val="left"/>
            </w:pPr>
            <w:r>
              <w:t xml:space="preserve">Answer</w:t>
            </w:r>
          </w:p>
        </w:tc>
        <w:tc>
          <w:tcPr/>
          <w:p>
            <w:pPr>
              <w:pStyle w:val="Compact"/>
              <w:jc w:val="left"/>
            </w:pPr>
            <w:r>
              <w:t xml:space="preserve">Consequence</w:t>
            </w:r>
          </w:p>
        </w:tc>
      </w:tr>
      <w:tr>
        <w:tc>
          <w:tcPr/>
          <w:p>
            <w:pPr>
              <w:pStyle w:val="Compact"/>
              <w:jc w:val="left"/>
            </w:pPr>
            <w:r>
              <w:t xml:space="preserve">1</w:t>
            </w:r>
          </w:p>
        </w:tc>
        <w:tc>
          <w:tcPr/>
          <w:p>
            <w:pPr>
              <w:pStyle w:val="Compact"/>
              <w:jc w:val="left"/>
            </w:pPr>
            <w:r>
              <w:t xml:space="preserve">Second IP range</w:t>
            </w:r>
          </w:p>
        </w:tc>
        <w:tc>
          <w:tcPr/>
          <w:p>
            <w:pPr>
              <w:pStyle w:val="Compact"/>
              <w:jc w:val="left"/>
            </w:pPr>
            <w:r>
              <w:rPr>
                <w:rStyle w:val="VerbatimChar"/>
                <w:bCs/>
                <w:b/>
              </w:rPr>
              <w:t>192.168.4.0/22</w:t>
            </w:r>
          </w:p>
        </w:tc>
        <w:tc>
          <w:tcPr/>
          <w:p>
            <w:pPr>
              <w:pStyle w:val="Compact"/>
              <w:jc w:val="left"/>
            </w:pPr>
            <w:r>
              <w:t xml:space="preserve">Private address space, as designed. Nothing changes</w:t>
            </w:r>
          </w:p>
        </w:tc>
      </w:tr>
      <w:tr>
        <w:tc>
          <w:tcPr/>
          <w:p>
            <w:pPr>
              <w:pStyle w:val="Compact"/>
              <w:jc w:val="left"/>
            </w:pPr>
            <w:r>
              <w:t xml:space="preserve">2</w:t>
            </w:r>
          </w:p>
        </w:tc>
        <w:tc>
          <w:tcPr/>
          <w:p>
            <w:pPr>
              <w:pStyle w:val="Compact"/>
              <w:jc w:val="left"/>
            </w:pPr>
            <w:r>
              <w:t xml:space="preserve">Ingress project ID</w:t>
            </w:r>
          </w:p>
        </w:tc>
        <w:tc>
          <w:tcPr/>
          <w:p>
            <w:pPr>
              <w:pStyle w:val="Compact"/>
              <w:jc w:val="left"/>
            </w:pPr>
            <w:r>
              <w:rPr>
                <w:rStyle w:val="VerbatimChar"/>
                <w:bCs/>
                <w:b/>
              </w:rPr>
              <w:t xml:space="preserve">gclt-aicoe-dev-ingress</w:t>
            </w:r>
          </w:p>
        </w:tc>
        <w:tc>
          <w:tcPr/>
          <w:p>
            <w:pPr>
              <w:pStyle w:val="Compact"/>
              <w:jc w:val="left"/>
            </w:pPr>
            <w:r>
              <w:t xml:space="preserve">Use this spelling everywhere</w:t>
            </w:r>
          </w:p>
        </w:tc>
      </w:tr>
      <w:tr>
        <w:tc>
          <w:tcPr/>
          <w:p>
            <w:pPr>
              <w:pStyle w:val="Compact"/>
              <w:jc w:val="left"/>
            </w:pPr>
            <w:r>
              <w:t xml:space="preserve">3</w:t>
            </w:r>
          </w:p>
        </w:tc>
        <w:tc>
          <w:tcPr/>
          <w:p>
            <w:pPr>
              <w:pStyle w:val="Compact"/>
              <w:jc w:val="left"/>
            </w:pPr>
            <w:r>
              <w:rPr>
                <w:rStyle w:val="VerbatimChar"/>
              </w:rPr>
              <w:t xml:space="preserve">gcp.resourceLocations</w:t>
            </w:r>
          </w:p>
        </w:tc>
        <w:tc>
          <w:tcPr/>
          <w:p>
            <w:pPr>
              <w:pStyle w:val="Compact"/>
              <w:jc w:val="left"/>
            </w:pPr>
            <w:r>
              <w:rPr>
                <w:bCs/>
                <w:b/>
              </w:rPr>
              <w:t xml:space="preserve">pinned to</w:t>
            </w:r>
            <w:r>
              <w:rPr>
                <w:bCs/>
                <w:b/>
              </w:rPr>
              <w:t xml:space="preserve"> </w:t>
            </w:r>
            <w:r>
              <w:rPr>
                <w:rStyle w:val="VerbatimChar"/>
                <w:bCs/>
                <w:b/>
              </w:rPr>
              <w:t xml:space="preserve">europe-west1</w:t>
            </w:r>
          </w:p>
        </w:tc>
        <w:tc>
          <w:tcPr/>
          <w:p>
            <w:pPr>
              <w:pStyle w:val="Compact"/>
              <w:jc w:val="left"/>
            </w:pPr>
            <w:r>
              <w:t xml:space="preserve">Model Armor</w:t>
            </w:r>
            <w:r>
              <w:t xml:space="preserve"> </w:t>
            </w:r>
            <w:r>
              <w:rPr>
                <w:bCs/>
                <w:b/>
              </w:rPr>
              <w:t xml:space="preserve">is</w:t>
            </w:r>
            <w:r>
              <w:t xml:space="preserve"> </w:t>
            </w:r>
            <w:r>
              <w:t xml:space="preserve">available in</w:t>
            </w:r>
            <w:r>
              <w:t xml:space="preserve"> </w:t>
            </w:r>
            <w:r>
              <w:rPr>
                <w:rStyle w:val="VerbatimChar"/>
              </w:rPr>
              <w:t xml:space="preserve">europe-west1</w:t>
            </w:r>
            <w:r>
              <w:t xml:space="preserve">, so it is used. What the pinning does block is the built-in Vertex AI integration, which wants a template in a different region — see §17.2</w:t>
            </w:r>
          </w:p>
        </w:tc>
      </w:tr>
      <w:tr>
        <w:tc>
          <w:tcPr/>
          <w:p>
            <w:pPr>
              <w:pStyle w:val="Compact"/>
              <w:jc w:val="left"/>
            </w:pPr>
            <w:r>
              <w:t xml:space="preserve">4</w:t>
            </w:r>
          </w:p>
        </w:tc>
        <w:tc>
          <w:tcPr/>
          <w:p>
            <w:pPr>
              <w:pStyle w:val="Compact"/>
              <w:jc w:val="left"/>
            </w:pPr>
            <w:r>
              <w:t xml:space="preserve">Apigee environment type</w:t>
            </w:r>
          </w:p>
        </w:tc>
        <w:tc>
          <w:tcPr/>
          <w:p>
            <w:pPr>
              <w:pStyle w:val="Compact"/>
              <w:jc w:val="left"/>
            </w:pPr>
            <w:r>
              <w:rPr>
                <w:bCs/>
                <w:b/>
              </w:rPr>
              <w:t xml:space="preserve">Intermediate</w:t>
            </w:r>
            <w:r>
              <w:t xml:space="preserve"> </w:t>
            </w:r>
            <w:r>
              <w:t xml:space="preserve">for the</w:t>
            </w:r>
            <w:r>
              <w:t xml:space="preserve"> </w:t>
            </w:r>
            <w:r>
              <w:rPr>
                <w:rStyle w:val="VerbatimChar"/>
              </w:rPr>
              <w:t xml:space="preserve">llm</w:t>
            </w:r>
            <w:r>
              <w:t xml:space="preserve"> </w:t>
            </w:r>
            <w:r>
              <w:t xml:space="preserve">environment</w:t>
            </w:r>
          </w:p>
        </w:tc>
        <w:tc>
          <w:tcPr/>
          <w:p>
            <w:pPr>
              <w:pStyle w:val="Compact"/>
              <w:jc w:val="left"/>
            </w:pPr>
            <w:r>
              <w:t xml:space="preserve">The Model Armor policies are Extensible, which Base cannot run. See §14.5</w:t>
            </w:r>
          </w:p>
        </w:tc>
      </w:tr>
      <w:tr>
        <w:tc>
          <w:tcPr/>
          <w:p>
            <w:pPr>
              <w:pStyle w:val="Compact"/>
              <w:jc w:val="left"/>
            </w:pPr>
            <w:r>
              <w:t xml:space="preserve">5</w:t>
            </w:r>
          </w:p>
        </w:tc>
        <w:tc>
          <w:tcPr/>
          <w:p>
            <w:pPr>
              <w:pStyle w:val="Compact"/>
              <w:jc w:val="left"/>
            </w:pPr>
            <w:r>
              <w:t xml:space="preserve">Apigee to Cloud Run authentication</w:t>
            </w:r>
          </w:p>
        </w:tc>
        <w:tc>
          <w:tcPr/>
          <w:p>
            <w:pPr>
              <w:pStyle w:val="Compact"/>
              <w:jc w:val="left"/>
            </w:pPr>
            <w:r>
              <w:rPr>
                <w:bCs/>
                <w:b/>
              </w:rPr>
              <w:t xml:space="preserve">decided — see §0.2.1</w:t>
            </w:r>
          </w:p>
        </w:tc>
        <w:tc>
          <w:tcPr/>
          <w:p>
            <w:pPr>
              <w:pStyle w:val="Compact"/>
              <w:jc w:val="left"/>
            </w:pPr>
            <w:r>
              <w:t xml:space="preserve">Determines whether a second load balancer exists</w:t>
            </w:r>
          </w:p>
        </w:tc>
      </w:tr>
    </w:tbl>
    <w:bookmarkStart w:id="23" w:name="apigee-is-in-the-user-request-path"/>
    <w:p>
      <w:pPr>
        <w:pStyle w:val="Heading3"/>
      </w:pPr>
      <w:r>
        <w:t xml:space="preserve">0.2.1 Apigee is in the user request path</w:t>
      </w:r>
    </w:p>
    <w:p>
      <w:pPr>
        <w:pStyle w:val="FirstParagraph"/>
      </w:pPr>
      <w:r>
        <w:t xml:space="preserve">Earlier revisions moved Apigee out of the user path because there was no verified way for it to authenticate to Cloud Run. That is no longer the choice:</w:t>
      </w:r>
      <w:r>
        <w:t xml:space="preserve"> </w:t>
      </w:r>
      <w:r>
        <w:rPr>
          <w:bCs/>
          <w:b/>
        </w:rPr>
        <w:t xml:space="preserve">per-user rate limiting is a firm requirement, and Apigee is the only place it can be enforced.</w:t>
      </w:r>
    </w:p>
    <w:p>
      <w:pPr>
        <w:pStyle w:val="BodyText"/>
      </w:pPr>
      <w:r>
        <w:t xml:space="preserve">The shape is now: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Hop</w:t>
            </w:r>
          </w:p>
        </w:tc>
        <w:tc>
          <w:tcPr/>
          <w:p>
            <w:pPr>
              <w:pStyle w:val="Compact"/>
              <w:jc w:val="left"/>
            </w:pPr>
            <w:r>
              <w:t xml:space="preserve">How</w:t>
            </w:r>
          </w:p>
        </w:tc>
      </w:tr>
      <w:tr>
        <w:tc>
          <w:tcPr/>
          <w:p>
            <w:pPr>
              <w:pStyle w:val="Compact"/>
              <w:jc w:val="left"/>
            </w:pPr>
            <w:r>
              <w:t xml:space="preserve">Browser to BFF</w:t>
            </w:r>
          </w:p>
        </w:tc>
        <w:tc>
          <w:tcPr/>
          <w:p>
            <w:pPr>
              <w:pStyle w:val="Compact"/>
              <w:jc w:val="left"/>
            </w:pPr>
            <w:r>
              <w:t xml:space="preserve">AI Hub load balancer at</w:t>
            </w:r>
            <w:r>
              <w:t xml:space="preserve"> </w:t>
            </w:r>
            <w:r>
              <w:rPr>
                <w:rStyle w:val="VerbatimChar"/>
              </w:rPr>
              <w:t xml:space="preserve">10.110.73.20</w:t>
            </w:r>
            <w:r>
              <w:t xml:space="preserve">, protected by IAP</w:t>
            </w:r>
          </w:p>
        </w:tc>
      </w:tr>
      <w:tr>
        <w:tc>
          <w:tcPr/>
          <w:p>
            <w:pPr>
              <w:pStyle w:val="Compact"/>
              <w:jc w:val="left"/>
            </w:pPr>
            <w:r>
              <w:t xml:space="preserve">BFF to Apigee</w:t>
            </w:r>
          </w:p>
        </w:tc>
        <w:tc>
          <w:tcPr/>
          <w:p>
            <w:pPr>
              <w:pStyle w:val="Compact"/>
              <w:jc w:val="left"/>
            </w:pPr>
            <w:r>
              <w:t>Server-side, to Apigee’s internal service endpoint at 192.168.6.146. The browser never calls Apigee, so no second CSOC-opened address and no PSC network endpoint group on an internal load balancer</w:t>
            </w:r>
            <w:r/>
            <w:r>
              <w:rPr>
                <w:bCs/>
                <w:b/>
              </w:rPr>
            </w:r>
            <w:r/>
            <w:r/>
            <w:r/>
            <w:r>
              <w:rPr>
                <w:rStyle w:val="VerbatimChar"/>
              </w:rPr>
            </w:r>
            <w:r/>
          </w:p>
        </w:tc>
      </w:tr>
      <w:tr>
        <w:tc>
          <w:tcPr/>
          <w:p>
            <w:pPr>
              <w:pStyle w:val="Compact"/>
              <w:jc w:val="left"/>
            </w:pPr>
            <w:r>
              <w:t xml:space="preserve">Apigee to backends</w:t>
            </w:r>
          </w:p>
        </w:tc>
        <w:tc>
          <w:tcPr/>
          <w:p>
            <w:pPr>
              <w:pStyle w:val="Compact"/>
              <w:jc w:val="left"/>
            </w:pPr>
            <w:r>
              <w:t>Southbound Private Service Connect to the Backend load balancer at 192.168.6.145, which has IAP enabled using a dedicated OAuth client. Apigee presents a Google ID token whose audience is that client</w:t>
            </w:r>
            <w:r/>
            <w:r>
              <w:rPr>
                <w:rStyle w:val="VerbatimChar"/>
              </w:rPr>
            </w:r>
            <w:r/>
            <w:r/>
            <w:r>
              <w:rPr>
                <w:bCs/>
                <w:b/>
              </w:rPr>
            </w:r>
            <w:r/>
            <w:r/>
          </w:p>
        </w:tc>
      </w:tr>
    </w:tbl>
    <w:p>
      <w:pPr>
        <w:pStyle w:val="BodyText"/>
      </w:pPr>
      <w:r>
        <w:t xml:space="preserve">The last hop is</w:t>
      </w:r>
      <w:r>
        <w:t xml:space="preserve"> </w:t>
      </w:r>
      <w:r>
        <w:rPr>
          <w:bCs/>
          <w:b/>
        </w:rPr>
        <w:t xml:space="preserve">spike S1</w:t>
      </w:r>
      <w:r>
        <w:t xml:space="preserve"> </w:t>
      </w:r>
      <w:r>
        <w:t xml:space="preserve">and remains the top risk. A Cloud Run service behind a load balancer is not invoked as the caller — the load balancer invokes anonymously, which domain-restricted sharing forbids, or as the IAP service agent, which is the mechanism here. Test it in a scratch project before building. The fallback is Apigee calling the Cloud Run URL directly with</w:t>
      </w:r>
      <w:r>
        <w:t xml:space="preserve"> </w:t>
      </w:r>
      <w:r>
        <w:rPr>
          <w:rStyle w:val="VerbatimChar"/>
        </w:rPr>
        <w:t xml:space="preserve">run.invoker</w:t>
      </w:r>
      <w:r>
        <w:t xml:space="preserve"> </w:t>
      </w:r>
      <w:r>
        <w:t xml:space="preserve">restricted to the Apigee service account, which needs an ingress policy exception.</w:t>
      </w:r>
    </w:p>
    <w:bookmarkEnd w:id="23"/>
    <w:bookmarkEnd w:id="24"/>
    <w:bookmarkStart w:id="25" w:name="the-projects"/>
    <w:p>
      <w:pPr>
        <w:pStyle w:val="Heading2"/>
      </w:pPr>
      <w:r>
        <w:t xml:space="preserve">0.3 The projects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Project ID</w:t>
            </w:r>
          </w:p>
        </w:tc>
        <w:tc>
          <w:tcPr/>
          <w:p>
            <w:pPr>
              <w:pStyle w:val="Compact"/>
              <w:jc w:val="left"/>
            </w:pPr>
            <w:r>
              <w:t xml:space="preserve">Role in the platform</w:t>
            </w:r>
          </w:p>
        </w:tc>
      </w:tr>
      <w:tr>
        <w:tc>
          <w:tcPr/>
          <w:p>
            <w:pPr>
              <w:pStyle w:val="Compact"/>
              <w:jc w:val="left"/>
            </w:pPr>
            <w:r>
              <w:rPr>
                <w:rStyle w:val="VerbatimChar"/>
              </w:rPr>
              <w:t xml:space="preserve">gclt-aicoe-dev-network</w:t>
            </w:r>
          </w:p>
        </w:tc>
        <w:tc>
          <w:tcPr/>
          <w:p>
            <w:pPr>
              <w:pStyle w:val="Compact"/>
              <w:jc w:val="left"/>
            </w:pPr>
            <w:r>
              <w:t xml:space="preserve">Owns the network.</w:t>
            </w:r>
            <w:r>
              <w:t xml:space="preserve"> </w:t>
            </w:r>
            <w:r>
              <w:t xml:space="preserve">“</w:t>
            </w:r>
            <w:r>
              <w:t xml:space="preserve">Host project</w:t>
            </w:r>
            <w:r>
              <w:t xml:space="preserve">”</w:t>
            </w:r>
          </w:p>
        </w:tc>
      </w:tr>
      <w:tr>
        <w:tc>
          <w:tcPr/>
          <w:p>
            <w:pPr>
              <w:pStyle w:val="Compact"/>
              <w:jc w:val="left"/>
            </w:pPr>
            <w:r>
              <w:rPr>
                <w:rStyle w:val="VerbatimChar"/>
              </w:rPr>
              <w:t xml:space="preserve">gclt-aicoe-dev-ingress</w:t>
            </w:r>
          </w:p>
        </w:tc>
        <w:tc>
          <w:tcPr/>
          <w:p>
            <w:pPr>
              <w:pStyle w:val="Compact"/>
              <w:jc w:val="left"/>
            </w:pPr>
            <w:r>
              <w:t xml:space="preserve">Load balancer front doors</w:t>
            </w:r>
          </w:p>
        </w:tc>
      </w:tr>
      <w:tr>
        <w:tc>
          <w:tcPr/>
          <w:p>
            <w:pPr>
              <w:pStyle w:val="Compact"/>
              <w:jc w:val="left"/>
            </w:pPr>
            <w:r>
              <w:rPr>
                <w:rStyle w:val="VerbatimChar"/>
              </w:rPr>
              <w:t xml:space="preserve">gclt-aicoe-dev-apigee</w:t>
            </w:r>
          </w:p>
        </w:tc>
        <w:tc>
          <w:tcPr/>
          <w:p>
            <w:pPr>
              <w:pStyle w:val="Compact"/>
              <w:jc w:val="left"/>
            </w:pPr>
            <w:r>
              <w:t xml:space="preserve">The API gateway</w:t>
            </w:r>
          </w:p>
        </w:tc>
      </w:tr>
      <w:tr>
        <w:tc>
          <w:tcPr/>
          <w:p>
            <w:pPr>
              <w:pStyle w:val="Compact"/>
              <w:jc w:val="left"/>
            </w:pPr>
            <w:r>
              <w:rPr>
                <w:rStyle w:val="VerbatimChar"/>
              </w:rPr>
              <w:t xml:space="preserve">gclt-aicoe-dev-aihub-ui</w:t>
            </w:r>
          </w:p>
        </w:tc>
        <w:tc>
          <w:tcPr/>
          <w:p>
            <w:pPr>
              <w:pStyle w:val="Compact"/>
              <w:jc w:val="left"/>
            </w:pPr>
            <w:r>
              <w:t xml:space="preserve">The web interface</w:t>
            </w:r>
          </w:p>
        </w:tc>
      </w:tr>
      <w:tr>
        <w:tc>
          <w:tcPr/>
          <w:p>
            <w:pPr>
              <w:pStyle w:val="Compact"/>
              <w:jc w:val="left"/>
            </w:pPr>
            <w:r>
              <w:rPr>
                <w:rStyle w:val="VerbatimChar"/>
              </w:rPr>
              <w:t xml:space="preserve">gclt-aicoe-dev-st</w:t>
            </w:r>
          </w:p>
        </w:tc>
        <w:tc>
          <w:tcPr/>
          <w:p>
            <w:pPr>
              <w:pStyle w:val="Compact"/>
              <w:jc w:val="left"/>
            </w:pPr>
            <w:r>
              <w:t xml:space="preserve">Translation and Sales Agent, plus their data</w:t>
            </w:r>
          </w:p>
        </w:tc>
      </w:tr>
      <w:tr>
        <w:tc>
          <w:tcPr/>
          <w:p>
            <w:pPr>
              <w:pStyle w:val="Compact"/>
              <w:jc w:val="left"/>
            </w:pPr>
            <w:r>
              <w:rPr>
                <w:rStyle w:val="VerbatimChar"/>
              </w:rPr>
              <w:t xml:space="preserve">gclt-aicoe-dev-llm</w:t>
            </w:r>
          </w:p>
        </w:tc>
        <w:tc>
          <w:tcPr/>
          <w:p>
            <w:pPr>
              <w:pStyle w:val="Compact"/>
              <w:jc w:val="left"/>
            </w:pPr>
            <w:r>
              <w:t xml:space="preserve">Central Vertex AI target. Holds no compute</w:t>
            </w:r>
          </w:p>
        </w:tc>
      </w:tr>
      <w:tr>
        <w:tc>
          <w:tcPr/>
          <w:p>
            <w:pPr>
              <w:pStyle w:val="Compact"/>
              <w:jc w:val="left"/>
            </w:pPr>
            <w:r>
              <w:rPr>
                <w:rStyle w:val="VerbatimChar"/>
              </w:rPr>
              <w:t xml:space="preserve">gclt-aicoe-dev-auditlogs</w:t>
            </w:r>
          </w:p>
        </w:tc>
        <w:tc>
          <w:tcPr/>
          <w:p>
            <w:pPr>
              <w:pStyle w:val="Compact"/>
              <w:jc w:val="left"/>
            </w:pPr>
            <w:r>
              <w:t xml:space="preserve">Central log storage</w:t>
            </w:r>
          </w:p>
        </w:tc>
      </w:tr>
      <w:tr>
        <w:tc>
          <w:tcPr/>
          <w:p>
            <w:pPr>
              <w:pStyle w:val="Compact"/>
              <w:jc w:val="left"/>
            </w:pPr>
            <w:r>
              <w:rPr>
                <w:rStyle w:val="VerbatimChar"/>
              </w:rPr>
              <w:t xml:space="preserve">aicoe-sharedwif</w:t>
            </w:r>
          </w:p>
        </w:tc>
        <w:tc>
          <w:tcPr/>
          <w:p>
            <w:pPr>
              <w:pStyle w:val="Compact"/>
              <w:jc w:val="left"/>
            </w:pPr>
            <w:r>
              <w:t xml:space="preserve">How GitLab authenticates to Google</w:t>
            </w:r>
          </w:p>
        </w:tc>
      </w:tr>
    </w:tbl>
    <w:bookmarkEnd w:id="25"/>
    <w:bookmarkStart w:id="26" w:name="X1f6a90316cfa8ec8403bd6382621fc46fe154e0"/>
    <w:p>
      <w:pPr>
        <w:pStyle w:val="Heading2"/>
      </w:pPr>
      <w:r>
        <w:t xml:space="preserve">0.4 The two IP ranges, and why the split matters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Range</w:t>
            </w:r>
          </w:p>
        </w:tc>
        <w:tc>
          <w:tcPr/>
          <w:p>
            <w:pPr>
              <w:pStyle w:val="Compact"/>
              <w:jc w:val="left"/>
            </w:pPr>
            <w:r>
              <w:t xml:space="preserve">Reachable from the Colt network?</w:t>
            </w:r>
          </w:p>
        </w:tc>
        <w:tc>
          <w:tcPr/>
          <w:p>
            <w:pPr>
              <w:pStyle w:val="Compact"/>
              <w:jc w:val="left"/>
            </w:pPr>
            <w:r>
              <w:t xml:space="preserve">What goes in it</w:t>
            </w:r>
          </w:p>
        </w:tc>
      </w:tr>
      <w:tr>
        <w:tc>
          <w:tcPr/>
          <w:p>
            <w:pPr>
              <w:pStyle w:val="Compact"/>
              <w:jc w:val="left"/>
            </w:pPr>
            <w:r>
              <w:rPr>
                <w:rStyle w:val="VerbatimChar"/>
              </w:rPr>
              <w:t xml:space="preserve">10.110.73.0/24</w:t>
            </w:r>
          </w:p>
        </w:tc>
        <w:tc>
          <w:tcPr/>
          <w:p>
            <w:pPr>
              <w:pStyle w:val="Compact"/>
              <w:jc w:val="left"/>
            </w:pPr>
            <w:r>
              <w:rPr>
                <w:bCs/>
                <w:b/>
              </w:rPr>
              <w:t xml:space="preserve">Yes.</w:t>
            </w:r>
            <w:r>
              <w:t xml:space="preserve"> </w:t>
            </w:r>
            <w:r>
              <w:t xml:space="preserve">Colt routes it, and their CSOC team opens the firewall for individual addresses on request</w:t>
            </w:r>
          </w:p>
        </w:tc>
        <w:tc>
          <w:tcPr/>
          <w:p>
            <w:pPr>
              <w:pStyle w:val="Compact"/>
              <w:jc w:val="left"/>
            </w:pPr>
            <w:r>
              <w:rPr>
                <w:bCs/>
                <w:b/>
              </w:rPr>
              <w:t xml:space="preserve">Only</w:t>
            </w:r>
            <w:r>
              <w:t xml:space="preserve"> </w:t>
            </w:r>
            <w:r>
              <w:t xml:space="preserve">addresses that real users must reach. Today that is exactly one:</w:t>
            </w:r>
            <w:r>
              <w:t xml:space="preserve"> </w:t>
            </w:r>
            <w:r>
              <w:rPr>
                <w:rStyle w:val="VerbatimChar"/>
              </w:rPr>
              <w:t xml:space="preserve">10.110.73.20</w:t>
            </w:r>
            <w:r>
              <w:t xml:space="preserve">, the AI Hub front door</w:t>
            </w:r>
          </w:p>
        </w:tc>
      </w:tr>
      <w:tr>
        <w:tc>
          <w:tcPr/>
          <w:p>
            <w:pPr>
              <w:pStyle w:val="Compact"/>
              <w:jc w:val="left"/>
            </w:pPr>
            <w:r>
              <w:rPr>
                <w:rStyle w:val="VerbatimChar"/>
              </w:rPr>
              <w:t>192.168.4.0/22</w:t>
            </w:r>
          </w:p>
        </w:tc>
        <w:tc>
          <w:tcPr/>
          <w:p>
            <w:pPr>
              <w:pStyle w:val="Compact"/>
              <w:jc w:val="left"/>
            </w:pPr>
            <w:r>
              <w:rPr>
                <w:bCs/>
                <w:b/>
              </w:rPr>
              <w:t xml:space="preserve">No.</w:t>
            </w:r>
            <w:r>
              <w:t xml:space="preserve"> </w:t>
            </w:r>
            <w:r>
              <w:t xml:space="preserve">There is no route from the Colt network into it</w:t>
            </w:r>
          </w:p>
        </w:tc>
        <w:tc>
          <w:tcPr/>
          <w:p>
            <w:pPr>
              <w:pStyle w:val="Compact"/>
              <w:jc w:val="left"/>
            </w:pPr>
            <w:r>
              <w:t xml:space="preserve">Everything else — Cloud Run instances, the load balancer’s internal machinery, every Private Service Connect endpoint</w:t>
            </w:r>
          </w:p>
        </w:tc>
      </w:tr>
    </w:tbl>
    <w:p>
      <w:pPr>
        <w:pStyle w:val="BodyText"/>
      </w:pPr>
      <w:r>
        <w:t xml:space="preserve">This is a security control, not filing. A machine-only address placed in the unreachable range cannot be reached by a person even if somebody opens a firewall rule by mistake, because the packets have nowhere to travel.</w:t>
      </w:r>
    </w:p>
    <w:bookmarkEnd w:id="26"/>
    <w:bookmarkStart w:id="27" w:name="every-subnet-you-will-create"/>
    <w:p>
      <w:pPr>
        <w:pStyle w:val="Heading2"/>
      </w:pPr>
      <w:r>
        <w:t xml:space="preserve">0.5 Every subnet you will create</w:t>
      </w:r>
    </w:p>
    <w:p>
      <w:pPr>
        <w:pStyle w:val="FirstParagraph"/>
      </w:pPr>
      <w:r>
        <w:t xml:space="preserve">Write these down. You will type them repeatedly, and a typo in a subnet range is painful to undo.</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Subnet name</w:t>
            </w:r>
          </w:p>
        </w:tc>
        <w:tc>
          <w:tcPr/>
          <w:p>
            <w:pPr>
              <w:pStyle w:val="Compact"/>
              <w:jc w:val="left"/>
            </w:pPr>
            <w:r>
              <w:t xml:space="preserve">Range</w:t>
            </w:r>
          </w:p>
        </w:tc>
        <w:tc>
          <w:tcPr/>
          <w:p>
            <w:pPr>
              <w:pStyle w:val="Compact"/>
              <w:jc w:val="left"/>
            </w:pPr>
            <w:r>
              <w:t xml:space="preserve">Purpose setting</w:t>
            </w:r>
          </w:p>
        </w:tc>
        <w:tc>
          <w:tcPr/>
          <w:p>
            <w:pPr>
              <w:pStyle w:val="Compact"/>
              <w:jc w:val="left"/>
            </w:pPr>
            <w:r>
              <w:t xml:space="preserve">What it is for</w:t>
            </w:r>
          </w:p>
        </w:tc>
      </w:tr>
      <w:tr>
        <w:tc>
          <w:tcPr/>
          <w:p>
            <w:pPr>
              <w:pStyle w:val="Compact"/>
              <w:jc w:val="left"/>
            </w:pPr>
            <w:r>
              <w:rPr>
                <w:rStyle w:val="VerbatimChar"/>
              </w:rPr>
              <w:t xml:space="preserve">gclt-aicoe-dev-subnet-ew1</w:t>
            </w:r>
          </w:p>
        </w:tc>
        <w:tc>
          <w:tcPr/>
          <w:p>
            <w:pPr>
              <w:pStyle w:val="Compact"/>
              <w:jc w:val="left"/>
            </w:pPr>
            <w:r>
              <w:rPr>
                <w:rStyle w:val="VerbatimChar"/>
              </w:rPr>
              <w:t xml:space="preserve">10.110.73.0/24</w:t>
            </w:r>
          </w:p>
        </w:tc>
        <w:tc>
          <w:tcPr/>
          <w:p>
            <w:pPr>
              <w:pStyle w:val="Compact"/>
              <w:jc w:val="left"/>
            </w:pPr>
            <w:r>
              <w:t xml:space="preserve">Private (normal)</w:t>
            </w:r>
          </w:p>
        </w:tc>
        <w:tc>
          <w:tcPr/>
          <w:p>
            <w:pPr>
              <w:pStyle w:val="Compact"/>
              <w:jc w:val="left"/>
            </w:pPr>
            <w:r>
              <w:t xml:space="preserve">User-facing load balancer addresses</w:t>
            </w:r>
          </w:p>
        </w:tc>
      </w:tr>
      <w:tr>
        <w:tc>
          <w:tcPr/>
          <w:p>
            <w:pPr>
              <w:pStyle w:val="Compact"/>
              <w:jc w:val="left"/>
            </w:pPr>
            <w:r>
              <w:rPr>
                <w:rStyle w:val="VerbatimChar"/>
              </w:rPr>
              <w:t xml:space="preserve">gclt-aicoe-dev-cloudrun-ew1</w:t>
            </w:r>
          </w:p>
        </w:tc>
        <w:tc>
          <w:tcPr/>
          <w:p>
            <w:pPr>
              <w:pStyle w:val="Compact"/>
              <w:jc w:val="left"/>
            </w:pPr>
            <w:r>
              <w:rPr>
                <w:rStyle w:val="VerbatimChar"/>
              </w:rPr>
              <w:t>192.168.4.0/23</w:t>
            </w:r>
          </w:p>
        </w:tc>
        <w:tc>
          <w:tcPr/>
          <w:p>
            <w:pPr>
              <w:pStyle w:val="Compact"/>
              <w:jc w:val="left"/>
            </w:pPr>
            <w:r>
              <w:t xml:space="preserve">Private (normal)</w:t>
            </w:r>
          </w:p>
        </w:tc>
        <w:tc>
          <w:tcPr/>
          <w:p>
            <w:pPr>
              <w:pStyle w:val="Compact"/>
              <w:jc w:val="left"/>
            </w:pPr>
            <w:r>
              <w:t xml:space="preserve">Cloud Run instances draw an address each from here</w:t>
            </w:r>
          </w:p>
        </w:tc>
      </w:tr>
      <w:tr>
        <w:tc>
          <w:tcPr/>
          <w:p>
            <w:pPr>
              <w:pStyle w:val="Compact"/>
              <w:jc w:val="left"/>
            </w:pPr>
            <w:r>
              <w:rPr>
                <w:rStyle w:val="VerbatimChar"/>
              </w:rPr>
              <w:t xml:space="preserve">gclt-aicoe-dev-proxy-ew1</w:t>
            </w:r>
          </w:p>
        </w:tc>
        <w:tc>
          <w:tcPr/>
          <w:p>
            <w:pPr>
              <w:pStyle w:val="Compact"/>
              <w:jc w:val="left"/>
            </w:pPr>
            <w:r>
              <w:rPr>
                <w:rStyle w:val="VerbatimChar"/>
              </w:rPr>
              <w:t>192.168.6.0/26</w:t>
            </w:r>
          </w:p>
        </w:tc>
        <w:tc>
          <w:tcPr/>
          <w:p>
            <w:pPr>
              <w:pStyle w:val="Compact"/>
              <w:jc w:val="left"/>
            </w:pPr>
            <w:r>
              <w:t xml:space="preserve">Regional Managed Proxy</w:t>
            </w:r>
          </w:p>
        </w:tc>
        <w:tc>
          <w:tcPr/>
          <w:p>
            <w:pPr>
              <w:pStyle w:val="Compact"/>
              <w:jc w:val="left"/>
            </w:pPr>
            <w:r>
              <w:t xml:space="preserve">Google’s load balancer engines run here</w:t>
            </w:r>
          </w:p>
        </w:tc>
      </w:tr>
      <w:tr>
        <w:tc>
          <w:tcPr/>
          <w:p>
            <w:pPr>
              <w:pStyle w:val="Compact"/>
              <w:jc w:val="left"/>
            </w:pPr>
            <w:r>
              <w:rPr>
                <w:rStyle w:val="VerbatimChar"/>
              </w:rPr>
              <w:t xml:space="preserve">gclt-aicoe-dev-pscnat-ew1</w:t>
            </w:r>
          </w:p>
        </w:tc>
        <w:tc>
          <w:tcPr/>
          <w:p>
            <w:pPr>
              <w:pStyle w:val="Compact"/>
              <w:jc w:val="left"/>
            </w:pPr>
            <w:r>
              <w:rPr>
                <w:rStyle w:val="VerbatimChar"/>
              </w:rPr>
              <w:t>192.168.6.128/28</w:t>
            </w:r>
          </w:p>
        </w:tc>
        <w:tc>
          <w:tcPr/>
          <w:p>
            <w:pPr>
              <w:pStyle w:val="Compact"/>
              <w:jc w:val="left"/>
            </w:pPr>
            <w:r>
              <w:t xml:space="preserve">Private Service Connect</w:t>
            </w:r>
          </w:p>
        </w:tc>
        <w:tc>
          <w:tcPr/>
          <w:p>
            <w:pPr>
              <w:pStyle w:val="Compact"/>
              <w:jc w:val="left"/>
            </w:pPr>
            <w:r>
              <w:t xml:space="preserve">Address translation for Apigee’s return path to your backends</w:t>
            </w:r>
          </w:p>
        </w:tc>
      </w:tr>
      <w:tr>
        <w:tc>
          <w:tcPr/>
          <w:p>
            <w:pPr>
              <w:pStyle w:val="Compact"/>
              <w:jc w:val="left"/>
            </w:pPr>
            <w:r>
              <w:rPr>
                <w:rStyle w:val="VerbatimChar"/>
              </w:rPr>
              <w:t xml:space="preserve">gclt-aicoe-dev-internal-ew1</w:t>
            </w:r>
          </w:p>
        </w:tc>
        <w:tc>
          <w:tcPr/>
          <w:p>
            <w:pPr>
              <w:pStyle w:val="Compact"/>
              <w:jc w:val="left"/>
            </w:pPr>
            <w:r>
              <w:rPr>
                <w:rStyle w:val="VerbatimChar"/>
              </w:rPr>
              <w:t>192.168.6.144/28</w:t>
            </w:r>
          </w:p>
        </w:tc>
        <w:tc>
          <w:tcPr/>
          <w:p>
            <w:pPr>
              <w:pStyle w:val="Compact"/>
              <w:jc w:val="left"/>
            </w:pPr>
            <w:r>
              <w:t xml:space="preserve">Private (normal)</w:t>
            </w:r>
          </w:p>
        </w:tc>
        <w:tc>
          <w:tcPr/>
          <w:p>
            <w:pPr>
              <w:pStyle w:val="Compact"/>
              <w:jc w:val="left"/>
            </w:pPr>
            <w:r>
              <w:t xml:space="preserve">Machine-only load balancer and endpoint addresses</w:t>
            </w:r>
          </w:p>
        </w:tc>
      </w:tr>
    </w:tbl>
    <w:p>
      <w:pPr>
        <w:pStyle w:val="BodyText"/>
      </w:pPr>
      <w:r>
        <w:t>Left deliberately empty, and none of it is spare capacity: 192.168.6.64/26 is the landing block for the proxy-only subnet's role swap — a proxy-only subnet cannot be resized in place, so growing the Envoy fleet means creating a second one there, marking it ACTIVE and the original BACKUP, then removing the original. 192.168.6.160/28 holds a global address for the Google APIs endpoint and must not be inside any subnet. 192.168.6.176/28 through 192.168.6.255 is growth, and 192.168.7.0/24 is held for the workload subnets of future use cases.</w:t>
      </w:r>
      <w:r/>
      <w:r>
        <w:rPr>
          <w:rStyle w:val="VerbatimChar"/>
        </w:rPr>
      </w:r>
      <w:r/>
      <w:r/>
      <w:r>
        <w:rPr>
          <w:iCs/>
          <w:i/>
        </w:rPr>
      </w:r>
      <w:r/>
      <w:r/>
      <w:r/>
      <w:r>
        <w:rPr>
          <w:rStyle w:val="VerbatimChar"/>
        </w:rPr>
      </w:r>
      <w:r/>
      <w:r/>
    </w:p>
    <w:bookmarkEnd w:id="27"/>
    <w:bookmarkStart w:id="28" w:name="X2252169452f82f81472308e502ff154238245b9"/>
    <w:p>
      <w:pPr>
        <w:pStyle w:val="Heading2"/>
      </w:pPr>
      <w:r>
        <w:t xml:space="preserve">0.6 Addresses — and who actually allocates them</w:t>
      </w:r>
    </w:p>
    <w:p>
      <w:pPr>
        <w:pStyle w:val="FirstParagraph"/>
      </w:pPr>
      <w:r>
        <w:t xml:space="preserve">Only one address in this platform is genuinely yours to choose. The rest are allocated by the service you are connecting to, and your job is to reserve space and then record what you were given.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Address</w:t>
            </w:r>
          </w:p>
        </w:tc>
        <w:tc>
          <w:tcPr/>
          <w:p>
            <w:pPr>
              <w:pStyle w:val="Compact"/>
              <w:jc w:val="left"/>
            </w:pPr>
            <w:r>
              <w:t xml:space="preserve">What</w:t>
            </w:r>
          </w:p>
        </w:tc>
        <w:tc>
          <w:tcPr/>
          <w:p>
            <w:pPr>
              <w:pStyle w:val="Compact"/>
              <w:jc w:val="left"/>
            </w:pPr>
            <w:r>
              <w:t xml:space="preserve">Who allocates it</w:t>
            </w:r>
          </w:p>
        </w:tc>
      </w:tr>
      <w:tr>
        <w:tc>
          <w:tcPr/>
          <w:p>
            <w:pPr>
              <w:pStyle w:val="Compact"/>
              <w:jc w:val="left"/>
            </w:pPr>
            <w:r>
              <w:rPr>
                <w:rStyle w:val="VerbatimChar"/>
              </w:rPr>
              <w:t xml:space="preserve">10.110.73.20</w:t>
            </w:r>
          </w:p>
        </w:tc>
        <w:tc>
          <w:tcPr/>
          <w:p>
            <w:pPr>
              <w:pStyle w:val="Compact"/>
              <w:jc w:val="left"/>
            </w:pPr>
            <w:r>
              <w:t xml:space="preserve">AI Hub load balancer front door</w:t>
            </w:r>
          </w:p>
        </w:tc>
        <w:tc>
          <w:tcPr/>
          <w:p>
            <w:pPr>
              <w:pStyle w:val="Compact"/>
              <w:jc w:val="left"/>
            </w:pPr>
            <w:r>
              <w:rPr>
                <w:bCs/>
                <w:b/>
              </w:rPr>
              <w:t xml:space="preserve">You.</w:t>
            </w:r>
            <w:r>
              <w:t xml:space="preserve"> </w:t>
            </w:r>
            <w:r>
              <w:t xml:space="preserve">A static reservation you create, and the one address Colt CSOC opens</w:t>
            </w:r>
          </w:p>
        </w:tc>
      </w:tr>
      <w:tr>
        <w:tc>
          <w:tcPr/>
          <w:p>
            <w:pPr>
              <w:pStyle w:val="Compact"/>
              <w:jc w:val="left"/>
            </w:pPr>
            <w:r>
              <w:rPr>
                <w:rStyle w:val="VerbatimChar"/>
              </w:rPr>
              <w:t>192.168.6.144/28</w:t>
            </w:r>
          </w:p>
        </w:tc>
        <w:tc>
          <w:tcPr/>
          <w:p>
            <w:pPr>
              <w:pStyle w:val="Compact"/>
              <w:jc w:val="left"/>
            </w:pPr>
            <w:r>
              <w:t xml:space="preserve">Reserved block for Private Service Connect endpoints</w:t>
            </w:r>
          </w:p>
        </w:tc>
        <w:tc>
          <w:tcPr/>
          <w:p>
            <w:pPr>
              <w:pStyle w:val="Compact"/>
              <w:jc w:val="left"/>
            </w:pPr>
            <w:r>
              <w:rPr>
                <w:bCs/>
                <w:b/>
              </w:rPr>
              <w:t xml:space="preserve">You reserve the block; the services allocate within it</w:t>
            </w:r>
          </w:p>
        </w:tc>
      </w:tr>
      <w:tr>
        <w:tc>
          <w:tcPr/>
          <w:p>
            <w:pPr>
              <w:pStyle w:val="Compact"/>
              <w:jc w:val="left"/>
            </w:pPr>
            <w:r>
              <w:t xml:space="preserve">— Apigee service endpoint</w:t>
            </w:r>
          </w:p>
        </w:tc>
        <w:tc>
          <w:tcPr/>
          <w:p>
            <w:pPr>
              <w:pStyle w:val="Compact"/>
              <w:jc w:val="left"/>
            </w:pPr>
            <w:r>
              <w:t xml:space="preserve">reached by Cloud Run for the AI gateway</w:t>
            </w:r>
          </w:p>
        </w:tc>
        <w:tc>
          <w:tcPr/>
          <w:p>
            <w:pPr>
              <w:pStyle w:val="Compact"/>
              <w:jc w:val="left"/>
            </w:pPr>
            <w:r>
              <w:rPr>
                <w:bCs/>
                <w:b/>
              </w:rPr>
              <w:t xml:space="preserve">Apigee’s provisioning flow.</w:t>
            </w:r>
            <w:r>
              <w:t xml:space="preserve"> </w:t>
            </w:r>
            <w:r>
              <w:t xml:space="preserve">You select internal routing with the service endpoint option (§14.3), then look the address up (§21.3)</w:t>
            </w:r>
          </w:p>
        </w:tc>
      </w:tr>
      <w:tr>
        <w:tc>
          <w:tcPr/>
          <w:p>
            <w:pPr>
              <w:pStyle w:val="Compact"/>
              <w:jc w:val="left"/>
            </w:pPr>
            <w:r>
              <w:t xml:space="preserve">— Vector Search endpoint</w:t>
            </w:r>
          </w:p>
        </w:tc>
        <w:tc>
          <w:tcPr/>
          <w:p>
            <w:pPr>
              <w:pStyle w:val="Compact"/>
              <w:jc w:val="left"/>
            </w:pPr>
            <w:r>
              <w:t xml:space="preserve">reached by the Sales Agent</w:t>
            </w:r>
          </w:p>
        </w:tc>
        <w:tc>
          <w:tcPr/>
          <w:p>
            <w:pPr>
              <w:pStyle w:val="Compact"/>
              <w:jc w:val="left"/>
            </w:pPr>
            <w:r>
              <w:rPr>
                <w:bCs/>
                <w:b/>
              </w:rPr>
              <w:t xml:space="preserve">A service connection policy</w:t>
            </w:r>
            <w:r>
              <w:t xml:space="preserve">, if you use automatic connection (§15.4) — recommended. Only manual mode lets you pick the address</w:t>
            </w:r>
          </w:p>
        </w:tc>
      </w:tr>
      <w:tr>
        <w:tc>
          <w:tcPr/>
          <w:p>
            <w:pPr>
              <w:pStyle w:val="Compact"/>
              <w:jc w:val="left"/>
            </w:pPr>
            <w:r>
              <w:rPr>
                <w:rStyle w:val="VerbatimChar"/>
              </w:rPr>
              <w:t>192.168.6.164</w:t>
            </w:r>
          </w:p>
        </w:tc>
        <w:tc>
          <w:tcPr/>
          <w:p>
            <w:pPr>
              <w:pStyle w:val="Compact"/>
              <w:jc w:val="left"/>
            </w:pPr>
            <w:r>
              <w:t xml:space="preserve">Private Service Connect to Google APIs</w:t>
            </w:r>
          </w:p>
        </w:tc>
        <w:tc>
          <w:tcPr/>
          <w:p>
            <w:pPr>
              <w:pStyle w:val="Compact"/>
              <w:jc w:val="left"/>
            </w:pPr>
            <w:r>
              <w:rPr>
                <w:bCs/>
                <w:b/>
              </w:rPr>
              <w:t xml:space="preserve">You.</w:t>
            </w:r>
            <w:r>
              <w:t xml:space="preserve"> </w:t>
            </w:r>
            <w:r>
              <w:t xml:space="preserve">A global internal address you create and name (§8.3)</w:t>
            </w:r>
          </w:p>
        </w:tc>
      </w:tr>
      <w:tr>
        <w:tc>
          <w:tcPr/>
          <w:p>
            <w:pPr>
              <w:pStyle w:val="Compact"/>
              <w:jc w:val="left"/>
            </w:pPr>
            <w:r>
              <w:rPr>
                <w:rStyle w:val="VerbatimChar"/>
              </w:rPr>
              <w:t>192.168.4.0/23</w:t>
            </w:r>
          </w:p>
        </w:tc>
        <w:tc>
          <w:tcPr/>
          <w:p>
            <w:pPr>
              <w:pStyle w:val="Compact"/>
              <w:jc w:val="left"/>
            </w:pPr>
            <w:r>
              <w:t xml:space="preserve">Cloud Run instances</w:t>
            </w:r>
          </w:p>
        </w:tc>
        <w:tc>
          <w:tcPr/>
          <w:p>
            <w:pPr>
              <w:pStyle w:val="Compact"/>
              <w:jc w:val="left"/>
            </w:pPr>
            <w:r>
              <w:rPr>
                <w:bCs/>
                <w:b/>
              </w:rPr>
              <w:t xml:space="preserve">Cloud Run</w:t>
            </w:r>
            <w:r>
              <w:t xml:space="preserve">, ephemerally, from the whole subnet. Never reference individual addresses</w:t>
            </w:r>
          </w:p>
        </w:tc>
      </w:tr>
    </w:tbl>
    <w:p>
      <w:pPr>
        <w:pStyle w:val="BodyText"/>
      </w:pPr>
      <w:r>
        <w:rPr>
          <w:bCs/>
          <w:b/>
        </w:rPr>
        <w:t>Why this matters in practice. Earlier revisions of this runbook printed 192.168.6.146 and 192.168.6.147 as if they were decisions. They were placeholders, and treating them as settled would have produced a firewall rule and a DNS record pointing at addresses the platform never assigned. Wherever this document shows those values, read them as “the address you were given, recorded here”.</w:t>
      </w:r>
      <w:r/>
      <w:r/>
      <w:r/>
      <w:r>
        <w:rPr>
          <w:rStyle w:val="VerbatimChar"/>
        </w:rPr>
      </w:r>
      <w:r/>
      <w:r/>
      <w:r/>
      <w:r>
        <w:rPr>
          <w:rStyle w:val="VerbatimChar"/>
        </w:rPr>
      </w:r>
      <w:r/>
      <w:r/>
      <w:r/>
      <w:r/>
      <w:r/>
      <w:r/>
      <w:r/>
    </w:p>
    <w:p>
      <w:pPr>
        <w:pStyle w:val="BodyText"/>
      </w:pPr>
      <w:r>
        <w:t xml:space="preserve">Keep a table as you build: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Purpose</w:t>
            </w:r>
          </w:p>
        </w:tc>
        <w:tc>
          <w:tcPr/>
          <w:p>
            <w:pPr>
              <w:pStyle w:val="Compact"/>
              <w:jc w:val="left"/>
            </w:pPr>
            <w:r>
              <w:t xml:space="preserve">Reserved from</w:t>
            </w:r>
          </w:p>
        </w:tc>
        <w:tc>
          <w:tcPr/>
          <w:p>
            <w:pPr>
              <w:pStyle w:val="Compact"/>
              <w:jc w:val="left"/>
            </w:pPr>
            <w:r>
              <w:t xml:space="preserve">Actual address</w:t>
            </w:r>
          </w:p>
        </w:tc>
        <w:tc>
          <w:tcPr/>
          <w:p>
            <w:pPr>
              <w:pStyle w:val="Compact"/>
              <w:jc w:val="left"/>
            </w:pPr>
            <w:r>
              <w:t xml:space="preserve">Recorded where</w:t>
            </w:r>
          </w:p>
        </w:tc>
      </w:tr>
      <w:tr>
        <w:tc>
          <w:tcPr/>
          <w:p>
            <w:pPr>
              <w:pStyle w:val="Compact"/>
              <w:jc w:val="left"/>
            </w:pPr>
            <w:r>
              <w:t xml:space="preserve">Apigee service endpoint</w:t>
            </w:r>
          </w:p>
        </w:tc>
        <w:tc>
          <w:tcPr/>
          <w:p>
            <w:pPr>
              <w:pStyle w:val="Compact"/>
              <w:jc w:val="left"/>
            </w:pPr>
            <w:r>
              <w:rPr>
                <w:rStyle w:val="VerbatimChar"/>
              </w:rPr>
              <w:t>192.168.6.144/28</w:t>
            </w:r>
          </w:p>
        </w:tc>
        <w:tc>
          <w:tcPr/>
          <w:p>
            <w:pPr>
              <w:pStyle w:val="Compact"/>
              <w:jc w:val="left"/>
            </w:pPr>
            <w:r>
              <w:rPr>
                <w:iCs/>
                <w:i/>
              </w:rPr>
              <w:t xml:space="preserve">(fill in after §14.3)</w:t>
            </w:r>
          </w:p>
        </w:tc>
        <w:tc>
          <w:tcPr/>
          <w:p>
            <w:pPr>
              <w:pStyle w:val="Compact"/>
              <w:jc w:val="left"/>
            </w:pPr>
            <w:r>
              <w:t xml:space="preserve">DNS §6.9, firewall §6.7</w:t>
            </w:r>
          </w:p>
        </w:tc>
      </w:tr>
      <w:tr>
        <w:tc>
          <w:tcPr/>
          <w:p>
            <w:pPr>
              <w:pStyle w:val="Compact"/>
              <w:jc w:val="left"/>
            </w:pPr>
            <w:r>
              <w:t xml:space="preserve">Vector Search endpoint</w:t>
            </w:r>
          </w:p>
        </w:tc>
        <w:tc>
          <w:tcPr/>
          <w:p>
            <w:pPr>
              <w:pStyle w:val="Compact"/>
              <w:jc w:val="left"/>
            </w:pPr>
            <w:r>
              <w:rPr>
                <w:rStyle w:val="VerbatimChar"/>
              </w:rPr>
              <w:t>192.168.6.144/28</w:t>
            </w:r>
          </w:p>
        </w:tc>
        <w:tc>
          <w:tcPr/>
          <w:p>
            <w:pPr>
              <w:pStyle w:val="Compact"/>
              <w:jc w:val="left"/>
            </w:pPr>
            <w:r>
              <w:rPr>
                <w:iCs/>
                <w:i/>
              </w:rPr>
              <w:t xml:space="preserve">(fill in after §15.4)</w:t>
            </w:r>
          </w:p>
        </w:tc>
        <w:tc>
          <w:tcPr/>
          <w:p>
            <w:pPr>
              <w:pStyle w:val="Compact"/>
              <w:jc w:val="left"/>
            </w:pPr>
            <w:r>
              <w:t xml:space="preserve">firewall §6.7</w:t>
            </w:r>
          </w:p>
        </w:tc>
      </w:tr>
    </w:tbl>
    <w:bookmarkEnd w:id="28"/>
    <w:bookmarkStart w:id="29" w:name="platform-limits"/>
    <w:p>
      <w:pPr>
        <w:pStyle w:val="Heading2"/>
      </w:pPr>
      <w:r>
        <w:t xml:space="preserve">0.7 Platform limits</w:t>
      </w:r>
    </w:p>
    <w:p>
      <w:pPr>
        <w:pStyle w:val="FirstParagraph"/>
      </w:pPr>
      <w:r>
        <w:t xml:space="preserve">Several limits constrain this design rather than merely bounding it. The full inventory is in</w:t>
      </w:r>
      <w:r>
        <w:t xml:space="preserve"> </w:t>
      </w:r>
      <w:r>
        <w:rPr>
          <w:rStyle w:val="VerbatimChar"/>
        </w:rPr>
        <w:t xml:space="preserve">13-session-lifecycle-and-limits.md</w:t>
      </w:r>
      <w:r>
        <w:t xml:space="preserve"> </w:t>
      </w:r>
      <w:r>
        <w:t xml:space="preserve">§6. The three that will bite first: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Limit</w:t>
            </w:r>
          </w:p>
        </w:tc>
        <w:tc>
          <w:tcPr/>
          <w:p>
            <w:pPr>
              <w:pStyle w:val="Compact"/>
              <w:jc w:val="left"/>
            </w:pPr>
            <w:r>
              <w:t xml:space="preserve">Value</w:t>
            </w:r>
          </w:p>
        </w:tc>
        <w:tc>
          <w:tcPr/>
          <w:p>
            <w:pPr>
              <w:pStyle w:val="Compact"/>
              <w:jc w:val="left"/>
            </w:pPr>
            <w:r>
              <w:t xml:space="preserve">Where it bites</w:t>
            </w:r>
          </w:p>
        </w:tc>
      </w:tr>
      <w:tr>
        <w:tc>
          <w:tcPr/>
          <w:p>
            <w:pPr>
              <w:pStyle w:val="Compact"/>
              <w:jc w:val="left"/>
            </w:pPr>
            <w:r>
              <w:t xml:space="preserve">Cloud Run direct VPC egress addresses</w:t>
            </w:r>
          </w:p>
        </w:tc>
        <w:tc>
          <w:tcPr/>
          <w:p>
            <w:pPr>
              <w:pStyle w:val="Compact"/>
              <w:jc w:val="left"/>
            </w:pPr>
            <w:r>
              <w:t xml:space="preserve">~2 per instance, 4x peak during a rollout</w:t>
            </w:r>
          </w:p>
        </w:tc>
        <w:tc>
          <w:tcPr/>
          <w:p>
            <w:pPr>
              <w:pStyle w:val="Compact"/>
              <w:jc w:val="left"/>
            </w:pPr>
            <w:r>
              <w:rPr>
                <w:bCs/>
                <w:b/>
              </w:rPr>
              <w:t>127 total instances across all services — §19.3</w:t>
            </w:r>
            <w:r/>
            <w:r/>
          </w:p>
        </w:tc>
      </w:tr>
      <w:tr>
        <w:tc>
          <w:tcPr/>
          <w:p>
            <w:pPr>
              <w:pStyle w:val="Compact"/>
              <w:jc w:val="left"/>
            </w:pPr>
            <w:r>
              <w:t xml:space="preserve">Firestore writes to a single document</w:t>
            </w:r>
          </w:p>
        </w:tc>
        <w:tc>
          <w:tcPr/>
          <w:p>
            <w:pPr>
              <w:pStyle w:val="Compact"/>
              <w:jc w:val="left"/>
            </w:pPr>
            <w:r>
              <w:t xml:space="preserve">about 1 per second sustained</w:t>
            </w:r>
          </w:p>
        </w:tc>
        <w:tc>
          <w:tcPr/>
          <w:p>
            <w:pPr>
              <w:pStyle w:val="Compact"/>
              <w:jc w:val="left"/>
            </w:pPr>
            <w:r>
              <w:t xml:space="preserve">Session</w:t>
            </w:r>
            <w:r>
              <w:t xml:space="preserve"> </w:t>
            </w:r>
            <w:r>
              <w:rPr>
                <w:rStyle w:val="VerbatimChar"/>
              </w:rPr>
              <w:t xml:space="preserve">last_seen_at</w:t>
            </w:r>
            <w:r>
              <w:t xml:space="preserve"> </w:t>
            </w:r>
            <w:r>
              <w:t xml:space="preserve">updates — §19.4 item 7</w:t>
            </w:r>
          </w:p>
        </w:tc>
      </w:tr>
      <w:tr>
        <w:tc>
          <w:tcPr/>
          <w:p>
            <w:pPr>
              <w:pStyle w:val="Compact"/>
              <w:jc w:val="left"/>
            </w:pPr>
            <w:r>
              <w:t xml:space="preserve">Model Armor API queries</w:t>
            </w:r>
          </w:p>
        </w:tc>
        <w:tc>
          <w:tcPr/>
          <w:p>
            <w:pPr>
              <w:pStyle w:val="Compact"/>
              <w:jc w:val="left"/>
            </w:pPr>
            <w:r>
              <w:t xml:space="preserve">1,200 per minute per project</w:t>
            </w:r>
          </w:p>
        </w:tc>
        <w:tc>
          <w:tcPr/>
          <w:p>
            <w:pPr>
              <w:pStyle w:val="Compact"/>
              <w:jc w:val="left"/>
            </w:pPr>
            <w:r>
              <w:t xml:space="preserve">Prompt plus response is two calls, so ~</w:t>
            </w:r>
            <w:r>
              <w:rPr>
                <w:bCs/>
                <w:b/>
              </w:rPr>
              <w:t xml:space="preserve">600 screened model calls per minute</w:t>
            </w:r>
            <w:r>
              <w:t xml:space="preserve"> </w:t>
            </w:r>
            <w:r>
              <w:t xml:space="preserve">— §17.4</w:t>
            </w:r>
          </w:p>
        </w:tc>
      </w:tr>
    </w:tbl>
    <w:p>
      <w:pPr>
        <w:pStyle w:val="BodyText"/>
      </w:pPr>
      <w:r>
        <w:t xml:space="preserve">Check the others before go-live. Several are adjustable on request, and requests take time.</w:t>
      </w:r>
    </w:p>
    <w:bookmarkEnd w:id="29"/>
    <w:bookmarkStart w:id="30" w:name="region"/>
    <w:p>
      <w:pPr>
        <w:pStyle w:val="Heading2"/>
      </w:pPr>
      <w:r>
        <w:t xml:space="preserve">0.8 Region</w:t>
      </w:r>
    </w:p>
    <w:p>
      <w:pPr>
        <w:pStyle w:val="FirstParagraph"/>
      </w:pPr>
      <w:r>
        <w:t xml:space="preserve">Everything is</w:t>
      </w:r>
      <w:r>
        <w:t xml:space="preserve"> </w:t>
      </w:r>
      <w:r>
        <w:rPr>
          <w:rStyle w:val="VerbatimChar"/>
        </w:rPr>
        <w:t xml:space="preserve">europe-west1</w:t>
      </w:r>
      <w:r>
        <w:t xml:space="preserve">, with no exceptions. The organisation policy</w:t>
      </w:r>
      <w:r>
        <w:t xml:space="preserve"> </w:t>
      </w:r>
      <w:r>
        <w:rPr>
          <w:rStyle w:val="VerbatimChar"/>
        </w:rPr>
        <w:t xml:space="preserve">gcp.resourceLocations</w:t>
      </w:r>
      <w:r>
        <w:t xml:space="preserve"> </w:t>
      </w:r>
      <w:r>
        <w:t xml:space="preserve">is pinned to that region, so nothing can be created elsewhere. Model Armor is available in</w:t>
      </w:r>
      <w:r>
        <w:t xml:space="preserve"> </w:t>
      </w:r>
      <w:r>
        <w:rPr>
          <w:rStyle w:val="VerbatimChar"/>
        </w:rPr>
        <w:t xml:space="preserve">europe-west1</w:t>
      </w:r>
      <w:r>
        <w:t xml:space="preserve">, so this is not a constraint on the AI safety design — see §17.2 for the one part of Model Armor it does affect.</w:t>
      </w:r>
    </w:p>
    <w:p>
      <w:r>
        <w:br w:type="page"/>
      </w:r>
    </w:p>
    <w:bookmarkEnd w:id="30"/>
    <w:bookmarkEnd w:id="31"/>
    <w:bookmarkStart w:id="37" w:name="X383e3ff376f55d88b3937660ce81839bc7024a6"/>
    <w:p>
      <w:pPr>
        <w:pStyle w:val="Heading1"/>
      </w:pPr>
      <w:r>
        <w:t xml:space="preserve">Part 1 — Organisation policies at the folder</w:t>
      </w:r>
    </w:p>
    <w:bookmarkStart w:id="32" w:name="what-this-is"/>
    <w:p>
      <w:pPr>
        <w:pStyle w:val="Heading2"/>
      </w:pPr>
      <w:r>
        <w:t xml:space="preserve">1.1 What this is</w:t>
      </w:r>
    </w:p>
    <w:p>
      <w:pPr>
        <w:pStyle w:val="FirstParagraph"/>
      </w:pPr>
      <w:r>
        <w:t xml:space="preserve">Organisation policies are guardrails set once, high up, that every project underneath inherits. They stop mistakes rather than detect them — for example, a policy that forbids public Cloud Run services means nobody can accidentally publish one, and you never have to find it later.</w:t>
      </w:r>
    </w:p>
    <w:p>
      <w:pPr>
        <w:pStyle w:val="BodyText"/>
      </w:pPr>
      <w:r>
        <w:t xml:space="preserve">Set these at the</w:t>
      </w:r>
      <w:r>
        <w:t xml:space="preserve"> </w:t>
      </w:r>
      <w:r>
        <w:rPr>
          <w:rStyle w:val="VerbatimChar"/>
          <w:bCs/>
          <w:b/>
        </w:rPr>
        <w:t xml:space="preserve">AI COE</w:t>
      </w:r>
      <w:r>
        <w:rPr>
          <w:bCs/>
          <w:b/>
        </w:rPr>
        <w:t xml:space="preserve"> </w:t>
      </w:r>
      <w:r>
        <w:rPr>
          <w:bCs/>
          <w:b/>
        </w:rPr>
        <w:t xml:space="preserve">folder</w:t>
      </w:r>
      <w:r>
        <w:t xml:space="preserve">, not per project, so a new project is safe the moment it is created.</w:t>
      </w:r>
    </w:p>
    <w:bookmarkEnd w:id="32"/>
    <w:bookmarkStart w:id="33" w:name="where"/>
    <w:p>
      <w:pPr>
        <w:pStyle w:val="Heading2"/>
      </w:pPr>
      <w:r>
        <w:t xml:space="preserve">1.2 Where</w:t>
      </w:r>
    </w:p>
    <w:p>
      <w:pPr>
        <w:pStyle w:val="FirstParagraph"/>
      </w:pPr>
      <w:r>
        <w:t xml:space="preserve">Search for</w:t>
      </w:r>
      <w:r>
        <w:t xml:space="preserve"> </w:t>
      </w:r>
      <w:r>
        <w:rPr>
          <w:bCs/>
          <w:b/>
        </w:rPr>
        <w:t xml:space="preserve">Organization policies</w:t>
      </w:r>
      <w:r>
        <w:t xml:space="preserve">, or: navigation menu →</w:t>
      </w:r>
      <w:r>
        <w:t xml:space="preserve"> </w:t>
      </w:r>
      <w:r>
        <w:rPr>
          <w:bCs/>
          <w:b/>
        </w:rPr>
        <w:t xml:space="preserve">IAM &amp; Admin</w:t>
      </w:r>
      <w:r>
        <w:t xml:space="preserve"> </w:t>
      </w:r>
      <w:r>
        <w:t xml:space="preserve">→</w:t>
      </w:r>
      <w:r>
        <w:t xml:space="preserve"> </w:t>
      </w:r>
      <w:r>
        <w:rPr>
          <w:bCs/>
          <w:b/>
        </w:rPr>
        <w:t xml:space="preserve">Organization policies</w:t>
      </w:r>
      <w:r>
        <w:t xml:space="preserve">. At the top of the page use the resource picker to select the</w:t>
      </w:r>
      <w:r>
        <w:t xml:space="preserve"> </w:t>
      </w:r>
      <w:r>
        <w:rPr>
          <w:rStyle w:val="VerbatimChar"/>
          <w:bCs/>
          <w:b/>
        </w:rPr>
        <w:t xml:space="preserve">AI COE</w:t>
      </w:r>
      <w:r>
        <w:rPr>
          <w:bCs/>
          <w:b/>
        </w:rPr>
        <w:t xml:space="preserve"> </w:t>
      </w:r>
      <w:r>
        <w:rPr>
          <w:bCs/>
          <w:b/>
        </w:rPr>
        <w:t xml:space="preserve">folder</w:t>
      </w:r>
      <w:r>
        <w:t xml:space="preserve">. If it shows your organisation name instead, you are about to change policy for the whole company — switch to the folder.</w:t>
      </w:r>
    </w:p>
    <w:bookmarkEnd w:id="33"/>
    <w:bookmarkStart w:id="34" w:name="do-this"/>
    <w:p>
      <w:pPr>
        <w:pStyle w:val="Heading2"/>
      </w:pPr>
      <w:r>
        <w:t xml:space="preserve">1.3 Do this</w:t>
      </w:r>
    </w:p>
    <w:p>
      <w:pPr>
        <w:pStyle w:val="FirstParagraph"/>
      </w:pPr>
      <w:r>
        <w:t xml:space="preserve">For each policy: find it in the list, click it, click</w:t>
      </w:r>
      <w:r>
        <w:t xml:space="preserve"> </w:t>
      </w:r>
      <w:r>
        <w:rPr>
          <w:bCs/>
          <w:b/>
        </w:rPr>
        <w:t xml:space="preserve">Manage policy</w:t>
      </w:r>
      <w:r>
        <w:t xml:space="preserve">, choose</w:t>
      </w:r>
      <w:r>
        <w:t xml:space="preserve"> </w:t>
      </w:r>
      <w:r>
        <w:rPr>
          <w:bCs/>
          <w:b/>
        </w:rPr>
        <w:t xml:space="preserve">Override parent’s policy</w:t>
      </w:r>
      <w:r>
        <w:t xml:space="preserve">, add a rule, then</w:t>
      </w:r>
      <w:r>
        <w:t xml:space="preserve"> </w:t>
      </w:r>
      <w:r>
        <w:rPr>
          <w:bCs/>
          <w:b/>
        </w:rPr>
        <w:t xml:space="preserve">Set policy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Policy to search for</w:t>
            </w:r>
          </w:p>
        </w:tc>
        <w:tc>
          <w:tcPr/>
          <w:p>
            <w:pPr>
              <w:pStyle w:val="Compact"/>
              <w:jc w:val="left"/>
            </w:pPr>
            <w:r>
              <w:t xml:space="preserve">Set it to</w:t>
            </w:r>
          </w:p>
        </w:tc>
        <w:tc>
          <w:tcPr/>
          <w:p>
            <w:pPr>
              <w:pStyle w:val="Compact"/>
              <w:jc w:val="left"/>
            </w:pPr>
            <w:r>
              <w:t xml:space="preserve">What it prevents</w:t>
            </w:r>
          </w:p>
        </w:tc>
      </w:tr>
      <w:tr>
        <w:tc>
          <w:tcPr/>
          <w:p>
            <w:pPr>
              <w:pStyle w:val="Compact"/>
              <w:jc w:val="left"/>
            </w:pPr>
            <w:r>
              <w:rPr>
                <w:rStyle w:val="VerbatimChar"/>
              </w:rPr>
              <w:t xml:space="preserve">compute.vmExternalIpAccess</w:t>
            </w:r>
          </w:p>
        </w:tc>
        <w:tc>
          <w:tcPr/>
          <w:p>
            <w:pPr>
              <w:pStyle w:val="Compact"/>
              <w:jc w:val="left"/>
            </w:pPr>
            <w:r>
              <w:t xml:space="preserve">Off / Deny All</w:t>
            </w:r>
          </w:p>
        </w:tc>
        <w:tc>
          <w:tcPr/>
          <w:p>
            <w:pPr>
              <w:pStyle w:val="Compact"/>
              <w:jc w:val="left"/>
            </w:pPr>
            <w:r>
              <w:t xml:space="preserve">Virtual machines getting public internet addresses</w:t>
            </w:r>
          </w:p>
        </w:tc>
      </w:tr>
      <w:tr>
        <w:tc>
          <w:tcPr/>
          <w:p>
            <w:pPr>
              <w:pStyle w:val="Compact"/>
              <w:jc w:val="left"/>
            </w:pPr>
            <w:r>
              <w:rPr>
                <w:rStyle w:val="VerbatimChar"/>
              </w:rPr>
              <w:t xml:space="preserve">run.allowedIngress</w:t>
            </w:r>
          </w:p>
        </w:tc>
        <w:tc>
          <w:tcPr/>
          <w:p>
            <w:pPr>
              <w:pStyle w:val="Compact"/>
              <w:jc w:val="left"/>
            </w:pPr>
            <w:r>
              <w:t xml:space="preserve">Custom → allow</w:t>
            </w:r>
            <w:r>
              <w:t xml:space="preserve"> </w:t>
            </w:r>
            <w:r>
              <w:rPr>
                <w:rStyle w:val="VerbatimChar"/>
              </w:rPr>
              <w:t xml:space="preserve">internal-and-cloud-load-balancing</w:t>
            </w:r>
            <w:r>
              <w:t xml:space="preserve"> </w:t>
            </w:r>
            <w:r>
              <w:t xml:space="preserve">only</w:t>
            </w:r>
          </w:p>
        </w:tc>
        <w:tc>
          <w:tcPr/>
          <w:p>
            <w:pPr>
              <w:pStyle w:val="Compact"/>
              <w:jc w:val="left"/>
            </w:pPr>
            <w:r>
              <w:t xml:space="preserve">Cloud Run services being published to the internet</w:t>
            </w:r>
          </w:p>
        </w:tc>
      </w:tr>
      <w:tr>
        <w:tc>
          <w:tcPr/>
          <w:p>
            <w:pPr>
              <w:pStyle w:val="Compact"/>
              <w:jc w:val="left"/>
            </w:pPr>
            <w:r>
              <w:rPr>
                <w:rStyle w:val="VerbatimChar"/>
              </w:rPr>
              <w:t xml:space="preserve">iam.disableServiceAccountKeyCreation</w:t>
            </w:r>
          </w:p>
        </w:tc>
        <w:tc>
          <w:tcPr/>
          <w:p>
            <w:pPr>
              <w:pStyle w:val="Compact"/>
              <w:jc w:val="left"/>
            </w:pPr>
            <w:r>
              <w:t xml:space="preserve">Enforced</w:t>
            </w:r>
          </w:p>
        </w:tc>
        <w:tc>
          <w:tcPr/>
          <w:p>
            <w:pPr>
              <w:pStyle w:val="Compact"/>
              <w:jc w:val="left"/>
            </w:pPr>
            <w:r>
              <w:t xml:space="preserve">Downloadable credential files, which leak</w:t>
            </w:r>
          </w:p>
        </w:tc>
      </w:tr>
      <w:tr>
        <w:tc>
          <w:tcPr/>
          <w:p>
            <w:pPr>
              <w:pStyle w:val="Compact"/>
              <w:jc w:val="left"/>
            </w:pPr>
            <w:r>
              <w:rPr>
                <w:rStyle w:val="VerbatimChar"/>
              </w:rPr>
              <w:t xml:space="preserve">iam.allowedPolicyMemberDomains</w:t>
            </w:r>
          </w:p>
        </w:tc>
        <w:tc>
          <w:tcPr/>
          <w:p>
            <w:pPr>
              <w:pStyle w:val="Compact"/>
              <w:jc w:val="left"/>
            </w:pPr>
            <w:r>
              <w:t xml:space="preserve">Allow only your Colt customer ID</w:t>
            </w:r>
          </w:p>
        </w:tc>
        <w:tc>
          <w:tcPr/>
          <w:p>
            <w:pPr>
              <w:pStyle w:val="Compact"/>
              <w:jc w:val="left"/>
            </w:pPr>
            <w:r>
              <w:t xml:space="preserve">Granting access to outsiders, including</w:t>
            </w:r>
            <w:r>
              <w:t xml:space="preserve"> </w:t>
            </w:r>
            <w:r>
              <w:t xml:space="preserve">“</w:t>
            </w:r>
            <w:r>
              <w:t xml:space="preserve">anyone on the internet</w:t>
            </w:r>
            <w:r>
              <w:t xml:space="preserve">”</w:t>
            </w:r>
          </w:p>
        </w:tc>
      </w:tr>
      <w:tr>
        <w:tc>
          <w:tcPr/>
          <w:p>
            <w:pPr>
              <w:pStyle w:val="Compact"/>
              <w:jc w:val="left"/>
            </w:pPr>
            <w:r>
              <w:rPr>
                <w:rStyle w:val="VerbatimChar"/>
              </w:rPr>
              <w:t xml:space="preserve">gcp.resourceLocations</w:t>
            </w:r>
          </w:p>
        </w:tc>
        <w:tc>
          <w:tcPr/>
          <w:p>
            <w:pPr>
              <w:pStyle w:val="Compact"/>
              <w:jc w:val="left"/>
            </w:pPr>
            <w:r>
              <w:rPr>
                <w:bCs/>
                <w:b/>
              </w:rPr>
              <w:t xml:space="preserve">already pinned to</w:t>
            </w:r>
            <w:r>
              <w:rPr>
                <w:bCs/>
                <w:b/>
              </w:rPr>
              <w:t xml:space="preserve"> </w:t>
            </w:r>
            <w:r>
              <w:rPr>
                <w:rStyle w:val="VerbatimChar"/>
                <w:bCs/>
                <w:b/>
              </w:rPr>
              <w:t xml:space="preserve">europe-west1</w:t>
            </w:r>
            <w:r>
              <w:rPr>
                <w:bCs/>
                <w:b/>
              </w:rPr>
              <w:t xml:space="preserve"> </w:t>
            </w:r>
            <w:r>
              <w:rPr>
                <w:bCs/>
                <w:b/>
              </w:rPr>
              <w:t xml:space="preserve">— leave it as it is</w:t>
            </w:r>
          </w:p>
        </w:tc>
        <w:tc>
          <w:tcPr/>
          <w:p>
            <w:pPr>
              <w:pStyle w:val="Compact"/>
              <w:jc w:val="left"/>
            </w:pPr>
            <w:r>
              <w:t xml:space="preserve">Data being created outside the region</w:t>
            </w:r>
          </w:p>
        </w:tc>
      </w:tr>
      <w:tr>
        <w:tc>
          <w:tcPr/>
          <w:p>
            <w:pPr>
              <w:pStyle w:val="Compact"/>
              <w:jc w:val="left"/>
            </w:pPr>
            <w:r>
              <w:rPr>
                <w:rStyle w:val="VerbatimChar"/>
              </w:rPr>
              <w:t xml:space="preserve">compute.restrictVpcPeering</w:t>
            </w:r>
          </w:p>
        </w:tc>
        <w:tc>
          <w:tcPr/>
          <w:p>
            <w:pPr>
              <w:pStyle w:val="Compact"/>
              <w:jc w:val="left"/>
            </w:pPr>
            <w:r>
              <w:t xml:space="preserve">Deny all</w:t>
            </w:r>
          </w:p>
        </w:tc>
        <w:tc>
          <w:tcPr/>
          <w:p>
            <w:pPr>
              <w:pStyle w:val="Compact"/>
              <w:jc w:val="left"/>
            </w:pPr>
            <w:r>
              <w:t xml:space="preserve">Somebody later joining your network to another one</w:t>
            </w:r>
          </w:p>
        </w:tc>
      </w:tr>
      <w:tr>
        <w:tc>
          <w:tcPr/>
          <w:p>
            <w:pPr>
              <w:pStyle w:val="Compact"/>
              <w:jc w:val="left"/>
            </w:pPr>
            <w:r>
              <w:rPr>
                <w:rStyle w:val="VerbatimChar"/>
              </w:rPr>
              <w:t xml:space="preserve">storage.publicAccessPrevention</w:t>
            </w:r>
          </w:p>
        </w:tc>
        <w:tc>
          <w:tcPr/>
          <w:p>
            <w:pPr>
              <w:pStyle w:val="Compact"/>
              <w:jc w:val="left"/>
            </w:pPr>
            <w:r>
              <w:t xml:space="preserve">Enforced</w:t>
            </w:r>
          </w:p>
        </w:tc>
        <w:tc>
          <w:tcPr/>
          <w:p>
            <w:pPr>
              <w:pStyle w:val="Compact"/>
              <w:jc w:val="left"/>
            </w:pPr>
            <w:r>
              <w:t xml:space="preserve">Public storage buckets</w:t>
            </w:r>
          </w:p>
        </w:tc>
      </w:tr>
      <w:tr>
        <w:tc>
          <w:tcPr/>
          <w:p>
            <w:pPr>
              <w:pStyle w:val="Compact"/>
              <w:jc w:val="left"/>
            </w:pPr>
            <w:r>
              <w:rPr>
                <w:rStyle w:val="VerbatimChar"/>
              </w:rPr>
              <w:t xml:space="preserve">compute.requireShieldedVm</w:t>
            </w:r>
          </w:p>
        </w:tc>
        <w:tc>
          <w:tcPr/>
          <w:p>
            <w:pPr>
              <w:pStyle w:val="Compact"/>
              <w:jc w:val="left"/>
            </w:pPr>
            <w:r>
              <w:t xml:space="preserve">Enforced</w:t>
            </w:r>
          </w:p>
        </w:tc>
        <w:tc>
          <w:tcPr/>
          <w:p>
            <w:pPr>
              <w:pStyle w:val="Compact"/>
              <w:jc w:val="left"/>
            </w:pPr>
            <w:r>
              <w:t xml:space="preserve">Virtual machines without boot integrity checks</w:t>
            </w:r>
          </w:p>
        </w:tc>
      </w:tr>
      <w:tr>
        <w:tc>
          <w:tcPr/>
          <w:p>
            <w:pPr>
              <w:pStyle w:val="Compact"/>
              <w:jc w:val="left"/>
            </w:pPr>
            <w:r>
              <w:rPr>
                <w:rStyle w:val="VerbatimChar"/>
              </w:rPr>
              <w:t xml:space="preserve">compute.disableSerialPortAccess</w:t>
            </w:r>
          </w:p>
        </w:tc>
        <w:tc>
          <w:tcPr/>
          <w:p>
            <w:pPr>
              <w:pStyle w:val="Compact"/>
              <w:jc w:val="left"/>
            </w:pPr>
            <w:r>
              <w:t xml:space="preserve">Enforced</w:t>
            </w:r>
          </w:p>
        </w:tc>
        <w:tc>
          <w:tcPr/>
          <w:p>
            <w:pPr>
              <w:pStyle w:val="Compact"/>
              <w:jc w:val="left"/>
            </w:pPr>
            <w:r>
              <w:t xml:space="preserve">A console back door into virtual machines</w:t>
            </w:r>
          </w:p>
        </w:tc>
      </w:tr>
      <w:tr>
        <w:tc>
          <w:tcPr/>
          <w:p>
            <w:pPr>
              <w:pStyle w:val="Compact"/>
              <w:jc w:val="left"/>
            </w:pPr>
            <w:r>
              <w:rPr>
                <w:rStyle w:val="VerbatimChar"/>
              </w:rPr>
              <w:t xml:space="preserve">essentialcontacts.allowedContactDomains</w:t>
            </w:r>
          </w:p>
        </w:tc>
        <w:tc>
          <w:tcPr/>
          <w:p>
            <w:pPr>
              <w:pStyle w:val="Compact"/>
              <w:jc w:val="left"/>
            </w:pPr>
            <w:r>
              <w:t xml:space="preserve">Your Colt domain</w:t>
            </w:r>
          </w:p>
        </w:tc>
        <w:tc>
          <w:tcPr/>
          <w:p>
            <w:pPr>
              <w:pStyle w:val="Compact"/>
              <w:jc w:val="left"/>
            </w:pPr>
            <w:r>
              <w:t xml:space="preserve">Security notifications going to an outside address</w:t>
            </w:r>
          </w:p>
        </w:tc>
      </w:tr>
    </w:tbl>
    <w:bookmarkEnd w:id="34"/>
    <w:bookmarkStart w:id="35" w:name="check-it-worked"/>
    <w:p>
      <w:pPr>
        <w:pStyle w:val="Heading2"/>
      </w:pPr>
      <w:r>
        <w:t xml:space="preserve">1.4 Check it worked</w:t>
      </w:r>
    </w:p>
    <w:p>
      <w:pPr>
        <w:pStyle w:val="FirstParagraph"/>
      </w:pPr>
      <w:r>
        <w:t xml:space="preserve">Open any project in the folder, go to the same</w:t>
      </w:r>
      <w:r>
        <w:t xml:space="preserve"> </w:t>
      </w:r>
      <w:r>
        <w:rPr>
          <w:bCs/>
          <w:b/>
        </w:rPr>
        <w:t xml:space="preserve">Organization policies</w:t>
      </w:r>
      <w:r>
        <w:t xml:space="preserve"> </w:t>
      </w:r>
      <w:r>
        <w:t xml:space="preserve">page, and confirm each policy shows as inherited and active.</w:t>
      </w:r>
    </w:p>
    <w:bookmarkEnd w:id="35"/>
    <w:bookmarkStart w:id="36" w:name="watch-out"/>
    <w:p>
      <w:pPr>
        <w:pStyle w:val="Heading2"/>
      </w:pPr>
      <w:r>
        <w:t xml:space="preserve">1.5 Watch out</w:t>
      </w:r>
    </w:p>
    <w:p>
      <w:pPr>
        <w:numPr>
          <w:ilvl w:val="0"/>
          <w:numId w:val="1002"/>
        </w:numPr>
        <w:pStyle w:val="Compact"/>
      </w:pPr>
      <w:r>
        <w:rPr>
          <w:rStyle w:val="VerbatimChar"/>
        </w:rPr>
        <w:t xml:space="preserve">gcp.resourceLocations</w:t>
      </w:r>
      <w:r>
        <w:t xml:space="preserve"> </w:t>
      </w:r>
      <w:r>
        <w:t xml:space="preserve">is</w:t>
      </w:r>
      <w:r>
        <w:t xml:space="preserve"> </w:t>
      </w:r>
      <w:r>
        <w:rPr>
          <w:bCs/>
          <w:b/>
        </w:rPr>
        <w:t xml:space="preserve">already pinned to</w:t>
      </w:r>
      <w:r>
        <w:rPr>
          <w:bCs/>
          <w:b/>
        </w:rPr>
        <w:t xml:space="preserve"> </w:t>
      </w:r>
      <w:r>
        <w:rPr>
          <w:rStyle w:val="VerbatimChar"/>
          <w:bCs/>
          <w:b/>
        </w:rPr>
        <w:t xml:space="preserve">europe-west1</w:t>
      </w:r>
      <w:r>
        <w:t xml:space="preserve">. Leave it. Everything this platform needs, Model Armor included, is available in that region. The only thing it forecloses is Model Armor’s built-in Vertex AI integration (§17.2), and the compensating control for that costs nothing.</w:t>
      </w:r>
    </w:p>
    <w:p>
      <w:pPr>
        <w:numPr>
          <w:ilvl w:val="0"/>
          <w:numId w:val="1002"/>
        </w:numPr>
        <w:pStyle w:val="Compact"/>
      </w:pPr>
      <w:r>
        <w:rPr>
          <w:rStyle w:val="VerbatimChar"/>
        </w:rPr>
        <w:t xml:space="preserve">iam.allowedPolicyMemberDomains</w:t>
      </w:r>
      <w:r>
        <w:t xml:space="preserve"> </w:t>
      </w:r>
      <w:r>
        <w:t xml:space="preserve">is the policy that makes the</w:t>
      </w:r>
      <w:r>
        <w:t xml:space="preserve"> </w:t>
      </w:r>
      <w:r>
        <w:t xml:space="preserve">“</w:t>
      </w:r>
      <w:r>
        <w:t xml:space="preserve">public Cloud Run</w:t>
      </w:r>
      <w:r>
        <w:t xml:space="preserve">”</w:t>
      </w:r>
      <w:r>
        <w:t xml:space="preserve"> </w:t>
      </w:r>
      <w:r>
        <w:t xml:space="preserve">option in Part 20 impossible. That is intentional. Do not remove it as a workaround.</w:t>
      </w:r>
    </w:p>
    <w:p>
      <w:pPr>
        <w:numPr>
          <w:ilvl w:val="0"/>
          <w:numId w:val="1002"/>
        </w:numPr>
        <w:pStyle w:val="Compact"/>
      </w:pPr>
      <w:r>
        <w:t xml:space="preserve">Policy changes can take a few minutes to take effect.</w:t>
      </w:r>
    </w:p>
    <w:p>
      <w:r>
        <w:br w:type="page"/>
      </w:r>
    </w:p>
    <w:bookmarkEnd w:id="36"/>
    <w:bookmarkEnd w:id="37"/>
    <w:bookmarkStart w:id="43" w:name="part-2-enable-apis-in-every-project"/>
    <w:p>
      <w:pPr>
        <w:pStyle w:val="Heading1"/>
      </w:pPr>
      <w:r>
        <w:t xml:space="preserve">Part 2 — Enable APIs in every project</w:t>
      </w:r>
    </w:p>
    <w:bookmarkStart w:id="38" w:name="what-this-is-1"/>
    <w:p>
      <w:pPr>
        <w:pStyle w:val="Heading2"/>
      </w:pPr>
      <w:r>
        <w:t xml:space="preserve">2.1 What this is</w:t>
      </w:r>
    </w:p>
    <w:p>
      <w:pPr>
        <w:pStyle w:val="FirstParagraph"/>
      </w:pPr>
      <w:r>
        <w:t xml:space="preserve">A Google Cloud project starts with almost everything switched off. Each service you want — load balancing, Apigee, logging — has to be enabled per project. Enabling is free; you pay only for what you then create.</w:t>
      </w:r>
    </w:p>
    <w:bookmarkEnd w:id="38"/>
    <w:bookmarkStart w:id="39" w:name="where-1"/>
    <w:p>
      <w:pPr>
        <w:pStyle w:val="Heading2"/>
      </w:pPr>
      <w:r>
        <w:t xml:space="preserve">2.2 Where</w:t>
      </w:r>
    </w:p>
    <w:p>
      <w:pPr>
        <w:pStyle w:val="FirstParagraph"/>
      </w:pPr>
      <w:r>
        <w:t xml:space="preserve">Search for</w:t>
      </w:r>
      <w:r>
        <w:t xml:space="preserve"> </w:t>
      </w:r>
      <w:r>
        <w:rPr>
          <w:bCs/>
          <w:b/>
        </w:rPr>
        <w:t xml:space="preserve">APIs &amp; Services</w:t>
      </w:r>
      <w:r>
        <w:t xml:space="preserve">, then</w:t>
      </w:r>
      <w:r>
        <w:t xml:space="preserve"> </w:t>
      </w:r>
      <w:r>
        <w:rPr>
          <w:bCs/>
          <w:b/>
        </w:rPr>
        <w:t xml:space="preserve">Enabled APIs &amp; services</w:t>
      </w:r>
      <w:r>
        <w:t xml:space="preserve">, then the</w:t>
      </w:r>
      <w:r>
        <w:t xml:space="preserve"> </w:t>
      </w:r>
      <w:r>
        <w:rPr>
          <w:bCs/>
          <w:b/>
        </w:rPr>
        <w:t xml:space="preserve">+ ENABLE APIS AND SERVICES</w:t>
      </w:r>
      <w:r>
        <w:t xml:space="preserve"> </w:t>
      </w:r>
      <w:r>
        <w:t xml:space="preserve">button at the top.</w:t>
      </w:r>
    </w:p>
    <w:bookmarkEnd w:id="39"/>
    <w:bookmarkStart w:id="40" w:name="do-this-1"/>
    <w:p>
      <w:pPr>
        <w:pStyle w:val="Heading2"/>
      </w:pPr>
      <w:r>
        <w:t xml:space="preserve">2.3 Do this</w:t>
      </w:r>
    </w:p>
    <w:p>
      <w:pPr>
        <w:pStyle w:val="FirstParagraph"/>
      </w:pPr>
      <w:r>
        <w:t xml:space="preserve">Switch project using the selector at the top-left, then enable the listed APIs. Search each by name and click</w:t>
      </w:r>
      <w:r>
        <w:t xml:space="preserve"> </w:t>
      </w:r>
      <w:r>
        <w:rPr>
          <w:bCs/>
          <w:b/>
        </w:rPr>
        <w:t xml:space="preserve">Enable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Project</w:t>
            </w:r>
          </w:p>
        </w:tc>
        <w:tc>
          <w:tcPr/>
          <w:p>
            <w:pPr>
              <w:pStyle w:val="Compact"/>
              <w:jc w:val="left"/>
            </w:pPr>
            <w:r>
              <w:t xml:space="preserve">APIs to enable</w:t>
            </w:r>
          </w:p>
        </w:tc>
      </w:tr>
      <w:tr>
        <w:tc>
          <w:tcPr/>
          <w:p>
            <w:pPr>
              <w:pStyle w:val="Compact"/>
              <w:jc w:val="left"/>
            </w:pPr>
            <w:r>
              <w:rPr>
                <w:rStyle w:val="VerbatimChar"/>
              </w:rPr>
              <w:t xml:space="preserve">gclt-aicoe-dev-network</w:t>
            </w:r>
          </w:p>
        </w:tc>
        <w:tc>
          <w:tcPr/>
          <w:p>
            <w:pPr>
              <w:pStyle w:val="Compact"/>
              <w:jc w:val="left"/>
            </w:pPr>
            <w:r>
              <w:t xml:space="preserve">Compute Engine, Cloud DNS, Service Networking, Cloud KMS</w:t>
            </w:r>
          </w:p>
        </w:tc>
      </w:tr>
      <w:tr>
        <w:tc>
          <w:tcPr/>
          <w:p>
            <w:pPr>
              <w:pStyle w:val="Compact"/>
              <w:jc w:val="left"/>
            </w:pPr>
            <w:r>
              <w:rPr>
                <w:rStyle w:val="VerbatimChar"/>
              </w:rPr>
              <w:t xml:space="preserve">gclt-aicoe-dev-ingress</w:t>
            </w:r>
          </w:p>
        </w:tc>
        <w:tc>
          <w:tcPr/>
          <w:p>
            <w:pPr>
              <w:pStyle w:val="Compact"/>
              <w:jc w:val="left"/>
            </w:pPr>
            <w:r>
              <w:t xml:space="preserve">Compute Engine, Identity-Aware Proxy, Cloud KMS, Certificate Manager</w:t>
            </w:r>
          </w:p>
        </w:tc>
      </w:tr>
      <w:tr>
        <w:tc>
          <w:tcPr/>
          <w:p>
            <w:pPr>
              <w:pStyle w:val="Compact"/>
              <w:jc w:val="left"/>
            </w:pPr>
            <w:r>
              <w:rPr>
                <w:rStyle w:val="VerbatimChar"/>
              </w:rPr>
              <w:t xml:space="preserve">gclt-aicoe-dev-apigee</w:t>
            </w:r>
          </w:p>
        </w:tc>
        <w:tc>
          <w:tcPr/>
          <w:p>
            <w:pPr>
              <w:pStyle w:val="Compact"/>
              <w:jc w:val="left"/>
            </w:pPr>
            <w:r>
              <w:t xml:space="preserve">Apigee, Apigee Connect, Compute Engine, Cloud KMS</w:t>
            </w:r>
          </w:p>
        </w:tc>
      </w:tr>
      <w:tr>
        <w:tc>
          <w:tcPr/>
          <w:p>
            <w:pPr>
              <w:pStyle w:val="Compact"/>
              <w:jc w:val="left"/>
            </w:pPr>
            <w:r>
              <w:rPr>
                <w:rStyle w:val="VerbatimChar"/>
              </w:rPr>
              <w:t xml:space="preserve">gclt-aicoe-dev-aihub-ui</w:t>
            </w:r>
          </w:p>
        </w:tc>
        <w:tc>
          <w:tcPr/>
          <w:p>
            <w:pPr>
              <w:pStyle w:val="Compact"/>
              <w:jc w:val="left"/>
            </w:pPr>
            <w:r>
              <w:t xml:space="preserve">Cloud Run, Compute Engine, Artifact Registry, Container Analysis, Binary Authorization, Cloud KMS</w:t>
            </w:r>
          </w:p>
        </w:tc>
      </w:tr>
      <w:tr>
        <w:tc>
          <w:tcPr/>
          <w:p>
            <w:pPr>
              <w:pStyle w:val="Compact"/>
              <w:jc w:val="left"/>
            </w:pPr>
            <w:r>
              <w:rPr>
                <w:rStyle w:val="VerbatimChar"/>
              </w:rPr>
              <w:t xml:space="preserve">gclt-aicoe-dev-st</w:t>
            </w:r>
          </w:p>
        </w:tc>
        <w:tc>
          <w:tcPr/>
          <w:p>
            <w:pPr>
              <w:pStyle w:val="Compact"/>
              <w:jc w:val="left"/>
            </w:pPr>
            <w:r>
              <w:t xml:space="preserve">Cloud Run, Compute Engine, Artifact Registry, Container Analysis, Binary Authorization, Cloud Tasks, BigQuery, Cloud Storage, Vertex AI, Sensitive Data Protection, Secret Manager, Cloud KMS</w:t>
            </w:r>
          </w:p>
        </w:tc>
      </w:tr>
      <w:tr>
        <w:tc>
          <w:tcPr/>
          <w:p>
            <w:pPr>
              <w:pStyle w:val="Compact"/>
              <w:jc w:val="left"/>
            </w:pPr>
            <w:r>
              <w:rPr>
                <w:rStyle w:val="VerbatimChar"/>
              </w:rPr>
              <w:t xml:space="preserve">gclt-aicoe-dev-llm</w:t>
            </w:r>
          </w:p>
        </w:tc>
        <w:tc>
          <w:tcPr/>
          <w:p>
            <w:pPr>
              <w:pStyle w:val="Compact"/>
              <w:jc w:val="left"/>
            </w:pPr>
            <w:r>
              <w:t xml:space="preserve">Vertex AI, Model Armor, Cloud KMS</w:t>
            </w:r>
          </w:p>
        </w:tc>
      </w:tr>
      <w:tr>
        <w:tc>
          <w:tcPr/>
          <w:p>
            <w:pPr>
              <w:pStyle w:val="Compact"/>
              <w:jc w:val="left"/>
            </w:pPr>
            <w:r>
              <w:rPr>
                <w:rStyle w:val="VerbatimChar"/>
              </w:rPr>
              <w:t xml:space="preserve">gclt-aicoe-dev-auditlogs</w:t>
            </w:r>
          </w:p>
        </w:tc>
        <w:tc>
          <w:tcPr/>
          <w:p>
            <w:pPr>
              <w:pStyle w:val="Compact"/>
              <w:jc w:val="left"/>
            </w:pPr>
            <w:r>
              <w:t xml:space="preserve">Cloud Logging, BigQuery, Pub/Sub, Cloud KMS</w:t>
            </w:r>
          </w:p>
        </w:tc>
      </w:tr>
      <w:tr>
        <w:tc>
          <w:tcPr/>
          <w:p>
            <w:pPr>
              <w:pStyle w:val="Compact"/>
              <w:jc w:val="left"/>
            </w:pPr>
            <w:r>
              <w:rPr>
                <w:rStyle w:val="VerbatimChar"/>
              </w:rPr>
              <w:t xml:space="preserve">aicoe-sharedwif</w:t>
            </w:r>
          </w:p>
        </w:tc>
        <w:tc>
          <w:tcPr/>
          <w:p>
            <w:pPr>
              <w:pStyle w:val="Compact"/>
              <w:jc w:val="left"/>
            </w:pPr>
            <w:r>
              <w:t xml:space="preserve">IAM Service Account Credentials, Security Token Service</w:t>
            </w:r>
          </w:p>
        </w:tc>
      </w:tr>
    </w:tbl>
    <w:bookmarkEnd w:id="40"/>
    <w:bookmarkStart w:id="41" w:name="check-it-worked-1"/>
    <w:p>
      <w:pPr>
        <w:pStyle w:val="Heading2"/>
      </w:pPr>
      <w:r>
        <w:t xml:space="preserve">2.4 Check it worked</w:t>
      </w:r>
    </w:p>
    <w:p>
      <w:pPr>
        <w:pStyle w:val="FirstParagraph"/>
      </w:pPr>
      <w:r>
        <w:t xml:space="preserve">The</w:t>
      </w:r>
      <w:r>
        <w:t xml:space="preserve"> </w:t>
      </w:r>
      <w:r>
        <w:rPr>
          <w:bCs/>
          <w:b/>
        </w:rPr>
        <w:t xml:space="preserve">Enabled APIs &amp; services</w:t>
      </w:r>
      <w:r>
        <w:t xml:space="preserve"> </w:t>
      </w:r>
      <w:r>
        <w:t xml:space="preserve">list shows each one. There is no separate confirmation.</w:t>
      </w:r>
    </w:p>
    <w:bookmarkEnd w:id="41"/>
    <w:bookmarkStart w:id="42" w:name="watch-out-1"/>
    <w:p>
      <w:pPr>
        <w:pStyle w:val="Heading2"/>
      </w:pPr>
      <w:r>
        <w:t xml:space="preserve">2.5 Watch out</w:t>
      </w:r>
    </w:p>
    <w:p>
      <w:pPr>
        <w:pStyle w:val="FirstParagraph"/>
      </w:pPr>
      <w:r>
        <w:t xml:space="preserve">Enabling an API can take a minute and is not always instant across the whole project. If a later step says a service is not enabled, wait two minutes and retry before assuming something is wrong.</w:t>
      </w:r>
    </w:p>
    <w:p>
      <w:r>
        <w:br w:type="page"/>
      </w:r>
    </w:p>
    <w:bookmarkEnd w:id="42"/>
    <w:bookmarkEnd w:id="43"/>
    <w:bookmarkStart w:id="49" w:name="X20286a4cd351af53c0d1d2ecf8c68f93d27adee"/>
    <w:p>
      <w:pPr>
        <w:pStyle w:val="Heading1"/>
      </w:pPr>
      <w:r>
        <w:t xml:space="preserve">Part 3 — Force service agents into existence</w:t>
      </w:r>
    </w:p>
    <w:bookmarkStart w:id="44" w:name="what-this-is-2"/>
    <w:p>
      <w:pPr>
        <w:pStyle w:val="Heading2"/>
      </w:pPr>
      <w:r>
        <w:t xml:space="preserve">3.1 What this is</w:t>
      </w:r>
    </w:p>
    <w:p>
      <w:pPr>
        <w:pStyle w:val="FirstParagraph"/>
      </w:pPr>
      <w:r>
        <w:t xml:space="preserve">When a Google service needs to act on your behalf — Apigee reading an encryption key, Logging writing to a bucket — it uses a hidden account called a</w:t>
      </w:r>
      <w:r>
        <w:t xml:space="preserve"> </w:t>
      </w:r>
      <w:r>
        <w:rPr>
          <w:bCs/>
          <w:b/>
        </w:rPr>
        <w:t xml:space="preserve">service agent</w:t>
      </w:r>
      <w:r>
        <w:t xml:space="preserve">. These are created automatically, but</w:t>
      </w:r>
      <w:r>
        <w:t xml:space="preserve"> </w:t>
      </w:r>
      <w:r>
        <w:rPr>
          <w:iCs/>
          <w:i/>
        </w:rPr>
        <w:t xml:space="preserve">lazily</w:t>
      </w:r>
      <w:r>
        <w:t xml:space="preserve">: often only the first time the service actually does something.</w:t>
      </w:r>
    </w:p>
    <w:p>
      <w:pPr>
        <w:pStyle w:val="BodyText"/>
      </w:pPr>
      <w:r>
        <w:t xml:space="preserve">That causes a specific, confusing failure. In Part 4 you will grant a service agent permission to use an encryption key. If the agent does not exist yet, the console cannot find it and the grant fails — or worse, appears to succeed and the resource creation fails later with a message about the key, not about the missing account.</w:t>
      </w:r>
    </w:p>
    <w:p>
      <w:pPr>
        <w:pStyle w:val="BodyText"/>
      </w:pPr>
      <w:r>
        <w:t xml:space="preserve">So you create them deliberately, first.</w:t>
      </w:r>
    </w:p>
    <w:bookmarkEnd w:id="44"/>
    <w:bookmarkStart w:id="45" w:name="where-2"/>
    <w:p>
      <w:pPr>
        <w:pStyle w:val="Heading2"/>
      </w:pPr>
      <w:r>
        <w:t xml:space="preserve">3.2 Where</w:t>
      </w:r>
    </w:p>
    <w:p>
      <w:pPr>
        <w:pStyle w:val="FirstParagraph"/>
      </w:pPr>
      <w:r>
        <w:rPr>
          <w:bCs/>
          <w:b/>
        </w:rPr>
        <w:t xml:space="preserve">Cloud Shell only.</w:t>
      </w:r>
      <w:r>
        <w:t xml:space="preserve"> </w:t>
      </w:r>
      <w:r>
        <w:t xml:space="preserve">Click the</w:t>
      </w:r>
      <w:r>
        <w:t xml:space="preserve"> </w:t>
      </w:r>
      <w:r>
        <w:rPr>
          <w:rStyle w:val="VerbatimChar"/>
        </w:rPr>
        <w:t xml:space="preserve">&gt;_</w:t>
      </w:r>
      <w:r>
        <w:t xml:space="preserve"> </w:t>
      </w:r>
      <w:r>
        <w:t xml:space="preserve">icon at the top-right of the console and wait for the terminal.</w:t>
      </w:r>
    </w:p>
    <w:bookmarkEnd w:id="45"/>
    <w:bookmarkStart w:id="46" w:name="do-this-2"/>
    <w:p>
      <w:pPr>
        <w:pStyle w:val="Heading2"/>
      </w:pPr>
      <w:r>
        <w:t xml:space="preserve">3.3 Do this</w:t>
      </w:r>
    </w:p>
    <w:p>
      <w:pPr>
        <w:pStyle w:val="FirstParagraph"/>
      </w:pPr>
      <w:r>
        <w:t xml:space="preserve">Paste this, replacing nothing except where the project ID appears. Run it once per block.</w:t>
      </w:r>
    </w:p>
    <w:p>
      <w:pPr>
        <w:pStyle w:val="SourceCode"/>
      </w:pPr>
      <w:r>
        <w:rPr>
          <w:rStyle w:val="VerbatimChar"/>
        </w:rPr>
        <w:t xml:space="preserve"># Apigee project</w:t>
      </w:r>
      <w:r>
        <w:br/>
      </w:r>
      <w:r>
        <w:rPr>
          <w:rStyle w:val="VerbatimChar"/>
        </w:rPr>
        <w:t xml:space="preserve">gcloud beta services identity create --service=apigee.googleapis.com \</w:t>
      </w:r>
      <w:r>
        <w:br/>
      </w:r>
      <w:r>
        <w:rPr>
          <w:rStyle w:val="VerbatimChar"/>
        </w:rPr>
        <w:t xml:space="preserve">  --project=gclt-aicoe-dev-apigee</w:t>
      </w:r>
      <w:r>
        <w:br/>
      </w:r>
      <w:r>
        <w:br/>
      </w:r>
      <w:r>
        <w:rPr>
          <w:rStyle w:val="VerbatimChar"/>
        </w:rPr>
        <w:t xml:space="preserve"># Logging project</w:t>
      </w:r>
      <w:r>
        <w:br/>
      </w:r>
      <w:r>
        <w:rPr>
          <w:rStyle w:val="VerbatimChar"/>
        </w:rPr>
        <w:t xml:space="preserve">gcloud beta services identity create --service=logging.googleapis.com \</w:t>
      </w:r>
      <w:r>
        <w:br/>
      </w:r>
      <w:r>
        <w:rPr>
          <w:rStyle w:val="VerbatimChar"/>
        </w:rPr>
        <w:t xml:space="preserve">  --project=gclt-aicoe-dev-auditlogs</w:t>
      </w:r>
      <w:r>
        <w:br/>
      </w:r>
      <w:r>
        <w:rPr>
          <w:rStyle w:val="VerbatimChar"/>
        </w:rPr>
        <w:t xml:space="preserve">gcloud beta services identity create --service=pubsub.googleapis.com \</w:t>
      </w:r>
      <w:r>
        <w:br/>
      </w:r>
      <w:r>
        <w:rPr>
          <w:rStyle w:val="VerbatimChar"/>
        </w:rPr>
        <w:t xml:space="preserve">  --project=gclt-aicoe-dev-auditlogs</w:t>
      </w:r>
      <w:r>
        <w:br/>
      </w:r>
      <w:r>
        <w:rPr>
          <w:rStyle w:val="VerbatimChar"/>
        </w:rPr>
        <w:t xml:space="preserve">gcloud beta services identity create --service=bigquery.googleapis.com \</w:t>
      </w:r>
      <w:r>
        <w:br/>
      </w:r>
      <w:r>
        <w:rPr>
          <w:rStyle w:val="VerbatimChar"/>
        </w:rPr>
        <w:t xml:space="preserve">  --project=gclt-aicoe-dev-auditlogs</w:t>
      </w:r>
      <w:r>
        <w:br/>
      </w:r>
      <w:r>
        <w:br/>
      </w:r>
      <w:r>
        <w:rPr>
          <w:rStyle w:val="VerbatimChar"/>
        </w:rPr>
        <w:t xml:space="preserve"># Usecase project</w:t>
      </w:r>
      <w:r>
        <w:br/>
      </w:r>
      <w:r>
        <w:rPr>
          <w:rStyle w:val="VerbatimChar"/>
        </w:rPr>
        <w:t xml:space="preserve">gcloud beta services identity create --service=artifactregistry.googleapis.com \</w:t>
      </w:r>
      <w:r>
        <w:br/>
      </w:r>
      <w:r>
        <w:rPr>
          <w:rStyle w:val="VerbatimChar"/>
        </w:rPr>
        <w:t xml:space="preserve">  --project=gclt-aicoe-dev-st</w:t>
      </w:r>
      <w:r>
        <w:br/>
      </w:r>
      <w:r>
        <w:rPr>
          <w:rStyle w:val="VerbatimChar"/>
        </w:rPr>
        <w:t xml:space="preserve">gcloud beta services identity create --service=aiplatform.googleapis.com \</w:t>
      </w:r>
      <w:r>
        <w:br/>
      </w:r>
      <w:r>
        <w:rPr>
          <w:rStyle w:val="VerbatimChar"/>
        </w:rPr>
        <w:t xml:space="preserve">  --project=gclt-aicoe-dev-st</w:t>
      </w:r>
      <w:r>
        <w:br/>
      </w:r>
      <w:r>
        <w:rPr>
          <w:rStyle w:val="VerbatimChar"/>
        </w:rPr>
        <w:t xml:space="preserve">gcloud beta services identity create --service=storage.googleapis.com \</w:t>
      </w:r>
      <w:r>
        <w:br/>
      </w:r>
      <w:r>
        <w:rPr>
          <w:rStyle w:val="VerbatimChar"/>
        </w:rPr>
        <w:t xml:space="preserve">  --project=gclt-aicoe-dev-st</w:t>
      </w:r>
      <w:r>
        <w:br/>
      </w:r>
      <w:r>
        <w:rPr>
          <w:rStyle w:val="VerbatimChar"/>
        </w:rPr>
        <w:t xml:space="preserve">gcloud beta services identity create --service=bigquery.googleapis.com \</w:t>
      </w:r>
      <w:r>
        <w:br/>
      </w:r>
      <w:r>
        <w:rPr>
          <w:rStyle w:val="VerbatimChar"/>
        </w:rPr>
        <w:t xml:space="preserve">  --project=gclt-aicoe-dev-st</w:t>
      </w:r>
      <w:r>
        <w:br/>
      </w:r>
      <w:r>
        <w:br/>
      </w:r>
      <w:r>
        <w:rPr>
          <w:rStyle w:val="VerbatimChar"/>
        </w:rPr>
        <w:t xml:space="preserve"># AI Hub UI project</w:t>
      </w:r>
      <w:r>
        <w:br/>
      </w:r>
      <w:r>
        <w:rPr>
          <w:rStyle w:val="VerbatimChar"/>
        </w:rPr>
        <w:t xml:space="preserve">gcloud beta services identity create --service=artifactregistry.googleapis.com \</w:t>
      </w:r>
      <w:r>
        <w:br/>
      </w:r>
      <w:r>
        <w:rPr>
          <w:rStyle w:val="VerbatimChar"/>
        </w:rPr>
        <w:t xml:space="preserve">  --project=gclt-aicoe-dev-aihub-ui</w:t>
      </w:r>
      <w:r>
        <w:br/>
      </w:r>
      <w:r>
        <w:br/>
      </w:r>
      <w:r>
        <w:rPr>
          <w:rStyle w:val="VerbatimChar"/>
        </w:rPr>
        <w:t xml:space="preserve"># LLM project</w:t>
      </w:r>
      <w:r>
        <w:br/>
      </w:r>
      <w:r>
        <w:rPr>
          <w:rStyle w:val="VerbatimChar"/>
        </w:rPr>
        <w:t xml:space="preserve">gcloud beta services identity create --service=aiplatform.googleapis.com \</w:t>
      </w:r>
      <w:r>
        <w:br/>
      </w:r>
      <w:r>
        <w:rPr>
          <w:rStyle w:val="VerbatimChar"/>
        </w:rPr>
        <w:t xml:space="preserve">  --project=gclt-aicoe-dev-llm</w:t>
      </w:r>
    </w:p>
    <w:p>
      <w:pPr>
        <w:pStyle w:val="FirstParagraph"/>
      </w:pPr>
      <w:r>
        <w:t xml:space="preserve">Each command prints the email address of the agent it created.</w:t>
      </w:r>
      <w:r>
        <w:t xml:space="preserve"> </w:t>
      </w:r>
      <w:r>
        <w:rPr>
          <w:bCs/>
          <w:b/>
        </w:rPr>
        <w:t xml:space="preserve">Copy these into a notepad.</w:t>
      </w:r>
      <w:r>
        <w:t xml:space="preserve"> </w:t>
      </w:r>
      <w:r>
        <w:t xml:space="preserve">You need them in Part 4 and they are tedious to reconstruct.</w:t>
      </w:r>
    </w:p>
    <w:bookmarkEnd w:id="46"/>
    <w:bookmarkStart w:id="47" w:name="check-it-worked-2"/>
    <w:p>
      <w:pPr>
        <w:pStyle w:val="Heading2"/>
      </w:pPr>
      <w:r>
        <w:t xml:space="preserve">3.4 Check it worked</w:t>
      </w:r>
    </w:p>
    <w:p>
      <w:pPr>
        <w:pStyle w:val="FirstParagraph"/>
      </w:pPr>
      <w:r>
        <w:t xml:space="preserve">Each command prints something like</w:t>
      </w:r>
      <w:r>
        <w:t xml:space="preserve"> </w:t>
      </w:r>
      <w:r>
        <w:rPr>
          <w:rStyle w:val="VerbatimChar"/>
        </w:rPr>
        <w:t xml:space="preserve">Service identity created: service-123456789@gcp-sa-apigee.iam.gserviceaccount.com</w:t>
      </w:r>
      <w:r>
        <w:t xml:space="preserve">. If it says the identity already exists, that is fine — it means the agent was already there.</w:t>
      </w:r>
    </w:p>
    <w:bookmarkEnd w:id="47"/>
    <w:bookmarkStart w:id="48" w:name="watch-out-2"/>
    <w:p>
      <w:pPr>
        <w:pStyle w:val="Heading2"/>
      </w:pPr>
      <w:r>
        <w:t xml:space="preserve">3.5 Watch out</w:t>
      </w:r>
    </w:p>
    <w:p>
      <w:pPr>
        <w:pStyle w:val="FirstParagraph"/>
      </w:pPr>
      <w:r>
        <w:t xml:space="preserve">The number in the middle is the</w:t>
      </w:r>
      <w:r>
        <w:t xml:space="preserve"> </w:t>
      </w:r>
      <w:r>
        <w:rPr>
          <w:bCs/>
          <w:b/>
        </w:rPr>
        <w:t xml:space="preserve">project number</w:t>
      </w:r>
      <w:r>
        <w:t xml:space="preserve">, not the project ID. Different projects have different numbers, so an agent email from one project will not work in another. Label your notes by project.</w:t>
      </w:r>
    </w:p>
    <w:p>
      <w:r>
        <w:br w:type="page"/>
      </w:r>
    </w:p>
    <w:bookmarkEnd w:id="48"/>
    <w:bookmarkEnd w:id="49"/>
    <w:bookmarkStart w:id="56" w:name="part-4-encryption-keys-cloud-kms"/>
    <w:p>
      <w:pPr>
        <w:pStyle w:val="Heading1"/>
      </w:pPr>
      <w:r>
        <w:t xml:space="preserve">Part 4 — Encryption keys (Cloud KMS)</w:t>
      </w:r>
    </w:p>
    <w:bookmarkStart w:id="50" w:name="what-this-is-3"/>
    <w:p>
      <w:pPr>
        <w:pStyle w:val="Heading2"/>
      </w:pPr>
      <w:r>
        <w:t xml:space="preserve">4.1 What this is</w:t>
      </w:r>
    </w:p>
    <w:p>
      <w:pPr>
        <w:pStyle w:val="FirstParagraph"/>
      </w:pPr>
      <w:r>
        <w:t xml:space="preserve">By default Google encrypts your data with keys Google manages. A</w:t>
      </w:r>
      <w:r>
        <w:t xml:space="preserve"> </w:t>
      </w:r>
      <w:r>
        <w:rPr>
          <w:bCs/>
          <w:b/>
        </w:rPr>
        <w:t xml:space="preserve">customer-managed encryption key</w:t>
      </w:r>
      <w:r>
        <w:t xml:space="preserve"> </w:t>
      </w:r>
      <w:r>
        <w:t xml:space="preserve">(CMEK) means the key lives in your project, you control it, and you could revoke it. Several services require the key to exist</w:t>
      </w:r>
      <w:r>
        <w:t xml:space="preserve"> </w:t>
      </w:r>
      <w:r>
        <w:rPr>
          <w:iCs/>
          <w:i/>
        </w:rPr>
        <w:t xml:space="preserve">before</w:t>
      </w:r>
      <w:r>
        <w:t xml:space="preserve"> </w:t>
      </w:r>
      <w:r>
        <w:t xml:space="preserve">the thing it protects is created, and cannot be changed afterwards — Apigee is the strictest example.</w:t>
      </w:r>
    </w:p>
    <w:p>
      <w:pPr>
        <w:pStyle w:val="BodyText"/>
      </w:pPr>
      <w:r>
        <w:t xml:space="preserve">A</w:t>
      </w:r>
      <w:r>
        <w:t xml:space="preserve"> </w:t>
      </w:r>
      <w:r>
        <w:rPr>
          <w:bCs/>
          <w:b/>
        </w:rPr>
        <w:t xml:space="preserve">key ring</w:t>
      </w:r>
      <w:r>
        <w:t xml:space="preserve"> </w:t>
      </w:r>
      <w:r>
        <w:t xml:space="preserve">is a folder for keys, tied to one region. Keys inside inherit that region.</w:t>
      </w:r>
    </w:p>
    <w:bookmarkEnd w:id="50"/>
    <w:bookmarkStart w:id="51" w:name="where-3"/>
    <w:p>
      <w:pPr>
        <w:pStyle w:val="Heading2"/>
      </w:pPr>
      <w:r>
        <w:t xml:space="preserve">4.2 Where</w:t>
      </w:r>
    </w:p>
    <w:p>
      <w:pPr>
        <w:pStyle w:val="FirstParagraph"/>
      </w:pPr>
      <w:r>
        <w:t xml:space="preserve">Search for</w:t>
      </w:r>
      <w:r>
        <w:t xml:space="preserve"> </w:t>
      </w:r>
      <w:r>
        <w:rPr>
          <w:bCs/>
          <w:b/>
        </w:rPr>
        <w:t xml:space="preserve">Key Management</w:t>
      </w:r>
      <w:r>
        <w:t xml:space="preserve">, or navigation menu →</w:t>
      </w:r>
      <w:r>
        <w:t xml:space="preserve"> </w:t>
      </w:r>
      <w:r>
        <w:rPr>
          <w:bCs/>
          <w:b/>
        </w:rPr>
        <w:t xml:space="preserve">Security</w:t>
      </w:r>
      <w:r>
        <w:t xml:space="preserve"> </w:t>
      </w:r>
      <w:r>
        <w:t xml:space="preserve">→</w:t>
      </w:r>
      <w:r>
        <w:t xml:space="preserve"> </w:t>
      </w:r>
      <w:r>
        <w:rPr>
          <w:bCs/>
          <w:b/>
        </w:rPr>
        <w:t xml:space="preserve">Key Management</w:t>
      </w:r>
      <w:r>
        <w:t xml:space="preserve">.</w:t>
      </w:r>
    </w:p>
    <w:bookmarkEnd w:id="51"/>
    <w:bookmarkStart w:id="52" w:name="do-this-create-the-key-rings"/>
    <w:p>
      <w:pPr>
        <w:pStyle w:val="Heading2"/>
      </w:pPr>
      <w:r>
        <w:t xml:space="preserve">4.3 Do this — create the key rings</w:t>
      </w:r>
    </w:p>
    <w:p>
      <w:pPr>
        <w:pStyle w:val="FirstParagraph"/>
      </w:pPr>
      <w:r>
        <w:t xml:space="preserve">For each row: switch to the project, click</w:t>
      </w:r>
      <w:r>
        <w:t xml:space="preserve"> </w:t>
      </w:r>
      <w:r>
        <w:rPr>
          <w:bCs/>
          <w:b/>
        </w:rPr>
        <w:t xml:space="preserve">+ CREATE KEY RING</w:t>
      </w:r>
      <w:r>
        <w:t xml:space="preserve">, enter the name, set</w:t>
      </w:r>
      <w:r>
        <w:t xml:space="preserve"> </w:t>
      </w:r>
      <w:r>
        <w:rPr>
          <w:bCs/>
          <w:b/>
        </w:rPr>
        <w:t xml:space="preserve">Location type</w:t>
      </w:r>
      <w:r>
        <w:t xml:space="preserve"> </w:t>
      </w:r>
      <w:r>
        <w:t xml:space="preserve">to</w:t>
      </w:r>
      <w:r>
        <w:t xml:space="preserve"> </w:t>
      </w:r>
      <w:r>
        <w:rPr>
          <w:bCs/>
          <w:b/>
        </w:rPr>
        <w:t xml:space="preserve">Region</w:t>
      </w:r>
      <w:r>
        <w:t xml:space="preserve"> </w:t>
      </w:r>
      <w:r>
        <w:t xml:space="preserve">and</w:t>
      </w:r>
      <w:r>
        <w:t xml:space="preserve"> </w:t>
      </w:r>
      <w:r>
        <w:rPr>
          <w:bCs/>
          <w:b/>
        </w:rPr>
        <w:t xml:space="preserve">Region</w:t>
      </w:r>
      <w:r>
        <w:t xml:space="preserve"> </w:t>
      </w:r>
      <w:r>
        <w:t xml:space="preserve">to</w:t>
      </w:r>
      <w:r>
        <w:t xml:space="preserve"> </w:t>
      </w:r>
      <w:r>
        <w:rPr>
          <w:rStyle w:val="VerbatimChar"/>
        </w:rPr>
        <w:t xml:space="preserve">europe-west1</w:t>
      </w:r>
      <w:r>
        <w:t xml:space="preserve">, then</w:t>
      </w:r>
      <w:r>
        <w:t xml:space="preserve"> </w:t>
      </w:r>
      <w:r>
        <w:rPr>
          <w:bCs/>
          <w:b/>
        </w:rPr>
        <w:t xml:space="preserve">Create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Project</w:t>
            </w:r>
          </w:p>
        </w:tc>
        <w:tc>
          <w:tcPr/>
          <w:p>
            <w:pPr>
              <w:pStyle w:val="Compact"/>
              <w:jc w:val="left"/>
            </w:pPr>
            <w:r>
              <w:t xml:space="preserve">Key ring</w:t>
            </w:r>
          </w:p>
        </w:tc>
        <w:tc>
          <w:tcPr/>
          <w:p>
            <w:pPr>
              <w:pStyle w:val="Compact"/>
              <w:jc w:val="left"/>
            </w:pPr>
            <w:r>
              <w:t xml:space="preserve">Keys to create inside</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w:t>
            </w:r>
          </w:p>
        </w:tc>
        <w:tc>
          <w:tcPr/>
          <w:p>
            <w:pPr>
              <w:pStyle w:val="Compact"/>
              <w:jc w:val="left"/>
            </w:pPr>
            <w:r>
              <w:rPr>
                <w:rStyle w:val="VerbatimChar"/>
              </w:rPr>
              <w:t xml:space="preserve">runtime-db</w:t>
            </w:r>
            <w:r>
              <w:t xml:space="preserve">,</w:t>
            </w:r>
            <w:r>
              <w:t xml:space="preserve"> </w:t>
            </w:r>
            <w:r>
              <w:rPr>
                <w:rStyle w:val="VerbatimChar"/>
              </w:rPr>
              <w:t xml:space="preserve">instance-disk</w:t>
            </w:r>
          </w:p>
        </w:tc>
      </w:tr>
      <w:tr>
        <w:tc>
          <w:tcPr/>
          <w:p>
            <w:pPr>
              <w:pStyle w:val="Compact"/>
              <w:jc w:val="left"/>
            </w:pPr>
            <w:r>
              <w:rPr>
                <w:rStyle w:val="VerbatimChar"/>
              </w:rPr>
              <w:t xml:space="preserve">gclt-aicoe-dev-auditlogs</w:t>
            </w:r>
          </w:p>
        </w:tc>
        <w:tc>
          <w:tcPr/>
          <w:p>
            <w:pPr>
              <w:pStyle w:val="Compact"/>
              <w:jc w:val="left"/>
            </w:pPr>
            <w:r>
              <w:rPr>
                <w:rStyle w:val="VerbatimChar"/>
              </w:rPr>
              <w:t xml:space="preserve">logs</w:t>
            </w:r>
          </w:p>
        </w:tc>
        <w:tc>
          <w:tcPr/>
          <w:p>
            <w:pPr>
              <w:pStyle w:val="Compact"/>
              <w:jc w:val="left"/>
            </w:pPr>
            <w:r>
              <w:rPr>
                <w:rStyle w:val="VerbatimChar"/>
              </w:rPr>
              <w:t xml:space="preserve">log-bucket</w:t>
            </w:r>
          </w:p>
        </w:tc>
      </w:tr>
      <w:tr>
        <w:tc>
          <w:tcPr/>
          <w:p>
            <w:pPr>
              <w:pStyle w:val="Compact"/>
              <w:jc w:val="left"/>
            </w:pPr>
            <w:r>
              <w:rPr>
                <w:rStyle w:val="VerbatimChar"/>
              </w:rPr>
              <w:t xml:space="preserve">gclt-aicoe-dev-st</w:t>
            </w:r>
          </w:p>
        </w:tc>
        <w:tc>
          <w:tcPr/>
          <w:p>
            <w:pPr>
              <w:pStyle w:val="Compact"/>
              <w:jc w:val="left"/>
            </w:pPr>
            <w:r>
              <w:rPr>
                <w:rStyle w:val="VerbatimChar"/>
              </w:rPr>
              <w:t xml:space="preserve">st</w:t>
            </w:r>
          </w:p>
        </w:tc>
        <w:tc>
          <w:tcPr/>
          <w:p>
            <w:pPr>
              <w:pStyle w:val="Compact"/>
              <w:jc w:val="left"/>
            </w:pPr>
            <w:r>
              <w:rPr>
                <w:rStyle w:val="VerbatimChar"/>
              </w:rPr>
              <w:t xml:space="preserve">app-gcs</w:t>
            </w:r>
            <w:r>
              <w:t xml:space="preserve">,</w:t>
            </w:r>
            <w:r>
              <w:t xml:space="preserve"> </w:t>
            </w:r>
            <w:r>
              <w:rPr>
                <w:rStyle w:val="VerbatimChar"/>
              </w:rPr>
              <w:t xml:space="preserve">bq</w:t>
            </w:r>
            <w:r>
              <w:t xml:space="preserve">,</w:t>
            </w:r>
            <w:r>
              <w:t xml:space="preserve"> </w:t>
            </w:r>
            <w:r>
              <w:rPr>
                <w:rStyle w:val="VerbatimChar"/>
              </w:rPr>
              <w:t xml:space="preserve">vxai-index</w:t>
            </w:r>
            <w:r>
              <w:t xml:space="preserve">,</w:t>
            </w:r>
            <w:r>
              <w:t xml:space="preserve"> </w:t>
            </w:r>
            <w:r>
              <w:rPr>
                <w:rStyle w:val="VerbatimChar"/>
              </w:rPr>
              <w:t xml:space="preserve">secrets</w:t>
            </w:r>
            <w:r>
              <w:t xml:space="preserve">,</w:t>
            </w:r>
            <w:r>
              <w:t xml:space="preserve"> </w:t>
            </w:r>
            <w:r>
              <w:rPr>
                <w:rStyle w:val="VerbatimChar"/>
              </w:rPr>
              <w:t xml:space="preserve">artifacts</w:t>
            </w:r>
          </w:p>
        </w:tc>
      </w:tr>
      <w:tr>
        <w:tc>
          <w:tcPr/>
          <w:p>
            <w:pPr>
              <w:pStyle w:val="Compact"/>
              <w:jc w:val="left"/>
            </w:pPr>
            <w:r>
              <w:rPr>
                <w:rStyle w:val="VerbatimChar"/>
              </w:rPr>
              <w:t xml:space="preserve">gclt-aicoe-dev-aihub-ui</w:t>
            </w:r>
          </w:p>
        </w:tc>
        <w:tc>
          <w:tcPr/>
          <w:p>
            <w:pPr>
              <w:pStyle w:val="Compact"/>
              <w:jc w:val="left"/>
            </w:pPr>
            <w:r>
              <w:rPr>
                <w:rStyle w:val="VerbatimChar"/>
              </w:rPr>
              <w:t xml:space="preserve">aihub</w:t>
            </w:r>
          </w:p>
        </w:tc>
        <w:tc>
          <w:tcPr/>
          <w:p>
            <w:pPr>
              <w:pStyle w:val="Compact"/>
              <w:jc w:val="left"/>
            </w:pPr>
            <w:r>
              <w:rPr>
                <w:rStyle w:val="VerbatimChar"/>
              </w:rPr>
              <w:t xml:space="preserve">artifacts</w:t>
            </w:r>
          </w:p>
        </w:tc>
      </w:tr>
      <w:tr>
        <w:tc>
          <w:tcPr/>
          <w:p>
            <w:pPr>
              <w:pStyle w:val="Compact"/>
              <w:jc w:val="left"/>
            </w:pPr>
            <w:r>
              <w:rPr>
                <w:rStyle w:val="VerbatimChar"/>
              </w:rPr>
              <w:t xml:space="preserve">gclt-aicoe-dev-llm</w:t>
            </w:r>
          </w:p>
        </w:tc>
        <w:tc>
          <w:tcPr/>
          <w:p>
            <w:pPr>
              <w:pStyle w:val="Compact"/>
              <w:jc w:val="left"/>
            </w:pPr>
            <w:r>
              <w:rPr>
                <w:rStyle w:val="VerbatimChar"/>
              </w:rPr>
              <w:t xml:space="preserve">llm</w:t>
            </w:r>
          </w:p>
        </w:tc>
        <w:tc>
          <w:tcPr/>
          <w:p>
            <w:pPr>
              <w:pStyle w:val="Compact"/>
              <w:jc w:val="left"/>
            </w:pPr>
            <w:r>
              <w:rPr>
                <w:rStyle w:val="VerbatimChar"/>
              </w:rPr>
              <w:t xml:space="preserve">semantic-cache</w:t>
            </w:r>
            <w:r>
              <w:t xml:space="preserve"> </w:t>
            </w:r>
            <w:r>
              <w:t xml:space="preserve">(only if you enable caching in Part 22)</w:t>
            </w:r>
          </w:p>
        </w:tc>
      </w:tr>
      <w:tr>
        <w:tc>
          <w:tcPr/>
          <w:p>
            <w:pPr>
              <w:pStyle w:val="Compact"/>
              <w:jc w:val="left"/>
            </w:pPr>
            <w:r>
              <w:rPr>
                <w:rStyle w:val="VerbatimChar"/>
              </w:rPr>
              <w:t xml:space="preserve">gclt-aicoe-dev-ingress</w:t>
            </w:r>
          </w:p>
        </w:tc>
        <w:tc>
          <w:tcPr/>
          <w:p>
            <w:pPr>
              <w:pStyle w:val="Compact"/>
              <w:jc w:val="left"/>
            </w:pPr>
            <w:r>
              <w:rPr>
                <w:rStyle w:val="VerbatimChar"/>
              </w:rPr>
              <w:t xml:space="preserve">ingress</w:t>
            </w:r>
          </w:p>
        </w:tc>
        <w:tc>
          <w:tcPr/>
          <w:p>
            <w:pPr>
              <w:pStyle w:val="Compact"/>
              <w:jc w:val="left"/>
            </w:pPr>
            <w:r>
              <w:rPr>
                <w:iCs/>
                <w:i/>
              </w:rPr>
              <w:t xml:space="preserve">(the signing key is created in Part 10 — it must be an asymmetric key, not a symmetric one)</w:t>
            </w:r>
          </w:p>
        </w:tc>
      </w:tr>
    </w:tbl>
    <w:p>
      <w:pPr>
        <w:pStyle w:val="BodyText"/>
      </w:pPr>
      <w:r>
        <w:t xml:space="preserve">For each key: inside the key ring click</w:t>
      </w:r>
      <w:r>
        <w:t xml:space="preserve"> </w:t>
      </w:r>
      <w:r>
        <w:rPr>
          <w:bCs/>
          <w:b/>
        </w:rPr>
        <w:t xml:space="preserve">+ CREATE KEY</w:t>
      </w:r>
      <w:r>
        <w:t xml:space="preserve">, give the name, leave</w:t>
      </w:r>
      <w:r>
        <w:t xml:space="preserve"> </w:t>
      </w:r>
      <w:r>
        <w:rPr>
          <w:bCs/>
          <w:b/>
        </w:rPr>
        <w:t xml:space="preserve">Protection level</w:t>
      </w:r>
      <w:r>
        <w:t xml:space="preserve"> </w:t>
      </w:r>
      <w:r>
        <w:t xml:space="preserve">as</w:t>
      </w:r>
      <w:r>
        <w:t xml:space="preserve"> </w:t>
      </w:r>
      <w:r>
        <w:rPr>
          <w:bCs/>
          <w:b/>
        </w:rPr>
        <w:t xml:space="preserve">Software</w:t>
      </w:r>
      <w:r>
        <w:t xml:space="preserve">,</w:t>
      </w:r>
      <w:r>
        <w:t xml:space="preserve"> </w:t>
      </w:r>
      <w:r>
        <w:rPr>
          <w:bCs/>
          <w:b/>
        </w:rPr>
        <w:t xml:space="preserve">Purpose</w:t>
      </w:r>
      <w:r>
        <w:t xml:space="preserve"> </w:t>
      </w:r>
      <w:r>
        <w:t xml:space="preserve">as</w:t>
      </w:r>
      <w:r>
        <w:t xml:space="preserve"> </w:t>
      </w:r>
      <w:r>
        <w:rPr>
          <w:bCs/>
          <w:b/>
        </w:rPr>
        <w:t xml:space="preserve">Symmetric encrypt/decrypt</w:t>
      </w:r>
      <w:r>
        <w:t xml:space="preserve">, set</w:t>
      </w:r>
      <w:r>
        <w:t xml:space="preserve"> </w:t>
      </w:r>
      <w:r>
        <w:rPr>
          <w:bCs/>
          <w:b/>
        </w:rPr>
        <w:t xml:space="preserve">Rotation period</w:t>
      </w:r>
      <w:r>
        <w:t xml:space="preserve"> </w:t>
      </w:r>
      <w:r>
        <w:t xml:space="preserve">to 90 days, then</w:t>
      </w:r>
      <w:r>
        <w:t xml:space="preserve"> </w:t>
      </w:r>
      <w:r>
        <w:rPr>
          <w:bCs/>
          <w:b/>
        </w:rPr>
        <w:t xml:space="preserve">Create</w:t>
      </w:r>
      <w:r>
        <w:t xml:space="preserve">.</w:t>
      </w:r>
    </w:p>
    <w:bookmarkEnd w:id="52"/>
    <w:bookmarkStart w:id="53" w:name="do-this-grant-the-service-agents"/>
    <w:p>
      <w:pPr>
        <w:pStyle w:val="Heading2"/>
      </w:pPr>
      <w:r>
        <w:t xml:space="preserve">4.4 Do this — grant the service agents</w:t>
      </w:r>
    </w:p>
    <w:p>
      <w:pPr>
        <w:pStyle w:val="FirstParagraph"/>
      </w:pPr>
      <w:r>
        <w:t xml:space="preserve">This is the step that Part 3 existed for. On each</w:t>
      </w:r>
      <w:r>
        <w:t xml:space="preserve"> </w:t>
      </w:r>
      <w:r>
        <w:rPr>
          <w:bCs/>
          <w:b/>
        </w:rPr>
        <w:t xml:space="preserve">key</w:t>
      </w:r>
      <w:r>
        <w:t xml:space="preserve">, open it, go to the</w:t>
      </w:r>
      <w:r>
        <w:t xml:space="preserve"> </w:t>
      </w:r>
      <w:r>
        <w:rPr>
          <w:bCs/>
          <w:b/>
        </w:rPr>
        <w:t xml:space="preserve">Permissions</w:t>
      </w:r>
      <w:r>
        <w:t xml:space="preserve"> </w:t>
      </w:r>
      <w:r>
        <w:t xml:space="preserve">tab (or select the key’s checkbox in the list and use the info panel), click</w:t>
      </w:r>
      <w:r>
        <w:t xml:space="preserve"> </w:t>
      </w:r>
      <w:r>
        <w:rPr>
          <w:bCs/>
          <w:b/>
        </w:rPr>
        <w:t xml:space="preserve">Add principal</w:t>
      </w:r>
      <w:r>
        <w:t xml:space="preserve">, paste the service agent email from your Part 3 notes, and give the role</w:t>
      </w:r>
      <w:r>
        <w:t xml:space="preserve"> </w:t>
      </w:r>
      <w:r>
        <w:rPr>
          <w:bCs/>
          <w:b/>
        </w:rPr>
        <w:t xml:space="preserve">Cloud KMS CryptoKey Encrypter/Decrypter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Principal to add</w:t>
            </w:r>
          </w:p>
        </w:tc>
      </w:tr>
      <w:tr>
        <w:tc>
          <w:tcPr/>
          <w:p>
            <w:pPr>
              <w:pStyle w:val="Compact"/>
              <w:jc w:val="left"/>
            </w:pPr>
            <w:r>
              <w:rPr>
                <w:rStyle w:val="VerbatimChar"/>
              </w:rPr>
              <w:t xml:space="preserve">apigee/runtime-db</w:t>
            </w:r>
            <w:r>
              <w:t xml:space="preserve"> </w:t>
            </w:r>
            <w:r>
              <w:t xml:space="preserve">and</w:t>
            </w:r>
            <w:r>
              <w:t xml:space="preserve"> </w:t>
            </w:r>
            <w:r>
              <w:rPr>
                <w:rStyle w:val="VerbatimChar"/>
              </w:rPr>
              <w:t xml:space="preserve">apigee/instance-disk</w:t>
            </w:r>
          </w:p>
        </w:tc>
        <w:tc>
          <w:tcPr/>
          <w:p>
            <w:pPr>
              <w:pStyle w:val="Compact"/>
              <w:jc w:val="left"/>
            </w:pPr>
            <w:r>
              <w:t xml:space="preserve">the</w:t>
            </w:r>
            <w:r>
              <w:t xml:space="preserve"> </w:t>
            </w:r>
            <w:r>
              <w:rPr>
                <w:rStyle w:val="VerbatimChar"/>
              </w:rPr>
              <w:t xml:space="preserve">gcp-sa-apigee</w:t>
            </w:r>
            <w:r>
              <w:t xml:space="preserve"> </w:t>
            </w:r>
            <w:r>
              <w:t xml:space="preserve">agent for the apigee project</w:t>
            </w:r>
          </w:p>
        </w:tc>
      </w:tr>
      <w:tr>
        <w:tc>
          <w:tcPr/>
          <w:p>
            <w:pPr>
              <w:pStyle w:val="Compact"/>
              <w:jc w:val="left"/>
            </w:pPr>
            <w:r>
              <w:rPr>
                <w:rStyle w:val="VerbatimChar"/>
              </w:rPr>
              <w:t xml:space="preserve">logs/log-bucket</w:t>
            </w:r>
          </w:p>
        </w:tc>
        <w:tc>
          <w:tcPr/>
          <w:p>
            <w:pPr>
              <w:pStyle w:val="Compact"/>
              <w:jc w:val="left"/>
            </w:pPr>
            <w:r>
              <w:t xml:space="preserve">the</w:t>
            </w:r>
            <w:r>
              <w:t xml:space="preserve"> </w:t>
            </w:r>
            <w:r>
              <w:rPr>
                <w:rStyle w:val="VerbatimChar"/>
              </w:rPr>
              <w:t xml:space="preserve">gcp-sa-logging</w:t>
            </w:r>
            <w:r>
              <w:t xml:space="preserve"> </w:t>
            </w:r>
            <w:r>
              <w:t xml:space="preserve">agent for the auditlogs project</w:t>
            </w:r>
          </w:p>
        </w:tc>
      </w:tr>
      <w:tr>
        <w:tc>
          <w:tcPr/>
          <w:p>
            <w:pPr>
              <w:pStyle w:val="Compact"/>
              <w:jc w:val="left"/>
            </w:pPr>
            <w:r>
              <w:rPr>
                <w:rStyle w:val="VerbatimChar"/>
              </w:rPr>
              <w:t xml:space="preserve">st/app-gcs</w:t>
            </w:r>
          </w:p>
        </w:tc>
        <w:tc>
          <w:tcPr/>
          <w:p>
            <w:pPr>
              <w:pStyle w:val="Compact"/>
              <w:jc w:val="left"/>
            </w:pPr>
            <w:r>
              <w:t xml:space="preserve">the</w:t>
            </w:r>
            <w:r>
              <w:t xml:space="preserve"> </w:t>
            </w:r>
            <w:r>
              <w:rPr>
                <w:rStyle w:val="VerbatimChar"/>
              </w:rPr>
              <w:t xml:space="preserve">gcp-sa-storage</w:t>
            </w:r>
            <w:r>
              <w:t xml:space="preserve"> </w:t>
            </w:r>
            <w:r>
              <w:t xml:space="preserve">agent for</w:t>
            </w:r>
            <w:r>
              <w:t xml:space="preserve"> </w:t>
            </w:r>
            <w:r>
              <w:rPr>
                <w:rStyle w:val="VerbatimChar"/>
              </w:rPr>
              <w:t xml:space="preserve">st</w:t>
            </w:r>
          </w:p>
        </w:tc>
      </w:tr>
      <w:tr>
        <w:tc>
          <w:tcPr/>
          <w:p>
            <w:pPr>
              <w:pStyle w:val="Compact"/>
              <w:jc w:val="left"/>
            </w:pPr>
            <w:r>
              <w:rPr>
                <w:rStyle w:val="VerbatimChar"/>
              </w:rPr>
              <w:t xml:space="preserve">st/bq</w:t>
            </w:r>
          </w:p>
        </w:tc>
        <w:tc>
          <w:tcPr/>
          <w:p>
            <w:pPr>
              <w:pStyle w:val="Compact"/>
              <w:jc w:val="left"/>
            </w:pPr>
            <w:r>
              <w:t xml:space="preserve">the</w:t>
            </w:r>
            <w:r>
              <w:t xml:space="preserve"> </w:t>
            </w:r>
            <w:r>
              <w:rPr>
                <w:rStyle w:val="VerbatimChar"/>
              </w:rPr>
              <w:t xml:space="preserve">bigquery-encryption</w:t>
            </w:r>
            <w:r>
              <w:t xml:space="preserve"> </w:t>
            </w:r>
            <w:r>
              <w:t xml:space="preserve">agent for</w:t>
            </w:r>
            <w:r>
              <w:t xml:space="preserve"> </w:t>
            </w:r>
            <w:r>
              <w:rPr>
                <w:rStyle w:val="VerbatimChar"/>
              </w:rPr>
              <w:t xml:space="preserve">st</w:t>
            </w:r>
          </w:p>
        </w:tc>
      </w:tr>
      <w:tr>
        <w:tc>
          <w:tcPr/>
          <w:p>
            <w:pPr>
              <w:pStyle w:val="Compact"/>
              <w:jc w:val="left"/>
            </w:pPr>
            <w:r>
              <w:rPr>
                <w:rStyle w:val="VerbatimChar"/>
              </w:rPr>
              <w:t xml:space="preserve">st/vxai-index</w:t>
            </w:r>
          </w:p>
        </w:tc>
        <w:tc>
          <w:tcPr/>
          <w:p>
            <w:pPr>
              <w:pStyle w:val="Compact"/>
              <w:jc w:val="left"/>
            </w:pPr>
            <w:r>
              <w:t xml:space="preserve">the</w:t>
            </w:r>
            <w:r>
              <w:t xml:space="preserve"> </w:t>
            </w:r>
            <w:r>
              <w:rPr>
                <w:rStyle w:val="VerbatimChar"/>
              </w:rPr>
              <w:t xml:space="preserve">gcp-sa-aiplatform</w:t>
            </w:r>
            <w:r>
              <w:t xml:space="preserve"> </w:t>
            </w:r>
            <w:r>
              <w:t xml:space="preserve">agent for</w:t>
            </w:r>
            <w:r>
              <w:t xml:space="preserve"> </w:t>
            </w:r>
            <w:r>
              <w:rPr>
                <w:rStyle w:val="VerbatimChar"/>
              </w:rPr>
              <w:t xml:space="preserve">st</w:t>
            </w:r>
          </w:p>
        </w:tc>
      </w:tr>
      <w:tr>
        <w:tc>
          <w:tcPr/>
          <w:p>
            <w:pPr>
              <w:pStyle w:val="Compact"/>
              <w:jc w:val="left"/>
            </w:pPr>
            <w:r>
              <w:rPr>
                <w:rStyle w:val="VerbatimChar"/>
              </w:rPr>
              <w:t xml:space="preserve">st/artifacts</w:t>
            </w:r>
          </w:p>
        </w:tc>
        <w:tc>
          <w:tcPr/>
          <w:p>
            <w:pPr>
              <w:pStyle w:val="Compact"/>
              <w:jc w:val="left"/>
            </w:pPr>
            <w:r>
              <w:t xml:space="preserve">the</w:t>
            </w:r>
            <w:r>
              <w:t xml:space="preserve"> </w:t>
            </w:r>
            <w:r>
              <w:rPr>
                <w:rStyle w:val="VerbatimChar"/>
              </w:rPr>
              <w:t xml:space="preserve">gcp-sa-artifactregistry</w:t>
            </w:r>
            <w:r>
              <w:t xml:space="preserve"> </w:t>
            </w:r>
            <w:r>
              <w:t xml:space="preserve">agent for</w:t>
            </w:r>
            <w:r>
              <w:t xml:space="preserve"> </w:t>
            </w:r>
            <w:r>
              <w:rPr>
                <w:rStyle w:val="VerbatimChar"/>
              </w:rPr>
              <w:t xml:space="preserve">st</w:t>
            </w:r>
          </w:p>
        </w:tc>
      </w:tr>
      <w:tr>
        <w:tc>
          <w:tcPr/>
          <w:p>
            <w:pPr>
              <w:pStyle w:val="Compact"/>
              <w:jc w:val="left"/>
            </w:pPr>
            <w:r>
              <w:rPr>
                <w:rStyle w:val="VerbatimChar"/>
              </w:rPr>
              <w:t xml:space="preserve">aihub/artifacts</w:t>
            </w:r>
          </w:p>
        </w:tc>
        <w:tc>
          <w:tcPr/>
          <w:p>
            <w:pPr>
              <w:pStyle w:val="Compact"/>
              <w:jc w:val="left"/>
            </w:pPr>
            <w:r>
              <w:t xml:space="preserve">the</w:t>
            </w:r>
            <w:r>
              <w:t xml:space="preserve"> </w:t>
            </w:r>
            <w:r>
              <w:rPr>
                <w:rStyle w:val="VerbatimChar"/>
              </w:rPr>
              <w:t xml:space="preserve">gcp-sa-artifactregistry</w:t>
            </w:r>
            <w:r>
              <w:t xml:space="preserve"> </w:t>
            </w:r>
            <w:r>
              <w:t xml:space="preserve">agent for</w:t>
            </w:r>
            <w:r>
              <w:t xml:space="preserve"> </w:t>
            </w:r>
            <w:r>
              <w:rPr>
                <w:rStyle w:val="VerbatimChar"/>
              </w:rPr>
              <w:t xml:space="preserve">aihub-ui</w:t>
            </w:r>
          </w:p>
        </w:tc>
      </w:tr>
      <w:tr>
        <w:tc>
          <w:tcPr/>
          <w:p>
            <w:pPr>
              <w:pStyle w:val="Compact"/>
              <w:jc w:val="left"/>
            </w:pPr>
            <w:r>
              <w:rPr>
                <w:rStyle w:val="VerbatimChar"/>
              </w:rPr>
              <w:t xml:space="preserve">llm/semantic-cache</w:t>
            </w:r>
          </w:p>
        </w:tc>
        <w:tc>
          <w:tcPr/>
          <w:p>
            <w:pPr>
              <w:pStyle w:val="Compact"/>
              <w:jc w:val="left"/>
            </w:pPr>
            <w:r>
              <w:t xml:space="preserve">the</w:t>
            </w:r>
            <w:r>
              <w:t xml:space="preserve"> </w:t>
            </w:r>
            <w:r>
              <w:rPr>
                <w:rStyle w:val="VerbatimChar"/>
              </w:rPr>
              <w:t xml:space="preserve">gcp-sa-aiplatform</w:t>
            </w:r>
            <w:r>
              <w:t xml:space="preserve"> </w:t>
            </w:r>
            <w:r>
              <w:t xml:space="preserve">agent for</w:t>
            </w:r>
            <w:r>
              <w:t xml:space="preserve"> </w:t>
            </w:r>
            <w:r>
              <w:rPr>
                <w:rStyle w:val="VerbatimChar"/>
              </w:rPr>
              <w:t xml:space="preserve">llm</w:t>
            </w:r>
          </w:p>
        </w:tc>
      </w:tr>
    </w:tbl>
    <w:bookmarkEnd w:id="53"/>
    <w:bookmarkStart w:id="54" w:name="check-it-worked-3"/>
    <w:p>
      <w:pPr>
        <w:pStyle w:val="Heading2"/>
      </w:pPr>
      <w:r>
        <w:t xml:space="preserve">4.5 Check it worked</w:t>
      </w:r>
    </w:p>
    <w:p>
      <w:pPr>
        <w:pStyle w:val="FirstParagraph"/>
      </w:pPr>
      <w:r>
        <w:t xml:space="preserve">Open a key,</w:t>
      </w:r>
      <w:r>
        <w:t xml:space="preserve"> </w:t>
      </w:r>
      <w:r>
        <w:rPr>
          <w:bCs/>
          <w:b/>
        </w:rPr>
        <w:t xml:space="preserve">Permissions</w:t>
      </w:r>
      <w:r>
        <w:t xml:space="preserve"> </w:t>
      </w:r>
      <w:r>
        <w:t xml:space="preserve">tab, and confirm the service agent is listed with the Encrypter/Decrypter role. If the console refuses to accept the email address, the agent does not exist — go back to Part 3.</w:t>
      </w:r>
    </w:p>
    <w:bookmarkEnd w:id="54"/>
    <w:bookmarkStart w:id="55" w:name="watch-out-3"/>
    <w:p>
      <w:pPr>
        <w:pStyle w:val="Heading2"/>
      </w:pPr>
      <w:r>
        <w:t xml:space="preserve">4.6 Watch out</w:t>
      </w:r>
    </w:p>
    <w:p>
      <w:pPr>
        <w:numPr>
          <w:ilvl w:val="0"/>
          <w:numId w:val="1003"/>
        </w:numPr>
        <w:pStyle w:val="Compact"/>
      </w:pPr>
      <w:r>
        <w:rPr>
          <w:bCs/>
          <w:b/>
        </w:rPr>
        <w:t xml:space="preserve">Do not delete or disable a key</w:t>
      </w:r>
      <w:r>
        <w:t xml:space="preserve"> </w:t>
      </w:r>
      <w:r>
        <w:t xml:space="preserve">once something uses it. The data encrypted with it becomes unreadable. Key deletion has a mandatory waiting period for exactly this reason.</w:t>
      </w:r>
    </w:p>
    <w:p>
      <w:pPr>
        <w:numPr>
          <w:ilvl w:val="0"/>
          <w:numId w:val="1003"/>
        </w:numPr>
        <w:pStyle w:val="Compact"/>
      </w:pPr>
      <w:r>
        <w:t xml:space="preserve">The key must be in the</w:t>
      </w:r>
      <w:r>
        <w:t xml:space="preserve"> </w:t>
      </w:r>
      <w:r>
        <w:rPr>
          <w:bCs/>
          <w:b/>
        </w:rPr>
        <w:t xml:space="preserve">same region</w:t>
      </w:r>
      <w:r>
        <w:t xml:space="preserve"> </w:t>
      </w:r>
      <w:r>
        <w:t xml:space="preserve">as the resource using it. A</w:t>
      </w:r>
      <w:r>
        <w:t xml:space="preserve"> </w:t>
      </w:r>
      <w:r>
        <w:rPr>
          <w:rStyle w:val="VerbatimChar"/>
        </w:rPr>
        <w:t xml:space="preserve">europe-west1</w:t>
      </w:r>
      <w:r>
        <w:t xml:space="preserve"> </w:t>
      </w:r>
      <w:r>
        <w:t xml:space="preserve">resource cannot use a</w:t>
      </w:r>
      <w:r>
        <w:t xml:space="preserve"> </w:t>
      </w:r>
      <w:r>
        <w:rPr>
          <w:rStyle w:val="VerbatimChar"/>
        </w:rPr>
        <w:t xml:space="preserve">europe-west4</w:t>
      </w:r>
      <w:r>
        <w:t xml:space="preserve"> </w:t>
      </w:r>
      <w:r>
        <w:t xml:space="preserve">key.</w:t>
      </w:r>
    </w:p>
    <w:p>
      <w:pPr>
        <w:numPr>
          <w:ilvl w:val="0"/>
          <w:numId w:val="1003"/>
        </w:numPr>
        <w:pStyle w:val="Compact"/>
      </w:pPr>
      <w:r>
        <w:t xml:space="preserve">Apigee’s two keys must exist and be granted</w:t>
      </w:r>
      <w:r>
        <w:t xml:space="preserve"> </w:t>
      </w:r>
      <w:r>
        <w:rPr>
          <w:bCs/>
          <w:b/>
        </w:rPr>
        <w:t xml:space="preserve">before</w:t>
      </w:r>
      <w:r>
        <w:t xml:space="preserve"> </w:t>
      </w:r>
      <w:r>
        <w:t xml:space="preserve">you start Part 14. There is no way to add them to an existing Apigee organisation.</w:t>
      </w:r>
    </w:p>
    <w:p>
      <w:r>
        <w:br w:type="page"/>
      </w:r>
    </w:p>
    <w:bookmarkEnd w:id="55"/>
    <w:bookmarkEnd w:id="56"/>
    <w:bookmarkStart w:id="68" w:name="Xfca19dcf18b5faab80e98ae87ec06d09952c089"/>
    <w:p>
      <w:pPr>
        <w:pStyle w:val="Heading1"/>
      </w:pPr>
      <w:r>
        <w:t xml:space="preserve">Part 5 — Logging: the 400-day bucket, sinks, audit config</w:t>
      </w:r>
    </w:p>
    <w:bookmarkStart w:id="57" w:name="what-this-is-4"/>
    <w:p>
      <w:pPr>
        <w:pStyle w:val="Heading2"/>
      </w:pPr>
      <w:r>
        <w:t xml:space="preserve">5.1 What this is</w:t>
      </w:r>
    </w:p>
    <w:p>
      <w:pPr>
        <w:pStyle w:val="FirstParagraph"/>
      </w:pPr>
      <w:r>
        <w:t xml:space="preserve">Every project already has two log stores.</w:t>
      </w:r>
      <w:r>
        <w:t xml:space="preserve"> </w:t>
      </w:r>
      <w:r>
        <w:rPr>
          <w:rStyle w:val="VerbatimChar"/>
        </w:rPr>
        <w:t xml:space="preserve">_Required</w:t>
      </w:r>
      <w:r>
        <w:t xml:space="preserve"> </w:t>
      </w:r>
      <w:r>
        <w:t xml:space="preserve">keeps admin actions for 400 days, cannot be changed, and only ever holds logs from its own project.</w:t>
      </w:r>
      <w:r>
        <w:t xml:space="preserve"> </w:t>
      </w:r>
      <w:r>
        <w:rPr>
          <w:rStyle w:val="VerbatimChar"/>
        </w:rPr>
        <w:t xml:space="preserve">_Default</w:t>
      </w:r>
      <w:r>
        <w:t xml:space="preserve"> </w:t>
      </w:r>
      <w:r>
        <w:t xml:space="preserve">keeps everything else for 30 days.</w:t>
      </w:r>
    </w:p>
    <w:p>
      <w:pPr>
        <w:pStyle w:val="BodyText"/>
      </w:pPr>
      <w:r>
        <w:t xml:space="preserve">Neither can be your central 400-day archive: one is uneditable and local, the other is per-project and short. So you create a</w:t>
      </w:r>
      <w:r>
        <w:t xml:space="preserve"> </w:t>
      </w:r>
      <w:r>
        <w:rPr>
          <w:bCs/>
          <w:b/>
        </w:rPr>
        <w:t xml:space="preserve">user-defined log bucket</w:t>
      </w:r>
      <w:r>
        <w:t xml:space="preserve"> </w:t>
      </w:r>
      <w:r>
        <w:t xml:space="preserve">in the logging project, and a</w:t>
      </w:r>
      <w:r>
        <w:t xml:space="preserve"> </w:t>
      </w:r>
      <w:r>
        <w:rPr>
          <w:bCs/>
          <w:b/>
        </w:rPr>
        <w:t xml:space="preserve">sink</w:t>
      </w:r>
      <w:r>
        <w:t xml:space="preserve"> </w:t>
      </w:r>
      <w:r>
        <w:t xml:space="preserve">— a rule that copies logs into it — set at the folder so it captures all nine projects at once.</w:t>
      </w:r>
    </w:p>
    <w:bookmarkEnd w:id="57"/>
    <w:bookmarkStart w:id="58" w:name="do-this-create-the-log-bucket"/>
    <w:p>
      <w:pPr>
        <w:pStyle w:val="Heading2"/>
      </w:pPr>
      <w:r>
        <w:t xml:space="preserve">5.2 Do this — create the log bucket</w:t>
      </w:r>
    </w:p>
    <w:p>
      <w:pPr>
        <w:pStyle w:val="FirstParagraph"/>
      </w:pPr>
      <w:r>
        <w:rPr>
          <w:bCs/>
          <w:b/>
        </w:rPr>
        <w:t xml:space="preserve">Where:</w:t>
      </w:r>
      <w:r>
        <w:t xml:space="preserve"> </w:t>
      </w:r>
      <w:r>
        <w:t xml:space="preserve">switch to</w:t>
      </w:r>
      <w:r>
        <w:t xml:space="preserve"> </w:t>
      </w:r>
      <w:r>
        <w:rPr>
          <w:rStyle w:val="VerbatimChar"/>
        </w:rPr>
        <w:t xml:space="preserve">gclt-aicoe-dev-auditlogs</w:t>
      </w:r>
      <w:r>
        <w:t xml:space="preserve">. Search for</w:t>
      </w:r>
      <w:r>
        <w:t xml:space="preserve"> </w:t>
      </w:r>
      <w:r>
        <w:rPr>
          <w:bCs/>
          <w:b/>
        </w:rPr>
        <w:t xml:space="preserve">Logs Storage</w:t>
      </w:r>
      <w:r>
        <w:t xml:space="preserve">, or navigation menu →</w:t>
      </w:r>
      <w:r>
        <w:t xml:space="preserve"> </w:t>
      </w:r>
      <w:r>
        <w:rPr>
          <w:bCs/>
          <w:b/>
        </w:rPr>
        <w:t xml:space="preserve">Logging</w:t>
      </w:r>
      <w:r>
        <w:t xml:space="preserve"> </w:t>
      </w:r>
      <w:r>
        <w:t xml:space="preserve">→</w:t>
      </w:r>
      <w:r>
        <w:t xml:space="preserve"> </w:t>
      </w:r>
      <w:r>
        <w:rPr>
          <w:bCs/>
          <w:b/>
        </w:rPr>
        <w:t xml:space="preserve">Logs Storage</w:t>
      </w:r>
      <w:r>
        <w:t xml:space="preserve">. Click</w:t>
      </w:r>
      <w:r>
        <w:t xml:space="preserve"> </w:t>
      </w:r>
      <w:r>
        <w:rPr>
          <w:bCs/>
          <w:b/>
        </w:rPr>
        <w:t xml:space="preserve">CREATE LOG BUCKET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aicoe-dev-logs-400d</w:t>
            </w:r>
          </w:p>
        </w:tc>
      </w:tr>
      <w:tr>
        <w:tc>
          <w:tcPr/>
          <w:p>
            <w:pPr>
              <w:pStyle w:val="Compact"/>
              <w:jc w:val="left"/>
            </w:pPr>
            <w:r>
              <w:t xml:space="preserve">Description</w:t>
            </w:r>
          </w:p>
        </w:tc>
        <w:tc>
          <w:tcPr/>
          <w:p>
            <w:pPr>
              <w:pStyle w:val="Compact"/>
              <w:jc w:val="left"/>
            </w:pPr>
            <w:r>
              <w:t xml:space="preserve">Central 400-day retention for AI CoE dev</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Retention</w:t>
            </w:r>
          </w:p>
        </w:tc>
        <w:tc>
          <w:tcPr/>
          <w:p>
            <w:pPr>
              <w:pStyle w:val="Compact"/>
              <w:jc w:val="left"/>
            </w:pPr>
            <w:r>
              <w:rPr>
                <w:rStyle w:val="VerbatimChar"/>
              </w:rPr>
              <w:t xml:space="preserve">400</w:t>
            </w:r>
            <w:r>
              <w:t xml:space="preserve"> </w:t>
            </w:r>
            <w:r>
              <w:t xml:space="preserve">days</w:t>
            </w:r>
          </w:p>
        </w:tc>
      </w:tr>
      <w:tr>
        <w:tc>
          <w:tcPr/>
          <w:p>
            <w:pPr>
              <w:pStyle w:val="Compact"/>
              <w:jc w:val="left"/>
            </w:pPr>
            <w:r>
              <w:t xml:space="preserve">Use customer-managed encryption key</w:t>
            </w:r>
          </w:p>
        </w:tc>
        <w:tc>
          <w:tcPr/>
          <w:p>
            <w:pPr>
              <w:pStyle w:val="Compact"/>
              <w:jc w:val="left"/>
            </w:pPr>
            <w:r>
              <w:t xml:space="preserve">tick, then select</w:t>
            </w:r>
            <w:r>
              <w:t xml:space="preserve"> </w:t>
            </w:r>
            <w:r>
              <w:rPr>
                <w:rStyle w:val="VerbatimChar"/>
              </w:rPr>
              <w:t xml:space="preserve">logs/log-bucket</w:t>
            </w:r>
          </w:p>
        </w:tc>
      </w:tr>
      <w:tr>
        <w:tc>
          <w:tcPr/>
          <w:p>
            <w:pPr>
              <w:pStyle w:val="Compact"/>
              <w:jc w:val="left"/>
            </w:pPr>
            <w:r>
              <w:t xml:space="preserve">Upgrade to use Log Analytics</w:t>
            </w:r>
          </w:p>
        </w:tc>
        <w:tc>
          <w:tcPr/>
          <w:p>
            <w:pPr>
              <w:pStyle w:val="Compact"/>
              <w:jc w:val="left"/>
            </w:pPr>
            <w:r>
              <w:rPr>
                <w:bCs/>
                <w:b/>
              </w:rPr>
              <w:t xml:space="preserve">tick</w:t>
            </w:r>
          </w:p>
        </w:tc>
      </w:tr>
      <w:tr>
        <w:tc>
          <w:tcPr/>
          <w:p>
            <w:pPr>
              <w:pStyle w:val="Compact"/>
              <w:jc w:val="left"/>
            </w:pPr>
            <w:r>
              <w:t xml:space="preserve">Create a linked BigQuery dataset</w:t>
            </w:r>
          </w:p>
        </w:tc>
        <w:tc>
          <w:tcPr/>
          <w:p>
            <w:pPr>
              <w:pStyle w:val="Compact"/>
              <w:jc w:val="left"/>
            </w:pPr>
            <w:r>
              <w:rPr>
                <w:bCs/>
                <w:b/>
              </w:rPr>
              <w:t xml:space="preserve">tick</w:t>
            </w:r>
            <w:r>
              <w:t xml:space="preserve">, name it</w:t>
            </w:r>
            <w:r>
              <w:t xml:space="preserve"> </w:t>
            </w:r>
            <w:r>
              <w:rPr>
                <w:rStyle w:val="VerbatimChar"/>
              </w:rPr>
              <w:t xml:space="preserve">aicoe_dev_logs</w:t>
            </w:r>
          </w:p>
        </w:tc>
      </w:tr>
    </w:tbl>
    <w:p>
      <w:pPr>
        <w:pStyle w:val="BodyText"/>
      </w:pPr>
      <w:r>
        <w:t xml:space="preserve">Then</w:t>
      </w:r>
      <w:r>
        <w:t xml:space="preserve"> </w:t>
      </w:r>
      <w:r>
        <w:rPr>
          <w:bCs/>
          <w:b/>
        </w:rPr>
        <w:t xml:space="preserve">Create bucket</w:t>
      </w:r>
      <w:r>
        <w:t xml:space="preserve">.</w:t>
      </w:r>
    </w:p>
    <w:bookmarkEnd w:id="58"/>
    <w:bookmarkStart w:id="59" w:name="check-it-worked-4"/>
    <w:p>
      <w:pPr>
        <w:pStyle w:val="Heading2"/>
      </w:pPr>
      <w:r>
        <w:t xml:space="preserve">5.3 Check it worked</w:t>
      </w:r>
    </w:p>
    <w:p>
      <w:pPr>
        <w:pStyle w:val="FirstParagraph"/>
      </w:pPr>
      <w:r>
        <w:t xml:space="preserve">The bucket appears in the list showing 400 days and a key icon. Under</w:t>
      </w:r>
      <w:r>
        <w:t xml:space="preserve"> </w:t>
      </w:r>
      <w:r>
        <w:rPr>
          <w:bCs/>
          <w:b/>
        </w:rPr>
        <w:t xml:space="preserve">Logging</w:t>
      </w:r>
      <w:r>
        <w:t xml:space="preserve"> </w:t>
      </w:r>
      <w:r>
        <w:t xml:space="preserve">→</w:t>
      </w:r>
      <w:r>
        <w:t xml:space="preserve"> </w:t>
      </w:r>
      <w:r>
        <w:rPr>
          <w:bCs/>
          <w:b/>
        </w:rPr>
        <w:t xml:space="preserve">Log Analytics</w:t>
      </w:r>
      <w:r>
        <w:t xml:space="preserve"> </w:t>
      </w:r>
      <w:r>
        <w:t xml:space="preserve">the bucket is listed and queryable.</w:t>
      </w:r>
    </w:p>
    <w:bookmarkEnd w:id="59"/>
    <w:bookmarkStart w:id="60" w:name="watch-out-4"/>
    <w:p>
      <w:pPr>
        <w:pStyle w:val="Heading2"/>
      </w:pPr>
      <w:r>
        <w:t xml:space="preserve">5.4 Watch out</w:t>
      </w:r>
    </w:p>
    <w:p>
      <w:pPr>
        <w:numPr>
          <w:ilvl w:val="0"/>
          <w:numId w:val="1004"/>
        </w:numPr>
        <w:pStyle w:val="Compact"/>
      </w:pPr>
      <w:r>
        <w:rPr>
          <w:bCs/>
          <w:b/>
        </w:rPr>
        <w:t xml:space="preserve">Tick Log Analytics now.</w:t>
      </w:r>
      <w:r>
        <w:t xml:space="preserve"> </w:t>
      </w:r>
      <w:r>
        <w:t xml:space="preserve">It gives you SQL access to the logs without a second copy in BigQuery, which would be a second storage bill. The linked dataset can only be created at the same time as the bucket</w:t>
      </w:r>
      <w:r>
        <w:t xml:space="preserve"> </w:t>
      </w:r>
      <w:r>
        <w:rPr>
          <w:bCs/>
          <w:b/>
        </w:rPr>
        <w:t xml:space="preserve">through the console</w:t>
      </w:r>
      <w:r>
        <w:t xml:space="preserve"> </w:t>
      </w:r>
      <w:r>
        <w:t xml:space="preserve">— you are in the right place to do it, so do it.</w:t>
      </w:r>
    </w:p>
    <w:p>
      <w:pPr>
        <w:numPr>
          <w:ilvl w:val="0"/>
          <w:numId w:val="1004"/>
        </w:numPr>
        <w:pStyle w:val="Compact"/>
      </w:pPr>
      <w:r>
        <w:rPr>
          <w:bCs/>
          <w:b/>
        </w:rPr>
        <w:t xml:space="preserve">Do not tick any</w:t>
      </w:r>
      <w:r>
        <w:rPr>
          <w:bCs/>
          <w:b/>
        </w:rPr>
        <w:t xml:space="preserve"> </w:t>
      </w:r>
      <w:r>
        <w:rPr>
          <w:bCs/>
          <w:b/>
        </w:rPr>
        <w:t xml:space="preserve">“</w:t>
      </w:r>
      <w:r>
        <w:rPr>
          <w:bCs/>
          <w:b/>
        </w:rPr>
        <w:t xml:space="preserve">lock</w:t>
      </w:r>
      <w:r>
        <w:rPr>
          <w:bCs/>
          <w:b/>
        </w:rPr>
        <w:t xml:space="preserve">”</w:t>
      </w:r>
      <w:r>
        <w:rPr>
          <w:bCs/>
          <w:b/>
        </w:rPr>
        <w:t xml:space="preserve"> </w:t>
      </w:r>
      <w:r>
        <w:rPr>
          <w:bCs/>
          <w:b/>
        </w:rPr>
        <w:t xml:space="preserve">option.</w:t>
      </w:r>
      <w:r>
        <w:t xml:space="preserve"> </w:t>
      </w:r>
      <w:r>
        <w:t xml:space="preserve">Locking a log bucket is irreversible: you cannot shorten retention afterwards</w:t>
      </w:r>
      <w:r>
        <w:t xml:space="preserve"> </w:t>
      </w:r>
      <w:r>
        <w:rPr>
          <w:iCs/>
          <w:i/>
        </w:rPr>
        <w:t xml:space="preserve">and</w:t>
      </w:r>
      <w:r>
        <w:t xml:space="preserve"> </w:t>
      </w:r>
      <w:r>
        <w:t xml:space="preserve">cannot delete the bucket until every entry inside it is 400 days old. In a dev environment that is a bucket you are stuck with for over a year. Lock in production, where tamper-resistance matters more.</w:t>
      </w:r>
    </w:p>
    <w:bookmarkEnd w:id="60"/>
    <w:bookmarkStart w:id="61" w:name="do-this-the-folder-sink-to-your-bucket"/>
    <w:p>
      <w:pPr>
        <w:pStyle w:val="Heading2"/>
      </w:pPr>
      <w:r>
        <w:t xml:space="preserve">5.5 Do this — the folder sink to your bucket</w:t>
      </w:r>
    </w:p>
    <w:p>
      <w:pPr>
        <w:pStyle w:val="FirstParagraph"/>
      </w:pPr>
      <w:r>
        <w:rPr>
          <w:bCs/>
          <w:b/>
        </w:rPr>
        <w:t xml:space="preserve">Where:</w:t>
      </w:r>
      <w:r>
        <w:t xml:space="preserve"> </w:t>
      </w:r>
      <w:r>
        <w:t xml:space="preserve">stay in</w:t>
      </w:r>
      <w:r>
        <w:t xml:space="preserve"> </w:t>
      </w:r>
      <w:r>
        <w:rPr>
          <w:bCs/>
          <w:b/>
        </w:rPr>
        <w:t xml:space="preserve">Logging</w:t>
      </w:r>
      <w:r>
        <w:t xml:space="preserve">, go to</w:t>
      </w:r>
      <w:r>
        <w:t xml:space="preserve"> </w:t>
      </w:r>
      <w:r>
        <w:rPr>
          <w:bCs/>
          <w:b/>
        </w:rPr>
        <w:t xml:space="preserve">Log Router</w:t>
      </w:r>
      <w:r>
        <w:t xml:space="preserve">. Change the resource picker at the top to the</w:t>
      </w:r>
      <w:r>
        <w:t xml:space="preserve"> </w:t>
      </w:r>
      <w:r>
        <w:rPr>
          <w:rStyle w:val="VerbatimChar"/>
          <w:bCs/>
          <w:b/>
        </w:rPr>
        <w:t xml:space="preserve">AI COE</w:t>
      </w:r>
      <w:r>
        <w:rPr>
          <w:bCs/>
          <w:b/>
        </w:rPr>
        <w:t xml:space="preserve"> </w:t>
      </w:r>
      <w:r>
        <w:rPr>
          <w:bCs/>
          <w:b/>
        </w:rPr>
        <w:t xml:space="preserve">folder</w:t>
      </w:r>
      <w:r>
        <w:t xml:space="preserve">. Click</w:t>
      </w:r>
      <w:r>
        <w:t xml:space="preserve"> </w:t>
      </w:r>
      <w:r>
        <w:rPr>
          <w:bCs/>
          <w:b/>
        </w:rPr>
        <w:t xml:space="preserve">CREATE SINK</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Sink name</w:t>
            </w:r>
          </w:p>
        </w:tc>
        <w:tc>
          <w:tcPr/>
          <w:p>
            <w:pPr>
              <w:pStyle w:val="Compact"/>
              <w:jc w:val="left"/>
            </w:pPr>
            <w:r>
              <w:rPr>
                <w:rStyle w:val="VerbatimChar"/>
              </w:rPr>
              <w:t xml:space="preserve">aicoe-400d</w:t>
            </w:r>
          </w:p>
        </w:tc>
      </w:tr>
      <w:tr>
        <w:tc>
          <w:tcPr/>
          <w:p>
            <w:pPr>
              <w:pStyle w:val="Compact"/>
              <w:jc w:val="left"/>
            </w:pPr>
            <w:r>
              <w:t xml:space="preserve">Sink destination</w:t>
            </w:r>
          </w:p>
        </w:tc>
        <w:tc>
          <w:tcPr/>
          <w:p>
            <w:pPr>
              <w:pStyle w:val="Compact"/>
              <w:jc w:val="left"/>
            </w:pPr>
            <w:r>
              <w:t xml:space="preserve">Cloud Logging bucket</w:t>
            </w:r>
          </w:p>
        </w:tc>
      </w:tr>
      <w:tr>
        <w:tc>
          <w:tcPr/>
          <w:p>
            <w:pPr>
              <w:pStyle w:val="Compact"/>
              <w:jc w:val="left"/>
            </w:pPr>
            <w:r>
              <w:t xml:space="preserve">Select bucket</w:t>
            </w:r>
          </w:p>
        </w:tc>
        <w:tc>
          <w:tcPr/>
          <w:p>
            <w:pPr>
              <w:pStyle w:val="Compact"/>
              <w:jc w:val="left"/>
            </w:pPr>
            <w:r>
              <w:t xml:space="preserve">browse to</w:t>
            </w:r>
            <w:r>
              <w:t xml:space="preserve"> </w:t>
            </w:r>
            <w:r>
              <w:rPr>
                <w:rStyle w:val="VerbatimChar"/>
              </w:rPr>
              <w:t xml:space="preserve">gclt-aicoe-dev-auditlogs</w:t>
            </w:r>
            <w:r>
              <w:t xml:space="preserve"> </w:t>
            </w:r>
            <w:r>
              <w:t xml:space="preserve">→</w:t>
            </w:r>
            <w:r>
              <w:t xml:space="preserve"> </w:t>
            </w:r>
            <w:r>
              <w:rPr>
                <w:rStyle w:val="VerbatimChar"/>
              </w:rPr>
              <w:t xml:space="preserve">aicoe-dev-logs-400d</w:t>
            </w:r>
          </w:p>
        </w:tc>
      </w:tr>
      <w:tr>
        <w:tc>
          <w:tcPr/>
          <w:p>
            <w:pPr>
              <w:pStyle w:val="Compact"/>
              <w:jc w:val="left"/>
            </w:pPr>
            <w:r>
              <w:t xml:space="preserve">Include logs ingested by this folder and all child resources</w:t>
            </w:r>
          </w:p>
        </w:tc>
        <w:tc>
          <w:tcPr/>
          <w:p>
            <w:pPr>
              <w:pStyle w:val="Compact"/>
              <w:jc w:val="left"/>
            </w:pPr>
            <w:r>
              <w:rPr>
                <w:bCs/>
                <w:b/>
              </w:rPr>
              <w:t xml:space="preserve">tick</w:t>
            </w:r>
            <w:r>
              <w:t xml:space="preserve"> </w:t>
            </w:r>
            <w:r>
              <w:t xml:space="preserve">— without this you only capture the folder itself, which produces nothing</w:t>
            </w:r>
          </w:p>
        </w:tc>
      </w:tr>
      <w:tr>
        <w:tc>
          <w:tcPr/>
          <w:p>
            <w:pPr>
              <w:pStyle w:val="Compact"/>
              <w:jc w:val="left"/>
            </w:pPr>
            <w:r>
              <w:t xml:space="preserve">Logs to include</w:t>
            </w:r>
          </w:p>
        </w:tc>
        <w:tc>
          <w:tcPr/>
          <w:p>
            <w:pPr>
              <w:pStyle w:val="Compact"/>
              <w:jc w:val="left"/>
            </w:pPr>
            <w:r>
              <w:t xml:space="preserve">leave empty to capture everything</w:t>
            </w:r>
          </w:p>
        </w:tc>
      </w:tr>
      <w:tr>
        <w:tc>
          <w:tcPr/>
          <w:p>
            <w:pPr>
              <w:pStyle w:val="Compact"/>
              <w:jc w:val="left"/>
            </w:pPr>
            <w:r>
              <w:t xml:space="preserve">Logs to exclude</w:t>
            </w:r>
          </w:p>
        </w:tc>
        <w:tc>
          <w:tcPr/>
          <w:p>
            <w:pPr>
              <w:pStyle w:val="Compact"/>
              <w:jc w:val="left"/>
            </w:pPr>
            <w:r>
              <w:t xml:space="preserve">add the exclusions in §5.9</w:t>
            </w:r>
          </w:p>
        </w:tc>
      </w:tr>
    </w:tbl>
    <w:p>
      <w:pPr>
        <w:pStyle w:val="BodyText"/>
      </w:pPr>
      <w:r>
        <w:t xml:space="preserve">Click</w:t>
      </w:r>
      <w:r>
        <w:t xml:space="preserve"> </w:t>
      </w:r>
      <w:r>
        <w:rPr>
          <w:bCs/>
          <w:b/>
        </w:rPr>
        <w:t xml:space="preserve">Create sink</w:t>
      </w:r>
      <w:r>
        <w:t xml:space="preserve">.</w:t>
      </w:r>
    </w:p>
    <w:bookmarkEnd w:id="61"/>
    <w:bookmarkStart w:id="62" w:name="X5ebcd83d9070cffe092c7e390693c9cf7290f2e"/>
    <w:p>
      <w:pPr>
        <w:pStyle w:val="Heading2"/>
      </w:pPr>
      <w:r>
        <w:t xml:space="preserve">5.6 Do this — grant the sink permission to write</w:t>
      </w:r>
    </w:p>
    <w:p>
      <w:pPr>
        <w:pStyle w:val="FirstParagraph"/>
      </w:pPr>
      <w:r>
        <w:t xml:space="preserve">A sink writes using its own generated identity, which does not exist until the sink does. That is why this is a separate step.</w:t>
      </w:r>
    </w:p>
    <w:p>
      <w:pPr>
        <w:numPr>
          <w:ilvl w:val="0"/>
          <w:numId w:val="1005"/>
        </w:numPr>
        <w:pStyle w:val="Compact"/>
      </w:pPr>
      <w:r>
        <w:t xml:space="preserve">In</w:t>
      </w:r>
      <w:r>
        <w:t xml:space="preserve"> </w:t>
      </w:r>
      <w:r>
        <w:rPr>
          <w:bCs/>
          <w:b/>
        </w:rPr>
        <w:t xml:space="preserve">Log Router</w:t>
      </w:r>
      <w:r>
        <w:t xml:space="preserve">, find</w:t>
      </w:r>
      <w:r>
        <w:t xml:space="preserve"> </w:t>
      </w:r>
      <w:r>
        <w:rPr>
          <w:rStyle w:val="VerbatimChar"/>
        </w:rPr>
        <w:t xml:space="preserve">aicoe-400d</w:t>
      </w:r>
      <w:r>
        <w:t xml:space="preserve">, open the three-dot menu, choose</w:t>
      </w:r>
      <w:r>
        <w:t xml:space="preserve"> </w:t>
      </w:r>
      <w:r>
        <w:rPr>
          <w:bCs/>
          <w:b/>
        </w:rPr>
        <w:t xml:space="preserve">View sink details</w:t>
      </w:r>
      <w:r>
        <w:t xml:space="preserve">.</w:t>
      </w:r>
    </w:p>
    <w:p>
      <w:pPr>
        <w:numPr>
          <w:ilvl w:val="0"/>
          <w:numId w:val="1005"/>
        </w:numPr>
        <w:pStyle w:val="Compact"/>
      </w:pPr>
      <w:r>
        <w:t xml:space="preserve">Copy the</w:t>
      </w:r>
      <w:r>
        <w:t xml:space="preserve"> </w:t>
      </w:r>
      <w:r>
        <w:rPr>
          <w:bCs/>
          <w:b/>
        </w:rPr>
        <w:t xml:space="preserve">Writer identity</w:t>
      </w:r>
      <w:r>
        <w:t xml:space="preserve"> </w:t>
      </w:r>
      <w:r>
        <w:t xml:space="preserve">— it looks like</w:t>
      </w:r>
      <w:r>
        <w:t xml:space="preserve"> </w:t>
      </w:r>
      <w:r>
        <w:rPr>
          <w:rStyle w:val="VerbatimChar"/>
        </w:rPr>
        <w:t xml:space="preserve">service-...@gcp-sa-logging.iam.gserviceaccount.com</w:t>
      </w:r>
      <w:r>
        <w:t xml:space="preserve">.</w:t>
      </w:r>
    </w:p>
    <w:p>
      <w:pPr>
        <w:numPr>
          <w:ilvl w:val="0"/>
          <w:numId w:val="1005"/>
        </w:numPr>
        <w:pStyle w:val="Compact"/>
      </w:pPr>
      <w:r>
        <w:t xml:space="preserve">Switch to project</w:t>
      </w:r>
      <w:r>
        <w:t xml:space="preserve"> </w:t>
      </w:r>
      <w:r>
        <w:rPr>
          <w:rStyle w:val="VerbatimChar"/>
        </w:rPr>
        <w:t xml:space="preserve">gclt-aicoe-dev-auditlogs</w:t>
      </w:r>
      <w:r>
        <w:t xml:space="preserve">, go to</w:t>
      </w:r>
      <w:r>
        <w:t xml:space="preserve"> </w:t>
      </w:r>
      <w:r>
        <w:rPr>
          <w:bCs/>
          <w:b/>
        </w:rPr>
        <w:t xml:space="preserve">IAM &amp; Admin</w:t>
      </w:r>
      <w:r>
        <w:t xml:space="preserve"> </w:t>
      </w:r>
      <w:r>
        <w:t xml:space="preserve">→</w:t>
      </w:r>
      <w:r>
        <w:t xml:space="preserve"> </w:t>
      </w:r>
      <w:r>
        <w:rPr>
          <w:bCs/>
          <w:b/>
        </w:rPr>
        <w:t xml:space="preserve">IAM</w:t>
      </w:r>
      <w:r>
        <w:t xml:space="preserve">, click</w:t>
      </w:r>
      <w:r>
        <w:t xml:space="preserve"> </w:t>
      </w:r>
      <w:r>
        <w:rPr>
          <w:bCs/>
          <w:b/>
        </w:rPr>
        <w:t xml:space="preserve">Grant access</w:t>
      </w:r>
      <w:r>
        <w:t xml:space="preserve">.</w:t>
      </w:r>
    </w:p>
    <w:p>
      <w:pPr>
        <w:numPr>
          <w:ilvl w:val="0"/>
          <w:numId w:val="1005"/>
        </w:numPr>
        <w:pStyle w:val="Compact"/>
      </w:pPr>
      <w:r>
        <w:t xml:space="preserve">Paste the writer identity, assign role</w:t>
      </w:r>
      <w:r>
        <w:t xml:space="preserve"> </w:t>
      </w:r>
      <w:r>
        <w:rPr>
          <w:bCs/>
          <w:b/>
        </w:rPr>
        <w:t xml:space="preserve">Logs Bucket Writer</w:t>
      </w:r>
      <w:r>
        <w:t xml:space="preserve">, save.</w:t>
      </w:r>
    </w:p>
    <w:bookmarkEnd w:id="62"/>
    <w:bookmarkStart w:id="63" w:name="X6dbc6fd8171fcd45d06e33d89a1776f861dee50"/>
    <w:p>
      <w:pPr>
        <w:pStyle w:val="Heading2"/>
      </w:pPr>
      <w:r>
        <w:t xml:space="preserve">5.7 Do this — the second sink to the enterprise logging project</w:t>
      </w:r>
    </w:p>
    <w:p>
      <w:pPr>
        <w:pStyle w:val="FirstParagraph"/>
      </w:pPr>
      <w:r>
        <w:t xml:space="preserve">Repeat §5.5 with: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Sink name</w:t>
            </w:r>
          </w:p>
        </w:tc>
        <w:tc>
          <w:tcPr/>
          <w:p>
            <w:pPr>
              <w:pStyle w:val="Compact"/>
              <w:jc w:val="left"/>
            </w:pPr>
            <w:r>
              <w:rPr>
                <w:rStyle w:val="VerbatimChar"/>
              </w:rPr>
              <w:t xml:space="preserve">aicoe-to-org</w:t>
            </w:r>
          </w:p>
        </w:tc>
      </w:tr>
      <w:tr>
        <w:tc>
          <w:tcPr/>
          <w:p>
            <w:pPr>
              <w:pStyle w:val="Compact"/>
              <w:jc w:val="left"/>
            </w:pPr>
            <w:r>
              <w:t xml:space="preserve">Destination</w:t>
            </w:r>
          </w:p>
        </w:tc>
        <w:tc>
          <w:tcPr/>
          <w:p>
            <w:pPr>
              <w:pStyle w:val="Compact"/>
              <w:jc w:val="left"/>
            </w:pPr>
            <w:r>
              <w:t xml:space="preserve">the enterprise logging project’s bucket, or whatever destination that team specifies</w:t>
            </w:r>
          </w:p>
        </w:tc>
      </w:tr>
    </w:tbl>
    <w:p>
      <w:pPr>
        <w:pStyle w:val="BodyText"/>
      </w:pPr>
      <w:r>
        <w:t xml:space="preserve">Then repeat §5.6 to grant</w:t>
      </w:r>
      <w:r>
        <w:t xml:space="preserve"> </w:t>
      </w:r>
      <w:r>
        <w:rPr>
          <w:iCs/>
          <w:i/>
        </w:rPr>
        <w:t xml:space="preserve">this</w:t>
      </w:r>
      <w:r>
        <w:t xml:space="preserve"> </w:t>
      </w:r>
      <w:r>
        <w:t xml:space="preserve">sink’s writer identity on</w:t>
      </w:r>
      <w:r>
        <w:t xml:space="preserve"> </w:t>
      </w:r>
      <w:r>
        <w:rPr>
          <w:iCs/>
          <w:i/>
        </w:rPr>
        <w:t xml:space="preserve">that</w:t>
      </w:r>
      <w:r>
        <w:t xml:space="preserve"> </w:t>
      </w:r>
      <w:r>
        <w:t xml:space="preserve">destination — you will likely need the other team to do the grant.</w:t>
      </w:r>
    </w:p>
    <w:p>
      <w:pPr>
        <w:pStyle w:val="BodyText"/>
      </w:pPr>
      <w:r>
        <w:rPr>
          <w:bCs/>
          <w:b/>
        </w:rPr>
        <w:t xml:space="preserve">Why a second sink rather than one shared:</w:t>
      </w:r>
      <w:r>
        <w:t xml:space="preserve"> </w:t>
      </w:r>
      <w:r>
        <w:t xml:space="preserve">a sink is a copy with its own filter. Keeping them separate means your 400-day requirement and their platform standard can change independently without either team breaking the other.</w:t>
      </w:r>
    </w:p>
    <w:bookmarkEnd w:id="63"/>
    <w:bookmarkStart w:id="64" w:name="do-this-the-pubsub-sink-for-sentinel"/>
    <w:p>
      <w:pPr>
        <w:pStyle w:val="Heading2"/>
      </w:pPr>
      <w:r>
        <w:t xml:space="preserve">5.8 Do this — the Pub/Sub sink for Sentinel</w:t>
      </w:r>
    </w:p>
    <w:p>
      <w:pPr>
        <w:numPr>
          <w:ilvl w:val="0"/>
          <w:numId w:val="1006"/>
        </w:numPr>
        <w:pStyle w:val="Compact"/>
      </w:pPr>
      <w:r>
        <w:t xml:space="preserve">In</w:t>
      </w:r>
      <w:r>
        <w:t xml:space="preserve"> </w:t>
      </w:r>
      <w:r>
        <w:rPr>
          <w:rStyle w:val="VerbatimChar"/>
        </w:rPr>
        <w:t xml:space="preserve">gclt-aicoe-dev-auditlogs</w:t>
      </w:r>
      <w:r>
        <w:t xml:space="preserve">, search for</w:t>
      </w:r>
      <w:r>
        <w:t xml:space="preserve"> </w:t>
      </w:r>
      <w:r>
        <w:rPr>
          <w:bCs/>
          <w:b/>
        </w:rPr>
        <w:t xml:space="preserve">Pub/Sub</w:t>
      </w:r>
      <w:r>
        <w:t xml:space="preserve">, create a topic named</w:t>
      </w:r>
      <w:r>
        <w:t xml:space="preserve"> </w:t>
      </w:r>
      <w:r>
        <w:rPr>
          <w:rStyle w:val="VerbatimChar"/>
        </w:rPr>
        <w:t xml:space="preserve">aicoe-security-logs</w:t>
      </w:r>
      <w:r>
        <w:t xml:space="preserve">.</w:t>
      </w:r>
    </w:p>
    <w:p>
      <w:pPr>
        <w:numPr>
          <w:ilvl w:val="0"/>
          <w:numId w:val="1006"/>
        </w:numPr>
        <w:pStyle w:val="Compact"/>
      </w:pPr>
      <w:r>
        <w:t xml:space="preserve">Create a third folder sink named</w:t>
      </w:r>
      <w:r>
        <w:t xml:space="preserve"> </w:t>
      </w:r>
      <w:r>
        <w:rPr>
          <w:rStyle w:val="VerbatimChar"/>
        </w:rPr>
        <w:t xml:space="preserve">aicoe-siem</w:t>
      </w:r>
      <w:r>
        <w:t xml:space="preserve">, destination</w:t>
      </w:r>
      <w:r>
        <w:t xml:space="preserve"> </w:t>
      </w:r>
      <w:r>
        <w:rPr>
          <w:bCs/>
          <w:b/>
        </w:rPr>
        <w:t xml:space="preserve">Cloud Pub/Sub topic</w:t>
      </w:r>
      <w:r>
        <w:t xml:space="preserve">, select that topic.</w:t>
      </w:r>
    </w:p>
    <w:p>
      <w:pPr>
        <w:numPr>
          <w:ilvl w:val="0"/>
          <w:numId w:val="1006"/>
        </w:numPr>
        <w:pStyle w:val="Compact"/>
      </w:pPr>
      <w:r>
        <w:t xml:space="preserve">In</w:t>
      </w:r>
      <w:r>
        <w:t xml:space="preserve"> </w:t>
      </w:r>
      <w:r>
        <w:rPr>
          <w:bCs/>
          <w:b/>
        </w:rPr>
        <w:t xml:space="preserve">Logs to include</w:t>
      </w:r>
      <w:r>
        <w:t xml:space="preserve">, paste a filter restricting it to security-relevant entries, for example:</w:t>
      </w:r>
    </w:p>
    <w:p>
      <w:pPr>
        <w:pStyle w:val="SourceCode"/>
      </w:pPr>
      <w:r>
        <w:rPr>
          <w:rStyle w:val="VerbatimChar"/>
        </w:rPr>
        <w:t xml:space="preserve">logName:"cloudaudit.googleapis.com" OR</w:t>
      </w:r>
      <w:r>
        <w:br/>
      </w:r>
      <w:r>
        <w:rPr>
          <w:rStyle w:val="VerbatimChar"/>
        </w:rPr>
        <w:t xml:space="preserve">logName:"iap.googleapis.com" OR</w:t>
      </w:r>
      <w:r>
        <w:br/>
      </w:r>
      <w:r>
        <w:rPr>
          <w:rStyle w:val="VerbatimChar"/>
        </w:rPr>
        <w:t xml:space="preserve">jsonPayload.@type:"firewall" OR</w:t>
      </w:r>
      <w:r>
        <w:br/>
      </w:r>
      <w:r>
        <w:rPr>
          <w:rStyle w:val="VerbatimChar"/>
        </w:rPr>
        <w:t xml:space="preserve">protoPayload.serviceName="apigee.googleapis.com"</w:t>
      </w:r>
    </w:p>
    <w:p>
      <w:pPr>
        <w:numPr>
          <w:ilvl w:val="0"/>
          <w:numId w:val="1007"/>
        </w:numPr>
        <w:pStyle w:val="Compact"/>
      </w:pPr>
      <w:r>
        <w:t xml:space="preserve">Grant that sink’s writer identity the role</w:t>
      </w:r>
      <w:r>
        <w:t xml:space="preserve"> </w:t>
      </w:r>
      <w:r>
        <w:rPr>
          <w:bCs/>
          <w:b/>
        </w:rPr>
        <w:t xml:space="preserve">Pub/Sub Publisher</w:t>
      </w:r>
      <w:r>
        <w:t xml:space="preserve"> </w:t>
      </w:r>
      <w:r>
        <w:t xml:space="preserve">on the topic.</w:t>
      </w:r>
    </w:p>
    <w:p>
      <w:pPr>
        <w:pStyle w:val="FirstParagraph"/>
      </w:pPr>
      <w:r>
        <w:rPr>
          <w:bCs/>
          <w:b/>
        </w:rPr>
        <w:t xml:space="preserve">Why filter:</w:t>
      </w:r>
      <w:r>
        <w:t xml:space="preserve"> </w:t>
      </w:r>
      <w:r>
        <w:t xml:space="preserve">SIEM products usually charge by volume ingested. Sending Cloud Run debug logs to Sentinel is expensive and useless.</w:t>
      </w:r>
    </w:p>
    <w:bookmarkEnd w:id="64"/>
    <w:bookmarkStart w:id="65" w:name="do-this-stop-paying-twice"/>
    <w:p>
      <w:pPr>
        <w:pStyle w:val="Heading2"/>
      </w:pPr>
      <w:r>
        <w:t xml:space="preserve">5.9 Do this — stop paying twice</w:t>
      </w:r>
    </w:p>
    <w:p>
      <w:pPr>
        <w:pStyle w:val="FirstParagraph"/>
      </w:pPr>
      <w:r>
        <w:t xml:space="preserve">If a log entry lands in both</w:t>
      </w:r>
      <w:r>
        <w:t xml:space="preserve"> </w:t>
      </w:r>
      <w:r>
        <w:rPr>
          <w:rStyle w:val="VerbatimChar"/>
        </w:rPr>
        <w:t xml:space="preserve">_Default</w:t>
      </w:r>
      <w:r>
        <w:t xml:space="preserve"> </w:t>
      </w:r>
      <w:r>
        <w:t xml:space="preserve">and your new bucket, and both keep it longer than 30 days, you are billed for two copies. Since the central bucket now holds everything,</w:t>
      </w:r>
      <w:r>
        <w:t xml:space="preserve"> </w:t>
      </w:r>
      <w:r>
        <w:rPr>
          <w:rStyle w:val="VerbatimChar"/>
        </w:rPr>
        <w:t xml:space="preserve">_Default</w:t>
      </w:r>
      <w:r>
        <w:t xml:space="preserve"> </w:t>
      </w:r>
      <w:r>
        <w:t xml:space="preserve">does not need to.</w:t>
      </w:r>
    </w:p>
    <w:p>
      <w:pPr>
        <w:pStyle w:val="BodyText"/>
      </w:pPr>
      <w:r>
        <w:t xml:space="preserve">For</w:t>
      </w:r>
      <w:r>
        <w:t xml:space="preserve"> </w:t>
      </w:r>
      <w:r>
        <w:rPr>
          <w:bCs/>
          <w:b/>
        </w:rPr>
        <w:t xml:space="preserve">each of the nine projects</w:t>
      </w:r>
      <w:r>
        <w:t xml:space="preserve">: switch to the project,</w:t>
      </w:r>
      <w:r>
        <w:t xml:space="preserve"> </w:t>
      </w:r>
      <w:r>
        <w:rPr>
          <w:bCs/>
          <w:b/>
        </w:rPr>
        <w:t xml:space="preserve">Logging</w:t>
      </w:r>
      <w:r>
        <w:t xml:space="preserve"> </w:t>
      </w:r>
      <w:r>
        <w:t xml:space="preserve">→</w:t>
      </w:r>
      <w:r>
        <w:t xml:space="preserve"> </w:t>
      </w:r>
      <w:r>
        <w:rPr>
          <w:bCs/>
          <w:b/>
        </w:rPr>
        <w:t xml:space="preserve">Log Router</w:t>
      </w:r>
      <w:r>
        <w:t xml:space="preserve">, click the</w:t>
      </w:r>
      <w:r>
        <w:t xml:space="preserve"> </w:t>
      </w:r>
      <w:r>
        <w:rPr>
          <w:rStyle w:val="VerbatimChar"/>
        </w:rPr>
        <w:t xml:space="preserve">_Default</w:t>
      </w:r>
      <w:r>
        <w:t xml:space="preserve"> </w:t>
      </w:r>
      <w:r>
        <w:t xml:space="preserve">sink,</w:t>
      </w:r>
      <w:r>
        <w:t xml:space="preserve"> </w:t>
      </w:r>
      <w:r>
        <w:rPr>
          <w:bCs/>
          <w:b/>
        </w:rPr>
        <w:t xml:space="preserve">Edit sink</w:t>
      </w:r>
      <w:r>
        <w:t xml:space="preserve">, and under</w:t>
      </w:r>
      <w:r>
        <w:t xml:space="preserve"> </w:t>
      </w:r>
      <w:r>
        <w:rPr>
          <w:bCs/>
          <w:b/>
        </w:rPr>
        <w:t xml:space="preserve">Logs to exclude</w:t>
      </w:r>
      <w:r>
        <w:t xml:space="preserve"> </w:t>
      </w:r>
      <w:r>
        <w:t xml:space="preserve">add an exclusion. The simplest safe choice is to leave</w:t>
      </w:r>
      <w:r>
        <w:t xml:space="preserve"> </w:t>
      </w:r>
      <w:r>
        <w:rPr>
          <w:rStyle w:val="VerbatimChar"/>
        </w:rPr>
        <w:t xml:space="preserve">_Default</w:t>
      </w:r>
      <w:r>
        <w:t xml:space="preserve"> </w:t>
      </w:r>
      <w:r>
        <w:t xml:space="preserve">at its 30-day retention and exclude high-volume categories: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Exclusion name</w:t>
            </w:r>
          </w:p>
        </w:tc>
        <w:tc>
          <w:tcPr/>
          <w:p>
            <w:pPr>
              <w:pStyle w:val="Compact"/>
              <w:jc w:val="left"/>
            </w:pPr>
            <w:r>
              <w:t xml:space="preserve">Filter</w:t>
            </w:r>
          </w:p>
        </w:tc>
      </w:tr>
      <w:tr>
        <w:tc>
          <w:tcPr/>
          <w:p>
            <w:pPr>
              <w:pStyle w:val="Compact"/>
              <w:jc w:val="left"/>
            </w:pPr>
            <w:r>
              <w:rPr>
                <w:rStyle w:val="VerbatimChar"/>
              </w:rPr>
              <w:t xml:space="preserve">exclude-flow-logs</w:t>
            </w:r>
          </w:p>
        </w:tc>
        <w:tc>
          <w:tcPr/>
          <w:p>
            <w:pPr>
              <w:pStyle w:val="Compact"/>
              <w:jc w:val="left"/>
            </w:pPr>
            <w:r>
              <w:rPr>
                <w:rStyle w:val="VerbatimChar"/>
              </w:rPr>
              <w:t xml:space="preserve">logName:"compute.googleapis.com%2Fvpc_flows"</w:t>
            </w:r>
          </w:p>
        </w:tc>
      </w:tr>
      <w:tr>
        <w:tc>
          <w:tcPr/>
          <w:p>
            <w:pPr>
              <w:pStyle w:val="Compact"/>
              <w:jc w:val="left"/>
            </w:pPr>
            <w:r>
              <w:rPr>
                <w:rStyle w:val="VerbatimChar"/>
              </w:rPr>
              <w:t xml:space="preserve">exclude-lb-health</w:t>
            </w:r>
          </w:p>
        </w:tc>
        <w:tc>
          <w:tcPr/>
          <w:p>
            <w:pPr>
              <w:pStyle w:val="Compact"/>
              <w:jc w:val="left"/>
            </w:pPr>
            <w:r>
              <w:rPr>
                <w:rStyle w:val="VerbatimChar"/>
              </w:rPr>
              <w:t xml:space="preserve">resource.type="http_load_balancer" AND httpRequest.userAgent:"GoogleHC"</w:t>
            </w:r>
          </w:p>
        </w:tc>
      </w:tr>
    </w:tbl>
    <w:p>
      <w:pPr>
        <w:pStyle w:val="BodyText"/>
      </w:pPr>
      <w:r>
        <w:t xml:space="preserve">Leave</w:t>
      </w:r>
      <w:r>
        <w:t xml:space="preserve"> </w:t>
      </w:r>
      <w:r>
        <w:rPr>
          <w:rStyle w:val="VerbatimChar"/>
        </w:rPr>
        <w:t xml:space="preserve">_Required</w:t>
      </w:r>
      <w:r>
        <w:t xml:space="preserve"> </w:t>
      </w:r>
      <w:r>
        <w:t xml:space="preserve">completely alone. It is fixed, local, and not charged, so its 400-day copy is free.</w:t>
      </w:r>
    </w:p>
    <w:bookmarkEnd w:id="65"/>
    <w:bookmarkStart w:id="66" w:name="do-this-turn-on-data-access-audit-logs"/>
    <w:p>
      <w:pPr>
        <w:pStyle w:val="Heading2"/>
      </w:pPr>
      <w:r>
        <w:t xml:space="preserve">5.10 Do this — turn on Data Access audit logs</w:t>
      </w:r>
    </w:p>
    <w:p>
      <w:pPr>
        <w:pStyle w:val="FirstParagraph"/>
      </w:pPr>
      <w:r>
        <w:t xml:space="preserve">By default Google records</w:t>
      </w:r>
      <w:r>
        <w:t xml:space="preserve"> </w:t>
      </w:r>
      <w:r>
        <w:rPr>
          <w:iCs/>
          <w:i/>
        </w:rPr>
        <w:t xml:space="preserve">who changed configuration</w:t>
      </w:r>
      <w:r>
        <w:t xml:space="preserve"> </w:t>
      </w:r>
      <w:r>
        <w:t xml:space="preserve">but not</w:t>
      </w:r>
      <w:r>
        <w:t xml:space="preserve"> </w:t>
      </w:r>
      <w:r>
        <w:rPr>
          <w:iCs/>
          <w:i/>
        </w:rPr>
        <w:t xml:space="preserve">who read data</w:t>
      </w:r>
      <w:r>
        <w:t xml:space="preserve">. Without turning this on you will have no record of which user reached which document — which is exactly what your business-unit attribution depends on.</w:t>
      </w:r>
    </w:p>
    <w:p>
      <w:pPr>
        <w:pStyle w:val="BodyText"/>
      </w:pPr>
      <w:r>
        <w:rPr>
          <w:bCs/>
          <w:b/>
        </w:rPr>
        <w:t xml:space="preserve">Where:</w:t>
      </w:r>
      <w:r>
        <w:t xml:space="preserve"> </w:t>
      </w:r>
      <w:r>
        <w:rPr>
          <w:bCs/>
          <w:b/>
        </w:rPr>
        <w:t xml:space="preserve">IAM &amp; Admin</w:t>
      </w:r>
      <w:r>
        <w:t xml:space="preserve"> </w:t>
      </w:r>
      <w:r>
        <w:t xml:space="preserve">→</w:t>
      </w:r>
      <w:r>
        <w:t xml:space="preserve"> </w:t>
      </w:r>
      <w:r>
        <w:rPr>
          <w:bCs/>
          <w:b/>
        </w:rPr>
        <w:t xml:space="preserve">Audit Logs</w:t>
      </w:r>
      <w:r>
        <w:t xml:space="preserve">. Set the resource picker to the</w:t>
      </w:r>
      <w:r>
        <w:t xml:space="preserve"> </w:t>
      </w:r>
      <w:r>
        <w:rPr>
          <w:rStyle w:val="VerbatimChar"/>
          <w:bCs/>
          <w:b/>
        </w:rPr>
        <w:t xml:space="preserve">AI COE</w:t>
      </w:r>
      <w:r>
        <w:rPr>
          <w:bCs/>
          <w:b/>
        </w:rPr>
        <w:t xml:space="preserve"> </w:t>
      </w:r>
      <w:r>
        <w:rPr>
          <w:bCs/>
          <w:b/>
        </w:rPr>
        <w:t xml:space="preserve">folder</w:t>
      </w:r>
      <w:r>
        <w:t xml:space="preserve">.</w:t>
      </w:r>
    </w:p>
    <w:p>
      <w:pPr>
        <w:pStyle w:val="BodyText"/>
      </w:pPr>
      <w:r>
        <w:t xml:space="preserve">For each service below, tick</w:t>
      </w:r>
      <w:r>
        <w:t xml:space="preserve"> </w:t>
      </w:r>
      <w:r>
        <w:rPr>
          <w:bCs/>
          <w:b/>
        </w:rPr>
        <w:t xml:space="preserve">Admin Read</w:t>
      </w:r>
      <w:r>
        <w:t xml:space="preserve">,</w:t>
      </w:r>
      <w:r>
        <w:t xml:space="preserve"> </w:t>
      </w:r>
      <w:r>
        <w:rPr>
          <w:bCs/>
          <w:b/>
        </w:rPr>
        <w:t xml:space="preserve">Data Read</w:t>
      </w:r>
      <w:r>
        <w:t xml:space="preserve"> </w:t>
      </w:r>
      <w:r>
        <w:t xml:space="preserve">and</w:t>
      </w:r>
      <w:r>
        <w:t xml:space="preserve"> </w:t>
      </w:r>
      <w:r>
        <w:rPr>
          <w:bCs/>
          <w:b/>
        </w:rPr>
        <w:t xml:space="preserve">Data Write</w:t>
      </w:r>
      <w:r>
        <w:t xml:space="preserve">, then</w:t>
      </w:r>
      <w:r>
        <w:t xml:space="preserve"> </w:t>
      </w:r>
      <w:r>
        <w:rPr>
          <w:bCs/>
          <w:b/>
        </w:rPr>
        <w:t xml:space="preserve">Save</w:t>
      </w:r>
      <w:r>
        <w:t xml:space="preserve">:</w:t>
      </w:r>
    </w:p>
    <w:p>
      <w:pPr>
        <w:pStyle w:val="BodyText"/>
      </w:pPr>
      <w:r>
        <w:rPr>
          <w:rStyle w:val="VerbatimChar"/>
        </w:rPr>
        <w:t xml:space="preserve">Identity-Aware Proxy</w:t>
      </w:r>
      <w:r>
        <w:t xml:space="preserve">,</w:t>
      </w:r>
      <w:r>
        <w:t xml:space="preserve"> </w:t>
      </w:r>
      <w:r>
        <w:rPr>
          <w:rStyle w:val="VerbatimChar"/>
        </w:rPr>
        <w:t xml:space="preserve">Cloud Storage</w:t>
      </w:r>
      <w:r>
        <w:t xml:space="preserve">,</w:t>
      </w:r>
      <w:r>
        <w:t xml:space="preserve"> </w:t>
      </w:r>
      <w:r>
        <w:rPr>
          <w:rStyle w:val="VerbatimChar"/>
        </w:rPr>
        <w:t xml:space="preserve">BigQuery</w:t>
      </w:r>
      <w:r>
        <w:t xml:space="preserve">,</w:t>
      </w:r>
      <w:r>
        <w:t xml:space="preserve"> </w:t>
      </w:r>
      <w:r>
        <w:rPr>
          <w:rStyle w:val="VerbatimChar"/>
        </w:rPr>
        <w:t xml:space="preserve">Vertex AI</w:t>
      </w:r>
      <w:r>
        <w:t xml:space="preserve">,</w:t>
      </w:r>
      <w:r>
        <w:t xml:space="preserve"> </w:t>
      </w:r>
      <w:r>
        <w:rPr>
          <w:rStyle w:val="VerbatimChar"/>
        </w:rPr>
        <w:t xml:space="preserve">Secret Manager</w:t>
      </w:r>
      <w:r>
        <w:t xml:space="preserve">,</w:t>
      </w:r>
      <w:r>
        <w:t xml:space="preserve"> </w:t>
      </w:r>
      <w:r>
        <w:rPr>
          <w:rStyle w:val="VerbatimChar"/>
        </w:rPr>
        <w:t xml:space="preserve">Cloud KMS</w:t>
      </w:r>
      <w:r>
        <w:t xml:space="preserve">,</w:t>
      </w:r>
      <w:r>
        <w:t xml:space="preserve"> </w:t>
      </w:r>
      <w:r>
        <w:rPr>
          <w:rStyle w:val="VerbatimChar"/>
        </w:rPr>
        <w:t xml:space="preserve">Cloud Run</w:t>
      </w:r>
      <w:r>
        <w:t xml:space="preserve">.</w:t>
      </w:r>
    </w:p>
    <w:bookmarkEnd w:id="66"/>
    <w:bookmarkStart w:id="67" w:name="watch-out-5"/>
    <w:p>
      <w:pPr>
        <w:pStyle w:val="Heading2"/>
      </w:pPr>
      <w:r>
        <w:t xml:space="preserve">5.11 Watch out</w:t>
      </w:r>
    </w:p>
    <w:p>
      <w:pPr>
        <w:pStyle w:val="FirstParagraph"/>
      </w:pPr>
      <w:r>
        <w:t xml:space="preserve">Data Access logs are high volume, especially Cloud Storage. This is the main driver of your logging bill. Turn them on because you need them, then use §5.9 exclusions and flow-log sampling in Part 6 to control the total.</w:t>
      </w:r>
    </w:p>
    <w:p>
      <w:r>
        <w:br w:type="page"/>
      </w:r>
    </w:p>
    <w:bookmarkEnd w:id="67"/>
    <w:bookmarkEnd w:id="68"/>
    <w:bookmarkStart w:id="80" w:name="X269f44653d4d3370343d6a3b63b1460973d9231"/>
    <w:p>
      <w:pPr>
        <w:pStyle w:val="Heading1"/>
      </w:pPr>
      <w:r>
        <w:t xml:space="preserve">Part 6 — Network: Shared VPC, subnets, firewall, DNS</w:t>
      </w:r>
    </w:p>
    <w:bookmarkStart w:id="69" w:name="what-this-is-5"/>
    <w:p>
      <w:pPr>
        <w:pStyle w:val="Heading2"/>
      </w:pPr>
      <w:r>
        <w:t xml:space="preserve">6.1 What this is</w:t>
      </w:r>
    </w:p>
    <w:p>
      <w:pPr>
        <w:pStyle w:val="FirstParagraph"/>
      </w:pPr>
      <w:r>
        <w:t xml:space="preserve">A</w:t>
      </w:r>
      <w:r>
        <w:t xml:space="preserve"> </w:t>
      </w:r>
      <w:r>
        <w:rPr>
          <w:bCs/>
          <w:b/>
        </w:rPr>
        <w:t xml:space="preserve">VPC</w:t>
      </w:r>
      <w:r>
        <w:t xml:space="preserve"> </w:t>
      </w:r>
      <w:r>
        <w:t xml:space="preserve">is your private network in Google Cloud.</w:t>
      </w:r>
      <w:r>
        <w:t xml:space="preserve"> </w:t>
      </w:r>
      <w:r>
        <w:rPr>
          <w:bCs/>
          <w:b/>
        </w:rPr>
        <w:t xml:space="preserve">Shared VPC</w:t>
      </w:r>
      <w:r>
        <w:t xml:space="preserve"> </w:t>
      </w:r>
      <w:r>
        <w:t xml:space="preserve">means one project owns the network (the</w:t>
      </w:r>
      <w:r>
        <w:t xml:space="preserve"> </w:t>
      </w:r>
      <w:r>
        <w:t xml:space="preserve">“</w:t>
      </w:r>
      <w:r>
        <w:t xml:space="preserve">host</w:t>
      </w:r>
      <w:r>
        <w:t xml:space="preserve">”</w:t>
      </w:r>
      <w:r>
        <w:t xml:space="preserve">) and other projects run their workloads inside it (the</w:t>
      </w:r>
      <w:r>
        <w:t xml:space="preserve"> </w:t>
      </w:r>
      <w:r>
        <w:t xml:space="preserve">“</w:t>
      </w:r>
      <w:r>
        <w:t xml:space="preserve">service projects</w:t>
      </w:r>
      <w:r>
        <w:t xml:space="preserve">”</w:t>
      </w:r>
      <w:r>
        <w:t xml:space="preserve">). That way there is one network to secure, one set of firewall rules, and one IP plan — rather than nine disconnected islands.</w:t>
      </w:r>
    </w:p>
    <w:bookmarkEnd w:id="69"/>
    <w:bookmarkStart w:id="70" w:name="do-this-create-the-vpc"/>
    <w:p>
      <w:pPr>
        <w:pStyle w:val="Heading2"/>
      </w:pPr>
      <w:r>
        <w:t xml:space="preserve">6.2 Do this — create the VPC</w:t>
      </w:r>
    </w:p>
    <w:p>
      <w:pPr>
        <w:pStyle w:val="FirstParagraph"/>
      </w:pPr>
      <w:r>
        <w:rPr>
          <w:bCs/>
          <w:b/>
        </w:rPr>
        <w:t xml:space="preserve">Where:</w:t>
      </w:r>
      <w:r>
        <w:t xml:space="preserve"> </w:t>
      </w:r>
      <w:r>
        <w:t xml:space="preserve">switch to</w:t>
      </w:r>
      <w:r>
        <w:t xml:space="preserve"> </w:t>
      </w:r>
      <w:r>
        <w:rPr>
          <w:rStyle w:val="VerbatimChar"/>
        </w:rPr>
        <w:t xml:space="preserve">gclt-aicoe-dev-network</w:t>
      </w:r>
      <w:r>
        <w:t xml:space="preserve">. Search for</w:t>
      </w:r>
      <w:r>
        <w:t xml:space="preserve"> </w:t>
      </w:r>
      <w:r>
        <w:rPr>
          <w:bCs/>
          <w:b/>
        </w:rPr>
        <w:t xml:space="preserve">VPC networks</w:t>
      </w:r>
      <w:r>
        <w:t xml:space="preserve">. Click</w:t>
      </w:r>
      <w:r>
        <w:t xml:space="preserve"> </w:t>
      </w:r>
      <w:r>
        <w:rPr>
          <w:bCs/>
          <w:b/>
        </w:rPr>
        <w:t xml:space="preserve">CREATE VPC NETWORK</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gclt-aicoe-dev-vpc</w:t>
            </w:r>
          </w:p>
        </w:tc>
      </w:tr>
      <w:tr>
        <w:tc>
          <w:tcPr/>
          <w:p>
            <w:pPr>
              <w:pStyle w:val="Compact"/>
              <w:jc w:val="left"/>
            </w:pPr>
            <w:r>
              <w:t xml:space="preserve">Subnet creation mode</w:t>
            </w:r>
          </w:p>
        </w:tc>
        <w:tc>
          <w:tcPr/>
          <w:p>
            <w:pPr>
              <w:pStyle w:val="Compact"/>
              <w:jc w:val="left"/>
            </w:pPr>
            <w:r>
              <w:rPr>
                <w:bCs/>
                <w:b/>
              </w:rPr>
              <w:t xml:space="preserve">Custom</w:t>
            </w:r>
          </w:p>
        </w:tc>
      </w:tr>
      <w:tr>
        <w:tc>
          <w:tcPr/>
          <w:p>
            <w:pPr>
              <w:pStyle w:val="Compact"/>
              <w:jc w:val="left"/>
            </w:pPr>
            <w:r>
              <w:t xml:space="preserve">First subnet name</w:t>
            </w:r>
          </w:p>
        </w:tc>
        <w:tc>
          <w:tcPr/>
          <w:p>
            <w:pPr>
              <w:pStyle w:val="Compact"/>
              <w:jc w:val="left"/>
            </w:pPr>
            <w:r>
              <w:rPr>
                <w:rStyle w:val="VerbatimChar"/>
              </w:rPr>
              <w:t xml:space="preserve">gclt-aicoe-dev-subnet-ew1</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IPv4 range</w:t>
            </w:r>
          </w:p>
        </w:tc>
        <w:tc>
          <w:tcPr/>
          <w:p>
            <w:pPr>
              <w:pStyle w:val="Compact"/>
              <w:jc w:val="left"/>
            </w:pPr>
            <w:r>
              <w:rPr>
                <w:rStyle w:val="VerbatimChar"/>
              </w:rPr>
              <w:t xml:space="preserve">10.110.73.0/24</w:t>
            </w:r>
          </w:p>
        </w:tc>
      </w:tr>
      <w:tr>
        <w:tc>
          <w:tcPr/>
          <w:p>
            <w:pPr>
              <w:pStyle w:val="Compact"/>
              <w:jc w:val="left"/>
            </w:pPr>
            <w:r>
              <w:t xml:space="preserve">Private Google Access</w:t>
            </w:r>
          </w:p>
        </w:tc>
        <w:tc>
          <w:tcPr/>
          <w:p>
            <w:pPr>
              <w:pStyle w:val="Compact"/>
              <w:jc w:val="left"/>
            </w:pPr>
            <w:r>
              <w:rPr>
                <w:bCs/>
                <w:b/>
              </w:rPr>
              <w:t xml:space="preserve">Off</w:t>
            </w:r>
          </w:p>
        </w:tc>
      </w:tr>
      <w:tr>
        <w:tc>
          <w:tcPr/>
          <w:p>
            <w:pPr>
              <w:pStyle w:val="Compact"/>
              <w:jc w:val="left"/>
            </w:pPr>
            <w:r>
              <w:t xml:space="preserve">Flow logs</w:t>
            </w:r>
          </w:p>
        </w:tc>
        <w:tc>
          <w:tcPr/>
          <w:p>
            <w:pPr>
              <w:pStyle w:val="Compact"/>
              <w:jc w:val="left"/>
            </w:pPr>
            <w:r>
              <w:rPr>
                <w:bCs/>
                <w:b/>
              </w:rPr>
              <w:t xml:space="preserve">On</w:t>
            </w:r>
            <w:r>
              <w:t xml:space="preserve">, then open</w:t>
            </w:r>
            <w:r>
              <w:t xml:space="preserve"> </w:t>
            </w:r>
            <w:r>
              <w:rPr>
                <w:bCs/>
                <w:b/>
              </w:rPr>
              <w:t xml:space="preserve">Configure logs</w:t>
            </w:r>
            <w:r>
              <w:t xml:space="preserve"> </w:t>
            </w:r>
            <w:r>
              <w:t xml:space="preserve">and set sample rate to</w:t>
            </w:r>
            <w:r>
              <w:t xml:space="preserve"> </w:t>
            </w:r>
            <w:r>
              <w:rPr>
                <w:rStyle w:val="VerbatimChar"/>
              </w:rPr>
              <w:t xml:space="preserve">0.1</w:t>
            </w:r>
            <w:r>
              <w:t xml:space="preserve"> </w:t>
            </w:r>
            <w:r>
              <w:t xml:space="preserve">and aggregation interval to 15 minutes</w:t>
            </w:r>
          </w:p>
        </w:tc>
      </w:tr>
      <w:tr>
        <w:tc>
          <w:tcPr/>
          <w:p>
            <w:pPr>
              <w:pStyle w:val="Compact"/>
              <w:jc w:val="left"/>
            </w:pPr>
            <w:r>
              <w:t xml:space="preserve">Dynamic routing mode</w:t>
            </w:r>
          </w:p>
        </w:tc>
        <w:tc>
          <w:tcPr/>
          <w:p>
            <w:pPr>
              <w:pStyle w:val="Compact"/>
              <w:jc w:val="left"/>
            </w:pPr>
            <w:r>
              <w:t xml:space="preserve">Regional</w:t>
            </w:r>
          </w:p>
        </w:tc>
      </w:tr>
    </w:tbl>
    <w:p>
      <w:pPr>
        <w:pStyle w:val="BodyText"/>
      </w:pPr>
      <w:r>
        <w:t xml:space="preserve">Click</w:t>
      </w:r>
      <w:r>
        <w:t xml:space="preserve"> </w:t>
      </w:r>
      <w:r>
        <w:rPr>
          <w:bCs/>
          <w:b/>
        </w:rPr>
        <w:t xml:space="preserve">Create</w:t>
      </w:r>
      <w:r>
        <w:t xml:space="preserve">. It takes under a minute.</w:t>
      </w:r>
    </w:p>
    <w:p>
      <w:pPr>
        <w:pStyle w:val="BodyText"/>
      </w:pPr>
      <w:r>
        <w:rPr>
          <w:bCs/>
          <w:b/>
        </w:rPr>
        <w:t xml:space="preserve">Why Private Google Access is off:</w:t>
      </w:r>
      <w:r>
        <w:t xml:space="preserve"> </w:t>
      </w:r>
      <w:r>
        <w:t xml:space="preserve">you want every call to a Google API to travel through one endpoint you control (Part 8), so it can be logged and restricted at a single point. Private Google Access would give workloads a second, invisible route.</w:t>
      </w:r>
    </w:p>
    <w:p>
      <w:pPr>
        <w:pStyle w:val="BodyText"/>
      </w:pPr>
      <w:r>
        <w:rPr>
          <w:bCs/>
          <w:b/>
        </w:rPr>
        <w:t xml:space="preserve">Why flow logs are sampled:</w:t>
      </w:r>
      <w:r>
        <w:t xml:space="preserve"> </w:t>
      </w:r>
      <w:r>
        <w:t xml:space="preserve">full-rate flow logs on a busy subnet can cost more than the workload. 10% sampling still shows you traffic patterns and denied connections.</w:t>
      </w:r>
    </w:p>
    <w:bookmarkEnd w:id="70"/>
    <w:bookmarkStart w:id="71" w:name="do-this-add-the-four-remaining-subnets"/>
    <w:p>
      <w:pPr>
        <w:pStyle w:val="Heading2"/>
      </w:pPr>
      <w:r>
        <w:t xml:space="preserve">6.3 Do this — add the four remaining subnets</w:t>
      </w:r>
    </w:p>
    <w:p>
      <w:pPr>
        <w:pStyle w:val="FirstParagraph"/>
      </w:pPr>
      <w:r>
        <w:t xml:space="preserve">Open</w:t>
      </w:r>
      <w:r>
        <w:t xml:space="preserve"> </w:t>
      </w:r>
      <w:r>
        <w:rPr>
          <w:rStyle w:val="VerbatimChar"/>
        </w:rPr>
        <w:t xml:space="preserve">gclt-aicoe-dev-vpc</w:t>
      </w:r>
      <w:r>
        <w:t xml:space="preserve">, go to the</w:t>
      </w:r>
      <w:r>
        <w:t xml:space="preserve"> </w:t>
      </w:r>
      <w:r>
        <w:rPr>
          <w:bCs/>
          <w:b/>
        </w:rPr>
        <w:t xml:space="preserve">Subnets</w:t>
      </w:r>
      <w:r>
        <w:t xml:space="preserve"> </w:t>
      </w:r>
      <w:r>
        <w:t xml:space="preserve">tab, click</w:t>
      </w:r>
      <w:r>
        <w:t xml:space="preserve"> </w:t>
      </w:r>
      <w:r>
        <w:rPr>
          <w:bCs/>
          <w:b/>
        </w:rPr>
        <w:t xml:space="preserve">ADD SUBNET</w:t>
      </w:r>
      <w:r>
        <w:t xml:space="preserve"> </w:t>
      </w:r>
      <w:r>
        <w:t xml:space="preserve">for each.</w:t>
      </w:r>
    </w:p>
    <w:p>
      <w:pPr>
        <w:pStyle w:val="BodyText"/>
      </w:pPr>
      <w:r>
        <w:rPr>
          <w:bCs/>
          <w:b/>
        </w:rPr>
        <w:t xml:space="preserve">Subnet 2 — Cloud Run instances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gclt-aicoe-dev-cloudrun-ew1</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IPv4 range</w:t>
            </w:r>
          </w:p>
        </w:tc>
        <w:tc>
          <w:tcPr/>
          <w:p>
            <w:pPr>
              <w:pStyle w:val="Compact"/>
              <w:jc w:val="left"/>
            </w:pPr>
            <w:r>
              <w:rPr>
                <w:rStyle w:val="VerbatimChar"/>
              </w:rPr>
              <w:t>192.168.4.0/23</w:t>
            </w:r>
          </w:p>
        </w:tc>
      </w:tr>
      <w:tr>
        <w:tc>
          <w:tcPr/>
          <w:p>
            <w:pPr>
              <w:pStyle w:val="Compact"/>
              <w:jc w:val="left"/>
            </w:pPr>
            <w:r>
              <w:t xml:space="preserve">Purpose</w:t>
            </w:r>
          </w:p>
        </w:tc>
        <w:tc>
          <w:tcPr/>
          <w:p>
            <w:pPr>
              <w:pStyle w:val="Compact"/>
              <w:jc w:val="left"/>
            </w:pPr>
            <w:r>
              <w:t xml:space="preserve">leave as the normal/default option</w:t>
            </w:r>
          </w:p>
        </w:tc>
      </w:tr>
    </w:tbl>
    <w:p>
      <w:pPr>
        <w:pStyle w:val="BodyText"/>
      </w:pPr>
      <w:r>
        <w:rPr>
          <w:bCs/>
          <w:b/>
        </w:rPr>
        <w:t xml:space="preserve">Subnet 3 — the load balancer engines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gclt-aicoe-dev-proxy-ew1</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IPv4 range</w:t>
            </w:r>
          </w:p>
        </w:tc>
        <w:tc>
          <w:tcPr/>
          <w:p>
            <w:pPr>
              <w:pStyle w:val="Compact"/>
              <w:jc w:val="left"/>
            </w:pPr>
            <w:r>
              <w:rPr>
                <w:rStyle w:val="VerbatimChar"/>
              </w:rPr>
              <w:t>192.168.6.0/26</w:t>
            </w:r>
          </w:p>
        </w:tc>
      </w:tr>
      <w:tr>
        <w:tc>
          <w:tcPr/>
          <w:p>
            <w:pPr>
              <w:pStyle w:val="Compact"/>
              <w:jc w:val="left"/>
            </w:pPr>
            <w:r>
              <w:t xml:space="preserve">Purpose</w:t>
            </w:r>
          </w:p>
        </w:tc>
        <w:tc>
          <w:tcPr/>
          <w:p>
            <w:pPr>
              <w:pStyle w:val="Compact"/>
              <w:jc w:val="left"/>
            </w:pPr>
            <w:r>
              <w:rPr>
                <w:bCs/>
                <w:b/>
              </w:rPr>
              <w:t xml:space="preserve">Regional Managed Proxy</w:t>
            </w:r>
          </w:p>
        </w:tc>
      </w:tr>
      <w:tr>
        <w:tc>
          <w:tcPr/>
          <w:p>
            <w:pPr>
              <w:pStyle w:val="Compact"/>
              <w:jc w:val="left"/>
            </w:pPr>
            <w:r>
              <w:t xml:space="preserve">Role</w:t>
            </w:r>
          </w:p>
        </w:tc>
        <w:tc>
          <w:tcPr/>
          <w:p>
            <w:pPr>
              <w:pStyle w:val="Compact"/>
              <w:jc w:val="left"/>
            </w:pPr>
            <w:r>
              <w:rPr>
                <w:bCs/>
                <w:b/>
              </w:rPr>
              <w:t xml:space="preserve">Active</w:t>
            </w:r>
          </w:p>
        </w:tc>
      </w:tr>
    </w:tbl>
    <w:p>
      <w:pPr>
        <w:pStyle w:val="BodyText"/>
      </w:pPr>
      <w:r>
        <w:rPr>
          <w:bCs/>
          <w:b/>
        </w:rPr>
        <w:t xml:space="preserve">Subnet 4 — address translation for Apigee’s return path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gclt-aicoe-dev-pscnat-ew1</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IPv4 range</w:t>
            </w:r>
          </w:p>
        </w:tc>
        <w:tc>
          <w:tcPr/>
          <w:p>
            <w:pPr>
              <w:pStyle w:val="Compact"/>
              <w:jc w:val="left"/>
            </w:pPr>
            <w:r>
              <w:rPr>
                <w:rStyle w:val="VerbatimChar"/>
              </w:rPr>
              <w:t>192.168.6.128/28</w:t>
            </w:r>
          </w:p>
        </w:tc>
      </w:tr>
      <w:tr>
        <w:tc>
          <w:tcPr/>
          <w:p>
            <w:pPr>
              <w:pStyle w:val="Compact"/>
              <w:jc w:val="left"/>
            </w:pPr>
            <w:r>
              <w:t xml:space="preserve">Purpose</w:t>
            </w:r>
          </w:p>
        </w:tc>
        <w:tc>
          <w:tcPr/>
          <w:p>
            <w:pPr>
              <w:pStyle w:val="Compact"/>
              <w:jc w:val="left"/>
            </w:pPr>
            <w:r>
              <w:rPr>
                <w:bCs/>
                <w:b/>
              </w:rPr>
              <w:t xml:space="preserve">Private Service Connect</w:t>
            </w:r>
          </w:p>
        </w:tc>
      </w:tr>
    </w:tbl>
    <w:p>
      <w:pPr>
        <w:pStyle w:val="BodyText"/>
      </w:pPr>
      <w:r>
        <w:t xml:space="preserve">This subnet can hold nothing else. It exists so the Backend load balancer can be published as a service that Apigee connects to.</w:t>
      </w:r>
    </w:p>
    <w:p>
      <w:pPr>
        <w:pStyle w:val="BodyText"/>
      </w:pPr>
      <w:r>
        <w:rPr>
          <w:bCs/>
          <w:b/>
        </w:rPr>
        <w:t xml:space="preserve">Subnet 5 — machine-only addresses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gclt-aicoe-dev-internal-ew1</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IPv4 range</w:t>
            </w:r>
          </w:p>
        </w:tc>
        <w:tc>
          <w:tcPr/>
          <w:p>
            <w:pPr>
              <w:pStyle w:val="Compact"/>
              <w:jc w:val="left"/>
            </w:pPr>
            <w:r>
              <w:rPr>
                <w:rStyle w:val="VerbatimChar"/>
              </w:rPr>
              <w:t>192.168.6.144/28</w:t>
            </w:r>
          </w:p>
        </w:tc>
      </w:tr>
    </w:tbl>
    <w:p>
      <w:pPr>
        <w:pStyle w:val="BodyText"/>
      </w:pPr>
      <w:r>
        <w:t xml:space="preserve">This subnet holds the Private Service Connect endpoints — the ones to Google APIs, to the AI gateway and to Vector Search. No user ever reaches these addresses, because nothing routes to this range from the Colt network.</w:t>
      </w:r>
    </w:p>
    <w:bookmarkEnd w:id="71"/>
    <w:bookmarkStart w:id="72" w:name="check-it-worked-5"/>
    <w:p>
      <w:pPr>
        <w:pStyle w:val="Heading2"/>
      </w:pPr>
      <w:r>
        <w:t xml:space="preserve">6.4 Check it worked</w:t>
      </w:r>
    </w:p>
    <w:p>
      <w:pPr>
        <w:pStyle w:val="FirstParagraph"/>
      </w:pPr>
      <w:r>
        <w:t xml:space="preserve">The</w:t>
      </w:r>
      <w:r>
        <w:t xml:space="preserve"> </w:t>
      </w:r>
      <w:r>
        <w:rPr>
          <w:bCs/>
          <w:b/>
        </w:rPr>
        <w:t xml:space="preserve">Subnets</w:t>
      </w:r>
      <w:r>
        <w:t xml:space="preserve"> </w:t>
      </w:r>
      <w:r>
        <w:t xml:space="preserve">tab lists five subnets, all</w:t>
      </w:r>
      <w:r>
        <w:t xml:space="preserve"> </w:t>
      </w:r>
      <w:r>
        <w:rPr>
          <w:rStyle w:val="VerbatimChar"/>
        </w:rPr>
        <w:t xml:space="preserve">europe-west1</w:t>
      </w:r>
      <w:r>
        <w:t xml:space="preserve">, with the ranges above. The proxy subnet shows a different purpose from the others.</w:t>
      </w:r>
    </w:p>
    <w:bookmarkEnd w:id="72"/>
    <w:bookmarkStart w:id="73" w:name="watch-out-6"/>
    <w:p>
      <w:pPr>
        <w:pStyle w:val="Heading2"/>
      </w:pPr>
      <w:r>
        <w:t xml:space="preserve">6.5 Watch out</w:t>
      </w:r>
    </w:p>
    <w:p>
      <w:pPr>
        <w:numPr>
          <w:ilvl w:val="0"/>
          <w:numId w:val="1008"/>
        </w:numPr>
        <w:pStyle w:val="Compact"/>
      </w:pPr>
      <w:r>
        <w:rPr>
          <w:bCs/>
          <w:b/>
        </w:rPr>
        <w:t xml:space="preserve">You can only have one active Regional Managed Proxy subnet per region per network.</w:t>
      </w:r>
      <w:r>
        <w:t xml:space="preserve"> </w:t>
      </w:r>
      <w:r>
        <w:t xml:space="preserve">Both load balancers in Part 20 share</w:t>
      </w:r>
      <w:r>
        <w:t xml:space="preserve"> </w:t>
      </w:r>
      <w:r>
        <w:rPr>
          <w:rStyle w:val="VerbatimChar"/>
        </w:rPr>
        <w:t xml:space="preserve">gclt-aicoe-dev-proxy-ew1</w:t>
      </w:r>
      <w:r>
        <w:t xml:space="preserve">. Do not try to create a second one.</w:t>
      </w:r>
    </w:p>
    <w:p>
      <w:pPr>
        <w:numPr>
          <w:ilvl w:val="0"/>
          <w:numId w:val="1008"/>
        </w:numPr>
        <w:pStyle w:val="Compact"/>
      </w:pPr>
      <w:r>
        <w:t xml:space="preserve">The Private Service Connect subnet can hold nothing else. It exists purely for address translation.</w:t>
      </w:r>
    </w:p>
    <w:p>
      <w:pPr>
        <w:numPr>
          <w:ilvl w:val="0"/>
          <w:numId w:val="1008"/>
        </w:numPr>
        <w:pStyle w:val="Compact"/>
      </w:pPr>
      <w:r>
        <w:rPr>
          <w:bCs/>
          <w:b/>
        </w:rPr>
        <w:t>Do not create anything in 192.168.6.160/28. Part 8 needs that space to be outside every subnet.</w:t>
      </w:r>
      <w:r>
        <w:rPr>
          <w:bCs/>
          <w:b/>
        </w:rPr>
      </w:r>
      <w:r>
        <w:rPr>
          <w:rStyle w:val="VerbatimChar"/>
          <w:bCs/>
          <w:b/>
        </w:rPr>
      </w:r>
      <w:r>
        <w:rPr>
          <w:bCs/>
          <w:b/>
        </w:rPr>
      </w:r>
      <w:r/>
      <w:r/>
    </w:p>
    <w:p>
      <w:pPr>
        <w:numPr>
          <w:ilvl w:val="0"/>
          <w:numId w:val="1008"/>
        </w:numPr>
        <w:pStyle w:val="Compact"/>
      </w:pPr>
      <w:r>
        <w:t xml:space="preserve">Subnet ranges can be expanded later but never shrunk, and never moved. Check each range against §0.5 before clicking Create.</w:t>
      </w:r>
    </w:p>
    <w:bookmarkEnd w:id="73"/>
    <w:bookmarkStart w:id="74" w:name="do-this-reserve-the-fixed-addresses"/>
    <w:p>
      <w:pPr>
        <w:pStyle w:val="Heading2"/>
      </w:pPr>
      <w:r>
        <w:t xml:space="preserve">6.6 Do this — reserve the fixed addresses</w:t>
      </w:r>
    </w:p>
    <w:p>
      <w:pPr>
        <w:pStyle w:val="FirstParagraph"/>
      </w:pPr>
      <w:r>
        <w:t xml:space="preserve">Reserving an address means nothing else can take it. This matters most for</w:t>
      </w:r>
      <w:r>
        <w:t xml:space="preserve"> </w:t>
      </w:r>
      <w:r>
        <w:rPr>
          <w:rStyle w:val="VerbatimChar"/>
        </w:rPr>
        <w:t xml:space="preserve">10.110.73.20</w:t>
      </w:r>
      <w:r>
        <w:t xml:space="preserve">: Colt’s CSOC team opens their firewall for that exact address, so if a scaling Cloud Run instance grabbed it, their rule would point at the wrong thing and users would lose access.</w:t>
      </w:r>
    </w:p>
    <w:p>
      <w:pPr>
        <w:pStyle w:val="BodyText"/>
      </w:pPr>
      <w:r>
        <w:rPr>
          <w:bCs/>
          <w:b/>
        </w:rPr>
        <w:t xml:space="preserve">Where:</w:t>
      </w:r>
      <w:r>
        <w:t xml:space="preserve"> </w:t>
      </w:r>
      <w:r>
        <w:t xml:space="preserve">still in</w:t>
      </w:r>
      <w:r>
        <w:t xml:space="preserve"> </w:t>
      </w:r>
      <w:r>
        <w:rPr>
          <w:rStyle w:val="VerbatimChar"/>
        </w:rPr>
        <w:t xml:space="preserve">gclt-aicoe-dev-network</w:t>
      </w:r>
      <w:r>
        <w:t xml:space="preserve">,</w:t>
      </w:r>
      <w:r>
        <w:t xml:space="preserve"> </w:t>
      </w:r>
      <w:r>
        <w:rPr>
          <w:bCs/>
          <w:b/>
        </w:rPr>
        <w:t xml:space="preserve">VPC network</w:t>
      </w:r>
      <w:r>
        <w:t xml:space="preserve"> </w:t>
      </w:r>
      <w:r>
        <w:t xml:space="preserve">→</w:t>
      </w:r>
      <w:r>
        <w:t xml:space="preserve"> </w:t>
      </w:r>
      <w:r>
        <w:rPr>
          <w:bCs/>
          <w:b/>
        </w:rPr>
        <w:t xml:space="preserve">IP addresses</w:t>
      </w:r>
      <w:r>
        <w:t xml:space="preserve"> </w:t>
      </w:r>
      <w:r>
        <w:t xml:space="preserve">→</w:t>
      </w:r>
      <w:r>
        <w:t xml:space="preserve"> </w:t>
      </w:r>
      <w:r>
        <w:rPr>
          <w:bCs/>
          <w:b/>
        </w:rPr>
        <w:t xml:space="preserve">Internal IP addresses</w:t>
      </w:r>
      <w:r>
        <w:t xml:space="preserve"> </w:t>
      </w:r>
      <w:r>
        <w:t xml:space="preserve">tab →</w:t>
      </w:r>
      <w:r>
        <w:t xml:space="preserve"> </w:t>
      </w:r>
      <w:r>
        <w:rPr>
          <w:bCs/>
          <w:b/>
        </w:rPr>
        <w:t xml:space="preserve">RESERVE INTERNAL STATIC ADDRESS</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Subnet</w:t>
            </w:r>
          </w:p>
        </w:tc>
        <w:tc>
          <w:tcPr/>
          <w:p>
            <w:pPr>
              <w:pStyle w:val="Compact"/>
              <w:jc w:val="left"/>
            </w:pPr>
            <w:r>
              <w:t xml:space="preserve">Address</w:t>
            </w:r>
          </w:p>
        </w:tc>
        <w:tc>
          <w:tcPr/>
          <w:p>
            <w:pPr>
              <w:pStyle w:val="Compact"/>
              <w:jc w:val="left"/>
            </w:pPr>
            <w:r>
              <w:t xml:space="preserve">Purpose</w:t>
            </w:r>
          </w:p>
        </w:tc>
      </w:tr>
      <w:tr>
        <w:tc>
          <w:tcPr/>
          <w:p>
            <w:pPr>
              <w:pStyle w:val="Compact"/>
              <w:jc w:val="left"/>
            </w:pPr>
            <w:r>
              <w:rPr>
                <w:rStyle w:val="VerbatimChar"/>
              </w:rPr>
              <w:t xml:space="preserve">aihub-ilb-vip</w:t>
            </w:r>
          </w:p>
        </w:tc>
        <w:tc>
          <w:tcPr/>
          <w:p>
            <w:pPr>
              <w:pStyle w:val="Compact"/>
              <w:jc w:val="left"/>
            </w:pPr>
            <w:r>
              <w:rPr>
                <w:rStyle w:val="VerbatimChar"/>
              </w:rPr>
              <w:t xml:space="preserve">gclt-aicoe-dev-subnet-ew1</w:t>
            </w:r>
          </w:p>
        </w:tc>
        <w:tc>
          <w:tcPr/>
          <w:p>
            <w:pPr>
              <w:pStyle w:val="Compact"/>
              <w:jc w:val="left"/>
            </w:pPr>
            <w:r>
              <w:rPr>
                <w:rStyle w:val="VerbatimChar"/>
              </w:rPr>
              <w:t xml:space="preserve">10.110.73.20</w:t>
            </w:r>
          </w:p>
        </w:tc>
        <w:tc>
          <w:tcPr/>
          <w:p>
            <w:pPr>
              <w:pStyle w:val="Compact"/>
              <w:jc w:val="left"/>
            </w:pPr>
            <w:r>
              <w:t xml:space="preserve">Shared load balancer VIP</w:t>
            </w:r>
          </w:p>
        </w:tc>
      </w:tr>
      <w:tr>
        <w:tc>
          <w:tcPr/>
          <w:p>
            <w:pPr>
              <w:pStyle w:val="Compact"/>
              <w:jc w:val="left"/>
            </w:pPr>
            <w:r>
              <w:rPr>
                <w:rStyle w:val="VerbatimChar"/>
              </w:rPr>
              <w:t xml:space="preserve">backend-ilb-vip</w:t>
            </w:r>
          </w:p>
        </w:tc>
        <w:tc>
          <w:tcPr/>
          <w:p>
            <w:pPr>
              <w:pStyle w:val="Compact"/>
              <w:jc w:val="left"/>
            </w:pPr>
            <w:r>
              <w:rPr>
                <w:rStyle w:val="VerbatimChar"/>
              </w:rPr>
              <w:t xml:space="preserve">gclt-aicoe-dev-internal-ew1</w:t>
            </w:r>
          </w:p>
        </w:tc>
        <w:tc>
          <w:tcPr/>
          <w:p>
            <w:pPr>
              <w:pStyle w:val="Compact"/>
              <w:jc w:val="left"/>
            </w:pPr>
            <w:r>
              <w:rPr>
                <w:rStyle w:val="VerbatimChar"/>
              </w:rPr>
              <w:t>192.168.6.145</w:t>
            </w:r>
          </w:p>
        </w:tc>
        <w:tc>
          <w:tcPr/>
          <w:p>
            <w:pPr>
              <w:pStyle w:val="Compact"/>
              <w:jc w:val="left"/>
            </w:pPr>
            <w:r>
              <w:t xml:space="preserve">Shared load balancer VIP</w:t>
            </w:r>
          </w:p>
        </w:tc>
      </w:tr>
    </w:tbl>
    <w:p>
      <w:pPr>
        <w:pStyle w:val="BodyText"/>
      </w:pPr>
      <w:r>
        <w:t xml:space="preserve">For each: choose</w:t>
      </w:r>
      <w:r>
        <w:t xml:space="preserve"> </w:t>
      </w:r>
      <w:r>
        <w:rPr>
          <w:bCs/>
          <w:b/>
        </w:rPr>
        <w:t xml:space="preserve">Custom</w:t>
      </w:r>
      <w:r>
        <w:t xml:space="preserve"> </w:t>
      </w:r>
      <w:r>
        <w:t xml:space="preserve">for the IP address and type it in. Leave</w:t>
      </w:r>
      <w:r>
        <w:t xml:space="preserve"> </w:t>
      </w:r>
      <w:r>
        <w:rPr>
          <w:bCs/>
          <w:b/>
        </w:rPr>
        <w:t xml:space="preserve">Purpose</w:t>
      </w:r>
      <w:r>
        <w:t xml:space="preserve"> </w:t>
      </w:r>
      <w:r>
        <w:t xml:space="preserve">as the load-balancer option where offered.</w:t>
      </w:r>
    </w:p>
    <w:p>
      <w:pPr>
        <w:pStyle w:val="BodyText"/>
      </w:pPr>
      <w:r>
        <w:t>Only 10.110.73.20 needs a CSOC firewall request. 192.168.6.145 sits in the range with no route from the Colt network, so no user can reach it and no request is needed.</w:t>
      </w:r>
      <w:r/>
      <w:r>
        <w:rPr>
          <w:rStyle w:val="VerbatimChar"/>
        </w:rPr>
      </w:r>
      <w:r/>
      <w:r/>
      <w:r/>
      <w:r>
        <w:rPr>
          <w:rStyle w:val="VerbatimChar"/>
        </w:rPr>
      </w:r>
      <w:r/>
      <w:r/>
    </w:p>
    <w:bookmarkEnd w:id="74"/>
    <w:bookmarkStart w:id="75" w:name="do-this-firewall-rules"/>
    <w:p>
      <w:pPr>
        <w:pStyle w:val="Heading2"/>
      </w:pPr>
      <w:r>
        <w:t xml:space="preserve">6.7 Do this — firewall rules</w:t>
      </w:r>
    </w:p>
    <w:p>
      <w:pPr>
        <w:pStyle w:val="FirstParagraph"/>
      </w:pPr>
      <w:r>
        <w:rPr>
          <w:bCs/>
          <w:b/>
        </w:rPr>
        <w:t xml:space="preserve">What this is.</w:t>
      </w:r>
      <w:r>
        <w:t xml:space="preserve"> </w:t>
      </w:r>
      <w:r>
        <w:t xml:space="preserve">Firewall rules decide which traffic is allowed. The important principle here is</w:t>
      </w:r>
      <w:r>
        <w:t xml:space="preserve"> </w:t>
      </w:r>
      <w:r>
        <w:rPr>
          <w:bCs/>
          <w:b/>
        </w:rPr>
        <w:t xml:space="preserve">deny everything outbound by default, then allow the few destinations that are genuinely needed.</w:t>
      </w:r>
      <w:r>
        <w:t xml:space="preserve"> </w:t>
      </w:r>
      <w:r>
        <w:t xml:space="preserve">That way a compromised service cannot phone home, because there is nowhere for it to phone.</w:t>
      </w:r>
    </w:p>
    <w:p>
      <w:pPr>
        <w:pStyle w:val="BodyText"/>
      </w:pPr>
      <w:r>
        <w:rPr>
          <w:bCs/>
          <w:b/>
        </w:rPr>
        <w:t xml:space="preserve">Where:</w:t>
      </w:r>
      <w:r>
        <w:t xml:space="preserve"> </w:t>
      </w:r>
      <w:r>
        <w:t xml:space="preserve">search for</w:t>
      </w:r>
      <w:r>
        <w:t xml:space="preserve"> </w:t>
      </w:r>
      <w:r>
        <w:rPr>
          <w:bCs/>
          <w:b/>
        </w:rPr>
        <w:t xml:space="preserve">Firewall</w:t>
      </w:r>
      <w:r>
        <w:t xml:space="preserve">, or</w:t>
      </w:r>
      <w:r>
        <w:t xml:space="preserve"> </w:t>
      </w:r>
      <w:r>
        <w:rPr>
          <w:bCs/>
          <w:b/>
        </w:rPr>
        <w:t xml:space="preserve">VPC network</w:t>
      </w:r>
      <w:r>
        <w:t xml:space="preserve"> </w:t>
      </w:r>
      <w:r>
        <w:t xml:space="preserve">→</w:t>
      </w:r>
      <w:r>
        <w:t xml:space="preserve"> </w:t>
      </w:r>
      <w:r>
        <w:rPr>
          <w:bCs/>
          <w:b/>
        </w:rPr>
        <w:t xml:space="preserve">Firewall</w:t>
      </w:r>
      <w:r>
        <w:t xml:space="preserve">. Click</w:t>
      </w:r>
      <w:r>
        <w:t xml:space="preserve"> </w:t>
      </w:r>
      <w:r>
        <w:rPr>
          <w:bCs/>
          <w:b/>
        </w:rPr>
        <w:t xml:space="preserve">CREATE FIREWALL RULE</w:t>
      </w:r>
      <w:r>
        <w:t xml:space="preserve"> </w:t>
      </w:r>
      <w:r>
        <w:t xml:space="preserve">for each.</w:t>
      </w:r>
    </w:p>
    <w:p>
      <w:pPr>
        <w:pStyle w:val="BodyText"/>
      </w:pPr>
      <w:r>
        <w:rPr>
          <w:bCs/>
          <w:b/>
        </w:rPr>
        <w:t xml:space="preserve">Rule 1 — block all outbound traffic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egress-deny-all</w:t>
            </w:r>
          </w:p>
        </w:tc>
      </w:tr>
      <w:tr>
        <w:tc>
          <w:tcPr/>
          <w:p>
            <w:pPr>
              <w:pStyle w:val="Compact"/>
              <w:jc w:val="left"/>
            </w:pPr>
            <w:r>
              <w:t xml:space="preserve">Network</w:t>
            </w:r>
          </w:p>
        </w:tc>
        <w:tc>
          <w:tcPr/>
          <w:p>
            <w:pPr>
              <w:pStyle w:val="Compact"/>
              <w:jc w:val="left"/>
            </w:pPr>
            <w:r>
              <w:rPr>
                <w:rStyle w:val="VerbatimChar"/>
              </w:rPr>
              <w:t xml:space="preserve">gclt-aicoe-dev-vpc</w:t>
            </w:r>
          </w:p>
        </w:tc>
      </w:tr>
      <w:tr>
        <w:tc>
          <w:tcPr/>
          <w:p>
            <w:pPr>
              <w:pStyle w:val="Compact"/>
              <w:jc w:val="left"/>
            </w:pPr>
            <w:r>
              <w:t xml:space="preserve">Direction</w:t>
            </w:r>
          </w:p>
        </w:tc>
        <w:tc>
          <w:tcPr/>
          <w:p>
            <w:pPr>
              <w:pStyle w:val="Compact"/>
              <w:jc w:val="left"/>
            </w:pPr>
            <w:r>
              <w:rPr>
                <w:bCs/>
                <w:b/>
              </w:rPr>
              <w:t xml:space="preserve">Egress</w:t>
            </w:r>
          </w:p>
        </w:tc>
      </w:tr>
      <w:tr>
        <w:tc>
          <w:tcPr/>
          <w:p>
            <w:pPr>
              <w:pStyle w:val="Compact"/>
              <w:jc w:val="left"/>
            </w:pPr>
            <w:r>
              <w:t xml:space="preserve">Action</w:t>
            </w:r>
          </w:p>
        </w:tc>
        <w:tc>
          <w:tcPr/>
          <w:p>
            <w:pPr>
              <w:pStyle w:val="Compact"/>
              <w:jc w:val="left"/>
            </w:pPr>
            <w:r>
              <w:rPr>
                <w:bCs/>
                <w:b/>
              </w:rPr>
              <w:t xml:space="preserve">Deny</w:t>
            </w:r>
          </w:p>
        </w:tc>
      </w:tr>
      <w:tr>
        <w:tc>
          <w:tcPr/>
          <w:p>
            <w:pPr>
              <w:pStyle w:val="Compact"/>
              <w:jc w:val="left"/>
            </w:pPr>
            <w:r>
              <w:t xml:space="preserve">Targets</w:t>
            </w:r>
          </w:p>
        </w:tc>
        <w:tc>
          <w:tcPr/>
          <w:p>
            <w:pPr>
              <w:pStyle w:val="Compact"/>
              <w:jc w:val="left"/>
            </w:pPr>
            <w:r>
              <w:t xml:space="preserve">All instances in the network</w:t>
            </w:r>
          </w:p>
        </w:tc>
      </w:tr>
      <w:tr>
        <w:tc>
          <w:tcPr/>
          <w:p>
            <w:pPr>
              <w:pStyle w:val="Compact"/>
              <w:jc w:val="left"/>
            </w:pPr>
            <w:r>
              <w:t xml:space="preserve">Destination filter</w:t>
            </w:r>
          </w:p>
        </w:tc>
        <w:tc>
          <w:tcPr/>
          <w:p>
            <w:pPr>
              <w:pStyle w:val="Compact"/>
              <w:jc w:val="left"/>
            </w:pPr>
            <w:r>
              <w:rPr>
                <w:rStyle w:val="VerbatimChar"/>
              </w:rPr>
              <w:t xml:space="preserve">0.0.0.0/0</w:t>
            </w:r>
          </w:p>
        </w:tc>
      </w:tr>
      <w:tr>
        <w:tc>
          <w:tcPr/>
          <w:p>
            <w:pPr>
              <w:pStyle w:val="Compact"/>
              <w:jc w:val="left"/>
            </w:pPr>
            <w:r>
              <w:t xml:space="preserve">Protocols and ports</w:t>
            </w:r>
          </w:p>
        </w:tc>
        <w:tc>
          <w:tcPr/>
          <w:p>
            <w:pPr>
              <w:pStyle w:val="Compact"/>
              <w:jc w:val="left"/>
            </w:pPr>
            <w:r>
              <w:t xml:space="preserve">Deny all</w:t>
            </w:r>
          </w:p>
        </w:tc>
      </w:tr>
      <w:tr>
        <w:tc>
          <w:tcPr/>
          <w:p>
            <w:pPr>
              <w:pStyle w:val="Compact"/>
              <w:jc w:val="left"/>
            </w:pPr>
            <w:r>
              <w:t xml:space="preserve">Priority</w:t>
            </w:r>
          </w:p>
        </w:tc>
        <w:tc>
          <w:tcPr/>
          <w:p>
            <w:pPr>
              <w:pStyle w:val="Compact"/>
              <w:jc w:val="left"/>
            </w:pPr>
            <w:r>
              <w:rPr>
                <w:rStyle w:val="VerbatimChar"/>
              </w:rPr>
              <w:t xml:space="preserve">65000</w:t>
            </w:r>
          </w:p>
        </w:tc>
      </w:tr>
      <w:tr>
        <w:tc>
          <w:tcPr/>
          <w:p>
            <w:pPr>
              <w:pStyle w:val="Compact"/>
              <w:jc w:val="left"/>
            </w:pPr>
            <w:r>
              <w:t xml:space="preserve">Logs</w:t>
            </w:r>
          </w:p>
        </w:tc>
        <w:tc>
          <w:tcPr/>
          <w:p>
            <w:pPr>
              <w:pStyle w:val="Compact"/>
              <w:jc w:val="left"/>
            </w:pPr>
            <w:r>
              <w:t xml:space="preserve">On</w:t>
            </w:r>
          </w:p>
        </w:tc>
      </w:tr>
    </w:tbl>
    <w:p>
      <w:pPr>
        <w:pStyle w:val="BodyText"/>
      </w:pPr>
      <w:r>
        <w:rPr>
          <w:bCs/>
          <w:b/>
        </w:rPr>
        <w:t xml:space="preserve">Rule 2 — allow the three destinations that are needed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egress-allow-psc</w:t>
            </w:r>
          </w:p>
        </w:tc>
      </w:tr>
      <w:tr>
        <w:tc>
          <w:tcPr/>
          <w:p>
            <w:pPr>
              <w:pStyle w:val="Compact"/>
              <w:jc w:val="left"/>
            </w:pPr>
            <w:r>
              <w:t xml:space="preserve">Direction</w:t>
            </w:r>
          </w:p>
        </w:tc>
        <w:tc>
          <w:tcPr/>
          <w:p>
            <w:pPr>
              <w:pStyle w:val="Compact"/>
              <w:jc w:val="left"/>
            </w:pPr>
            <w:r>
              <w:rPr>
                <w:bCs/>
                <w:b/>
              </w:rPr>
              <w:t xml:space="preserve">Egress</w:t>
            </w:r>
          </w:p>
        </w:tc>
      </w:tr>
      <w:tr>
        <w:tc>
          <w:tcPr/>
          <w:p>
            <w:pPr>
              <w:pStyle w:val="Compact"/>
              <w:jc w:val="left"/>
            </w:pPr>
            <w:r>
              <w:t xml:space="preserve">Action</w:t>
            </w:r>
          </w:p>
        </w:tc>
        <w:tc>
          <w:tcPr/>
          <w:p>
            <w:pPr>
              <w:pStyle w:val="Compact"/>
              <w:jc w:val="left"/>
            </w:pPr>
            <w:r>
              <w:rPr>
                <w:bCs/>
                <w:b/>
              </w:rPr>
              <w:t xml:space="preserve">Allow</w:t>
            </w:r>
          </w:p>
        </w:tc>
      </w:tr>
      <w:tr>
        <w:tc>
          <w:tcPr/>
          <w:p>
            <w:pPr>
              <w:pStyle w:val="Compact"/>
              <w:jc w:val="left"/>
            </w:pPr>
            <w:r>
              <w:t xml:space="preserve">Targets</w:t>
            </w:r>
          </w:p>
        </w:tc>
        <w:tc>
          <w:tcPr/>
          <w:p>
            <w:pPr>
              <w:pStyle w:val="Compact"/>
              <w:jc w:val="left"/>
            </w:pPr>
            <w:r>
              <w:t xml:space="preserve">All instances in the network</w:t>
            </w:r>
          </w:p>
        </w:tc>
      </w:tr>
      <w:tr>
        <w:tc>
          <w:tcPr/>
          <w:p>
            <w:pPr>
              <w:pStyle w:val="Compact"/>
              <w:jc w:val="left"/>
            </w:pPr>
            <w:r>
              <w:t xml:space="preserve">Destination filter</w:t>
            </w:r>
          </w:p>
        </w:tc>
        <w:tc>
          <w:tcPr/>
          <w:p>
            <w:pPr>
              <w:pStyle w:val="Compact"/>
              <w:jc w:val="left"/>
            </w:pPr>
            <w:r>
              <w:rPr>
                <w:rStyle w:val="VerbatimChar"/>
              </w:rPr>
              <w:t>192.168.6.164/32, 192.168.6.146/32, 192.168.6.147/32</w:t>
            </w:r>
            <w:r/>
            <w:r/>
            <w:r>
              <w:rPr>
                <w:rStyle w:val="VerbatimChar"/>
              </w:rPr>
            </w:r>
            <w:r/>
            <w:r/>
            <w:r>
              <w:rPr>
                <w:rStyle w:val="VerbatimChar"/>
              </w:rPr>
            </w:r>
          </w:p>
        </w:tc>
      </w:tr>
      <w:tr>
        <w:tc>
          <w:tcPr/>
          <w:p>
            <w:pPr>
              <w:pStyle w:val="Compact"/>
              <w:jc w:val="left"/>
            </w:pPr>
            <w:r>
              <w:t xml:space="preserve">Protocols and ports</w:t>
            </w:r>
          </w:p>
        </w:tc>
        <w:tc>
          <w:tcPr/>
          <w:p>
            <w:pPr>
              <w:pStyle w:val="Compact"/>
              <w:jc w:val="left"/>
            </w:pPr>
            <w:r>
              <w:t xml:space="preserve">TCP</w:t>
            </w:r>
            <w:r>
              <w:t xml:space="preserve"> </w:t>
            </w:r>
            <w:r>
              <w:rPr>
                <w:rStyle w:val="VerbatimChar"/>
              </w:rPr>
              <w:t xml:space="preserve">443</w:t>
            </w:r>
          </w:p>
        </w:tc>
      </w:tr>
      <w:tr>
        <w:tc>
          <w:tcPr/>
          <w:p>
            <w:pPr>
              <w:pStyle w:val="Compact"/>
              <w:jc w:val="left"/>
            </w:pPr>
            <w:r>
              <w:t xml:space="preserve">Priority</w:t>
            </w:r>
          </w:p>
        </w:tc>
        <w:tc>
          <w:tcPr/>
          <w:p>
            <w:pPr>
              <w:pStyle w:val="Compact"/>
              <w:jc w:val="left"/>
            </w:pPr>
            <w:r>
              <w:rPr>
                <w:rStyle w:val="VerbatimChar"/>
              </w:rPr>
              <w:t xml:space="preserve">1000</w:t>
            </w:r>
          </w:p>
        </w:tc>
      </w:tr>
      <w:tr>
        <w:tc>
          <w:tcPr/>
          <w:p>
            <w:pPr>
              <w:pStyle w:val="Compact"/>
              <w:jc w:val="left"/>
            </w:pPr>
            <w:r>
              <w:t xml:space="preserve">Logs</w:t>
            </w:r>
          </w:p>
        </w:tc>
        <w:tc>
          <w:tcPr/>
          <w:p>
            <w:pPr>
              <w:pStyle w:val="Compact"/>
              <w:jc w:val="left"/>
            </w:pPr>
            <w:r>
              <w:t xml:space="preserve">On</w:t>
            </w:r>
          </w:p>
        </w:tc>
      </w:tr>
    </w:tbl>
    <w:p>
      <w:pPr>
        <w:pStyle w:val="BodyText"/>
      </w:pPr>
      <w:r>
        <w:t xml:space="preserve">Priority matters: a</w:t>
      </w:r>
      <w:r>
        <w:t xml:space="preserve"> </w:t>
      </w:r>
      <w:r>
        <w:rPr>
          <w:bCs/>
          <w:b/>
        </w:rPr>
        <w:t xml:space="preserve">lower number wins</w:t>
      </w:r>
      <w:r>
        <w:t xml:space="preserve">.</w:t>
      </w:r>
      <w:r>
        <w:t xml:space="preserve"> </w:t>
      </w:r>
      <w:r>
        <w:rPr>
          <w:rStyle w:val="VerbatimChar"/>
        </w:rPr>
        <w:t xml:space="preserve">1000</w:t>
      </w:r>
      <w:r>
        <w:t xml:space="preserve"> </w:t>
      </w:r>
      <w:r>
        <w:t xml:space="preserve">beats</w:t>
      </w:r>
      <w:r>
        <w:t xml:space="preserve"> </w:t>
      </w:r>
      <w:r>
        <w:rPr>
          <w:rStyle w:val="VerbatimChar"/>
        </w:rPr>
        <w:t xml:space="preserve">65000</w:t>
      </w:r>
      <w:r>
        <w:t xml:space="preserve">, so the allow rule takes precedence over the blanket deny.</w:t>
      </w:r>
    </w:p>
    <w:p>
      <w:pPr>
        <w:pStyle w:val="BodyText"/>
      </w:pPr>
      <w:r>
        <w:rPr>
          <w:bCs/>
          <w:b/>
        </w:rPr>
        <w:t>Come back to this rule. Two of those three destinations are placeholders until the endpoints exist. Google’s documentation is explicit that where you have egress deny rules, you must create a specific egress allow rule permitting traffic to the endpoint’s internal address — so an unrevised rule here is the most likely cause of a “cannot reach the gateway” fault later. Create the rule now with the reserved block 192.168.6.144/28 as the destination if you prefer, then tighten it to the actual addresses once §14.3 and §15.4 have run.</w:t>
      </w:r>
      <w:r/>
      <w:r/>
      <w:r/>
      <w:r/>
      <w:r/>
      <w:r/>
      <w:r/>
      <w:r/>
      <w:r/>
      <w:r>
        <w:rPr>
          <w:rStyle w:val="VerbatimChar"/>
        </w:rPr>
      </w:r>
      <w:r/>
      <w:r/>
    </w:p>
    <w:p>
      <w:pPr>
        <w:pStyle w:val="BodyText"/>
      </w:pPr>
      <w:r>
        <w:rPr>
          <w:bCs/>
          <w:b/>
        </w:rPr>
        <w:t xml:space="preserve">Rule 3 — allow the load balancer engines to reach things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ingress-allow-proxy-subnet</w:t>
            </w:r>
          </w:p>
        </w:tc>
      </w:tr>
      <w:tr>
        <w:tc>
          <w:tcPr/>
          <w:p>
            <w:pPr>
              <w:pStyle w:val="Compact"/>
              <w:jc w:val="left"/>
            </w:pPr>
            <w:r>
              <w:t xml:space="preserve">Direction</w:t>
            </w:r>
          </w:p>
        </w:tc>
        <w:tc>
          <w:tcPr/>
          <w:p>
            <w:pPr>
              <w:pStyle w:val="Compact"/>
              <w:jc w:val="left"/>
            </w:pPr>
            <w:r>
              <w:rPr>
                <w:bCs/>
                <w:b/>
              </w:rPr>
              <w:t xml:space="preserve">Ingress</w:t>
            </w:r>
          </w:p>
        </w:tc>
      </w:tr>
      <w:tr>
        <w:tc>
          <w:tcPr/>
          <w:p>
            <w:pPr>
              <w:pStyle w:val="Compact"/>
              <w:jc w:val="left"/>
            </w:pPr>
            <w:r>
              <w:t xml:space="preserve">Action</w:t>
            </w:r>
          </w:p>
        </w:tc>
        <w:tc>
          <w:tcPr/>
          <w:p>
            <w:pPr>
              <w:pStyle w:val="Compact"/>
              <w:jc w:val="left"/>
            </w:pPr>
            <w:r>
              <w:rPr>
                <w:bCs/>
                <w:b/>
              </w:rPr>
              <w:t xml:space="preserve">Allow</w:t>
            </w:r>
          </w:p>
        </w:tc>
      </w:tr>
      <w:tr>
        <w:tc>
          <w:tcPr/>
          <w:p>
            <w:pPr>
              <w:pStyle w:val="Compact"/>
              <w:jc w:val="left"/>
            </w:pPr>
            <w:r>
              <w:t xml:space="preserve">Source filter</w:t>
            </w:r>
          </w:p>
        </w:tc>
        <w:tc>
          <w:tcPr/>
          <w:p>
            <w:pPr>
              <w:pStyle w:val="Compact"/>
              <w:jc w:val="left"/>
            </w:pPr>
            <w:r>
              <w:rPr>
                <w:rStyle w:val="VerbatimChar"/>
              </w:rPr>
              <w:t>192.168.6.0/26</w:t>
            </w:r>
          </w:p>
        </w:tc>
      </w:tr>
      <w:tr>
        <w:tc>
          <w:tcPr/>
          <w:p>
            <w:pPr>
              <w:pStyle w:val="Compact"/>
              <w:jc w:val="left"/>
            </w:pPr>
            <w:r>
              <w:t xml:space="preserve">Protocols and ports</w:t>
            </w:r>
          </w:p>
        </w:tc>
        <w:tc>
          <w:tcPr/>
          <w:p>
            <w:pPr>
              <w:pStyle w:val="Compact"/>
              <w:jc w:val="left"/>
            </w:pPr>
            <w:r>
              <w:t xml:space="preserve">TCP</w:t>
            </w:r>
            <w:r>
              <w:t xml:space="preserve"> </w:t>
            </w:r>
            <w:r>
              <w:rPr>
                <w:rStyle w:val="VerbatimChar"/>
              </w:rPr>
              <w:t xml:space="preserve">443</w:t>
            </w:r>
          </w:p>
        </w:tc>
      </w:tr>
      <w:tr>
        <w:tc>
          <w:tcPr/>
          <w:p>
            <w:pPr>
              <w:pStyle w:val="Compact"/>
              <w:jc w:val="left"/>
            </w:pPr>
            <w:r>
              <w:t xml:space="preserve">Priority</w:t>
            </w:r>
          </w:p>
        </w:tc>
        <w:tc>
          <w:tcPr/>
          <w:p>
            <w:pPr>
              <w:pStyle w:val="Compact"/>
              <w:jc w:val="left"/>
            </w:pPr>
            <w:r>
              <w:rPr>
                <w:rStyle w:val="VerbatimChar"/>
              </w:rPr>
              <w:t xml:space="preserve">1000</w:t>
            </w:r>
          </w:p>
        </w:tc>
      </w:tr>
    </w:tbl>
    <w:bookmarkEnd w:id="75"/>
    <w:bookmarkStart w:id="76" w:name="watch-out-7"/>
    <w:p>
      <w:pPr>
        <w:pStyle w:val="Heading2"/>
      </w:pPr>
      <w:r>
        <w:t xml:space="preserve">6.8 Watch out</w:t>
      </w:r>
    </w:p>
    <w:p>
      <w:pPr>
        <w:pStyle w:val="FirstParagraph"/>
      </w:pPr>
      <w:r>
        <w:t xml:space="preserve">Rule 3 is defensive rather than strictly required. All of your load balancer backends are Cloud Run, which sits outside the VPC, so VPC firewall rules do not govern that traffic and health checks are not used. Create the rule anyway — it costs nothing and it becomes necessary the moment anyone adds a virtual machine backend.</w:t>
      </w:r>
      <w:r>
        <w:t xml:space="preserve"> </w:t>
      </w:r>
      <w:r>
        <w:rPr>
          <w:bCs/>
          <w:b/>
        </w:rPr>
        <w:t xml:space="preserve">Do not</w:t>
      </w:r>
      <w:r>
        <w:t xml:space="preserve"> </w:t>
      </w:r>
      <w:r>
        <w:t xml:space="preserve">add the Google health check ranges</w:t>
      </w:r>
      <w:r>
        <w:t xml:space="preserve"> </w:t>
      </w:r>
      <w:r>
        <w:rPr>
          <w:rStyle w:val="VerbatimChar"/>
        </w:rPr>
        <w:t xml:space="preserve">130.211.0.0/22</w:t>
      </w:r>
      <w:r>
        <w:t xml:space="preserve"> </w:t>
      </w:r>
      <w:r>
        <w:t xml:space="preserve">and</w:t>
      </w:r>
      <w:r>
        <w:t xml:space="preserve"> </w:t>
      </w:r>
      <w:r>
        <w:rPr>
          <w:rStyle w:val="VerbatimChar"/>
        </w:rPr>
        <w:t xml:space="preserve">35.191.0.0/16</w:t>
      </w:r>
      <w:r>
        <w:t xml:space="preserve">; nothing in this design uses them, and including them in a security document invites questions you cannot answer.</w:t>
      </w:r>
    </w:p>
    <w:bookmarkEnd w:id="76"/>
    <w:bookmarkStart w:id="77" w:name="do-this-private-dns"/>
    <w:p>
      <w:pPr>
        <w:pStyle w:val="Heading2"/>
      </w:pPr>
      <w:r>
        <w:t xml:space="preserve">6.9 Do this — private DNS</w:t>
      </w:r>
    </w:p>
    <w:p>
      <w:pPr>
        <w:pStyle w:val="FirstParagraph"/>
      </w:pPr>
      <w:r>
        <w:rPr>
          <w:bCs/>
          <w:b/>
        </w:rPr>
        <w:t xml:space="preserve">What this is.</w:t>
      </w:r>
      <w:r>
        <w:t xml:space="preserve"> </w:t>
      </w:r>
      <w:r>
        <w:t xml:space="preserve">A</w:t>
      </w:r>
      <w:r>
        <w:t xml:space="preserve"> </w:t>
      </w:r>
      <w:r>
        <w:rPr>
          <w:bCs/>
          <w:b/>
        </w:rPr>
        <w:t xml:space="preserve">private DNS zone</w:t>
      </w:r>
      <w:r>
        <w:t xml:space="preserve"> </w:t>
      </w:r>
      <w:r>
        <w:t xml:space="preserve">is a name-to-address phone book that only exists inside your network.</w:t>
      </w:r>
      <w:r>
        <w:t xml:space="preserve"> </w:t>
      </w:r>
      <w:r>
        <w:rPr>
          <w:rStyle w:val="VerbatimChar"/>
        </w:rPr>
        <w:t xml:space="preserve">aihub.aicoe-dev-int.colt.net</w:t>
      </w:r>
      <w:r>
        <w:t xml:space="preserve"> </w:t>
      </w:r>
      <w:r>
        <w:t xml:space="preserve">resolves to</w:t>
      </w:r>
      <w:r>
        <w:t xml:space="preserve"> </w:t>
      </w:r>
      <w:r>
        <w:rPr>
          <w:rStyle w:val="VerbatimChar"/>
        </w:rPr>
        <w:t xml:space="preserve">10.110.73.20</w:t>
      </w:r>
      <w:r>
        <w:t xml:space="preserve"> </w:t>
      </w:r>
      <w:r>
        <w:t xml:space="preserve">for anything inside the VPC, and does not exist anywhere on the public internet.</w:t>
      </w:r>
    </w:p>
    <w:p>
      <w:pPr>
        <w:pStyle w:val="BodyText"/>
      </w:pPr>
      <w:r>
        <w:rPr>
          <w:bCs/>
          <w:b/>
        </w:rPr>
        <w:t xml:space="preserve">Where:</w:t>
      </w:r>
      <w:r>
        <w:t xml:space="preserve"> </w:t>
      </w:r>
      <w:r>
        <w:t xml:space="preserve">search for</w:t>
      </w:r>
      <w:r>
        <w:t xml:space="preserve"> </w:t>
      </w:r>
      <w:r>
        <w:rPr>
          <w:bCs/>
          <w:b/>
        </w:rPr>
        <w:t xml:space="preserve">Cloud DNS</w:t>
      </w:r>
      <w:r>
        <w:t xml:space="preserve">. Click</w:t>
      </w:r>
      <w:r>
        <w:t xml:space="preserve"> </w:t>
      </w:r>
      <w:r>
        <w:rPr>
          <w:bCs/>
          <w:b/>
        </w:rPr>
        <w:t xml:space="preserve">CREATE ZONE</w:t>
      </w:r>
      <w:r>
        <w:t xml:space="preserve">.</w:t>
      </w:r>
    </w:p>
    <w:p>
      <w:pPr>
        <w:pStyle w:val="BodyText"/>
      </w:pPr>
      <w:r>
        <w:rPr>
          <w:bCs/>
          <w:b/>
        </w:rPr>
        <w:t xml:space="preserve">Zone 1 — your platform hostnames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Zone type</w:t>
            </w:r>
          </w:p>
        </w:tc>
        <w:tc>
          <w:tcPr/>
          <w:p>
            <w:pPr>
              <w:pStyle w:val="Compact"/>
              <w:jc w:val="left"/>
            </w:pPr>
            <w:r>
              <w:rPr>
                <w:bCs/>
                <w:b/>
              </w:rPr>
              <w:t xml:space="preserve">Private</w:t>
            </w:r>
          </w:p>
        </w:tc>
      </w:tr>
      <w:tr>
        <w:tc>
          <w:tcPr/>
          <w:p>
            <w:pPr>
              <w:pStyle w:val="Compact"/>
              <w:jc w:val="left"/>
            </w:pPr>
            <w:r>
              <w:t xml:space="preserve">Zone name</w:t>
            </w:r>
          </w:p>
        </w:tc>
        <w:tc>
          <w:tcPr/>
          <w:p>
            <w:pPr>
              <w:pStyle w:val="Compact"/>
              <w:jc w:val="left"/>
            </w:pPr>
            <w:r>
              <w:rPr>
                <w:rStyle w:val="VerbatimChar"/>
              </w:rPr>
              <w:t xml:space="preserve">aicoe-dev-int</w:t>
            </w:r>
          </w:p>
        </w:tc>
      </w:tr>
      <w:tr>
        <w:tc>
          <w:tcPr/>
          <w:p>
            <w:pPr>
              <w:pStyle w:val="Compact"/>
              <w:jc w:val="left"/>
            </w:pPr>
            <w:r>
              <w:t xml:space="preserve">DNS name</w:t>
            </w:r>
          </w:p>
        </w:tc>
        <w:tc>
          <w:tcPr/>
          <w:p>
            <w:pPr>
              <w:pStyle w:val="Compact"/>
              <w:jc w:val="left"/>
            </w:pPr>
            <w:r>
              <w:rPr>
                <w:rStyle w:val="VerbatimChar"/>
              </w:rPr>
              <w:t xml:space="preserve">aicoe-dev-int.colt.net</w:t>
            </w:r>
          </w:p>
        </w:tc>
      </w:tr>
      <w:tr>
        <w:tc>
          <w:tcPr/>
          <w:p>
            <w:pPr>
              <w:pStyle w:val="Compact"/>
              <w:jc w:val="left"/>
            </w:pPr>
            <w:r>
              <w:t xml:space="preserve">Networks</w:t>
            </w:r>
          </w:p>
        </w:tc>
        <w:tc>
          <w:tcPr/>
          <w:p>
            <w:pPr>
              <w:pStyle w:val="Compact"/>
              <w:jc w:val="left"/>
            </w:pPr>
            <w:r>
              <w:rPr>
                <w:rStyle w:val="VerbatimChar"/>
              </w:rPr>
              <w:t xml:space="preserve">gclt-aicoe-dev-vpc</w:t>
            </w:r>
          </w:p>
        </w:tc>
      </w:tr>
    </w:tbl>
    <w:p>
      <w:pPr>
        <w:pStyle w:val="BodyText"/>
      </w:pPr>
      <w:r>
        <w:t xml:space="preserve">Then</w:t>
      </w:r>
      <w:r>
        <w:t xml:space="preserve"> </w:t>
      </w:r>
      <w:r>
        <w:rPr>
          <w:bCs/>
          <w:b/>
        </w:rPr>
        <w:t xml:space="preserve">Add standard</w:t>
      </w:r>
      <w:r>
        <w:t xml:space="preserve"> </w:t>
      </w:r>
      <w:r>
        <w:t xml:space="preserve">record sets: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DNS name</w:t>
            </w:r>
          </w:p>
        </w:tc>
        <w:tc>
          <w:tcPr/>
          <w:p>
            <w:pPr>
              <w:pStyle w:val="Compact"/>
              <w:jc w:val="left"/>
            </w:pPr>
            <w:r>
              <w:t xml:space="preserve">Type</w:t>
            </w:r>
          </w:p>
        </w:tc>
        <w:tc>
          <w:tcPr/>
          <w:p>
            <w:pPr>
              <w:pStyle w:val="Compact"/>
              <w:jc w:val="left"/>
            </w:pPr>
            <w:r>
              <w:t xml:space="preserve">TTL</w:t>
            </w:r>
          </w:p>
        </w:tc>
        <w:tc>
          <w:tcPr/>
          <w:p>
            <w:pPr>
              <w:pStyle w:val="Compact"/>
              <w:jc w:val="left"/>
            </w:pPr>
            <w:r>
              <w:t xml:space="preserve">Value</w:t>
            </w:r>
          </w:p>
        </w:tc>
      </w:tr>
      <w:tr>
        <w:tc>
          <w:tcPr/>
          <w:p>
            <w:pPr>
              <w:pStyle w:val="Compact"/>
              <w:jc w:val="left"/>
            </w:pPr>
            <w:r>
              <w:rPr>
                <w:rStyle w:val="VerbatimChar"/>
              </w:rPr>
              <w:t xml:space="preserve">aihub</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 xml:space="preserve">10.110.73.20</w:t>
            </w:r>
          </w:p>
        </w:tc>
      </w:tr>
      <w:tr>
        <w:tc>
          <w:tcPr/>
          <w:p>
            <w:pPr>
              <w:pStyle w:val="Compact"/>
              <w:jc w:val="left"/>
            </w:pPr>
            <w:r>
              <w:rPr>
                <w:rStyle w:val="VerbatimChar"/>
              </w:rPr>
              <w:t xml:space="preserve">llm</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192.168.6.146</w:t>
            </w:r>
          </w:p>
        </w:tc>
      </w:tr>
      <w:tr>
        <w:tc>
          <w:tcPr/>
          <w:p>
            <w:pPr>
              <w:pStyle w:val="Compact"/>
              <w:jc w:val="left"/>
            </w:pPr>
            <w:r>
              <w:rPr>
                <w:rStyle w:val="VerbatimChar"/>
              </w:rPr>
              <w:t xml:space="preserve">aihub-api</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192.168.6.146</w:t>
            </w:r>
          </w:p>
        </w:tc>
      </w:tr>
      <w:tr>
        <w:tc>
          <w:tcPr/>
          <w:p>
            <w:pPr>
              <w:pStyle w:val="Compact"/>
              <w:jc w:val="left"/>
            </w:pPr>
            <w:r>
              <w:rPr>
                <w:rStyle w:val="VerbatimChar"/>
              </w:rPr>
              <w:t xml:space="preserve">backend</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192.168.6.145</w:t>
            </w:r>
          </w:p>
        </w:tc>
      </w:tr>
    </w:tbl>
    <w:p>
      <w:pPr>
        <w:pStyle w:val="BodyText"/>
      </w:pPr>
      <w:r>
        <w:rPr>
          <w:bCs/>
          <w:b/>
        </w:rPr>
        <w:t xml:space="preserve">Zone 2 — redirect all Google API traffic to your endpoint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Zone type</w:t>
            </w:r>
          </w:p>
        </w:tc>
        <w:tc>
          <w:tcPr/>
          <w:p>
            <w:pPr>
              <w:pStyle w:val="Compact"/>
              <w:jc w:val="left"/>
            </w:pPr>
            <w:r>
              <w:rPr>
                <w:bCs/>
                <w:b/>
              </w:rPr>
              <w:t xml:space="preserve">Private</w:t>
            </w:r>
          </w:p>
        </w:tc>
      </w:tr>
      <w:tr>
        <w:tc>
          <w:tcPr/>
          <w:p>
            <w:pPr>
              <w:pStyle w:val="Compact"/>
              <w:jc w:val="left"/>
            </w:pPr>
            <w:r>
              <w:t xml:space="preserve">Zone name</w:t>
            </w:r>
          </w:p>
        </w:tc>
        <w:tc>
          <w:tcPr/>
          <w:p>
            <w:pPr>
              <w:pStyle w:val="Compact"/>
              <w:jc w:val="left"/>
            </w:pPr>
            <w:r>
              <w:rPr>
                <w:rStyle w:val="VerbatimChar"/>
              </w:rPr>
              <w:t xml:space="preserve">googleapis-private</w:t>
            </w:r>
          </w:p>
        </w:tc>
      </w:tr>
      <w:tr>
        <w:tc>
          <w:tcPr/>
          <w:p>
            <w:pPr>
              <w:pStyle w:val="Compact"/>
              <w:jc w:val="left"/>
            </w:pPr>
            <w:r>
              <w:t xml:space="preserve">DNS name</w:t>
            </w:r>
          </w:p>
        </w:tc>
        <w:tc>
          <w:tcPr/>
          <w:p>
            <w:pPr>
              <w:pStyle w:val="Compact"/>
              <w:jc w:val="left"/>
            </w:pPr>
            <w:r>
              <w:rPr>
                <w:rStyle w:val="VerbatimChar"/>
              </w:rPr>
              <w:t xml:space="preserve">googleapis.com</w:t>
            </w:r>
          </w:p>
        </w:tc>
      </w:tr>
      <w:tr>
        <w:tc>
          <w:tcPr/>
          <w:p>
            <w:pPr>
              <w:pStyle w:val="Compact"/>
              <w:jc w:val="left"/>
            </w:pPr>
            <w:r>
              <w:t xml:space="preserve">Networks</w:t>
            </w:r>
          </w:p>
        </w:tc>
        <w:tc>
          <w:tcPr/>
          <w:p>
            <w:pPr>
              <w:pStyle w:val="Compact"/>
              <w:jc w:val="left"/>
            </w:pPr>
            <w:r>
              <w:rPr>
                <w:rStyle w:val="VerbatimChar"/>
              </w:rPr>
              <w:t xml:space="preserve">gclt-aicoe-dev-vpc</w:t>
            </w:r>
          </w:p>
        </w:tc>
      </w:tr>
    </w:tbl>
    <w:p>
      <w:pPr>
        <w:pStyle w:val="BodyText"/>
      </w:pPr>
      <w:r>
        <w:t xml:space="preserve">Records: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DNS name</w:t>
            </w:r>
          </w:p>
        </w:tc>
        <w:tc>
          <w:tcPr/>
          <w:p>
            <w:pPr>
              <w:pStyle w:val="Compact"/>
              <w:jc w:val="left"/>
            </w:pPr>
            <w:r>
              <w:t xml:space="preserve">Type</w:t>
            </w:r>
          </w:p>
        </w:tc>
        <w:tc>
          <w:tcPr/>
          <w:p>
            <w:pPr>
              <w:pStyle w:val="Compact"/>
              <w:jc w:val="left"/>
            </w:pPr>
            <w:r>
              <w:t xml:space="preserve">TTL</w:t>
            </w:r>
          </w:p>
        </w:tc>
        <w:tc>
          <w:tcPr/>
          <w:p>
            <w:pPr>
              <w:pStyle w:val="Compact"/>
              <w:jc w:val="left"/>
            </w:pPr>
            <w:r>
              <w:t xml:space="preserve">Value</w:t>
            </w:r>
          </w:p>
        </w:tc>
      </w:tr>
      <w:tr>
        <w:tc>
          <w:tcPr/>
          <w:p>
            <w:pPr>
              <w:pStyle w:val="Compact"/>
              <w:jc w:val="left"/>
            </w:pPr>
            <w:r>
              <w:rPr>
                <w:rStyle w:val="VerbatimChar"/>
              </w:rPr>
              <w:t xml:space="preserve">*</w:t>
            </w:r>
            <w:r>
              <w:t xml:space="preserve"> </w:t>
            </w:r>
            <w:r>
              <w:t xml:space="preserve">(wildcard)</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192.168.6.164</w:t>
            </w:r>
          </w:p>
        </w:tc>
      </w:tr>
      <w:tr>
        <w:tc>
          <w:tcPr/>
          <w:p>
            <w:pPr>
              <w:pStyle w:val="Compact"/>
              <w:jc w:val="left"/>
            </w:pPr>
            <w:r>
              <w:t xml:space="preserve">(leave blank, the zone root)</w:t>
            </w:r>
          </w:p>
        </w:tc>
        <w:tc>
          <w:tcPr/>
          <w:p>
            <w:pPr>
              <w:pStyle w:val="Compact"/>
              <w:jc w:val="left"/>
            </w:pPr>
            <w:r>
              <w:t xml:space="preserve">A</w:t>
            </w:r>
          </w:p>
        </w:tc>
        <w:tc>
          <w:tcPr/>
          <w:p>
            <w:pPr>
              <w:pStyle w:val="Compact"/>
              <w:jc w:val="left"/>
            </w:pPr>
            <w:r>
              <w:t xml:space="preserve">300</w:t>
            </w:r>
          </w:p>
        </w:tc>
        <w:tc>
          <w:tcPr/>
          <w:p>
            <w:pPr>
              <w:pStyle w:val="Compact"/>
              <w:jc w:val="left"/>
            </w:pPr>
            <w:r>
              <w:rPr>
                <w:rStyle w:val="VerbatimChar"/>
              </w:rPr>
              <w:t>192.168.6.164</w:t>
            </w:r>
          </w:p>
        </w:tc>
      </w:tr>
    </w:tbl>
    <w:p>
      <w:pPr>
        <w:pStyle w:val="BodyText"/>
      </w:pPr>
      <w:r>
        <w:rPr>
          <w:bCs/>
          <w:b/>
        </w:rPr>
        <w:t xml:space="preserve">Zone 3 — internal Cloud Run addresses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Zone type</w:t>
            </w:r>
          </w:p>
        </w:tc>
        <w:tc>
          <w:tcPr/>
          <w:p>
            <w:pPr>
              <w:pStyle w:val="Compact"/>
              <w:jc w:val="left"/>
            </w:pPr>
            <w:r>
              <w:rPr>
                <w:bCs/>
                <w:b/>
              </w:rPr>
              <w:t xml:space="preserve">Private</w:t>
            </w:r>
          </w:p>
        </w:tc>
      </w:tr>
      <w:tr>
        <w:tc>
          <w:tcPr/>
          <w:p>
            <w:pPr>
              <w:pStyle w:val="Compact"/>
              <w:jc w:val="left"/>
            </w:pPr>
            <w:r>
              <w:t xml:space="preserve">Zone name</w:t>
            </w:r>
          </w:p>
        </w:tc>
        <w:tc>
          <w:tcPr/>
          <w:p>
            <w:pPr>
              <w:pStyle w:val="Compact"/>
              <w:jc w:val="left"/>
            </w:pPr>
            <w:r>
              <w:rPr>
                <w:rStyle w:val="VerbatimChar"/>
              </w:rPr>
              <w:t xml:space="preserve">run-app-private</w:t>
            </w:r>
          </w:p>
        </w:tc>
      </w:tr>
      <w:tr>
        <w:tc>
          <w:tcPr/>
          <w:p>
            <w:pPr>
              <w:pStyle w:val="Compact"/>
              <w:jc w:val="left"/>
            </w:pPr>
            <w:r>
              <w:t xml:space="preserve">DNS name</w:t>
            </w:r>
          </w:p>
        </w:tc>
        <w:tc>
          <w:tcPr/>
          <w:p>
            <w:pPr>
              <w:pStyle w:val="Compact"/>
              <w:jc w:val="left"/>
            </w:pPr>
            <w:r>
              <w:rPr>
                <w:rStyle w:val="VerbatimChar"/>
              </w:rPr>
              <w:t xml:space="preserve">run.app</w:t>
            </w:r>
          </w:p>
        </w:tc>
      </w:tr>
      <w:tr>
        <w:tc>
          <w:tcPr/>
          <w:p>
            <w:pPr>
              <w:pStyle w:val="Compact"/>
              <w:jc w:val="left"/>
            </w:pPr>
            <w:r>
              <w:t xml:space="preserve">Networks</w:t>
            </w:r>
          </w:p>
        </w:tc>
        <w:tc>
          <w:tcPr/>
          <w:p>
            <w:pPr>
              <w:pStyle w:val="Compact"/>
              <w:jc w:val="left"/>
            </w:pPr>
            <w:r>
              <w:rPr>
                <w:rStyle w:val="VerbatimChar"/>
              </w:rPr>
              <w:t xml:space="preserve">gclt-aicoe-dev-vpc</w:t>
            </w:r>
          </w:p>
        </w:tc>
      </w:tr>
    </w:tbl>
    <w:p>
      <w:pPr>
        <w:pStyle w:val="BodyText"/>
      </w:pPr>
      <w:r>
        <w:t xml:space="preserve">Leave it empty for now. Cloud Tasks needs it in Part 16 to reach the translation worker.</w:t>
      </w:r>
    </w:p>
    <w:bookmarkEnd w:id="77"/>
    <w:bookmarkStart w:id="78" w:name="check-it-worked-6"/>
    <w:p>
      <w:pPr>
        <w:pStyle w:val="Heading2"/>
      </w:pPr>
      <w:r>
        <w:t xml:space="preserve">6.10 Check it worked</w:t>
      </w:r>
    </w:p>
    <w:p>
      <w:pPr>
        <w:pStyle w:val="FirstParagraph"/>
      </w:pPr>
      <w:r>
        <w:t>You cannot test DNS until something exists inside the network to test from. Come back after Part 19 and run, from a Cloud Run service, a name lookup for storage.googleapis.com — it should answer 192.168.6.164.</w:t>
      </w:r>
      <w:r/>
      <w:r>
        <w:rPr>
          <w:rStyle w:val="VerbatimChar"/>
        </w:rPr>
      </w:r>
      <w:r/>
      <w:r/>
      <w:r/>
      <w:r>
        <w:rPr>
          <w:rStyle w:val="VerbatimChar"/>
        </w:rPr>
      </w:r>
      <w:r/>
    </w:p>
    <w:bookmarkEnd w:id="78"/>
    <w:bookmarkStart w:id="79" w:name="watch-out-8"/>
    <w:p>
      <w:pPr>
        <w:pStyle w:val="Heading2"/>
      </w:pPr>
      <w:r>
        <w:t xml:space="preserve">6.11 Watch out</w:t>
      </w:r>
    </w:p>
    <w:p>
      <w:pPr>
        <w:pStyle w:val="FirstParagraph"/>
      </w:pPr>
      <w:r>
        <w:t>Zone 2 is the reason Private Google Access is off. Together they force every Google API call through one address you control. Do not create Zone 2 until Part 8 has created the endpoint at 192.168.6.164, or every Google API call from inside the network will fail to connect for as long as the gap lasts. If you have already created it, that is fine — just complete Part 8 promptly.</w:t>
      </w:r>
      <w:r/>
      <w:r>
        <w:rPr>
          <w:bCs/>
          <w:b/>
        </w:rPr>
      </w:r>
      <w:r>
        <w:rPr>
          <w:bCs/>
          <w:b/>
        </w:rPr>
      </w:r>
      <w:r>
        <w:rPr>
          <w:rStyle w:val="VerbatimChar"/>
          <w:bCs/>
          <w:b/>
        </w:rPr>
      </w:r>
      <w:r/>
    </w:p>
    <w:p>
      <w:r>
        <w:br w:type="page"/>
      </w:r>
    </w:p>
    <w:bookmarkEnd w:id="79"/>
    <w:bookmarkEnd w:id="80"/>
    <w:bookmarkStart w:id="86" w:name="X860e6061a9e5821d4a15ab1bf04e05caf9219df"/>
    <w:p>
      <w:pPr>
        <w:pStyle w:val="Heading1"/>
      </w:pPr>
      <w:r>
        <w:t xml:space="preserve">Part 7 — Attach service projects to the Shared VPC</w:t>
      </w:r>
    </w:p>
    <w:bookmarkStart w:id="81" w:name="what-this-is-6"/>
    <w:p>
      <w:pPr>
        <w:pStyle w:val="Heading2"/>
      </w:pPr>
      <w:r>
        <w:t xml:space="preserve">7.1 What this is</w:t>
      </w:r>
    </w:p>
    <w:p>
      <w:pPr>
        <w:pStyle w:val="FirstParagraph"/>
      </w:pPr>
      <w:r>
        <w:t xml:space="preserve">Right now the network exists in one project and your workloads will live in others.</w:t>
      </w:r>
      <w:r>
        <w:t xml:space="preserve"> </w:t>
      </w:r>
      <w:r>
        <w:rPr>
          <w:bCs/>
          <w:b/>
        </w:rPr>
        <w:t xml:space="preserve">Attaching</w:t>
      </w:r>
      <w:r>
        <w:t xml:space="preserve"> </w:t>
      </w:r>
      <w:r>
        <w:t xml:space="preserve">a service project lets its resources use the host project’s subnets directly. No peering, no gateways — they simply share the network.</w:t>
      </w:r>
    </w:p>
    <w:bookmarkEnd w:id="81"/>
    <w:bookmarkStart w:id="82" w:name="where-4"/>
    <w:p>
      <w:pPr>
        <w:pStyle w:val="Heading2"/>
      </w:pPr>
      <w:r>
        <w:t xml:space="preserve">7.2 Where</w:t>
      </w:r>
    </w:p>
    <w:p>
      <w:pPr>
        <w:pStyle w:val="FirstParagraph"/>
      </w:pPr>
      <w:r>
        <w:t xml:space="preserve">Switch to</w:t>
      </w:r>
      <w:r>
        <w:t xml:space="preserve"> </w:t>
      </w:r>
      <w:r>
        <w:rPr>
          <w:rStyle w:val="VerbatimChar"/>
        </w:rPr>
        <w:t xml:space="preserve">gclt-aicoe-dev-network</w:t>
      </w:r>
      <w:r>
        <w:t xml:space="preserve">. Search for</w:t>
      </w:r>
      <w:r>
        <w:t xml:space="preserve"> </w:t>
      </w:r>
      <w:r>
        <w:rPr>
          <w:bCs/>
          <w:b/>
        </w:rPr>
        <w:t xml:space="preserve">Shared VPC</w:t>
      </w:r>
      <w:r>
        <w:t xml:space="preserve">, or</w:t>
      </w:r>
      <w:r>
        <w:t xml:space="preserve"> </w:t>
      </w:r>
      <w:r>
        <w:rPr>
          <w:bCs/>
          <w:b/>
        </w:rPr>
        <w:t xml:space="preserve">VPC network</w:t>
      </w:r>
      <w:r>
        <w:t xml:space="preserve"> </w:t>
      </w:r>
      <w:r>
        <w:t xml:space="preserve">→</w:t>
      </w:r>
      <w:r>
        <w:t xml:space="preserve"> </w:t>
      </w:r>
      <w:r>
        <w:rPr>
          <w:bCs/>
          <w:b/>
        </w:rPr>
        <w:t xml:space="preserve">Shared VPC</w:t>
      </w:r>
      <w:r>
        <w:t xml:space="preserve">.</w:t>
      </w:r>
    </w:p>
    <w:bookmarkEnd w:id="82"/>
    <w:bookmarkStart w:id="83" w:name="do-this-3"/>
    <w:p>
      <w:pPr>
        <w:pStyle w:val="Heading2"/>
      </w:pPr>
      <w:r>
        <w:t xml:space="preserve">7.3 Do this</w:t>
      </w:r>
    </w:p>
    <w:p>
      <w:pPr>
        <w:numPr>
          <w:ilvl w:val="0"/>
          <w:numId w:val="1009"/>
        </w:numPr>
        <w:pStyle w:val="Compact"/>
      </w:pPr>
      <w:r>
        <w:t xml:space="preserve">If prompted, click</w:t>
      </w:r>
      <w:r>
        <w:t xml:space="preserve"> </w:t>
      </w:r>
      <w:r>
        <w:rPr>
          <w:bCs/>
          <w:b/>
        </w:rPr>
        <w:t xml:space="preserve">Set up Shared VPC</w:t>
      </w:r>
      <w:r>
        <w:t xml:space="preserve"> </w:t>
      </w:r>
      <w:r>
        <w:t xml:space="preserve">/</w:t>
      </w:r>
      <w:r>
        <w:t xml:space="preserve"> </w:t>
      </w:r>
      <w:r>
        <w:rPr>
          <w:bCs/>
          <w:b/>
        </w:rPr>
        <w:t xml:space="preserve">Enable host project</w:t>
      </w:r>
      <w:r>
        <w:t xml:space="preserve">.</w:t>
      </w:r>
    </w:p>
    <w:p>
      <w:pPr>
        <w:numPr>
          <w:ilvl w:val="0"/>
          <w:numId w:val="1009"/>
        </w:numPr>
        <w:pStyle w:val="Compact"/>
      </w:pPr>
      <w:r>
        <w:t xml:space="preserve">Click</w:t>
      </w:r>
      <w:r>
        <w:t xml:space="preserve"> </w:t>
      </w:r>
      <w:r>
        <w:rPr>
          <w:bCs/>
          <w:b/>
        </w:rPr>
        <w:t xml:space="preserve">ATTACH PROJECTS</w:t>
      </w:r>
      <w:r>
        <w:t xml:space="preserve">.</w:t>
      </w:r>
    </w:p>
    <w:p>
      <w:pPr>
        <w:numPr>
          <w:ilvl w:val="0"/>
          <w:numId w:val="1009"/>
        </w:numPr>
        <w:pStyle w:val="Compact"/>
      </w:pPr>
      <w:r>
        <w:t xml:space="preserve">Tick these projects:</w:t>
      </w:r>
      <w:r>
        <w:t xml:space="preserve"> </w:t>
      </w:r>
      <w:r>
        <w:rPr>
          <w:rStyle w:val="VerbatimChar"/>
        </w:rPr>
        <w:t xml:space="preserve">gclt-aicoe-dev-ingress</w:t>
      </w:r>
      <w:r>
        <w:t xml:space="preserve">,</w:t>
      </w:r>
      <w:r>
        <w:t xml:space="preserve"> </w:t>
      </w:r>
      <w:r>
        <w:rPr>
          <w:rStyle w:val="VerbatimChar"/>
        </w:rPr>
        <w:t xml:space="preserve">gclt-aicoe-dev-aihub-ui</w:t>
      </w:r>
      <w:r>
        <w:t xml:space="preserve">,</w:t>
      </w:r>
      <w:r>
        <w:t xml:space="preserve"> </w:t>
      </w:r>
      <w:r>
        <w:rPr>
          <w:rStyle w:val="VerbatimChar"/>
        </w:rPr>
        <w:t xml:space="preserve">gclt-aicoe-dev-st</w:t>
      </w:r>
      <w:r>
        <w:t xml:space="preserve">.</w:t>
      </w:r>
    </w:p>
    <w:p>
      <w:pPr>
        <w:numPr>
          <w:ilvl w:val="0"/>
          <w:numId w:val="1009"/>
        </w:numPr>
        <w:pStyle w:val="Compact"/>
      </w:pPr>
      <w:r>
        <w:t xml:space="preserve">Under subnet sharing choose</w:t>
      </w:r>
      <w:r>
        <w:t xml:space="preserve"> </w:t>
      </w:r>
      <w:r>
        <w:rPr>
          <w:bCs/>
          <w:b/>
        </w:rPr>
        <w:t xml:space="preserve">Individual subnets</w:t>
      </w:r>
      <w:r>
        <w:t xml:space="preserve"> </w:t>
      </w:r>
      <w:r>
        <w:t xml:space="preserve">and select all five, or choose all subnets — either is fine for dev.</w:t>
      </w:r>
    </w:p>
    <w:p>
      <w:pPr>
        <w:numPr>
          <w:ilvl w:val="0"/>
          <w:numId w:val="1009"/>
        </w:numPr>
        <w:pStyle w:val="Compact"/>
      </w:pPr>
      <w:r>
        <w:t xml:space="preserve">Click</w:t>
      </w:r>
      <w:r>
        <w:t xml:space="preserve"> </w:t>
      </w:r>
      <w:r>
        <w:rPr>
          <w:bCs/>
          <w:b/>
        </w:rPr>
        <w:t xml:space="preserve">Save</w:t>
      </w:r>
      <w:r>
        <w:t xml:space="preserve">.</w:t>
      </w:r>
    </w:p>
    <w:p>
      <w:pPr>
        <w:pStyle w:val="FirstParagraph"/>
      </w:pPr>
      <w:r>
        <w:rPr>
          <w:bCs/>
          <w:b/>
        </w:rPr>
        <w:t xml:space="preserve">Do not attach</w:t>
      </w:r>
      <w:r>
        <w:t xml:space="preserve"> </w:t>
      </w:r>
      <w:r>
        <w:rPr>
          <w:rStyle w:val="VerbatimChar"/>
        </w:rPr>
        <w:t xml:space="preserve">gclt-aicoe-dev-llm</w:t>
      </w:r>
      <w:r>
        <w:t xml:space="preserve"> </w:t>
      </w:r>
      <w:r>
        <w:t xml:space="preserve">(it holds no compute and needs no network),</w:t>
      </w:r>
      <w:r>
        <w:t xml:space="preserve"> </w:t>
      </w:r>
      <w:r>
        <w:rPr>
          <w:rStyle w:val="VerbatimChar"/>
        </w:rPr>
        <w:t xml:space="preserve">gclt-aicoe-dev-apigee</w:t>
      </w:r>
      <w:r>
        <w:t xml:space="preserve"> </w:t>
      </w:r>
      <w:r>
        <w:t xml:space="preserve">(Apigee reaches you over Private Service Connect, not by sharing the network),</w:t>
      </w:r>
      <w:r>
        <w:t xml:space="preserve"> </w:t>
      </w:r>
      <w:r>
        <w:rPr>
          <w:rStyle w:val="VerbatimChar"/>
        </w:rPr>
        <w:t xml:space="preserve">gclt-aicoe-dev-auditlogs</w:t>
      </w:r>
      <w:r>
        <w:t xml:space="preserve">, or</w:t>
      </w:r>
      <w:r>
        <w:t xml:space="preserve"> </w:t>
      </w:r>
      <w:r>
        <w:rPr>
          <w:rStyle w:val="VerbatimChar"/>
        </w:rPr>
        <w:t xml:space="preserve">aicoe-sharedwif</w:t>
      </w:r>
      <w:r>
        <w:t xml:space="preserve">.</w:t>
      </w:r>
    </w:p>
    <w:bookmarkEnd w:id="83"/>
    <w:bookmarkStart w:id="84" w:name="check-it-worked-7"/>
    <w:p>
      <w:pPr>
        <w:pStyle w:val="Heading2"/>
      </w:pPr>
      <w:r>
        <w:t xml:space="preserve">7.4 Check it worked</w:t>
      </w:r>
    </w:p>
    <w:p>
      <w:pPr>
        <w:pStyle w:val="FirstParagraph"/>
      </w:pPr>
      <w:r>
        <w:t xml:space="preserve">The Shared VPC page lists three attached service projects. Switch to</w:t>
      </w:r>
      <w:r>
        <w:t xml:space="preserve"> </w:t>
      </w:r>
      <w:r>
        <w:rPr>
          <w:rStyle w:val="VerbatimChar"/>
        </w:rPr>
        <w:t xml:space="preserve">gclt-aicoe-dev-st</w:t>
      </w:r>
      <w:r>
        <w:t xml:space="preserve">, go to</w:t>
      </w:r>
      <w:r>
        <w:t xml:space="preserve"> </w:t>
      </w:r>
      <w:r>
        <w:rPr>
          <w:bCs/>
          <w:b/>
        </w:rPr>
        <w:t xml:space="preserve">VPC networks</w:t>
      </w:r>
      <w:r>
        <w:t xml:space="preserve">, and you should see</w:t>
      </w:r>
      <w:r>
        <w:t xml:space="preserve"> </w:t>
      </w:r>
      <w:r>
        <w:rPr>
          <w:rStyle w:val="VerbatimChar"/>
        </w:rPr>
        <w:t xml:space="preserve">gclt-aicoe-dev-vpc</w:t>
      </w:r>
      <w:r>
        <w:t xml:space="preserve"> </w:t>
      </w:r>
      <w:r>
        <w:t xml:space="preserve">listed as shared from the host project.</w:t>
      </w:r>
    </w:p>
    <w:bookmarkEnd w:id="84"/>
    <w:bookmarkStart w:id="85" w:name="watch-out-9"/>
    <w:p>
      <w:pPr>
        <w:pStyle w:val="Heading2"/>
      </w:pPr>
      <w:r>
        <w:t xml:space="preserve">7.5 Watch out</w:t>
      </w:r>
    </w:p>
    <w:p>
      <w:pPr>
        <w:pStyle w:val="FirstParagraph"/>
      </w:pPr>
      <w:r>
        <w:t xml:space="preserve">You need the</w:t>
      </w:r>
      <w:r>
        <w:t xml:space="preserve"> </w:t>
      </w:r>
      <w:r>
        <w:rPr>
          <w:rStyle w:val="VerbatimChar"/>
        </w:rPr>
        <w:t xml:space="preserve">Shared VPC Admin</w:t>
      </w:r>
      <w:r>
        <w:t xml:space="preserve"> </w:t>
      </w:r>
      <w:r>
        <w:t xml:space="preserve">role at the folder or organisation for this, not just project owner. If</w:t>
      </w:r>
      <w:r>
        <w:t xml:space="preserve"> </w:t>
      </w:r>
      <w:r>
        <w:rPr>
          <w:bCs/>
          <w:b/>
        </w:rPr>
        <w:t xml:space="preserve">ATTACH PROJECTS</w:t>
      </w:r>
      <w:r>
        <w:t xml:space="preserve"> </w:t>
      </w:r>
      <w:r>
        <w:t xml:space="preserve">is greyed out, that is why.</w:t>
      </w:r>
    </w:p>
    <w:p>
      <w:r>
        <w:br w:type="page"/>
      </w:r>
    </w:p>
    <w:bookmarkEnd w:id="85"/>
    <w:bookmarkEnd w:id="86"/>
    <w:bookmarkStart w:id="92" w:name="X6588d92eca437358ae6658f093036c8429ded23"/>
    <w:p>
      <w:pPr>
        <w:pStyle w:val="Heading1"/>
      </w:pPr>
      <w:r>
        <w:t xml:space="preserve">Part 8 — Private Service Connect to Google APIs</w:t>
      </w:r>
    </w:p>
    <w:bookmarkStart w:id="87" w:name="what-this-is-7"/>
    <w:p>
      <w:pPr>
        <w:pStyle w:val="Heading2"/>
      </w:pPr>
      <w:r>
        <w:t xml:space="preserve">8.1 What this is</w:t>
      </w:r>
    </w:p>
    <w:p>
      <w:pPr>
        <w:pStyle w:val="FirstParagraph"/>
      </w:pPr>
      <w:r>
        <w:t xml:space="preserve">Your workloads need to call Google services — Cloud Storage, BigQuery, Vertex AI. Normally that traffic goes out to Google’s public API addresses.</w:t>
      </w:r>
      <w:r>
        <w:t xml:space="preserve"> </w:t>
      </w:r>
      <w:r>
        <w:rPr>
          <w:bCs/>
          <w:b/>
        </w:rPr>
        <w:t xml:space="preserve">Private Service Connect</w:t>
      </w:r>
      <w:r>
        <w:t xml:space="preserve"> </w:t>
      </w:r>
      <w:r>
        <w:t xml:space="preserve">gives you a private address inside your own network that forwards to those APIs, so the traffic never touches a public route.</w:t>
      </w:r>
    </w:p>
    <w:p>
      <w:pPr>
        <w:pStyle w:val="BodyText"/>
      </w:pPr>
      <w:r>
        <w:t>This address is special: it is a global internal address and it must not sit inside any subnet. That is why §0.5 left 192.168.6.160/28 empty.</w:t>
      </w:r>
      <w:r/>
      <w:r>
        <w:rPr>
          <w:bCs/>
          <w:b/>
        </w:rPr>
      </w:r>
      <w:r/>
      <w:r/>
      <w:r/>
      <w:r>
        <w:rPr>
          <w:bCs/>
          <w:b/>
        </w:rPr>
      </w:r>
      <w:r/>
      <w:r/>
      <w:r/>
      <w:r>
        <w:rPr>
          <w:rStyle w:val="VerbatimChar"/>
        </w:rPr>
      </w:r>
      <w:r/>
      <w:r/>
    </w:p>
    <w:bookmarkEnd w:id="87"/>
    <w:bookmarkStart w:id="88" w:name="where-5"/>
    <w:p>
      <w:pPr>
        <w:pStyle w:val="Heading2"/>
      </w:pPr>
      <w:r>
        <w:t xml:space="preserve">8.2 Where</w:t>
      </w:r>
    </w:p>
    <w:p>
      <w:pPr>
        <w:pStyle w:val="FirstParagraph"/>
      </w:pPr>
      <w:r>
        <w:t xml:space="preserve">In</w:t>
      </w:r>
      <w:r>
        <w:t xml:space="preserve"> </w:t>
      </w:r>
      <w:r>
        <w:rPr>
          <w:rStyle w:val="VerbatimChar"/>
        </w:rPr>
        <w:t xml:space="preserve">gclt-aicoe-dev-network</w:t>
      </w:r>
      <w:r>
        <w:t xml:space="preserve">, search for</w:t>
      </w:r>
      <w:r>
        <w:t xml:space="preserve"> </w:t>
      </w:r>
      <w:r>
        <w:rPr>
          <w:bCs/>
          <w:b/>
        </w:rPr>
        <w:t xml:space="preserve">Private Service Connect</w:t>
      </w:r>
      <w:r>
        <w:t xml:space="preserve">. Go to the</w:t>
      </w:r>
      <w:r>
        <w:t xml:space="preserve"> </w:t>
      </w:r>
      <w:r>
        <w:rPr>
          <w:bCs/>
          <w:b/>
        </w:rPr>
        <w:t xml:space="preserve">Endpoints</w:t>
      </w:r>
      <w:r>
        <w:t xml:space="preserve"> </w:t>
      </w:r>
      <w:r>
        <w:t xml:space="preserve">(or</w:t>
      </w:r>
      <w:r>
        <w:t xml:space="preserve"> </w:t>
      </w:r>
      <w:r>
        <w:rPr>
          <w:bCs/>
          <w:b/>
        </w:rPr>
        <w:t xml:space="preserve">Connected endpoints</w:t>
      </w:r>
      <w:r>
        <w:t xml:space="preserve">) tab. Click</w:t>
      </w:r>
      <w:r>
        <w:t xml:space="preserve"> </w:t>
      </w:r>
      <w:r>
        <w:rPr>
          <w:bCs/>
          <w:b/>
        </w:rPr>
        <w:t xml:space="preserve">CONNECT ENDPOINT</w:t>
      </w:r>
      <w:r>
        <w:t xml:space="preserve">.</w:t>
      </w:r>
    </w:p>
    <w:bookmarkEnd w:id="88"/>
    <w:bookmarkStart w:id="89" w:name="do-this-4"/>
    <w:p>
      <w:pPr>
        <w:pStyle w:val="Heading2"/>
      </w:pPr>
      <w:r>
        <w:t xml:space="preserve">8.3 Do this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Target</w:t>
            </w:r>
          </w:p>
        </w:tc>
        <w:tc>
          <w:tcPr/>
          <w:p>
            <w:pPr>
              <w:pStyle w:val="Compact"/>
              <w:jc w:val="left"/>
            </w:pPr>
            <w:r>
              <w:rPr>
                <w:bCs/>
                <w:b/>
              </w:rPr>
              <w:t xml:space="preserve">All Google APIs</w:t>
            </w:r>
          </w:p>
        </w:tc>
      </w:tr>
      <w:tr>
        <w:tc>
          <w:tcPr/>
          <w:p>
            <w:pPr>
              <w:pStyle w:val="Compact"/>
              <w:jc w:val="left"/>
            </w:pPr>
            <w:r>
              <w:t xml:space="preserve">Service bundle / target</w:t>
            </w:r>
          </w:p>
        </w:tc>
        <w:tc>
          <w:tcPr/>
          <w:p>
            <w:pPr>
              <w:pStyle w:val="Compact"/>
              <w:jc w:val="left"/>
            </w:pPr>
            <w:r>
              <w:t xml:space="preserve">choose</w:t>
            </w:r>
            <w:r>
              <w:t xml:space="preserve"> </w:t>
            </w:r>
            <w:r>
              <w:rPr>
                <w:bCs/>
                <w:b/>
              </w:rPr>
              <w:t xml:space="preserve">vpc-sc</w:t>
            </w:r>
            <w:r>
              <w:t xml:space="preserve"> </w:t>
            </w:r>
            <w:r>
              <w:t xml:space="preserve">if offered, otherwise</w:t>
            </w:r>
            <w:r>
              <w:t xml:space="preserve"> </w:t>
            </w:r>
            <w:r>
              <w:rPr>
                <w:bCs/>
                <w:b/>
              </w:rPr>
              <w:t xml:space="preserve">all-apis</w:t>
            </w:r>
          </w:p>
        </w:tc>
      </w:tr>
      <w:tr>
        <w:tc>
          <w:tcPr/>
          <w:p>
            <w:pPr>
              <w:pStyle w:val="Compact"/>
              <w:jc w:val="left"/>
            </w:pPr>
            <w:r>
              <w:t xml:space="preserve">Endpoint name</w:t>
            </w:r>
          </w:p>
        </w:tc>
        <w:tc>
          <w:tcPr/>
          <w:p>
            <w:pPr>
              <w:pStyle w:val="Compact"/>
              <w:jc w:val="left"/>
            </w:pPr>
            <w:r>
              <w:rPr>
                <w:rStyle w:val="VerbatimChar"/>
              </w:rPr>
              <w:t xml:space="preserve">psc-google-apis</w:t>
            </w:r>
          </w:p>
        </w:tc>
      </w:tr>
      <w:tr>
        <w:tc>
          <w:tcPr/>
          <w:p>
            <w:pPr>
              <w:pStyle w:val="Compact"/>
              <w:jc w:val="left"/>
            </w:pPr>
            <w:r>
              <w:t xml:space="preserve">Network</w:t>
            </w:r>
          </w:p>
        </w:tc>
        <w:tc>
          <w:tcPr/>
          <w:p>
            <w:pPr>
              <w:pStyle w:val="Compact"/>
              <w:jc w:val="left"/>
            </w:pPr>
            <w:r>
              <w:rPr>
                <w:rStyle w:val="VerbatimChar"/>
              </w:rPr>
              <w:t xml:space="preserve">gclt-aicoe-dev-vpc</w:t>
            </w:r>
          </w:p>
        </w:tc>
      </w:tr>
      <w:tr>
        <w:tc>
          <w:tcPr/>
          <w:p>
            <w:pPr>
              <w:pStyle w:val="Compact"/>
              <w:jc w:val="left"/>
            </w:pPr>
            <w:r>
              <w:t xml:space="preserve">IP address</w:t>
            </w:r>
          </w:p>
        </w:tc>
        <w:tc>
          <w:tcPr/>
          <w:p>
            <w:pPr>
              <w:pStyle w:val="Compact"/>
              <w:jc w:val="left"/>
            </w:pPr>
            <w:r>
              <w:rPr>
                <w:bCs/>
                <w:b/>
              </w:rPr>
              <w:t>Create new IP address → name psc-google-apis-ip, custom address 192.168.6.164</w:t>
            </w:r>
            <w:r/>
            <w:r/>
            <w:r/>
            <w:r>
              <w:rPr>
                <w:rStyle w:val="VerbatimChar"/>
              </w:rPr>
            </w:r>
            <w:r/>
            <w:r/>
            <w:r>
              <w:rPr>
                <w:rStyle w:val="VerbatimChar"/>
              </w:rPr>
            </w:r>
          </w:p>
        </w:tc>
      </w:tr>
    </w:tbl>
    <w:p>
      <w:pPr>
        <w:pStyle w:val="BodyText"/>
      </w:pPr>
      <w:r>
        <w:t xml:space="preserve">Click</w:t>
      </w:r>
      <w:r>
        <w:t xml:space="preserve"> </w:t>
      </w:r>
      <w:r>
        <w:rPr>
          <w:bCs/>
          <w:b/>
        </w:rPr>
        <w:t xml:space="preserve">Add endpoint</w:t>
      </w:r>
      <w:r>
        <w:t xml:space="preserve">.</w:t>
      </w:r>
    </w:p>
    <w:p>
      <w:pPr>
        <w:pStyle w:val="BodyText"/>
      </w:pPr>
      <w:r>
        <w:rPr>
          <w:bCs/>
          <w:b/>
        </w:rPr>
        <w:t xml:space="preserve">Why</w:t>
      </w:r>
      <w:r>
        <w:rPr>
          <w:bCs/>
          <w:b/>
        </w:rPr>
        <w:t xml:space="preserve"> </w:t>
      </w:r>
      <w:r>
        <w:rPr>
          <w:rStyle w:val="VerbatimChar"/>
          <w:bCs/>
          <w:b/>
        </w:rPr>
        <w:t xml:space="preserve">vpc-sc</w:t>
      </w:r>
      <w:r>
        <w:rPr>
          <w:bCs/>
          <w:b/>
        </w:rPr>
        <w:t xml:space="preserve"> </w:t>
      </w:r>
      <w:r>
        <w:rPr>
          <w:bCs/>
          <w:b/>
        </w:rPr>
        <w:t xml:space="preserve">over</w:t>
      </w:r>
      <w:r>
        <w:rPr>
          <w:bCs/>
          <w:b/>
        </w:rPr>
        <w:t xml:space="preserve"> </w:t>
      </w:r>
      <w:r>
        <w:rPr>
          <w:rStyle w:val="VerbatimChar"/>
          <w:bCs/>
          <w:b/>
        </w:rPr>
        <w:t xml:space="preserve">all-apis</w:t>
      </w:r>
      <w:r>
        <w:rPr>
          <w:bCs/>
          <w:b/>
        </w:rPr>
        <w:t xml:space="preserve">:</w:t>
      </w:r>
      <w:r>
        <w:t xml:space="preserve"> </w:t>
      </w:r>
      <w:r>
        <w:t xml:space="preserve">the</w:t>
      </w:r>
      <w:r>
        <w:t xml:space="preserve"> </w:t>
      </w:r>
      <w:r>
        <w:rPr>
          <w:rStyle w:val="VerbatimChar"/>
        </w:rPr>
        <w:t xml:space="preserve">vpc-sc</w:t>
      </w:r>
      <w:r>
        <w:t xml:space="preserve"> </w:t>
      </w:r>
      <w:r>
        <w:t xml:space="preserve">bundle only resolves Google APIs that support perimeter protection. If you later introduce VPC Service Controls, a workload cannot slip data out through an unprotected API. Choosing it now costs nothing and saves a migration later.</w:t>
      </w:r>
    </w:p>
    <w:bookmarkEnd w:id="89"/>
    <w:bookmarkStart w:id="90" w:name="check-it-worked-8"/>
    <w:p>
      <w:pPr>
        <w:pStyle w:val="Heading2"/>
      </w:pPr>
      <w:r>
        <w:t xml:space="preserve">8.4 Check it worked</w:t>
      </w:r>
    </w:p>
    <w:p>
      <w:pPr>
        <w:pStyle w:val="FirstParagraph"/>
      </w:pPr>
      <w:r>
        <w:t>The endpoint appears with status Accepted and address 192.168.6.164. Now go back and confirm Part 6 Zone 2 exists with its wildcard pointing here.</w:t>
      </w:r>
      <w:r/>
      <w:r>
        <w:rPr>
          <w:bCs/>
          <w:b/>
        </w:rPr>
      </w:r>
      <w:r/>
      <w:r/>
      <w:r/>
      <w:r>
        <w:rPr>
          <w:rStyle w:val="VerbatimChar"/>
        </w:rPr>
      </w:r>
      <w:r/>
    </w:p>
    <w:bookmarkEnd w:id="90"/>
    <w:bookmarkStart w:id="91" w:name="watch-out-10"/>
    <w:p>
      <w:pPr>
        <w:pStyle w:val="Heading2"/>
      </w:pPr>
      <w:r>
        <w:t xml:space="preserve">8.5 Watch out</w:t>
      </w:r>
    </w:p>
    <w:p>
      <w:pPr>
        <w:pStyle w:val="FirstParagraph"/>
      </w:pPr>
      <w:r>
        <w:t>If the console rejects 192.168.6.164 saying it overlaps a subnet, you have accidentally created a subnet covering 192.168.6.160/28. Delete or re-range that subnet — a global Private Service Connect address cannot live inside one.</w:t>
      </w:r>
      <w:r/>
      <w:r>
        <w:rPr>
          <w:rStyle w:val="VerbatimChar"/>
        </w:rPr>
      </w:r>
      <w:r/>
      <w:r/>
      <w:r/>
      <w:r>
        <w:rPr>
          <w:rStyle w:val="VerbatimChar"/>
        </w:rPr>
      </w:r>
      <w:r/>
    </w:p>
    <w:p>
      <w:r>
        <w:br w:type="page"/>
      </w:r>
    </w:p>
    <w:bookmarkEnd w:id="91"/>
    <w:bookmarkEnd w:id="92"/>
    <w:bookmarkStart w:id="98" w:name="part-9-artifact-registry"/>
    <w:p>
      <w:pPr>
        <w:pStyle w:val="Heading1"/>
      </w:pPr>
      <w:r>
        <w:t xml:space="preserve">Part 9 — Artifact Registry</w:t>
      </w:r>
    </w:p>
    <w:bookmarkStart w:id="93" w:name="what-this-is-8"/>
    <w:p>
      <w:pPr>
        <w:pStyle w:val="Heading2"/>
      </w:pPr>
      <w:r>
        <w:t xml:space="preserve">9.1 What this is</w:t>
      </w:r>
    </w:p>
    <w:p>
      <w:pPr>
        <w:pStyle w:val="FirstParagraph"/>
      </w:pPr>
      <w:r>
        <w:t xml:space="preserve">A private, encrypted store for your container images. Each project keeps its own, so a compromise in one usecase does not expose another’s images.</w:t>
      </w:r>
    </w:p>
    <w:bookmarkEnd w:id="93"/>
    <w:bookmarkStart w:id="94" w:name="do-this-5"/>
    <w:p>
      <w:pPr>
        <w:pStyle w:val="Heading2"/>
      </w:pPr>
      <w:r>
        <w:t xml:space="preserve">9.2 Do this</w:t>
      </w:r>
    </w:p>
    <w:p>
      <w:pPr>
        <w:pStyle w:val="FirstParagraph"/>
      </w:pPr>
      <w:r>
        <w:rPr>
          <w:bCs/>
          <w:b/>
        </w:rPr>
        <w:t xml:space="preserve">Where:</w:t>
      </w:r>
      <w:r>
        <w:t xml:space="preserve"> </w:t>
      </w:r>
      <w:r>
        <w:t xml:space="preserve">switch project, search for</w:t>
      </w:r>
      <w:r>
        <w:t xml:space="preserve"> </w:t>
      </w:r>
      <w:r>
        <w:rPr>
          <w:bCs/>
          <w:b/>
        </w:rPr>
        <w:t xml:space="preserve">Artifact Registry</w:t>
      </w:r>
      <w:r>
        <w:t xml:space="preserve">, click</w:t>
      </w:r>
      <w:r>
        <w:t xml:space="preserve"> </w:t>
      </w:r>
      <w:r>
        <w:rPr>
          <w:bCs/>
          <w:b/>
        </w:rPr>
        <w:t xml:space="preserve">CREATE REPOSITORY</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containers</w:t>
            </w:r>
          </w:p>
        </w:tc>
      </w:tr>
      <w:tr>
        <w:tc>
          <w:tcPr/>
          <w:p>
            <w:pPr>
              <w:pStyle w:val="Compact"/>
              <w:jc w:val="left"/>
            </w:pPr>
            <w:r>
              <w:t xml:space="preserve">Format</w:t>
            </w:r>
          </w:p>
        </w:tc>
        <w:tc>
          <w:tcPr/>
          <w:p>
            <w:pPr>
              <w:pStyle w:val="Compact"/>
              <w:jc w:val="left"/>
            </w:pPr>
            <w:r>
              <w:rPr>
                <w:bCs/>
                <w:b/>
              </w:rPr>
              <w:t xml:space="preserve">Docker</w:t>
            </w:r>
          </w:p>
        </w:tc>
      </w:tr>
      <w:tr>
        <w:tc>
          <w:tcPr/>
          <w:p>
            <w:pPr>
              <w:pStyle w:val="Compact"/>
              <w:jc w:val="left"/>
            </w:pPr>
            <w:r>
              <w:t xml:space="preserve">Mode</w:t>
            </w:r>
          </w:p>
        </w:tc>
        <w:tc>
          <w:tcPr/>
          <w:p>
            <w:pPr>
              <w:pStyle w:val="Compact"/>
              <w:jc w:val="left"/>
            </w:pPr>
            <w:r>
              <w:t xml:space="preserve">Standard</w:t>
            </w:r>
          </w:p>
        </w:tc>
      </w:tr>
      <w:tr>
        <w:tc>
          <w:tcPr/>
          <w:p>
            <w:pPr>
              <w:pStyle w:val="Compact"/>
              <w:jc w:val="left"/>
            </w:pPr>
            <w:r>
              <w:t xml:space="preserve">Location type</w:t>
            </w:r>
          </w:p>
        </w:tc>
        <w:tc>
          <w:tcPr/>
          <w:p>
            <w:pPr>
              <w:pStyle w:val="Compact"/>
              <w:jc w:val="left"/>
            </w:pPr>
            <w:r>
              <w:t xml:space="preserve">Region →</w:t>
            </w:r>
            <w:r>
              <w:t xml:space="preserve"> </w:t>
            </w:r>
            <w:r>
              <w:rPr>
                <w:rStyle w:val="VerbatimChar"/>
              </w:rPr>
              <w:t xml:space="preserve">europe-west1</w:t>
            </w:r>
          </w:p>
        </w:tc>
      </w:tr>
      <w:tr>
        <w:tc>
          <w:tcPr/>
          <w:p>
            <w:pPr>
              <w:pStyle w:val="Compact"/>
              <w:jc w:val="left"/>
            </w:pPr>
            <w:r>
              <w:t xml:space="preserve">Encryption</w:t>
            </w:r>
          </w:p>
        </w:tc>
        <w:tc>
          <w:tcPr/>
          <w:p>
            <w:pPr>
              <w:pStyle w:val="Compact"/>
              <w:jc w:val="left"/>
            </w:pPr>
            <w:r>
              <w:rPr>
                <w:bCs/>
                <w:b/>
              </w:rPr>
              <w:t xml:space="preserve">Customer-managed key</w:t>
            </w:r>
            <w:r>
              <w:t xml:space="preserve">, select the project’s</w:t>
            </w:r>
            <w:r>
              <w:t xml:space="preserve"> </w:t>
            </w:r>
            <w:r>
              <w:rPr>
                <w:rStyle w:val="VerbatimChar"/>
              </w:rPr>
              <w:t xml:space="preserve">artifacts</w:t>
            </w:r>
            <w:r>
              <w:t xml:space="preserve"> </w:t>
            </w:r>
            <w:r>
              <w:t xml:space="preserve">key</w:t>
            </w:r>
          </w:p>
        </w:tc>
      </w:tr>
      <w:tr>
        <w:tc>
          <w:tcPr/>
          <w:p>
            <w:pPr>
              <w:pStyle w:val="Compact"/>
              <w:jc w:val="left"/>
            </w:pPr>
            <w:r>
              <w:t xml:space="preserve">Immutable image tags</w:t>
            </w:r>
          </w:p>
        </w:tc>
        <w:tc>
          <w:tcPr/>
          <w:p>
            <w:pPr>
              <w:pStyle w:val="Compact"/>
              <w:jc w:val="left"/>
            </w:pPr>
            <w:r>
              <w:rPr>
                <w:bCs/>
                <w:b/>
              </w:rPr>
              <w:t xml:space="preserve">Enable</w:t>
            </w:r>
          </w:p>
        </w:tc>
      </w:tr>
      <w:tr>
        <w:tc>
          <w:tcPr/>
          <w:p>
            <w:pPr>
              <w:pStyle w:val="Compact"/>
              <w:jc w:val="left"/>
            </w:pPr>
            <w:r>
              <w:t xml:space="preserve">Cleanup policies</w:t>
            </w:r>
          </w:p>
        </w:tc>
        <w:tc>
          <w:tcPr/>
          <w:p>
            <w:pPr>
              <w:pStyle w:val="Compact"/>
              <w:jc w:val="left"/>
            </w:pPr>
            <w:r>
              <w:t xml:space="preserve">Dry run for now</w:t>
            </w:r>
          </w:p>
        </w:tc>
      </w:tr>
    </w:tbl>
    <w:p>
      <w:pPr>
        <w:pStyle w:val="BodyText"/>
      </w:pPr>
      <w:r>
        <w:t xml:space="preserve">Do this in</w:t>
      </w:r>
      <w:r>
        <w:t xml:space="preserve"> </w:t>
      </w:r>
      <w:r>
        <w:rPr>
          <w:rStyle w:val="VerbatimChar"/>
        </w:rPr>
        <w:t xml:space="preserve">gclt-aicoe-dev-st</w:t>
      </w:r>
      <w:r>
        <w:t xml:space="preserve"> </w:t>
      </w:r>
      <w:r>
        <w:t xml:space="preserve">and</w:t>
      </w:r>
      <w:r>
        <w:t xml:space="preserve"> </w:t>
      </w:r>
      <w:r>
        <w:rPr>
          <w:rStyle w:val="VerbatimChar"/>
        </w:rPr>
        <w:t xml:space="preserve">gclt-aicoe-dev-aihub-ui</w:t>
      </w:r>
      <w:r>
        <w:t xml:space="preserve">.</w:t>
      </w:r>
    </w:p>
    <w:bookmarkEnd w:id="94"/>
    <w:bookmarkStart w:id="95" w:name="do-this-turn-on-vulnerability-scanning"/>
    <w:p>
      <w:pPr>
        <w:pStyle w:val="Heading2"/>
      </w:pPr>
      <w:r>
        <w:t xml:space="preserve">9.3 Do this — turn on vulnerability scanning</w:t>
      </w:r>
    </w:p>
    <w:p>
      <w:pPr>
        <w:pStyle w:val="FirstParagraph"/>
      </w:pPr>
      <w:r>
        <w:rPr>
          <w:bCs/>
          <w:b/>
        </w:rPr>
        <w:t xml:space="preserve">Where:</w:t>
      </w:r>
      <w:r>
        <w:t xml:space="preserve"> </w:t>
      </w:r>
      <w:r>
        <w:t xml:space="preserve">search for</w:t>
      </w:r>
      <w:r>
        <w:t xml:space="preserve"> </w:t>
      </w:r>
      <w:r>
        <w:rPr>
          <w:bCs/>
          <w:b/>
        </w:rPr>
        <w:t xml:space="preserve">Artifact Analysis</w:t>
      </w:r>
      <w:r>
        <w:t xml:space="preserve"> </w:t>
      </w:r>
      <w:r>
        <w:t xml:space="preserve">(formerly Container Analysis) →</w:t>
      </w:r>
      <w:r>
        <w:t xml:space="preserve"> </w:t>
      </w:r>
      <w:r>
        <w:rPr>
          <w:bCs/>
          <w:b/>
        </w:rPr>
        <w:t xml:space="preserve">Settings</w:t>
      </w:r>
      <w:r>
        <w:t xml:space="preserve">. Enable</w:t>
      </w:r>
      <w:r>
        <w:t xml:space="preserve"> </w:t>
      </w:r>
      <w:r>
        <w:rPr>
          <w:bCs/>
          <w:b/>
        </w:rPr>
        <w:t xml:space="preserve">Automatic scanning</w:t>
      </w:r>
      <w:r>
        <w:t xml:space="preserve"> </w:t>
      </w:r>
      <w:r>
        <w:t xml:space="preserve">for the project.</w:t>
      </w:r>
    </w:p>
    <w:bookmarkEnd w:id="95"/>
    <w:bookmarkStart w:id="96" w:name="check-it-worked-9"/>
    <w:p>
      <w:pPr>
        <w:pStyle w:val="Heading2"/>
      </w:pPr>
      <w:r>
        <w:t xml:space="preserve">9.4 Check it worked</w:t>
      </w:r>
    </w:p>
    <w:p>
      <w:pPr>
        <w:pStyle w:val="FirstParagraph"/>
      </w:pPr>
      <w:r>
        <w:t xml:space="preserve">The repository lists with a key icon. After your first image push, the image shows a vulnerability count.</w:t>
      </w:r>
    </w:p>
    <w:bookmarkEnd w:id="96"/>
    <w:bookmarkStart w:id="97" w:name="watch-out-11"/>
    <w:p>
      <w:pPr>
        <w:pStyle w:val="Heading2"/>
      </w:pPr>
      <w:r>
        <w:t xml:space="preserve">9.5 Watch out</w:t>
      </w:r>
    </w:p>
    <w:p>
      <w:pPr>
        <w:pStyle w:val="FirstParagraph"/>
      </w:pPr>
      <w:r>
        <w:rPr>
          <w:bCs/>
          <w:b/>
        </w:rPr>
        <w:t xml:space="preserve">Immutable tags</w:t>
      </w:r>
      <w:r>
        <w:t xml:space="preserve"> </w:t>
      </w:r>
      <w:r>
        <w:t xml:space="preserve">means</w:t>
      </w:r>
      <w:r>
        <w:t xml:space="preserve"> </w:t>
      </w:r>
      <w:r>
        <w:rPr>
          <w:rStyle w:val="VerbatimChar"/>
        </w:rPr>
        <w:t xml:space="preserve">v1.2.3</w:t>
      </w:r>
      <w:r>
        <w:t xml:space="preserve"> </w:t>
      </w:r>
      <w:r>
        <w:t xml:space="preserve">can never be repointed at different content. This is what makes an attestation in Part 10 meaningful — without it, someone could sign one image and deploy another under the same tag.</w:t>
      </w:r>
    </w:p>
    <w:p>
      <w:r>
        <w:br w:type="page"/>
      </w:r>
    </w:p>
    <w:bookmarkEnd w:id="97"/>
    <w:bookmarkEnd w:id="98"/>
    <w:bookmarkStart w:id="105" w:name="part-10-binary-authorization"/>
    <w:p>
      <w:pPr>
        <w:pStyle w:val="Heading1"/>
      </w:pPr>
      <w:r>
        <w:t xml:space="preserve">Part 10 — Binary Authorization</w:t>
      </w:r>
    </w:p>
    <w:bookmarkStart w:id="99" w:name="what-this-is-9"/>
    <w:p>
      <w:pPr>
        <w:pStyle w:val="Heading2"/>
      </w:pPr>
      <w:r>
        <w:t xml:space="preserve">10.1 What this is</w:t>
      </w:r>
    </w:p>
    <w:p>
      <w:pPr>
        <w:pStyle w:val="FirstParagraph"/>
      </w:pPr>
      <w:r>
        <w:t xml:space="preserve">Binary Authorization refuses to run a container unless it carries a cryptographic signature proving it came from your pipeline. The signature is called an</w:t>
      </w:r>
      <w:r>
        <w:t xml:space="preserve"> </w:t>
      </w:r>
      <w:r>
        <w:rPr>
          <w:bCs/>
          <w:b/>
        </w:rPr>
        <w:t xml:space="preserve">attestation</w:t>
      </w:r>
      <w:r>
        <w:t xml:space="preserve">, and the thing that verifies it is an</w:t>
      </w:r>
      <w:r>
        <w:t xml:space="preserve"> </w:t>
      </w:r>
      <w:r>
        <w:rPr>
          <w:bCs/>
          <w:b/>
        </w:rPr>
        <w:t xml:space="preserve">attestor</w:t>
      </w:r>
      <w:r>
        <w:t xml:space="preserve">.</w:t>
      </w:r>
    </w:p>
    <w:bookmarkEnd w:id="99"/>
    <w:bookmarkStart w:id="100" w:name="do-this-create-the-signing-key"/>
    <w:p>
      <w:pPr>
        <w:pStyle w:val="Heading2"/>
      </w:pPr>
      <w:r>
        <w:t xml:space="preserve">10.2 Do this — create the signing key</w:t>
      </w:r>
    </w:p>
    <w:p>
      <w:pPr>
        <w:pStyle w:val="FirstParagraph"/>
      </w:pPr>
      <w:r>
        <w:t xml:space="preserve">The key from Part 4 will not work here. Attestation needs an</w:t>
      </w:r>
      <w:r>
        <w:t xml:space="preserve"> </w:t>
      </w:r>
      <w:r>
        <w:rPr>
          <w:bCs/>
          <w:b/>
        </w:rPr>
        <w:t xml:space="preserve">asymmetric signing</w:t>
      </w:r>
      <w:r>
        <w:t xml:space="preserve"> </w:t>
      </w:r>
      <w:r>
        <w:t xml:space="preserve">key — a private key that signs and a public key that verifies — not the symmetric encryption keys you made earlier.</w:t>
      </w:r>
    </w:p>
    <w:p>
      <w:pPr>
        <w:pStyle w:val="BodyText"/>
      </w:pPr>
      <w:r>
        <w:rPr>
          <w:bCs/>
          <w:b/>
        </w:rPr>
        <w:t xml:space="preserve">Where:</w:t>
      </w:r>
      <w:r>
        <w:t xml:space="preserve"> </w:t>
      </w:r>
      <w:r>
        <w:t xml:space="preserve">in</w:t>
      </w:r>
      <w:r>
        <w:t xml:space="preserve"> </w:t>
      </w:r>
      <w:r>
        <w:rPr>
          <w:rStyle w:val="VerbatimChar"/>
        </w:rPr>
        <w:t xml:space="preserve">gclt-aicoe-dev-ingress</w:t>
      </w:r>
      <w:r>
        <w:t xml:space="preserve">,</w:t>
      </w:r>
      <w:r>
        <w:t xml:space="preserve"> </w:t>
      </w:r>
      <w:r>
        <w:rPr>
          <w:bCs/>
          <w:b/>
        </w:rPr>
        <w:t xml:space="preserve">Security</w:t>
      </w:r>
      <w:r>
        <w:t xml:space="preserve"> </w:t>
      </w:r>
      <w:r>
        <w:t xml:space="preserve">→</w:t>
      </w:r>
      <w:r>
        <w:t xml:space="preserve"> </w:t>
      </w:r>
      <w:r>
        <w:rPr>
          <w:bCs/>
          <w:b/>
        </w:rPr>
        <w:t xml:space="preserve">Key Management</w:t>
      </w:r>
      <w:r>
        <w:t xml:space="preserve"> </w:t>
      </w:r>
      <w:r>
        <w:t xml:space="preserve">→ key ring</w:t>
      </w:r>
      <w:r>
        <w:t xml:space="preserve"> </w:t>
      </w:r>
      <w:r>
        <w:rPr>
          <w:rStyle w:val="VerbatimChar"/>
        </w:rPr>
        <w:t xml:space="preserve">ingress</w:t>
      </w:r>
      <w:r>
        <w:t xml:space="preserve"> </w:t>
      </w:r>
      <w:r>
        <w:t xml:space="preserve">→</w:t>
      </w:r>
      <w:r>
        <w:t xml:space="preserve"> </w:t>
      </w:r>
      <w:r>
        <w:rPr>
          <w:bCs/>
          <w:b/>
        </w:rPr>
        <w:t xml:space="preserve">CREATE KEY</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Key name</w:t>
            </w:r>
          </w:p>
        </w:tc>
        <w:tc>
          <w:tcPr/>
          <w:p>
            <w:pPr>
              <w:pStyle w:val="Compact"/>
              <w:jc w:val="left"/>
            </w:pPr>
            <w:r>
              <w:rPr>
                <w:rStyle w:val="VerbatimChar"/>
              </w:rPr>
              <w:t xml:space="preserve">attestor-signing</w:t>
            </w:r>
          </w:p>
        </w:tc>
      </w:tr>
      <w:tr>
        <w:tc>
          <w:tcPr/>
          <w:p>
            <w:pPr>
              <w:pStyle w:val="Compact"/>
              <w:jc w:val="left"/>
            </w:pPr>
            <w:r>
              <w:t xml:space="preserve">Protection level</w:t>
            </w:r>
          </w:p>
        </w:tc>
        <w:tc>
          <w:tcPr/>
          <w:p>
            <w:pPr>
              <w:pStyle w:val="Compact"/>
              <w:jc w:val="left"/>
            </w:pPr>
            <w:r>
              <w:t xml:space="preserve">Software</w:t>
            </w:r>
          </w:p>
        </w:tc>
      </w:tr>
      <w:tr>
        <w:tc>
          <w:tcPr/>
          <w:p>
            <w:pPr>
              <w:pStyle w:val="Compact"/>
              <w:jc w:val="left"/>
            </w:pPr>
            <w:r>
              <w:t xml:space="preserve">Purpose</w:t>
            </w:r>
          </w:p>
        </w:tc>
        <w:tc>
          <w:tcPr/>
          <w:p>
            <w:pPr>
              <w:pStyle w:val="Compact"/>
              <w:jc w:val="left"/>
            </w:pPr>
            <w:r>
              <w:rPr>
                <w:bCs/>
                <w:b/>
              </w:rPr>
              <w:t xml:space="preserve">Asymmetric sign</w:t>
            </w:r>
          </w:p>
        </w:tc>
      </w:tr>
      <w:tr>
        <w:tc>
          <w:tcPr/>
          <w:p>
            <w:pPr>
              <w:pStyle w:val="Compact"/>
              <w:jc w:val="left"/>
            </w:pPr>
            <w:r>
              <w:t xml:space="preserve">Algorithm</w:t>
            </w:r>
          </w:p>
        </w:tc>
        <w:tc>
          <w:tcPr/>
          <w:p>
            <w:pPr>
              <w:pStyle w:val="Compact"/>
              <w:jc w:val="left"/>
            </w:pPr>
            <w:r>
              <w:rPr>
                <w:bCs/>
                <w:b/>
              </w:rPr>
              <w:t xml:space="preserve">Elliptic Curve P-256 - SHA256 Digest</w:t>
            </w:r>
          </w:p>
        </w:tc>
      </w:tr>
      <w:tr>
        <w:tc>
          <w:tcPr/>
          <w:p>
            <w:pPr>
              <w:pStyle w:val="Compact"/>
              <w:jc w:val="left"/>
            </w:pPr>
            <w:r>
              <w:t xml:space="preserve">Rotation</w:t>
            </w:r>
          </w:p>
        </w:tc>
        <w:tc>
          <w:tcPr/>
          <w:p>
            <w:pPr>
              <w:pStyle w:val="Compact"/>
              <w:jc w:val="left"/>
            </w:pPr>
            <w:r>
              <w:t xml:space="preserve">Never (manual)</w:t>
            </w:r>
          </w:p>
        </w:tc>
      </w:tr>
    </w:tbl>
    <w:bookmarkEnd w:id="100"/>
    <w:bookmarkStart w:id="101" w:name="do-this-create-the-attestor"/>
    <w:p>
      <w:pPr>
        <w:pStyle w:val="Heading2"/>
      </w:pPr>
      <w:r>
        <w:t xml:space="preserve">10.3 Do this — create the attestor</w:t>
      </w:r>
    </w:p>
    <w:p>
      <w:pPr>
        <w:pStyle w:val="FirstParagraph"/>
      </w:pPr>
      <w:r>
        <w:rPr>
          <w:bCs/>
          <w:b/>
        </w:rPr>
        <w:t xml:space="preserve">Where:</w:t>
      </w:r>
      <w:r>
        <w:t xml:space="preserve"> </w:t>
      </w:r>
      <w:r>
        <w:t xml:space="preserve">search for</w:t>
      </w:r>
      <w:r>
        <w:t xml:space="preserve"> </w:t>
      </w:r>
      <w:r>
        <w:rPr>
          <w:bCs/>
          <w:b/>
        </w:rPr>
        <w:t xml:space="preserve">Binary Authorization</w:t>
      </w:r>
      <w:r>
        <w:t xml:space="preserve"> </w:t>
      </w:r>
      <w:r>
        <w:t xml:space="preserve">→</w:t>
      </w:r>
      <w:r>
        <w:t xml:space="preserve"> </w:t>
      </w:r>
      <w:r>
        <w:rPr>
          <w:bCs/>
          <w:b/>
        </w:rPr>
        <w:t xml:space="preserve">ATTESTORS</w:t>
      </w:r>
      <w:r>
        <w:t xml:space="preserve"> </w:t>
      </w:r>
      <w:r>
        <w:t xml:space="preserve">tab →</w:t>
      </w:r>
      <w:r>
        <w:t xml:space="preserve"> </w:t>
      </w:r>
      <w:r>
        <w:rPr>
          <w:bCs/>
          <w:b/>
        </w:rPr>
        <w:t xml:space="preserve">CREATE ATTESTOR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Attestor name</w:t>
            </w:r>
          </w:p>
        </w:tc>
        <w:tc>
          <w:tcPr/>
          <w:p>
            <w:pPr>
              <w:pStyle w:val="Compact"/>
              <w:jc w:val="left"/>
            </w:pPr>
            <w:r>
              <w:rPr>
                <w:rStyle w:val="VerbatimChar"/>
              </w:rPr>
              <w:t xml:space="preserve">aicoe-build-attestor</w:t>
            </w:r>
          </w:p>
        </w:tc>
      </w:tr>
      <w:tr>
        <w:tc>
          <w:tcPr/>
          <w:p>
            <w:pPr>
              <w:pStyle w:val="Compact"/>
              <w:jc w:val="left"/>
            </w:pPr>
            <w:r>
              <w:t xml:space="preserve">Note</w:t>
            </w:r>
          </w:p>
        </w:tc>
        <w:tc>
          <w:tcPr/>
          <w:p>
            <w:pPr>
              <w:pStyle w:val="Compact"/>
              <w:jc w:val="left"/>
            </w:pPr>
            <w:r>
              <w:t xml:space="preserve">let the console create one</w:t>
            </w:r>
          </w:p>
        </w:tc>
      </w:tr>
      <w:tr>
        <w:tc>
          <w:tcPr/>
          <w:p>
            <w:pPr>
              <w:pStyle w:val="Compact"/>
              <w:jc w:val="left"/>
            </w:pPr>
            <w:r>
              <w:t xml:space="preserve">Add public key</w:t>
            </w:r>
          </w:p>
        </w:tc>
        <w:tc>
          <w:tcPr/>
          <w:p>
            <w:pPr>
              <w:pStyle w:val="Compact"/>
              <w:jc w:val="left"/>
            </w:pPr>
            <w:r>
              <w:rPr>
                <w:bCs/>
                <w:b/>
              </w:rPr>
              <w:t xml:space="preserve">Add PKIX key from Cloud KMS</w:t>
            </w:r>
            <w:r>
              <w:t xml:space="preserve">, browse to</w:t>
            </w:r>
            <w:r>
              <w:t xml:space="preserve"> </w:t>
            </w:r>
            <w:r>
              <w:rPr>
                <w:rStyle w:val="VerbatimChar"/>
              </w:rPr>
              <w:t xml:space="preserve">attestor-signing</w:t>
            </w:r>
            <w:r>
              <w:t xml:space="preserve">, version 1</w:t>
            </w:r>
          </w:p>
        </w:tc>
      </w:tr>
    </w:tbl>
    <w:bookmarkEnd w:id="101"/>
    <w:bookmarkStart w:id="102" w:name="X667679eeab276cb648b9733569b47ed6b8d34fe"/>
    <w:p>
      <w:pPr>
        <w:pStyle w:val="Heading2"/>
      </w:pPr>
      <w:r>
        <w:t xml:space="preserve">10.4 Do this — set the policy in each workload project</w:t>
      </w:r>
    </w:p>
    <w:p>
      <w:pPr>
        <w:pStyle w:val="FirstParagraph"/>
      </w:pPr>
      <w:r>
        <w:rPr>
          <w:bCs/>
          <w:b/>
        </w:rPr>
        <w:t xml:space="preserve">Where:</w:t>
      </w:r>
      <w:r>
        <w:t xml:space="preserve"> </w:t>
      </w:r>
      <w:r>
        <w:t xml:space="preserve">switch to</w:t>
      </w:r>
      <w:r>
        <w:t xml:space="preserve"> </w:t>
      </w:r>
      <w:r>
        <w:rPr>
          <w:rStyle w:val="VerbatimChar"/>
        </w:rPr>
        <w:t xml:space="preserve">gclt-aicoe-dev-st</w:t>
      </w:r>
      <w:r>
        <w:t xml:space="preserve">,</w:t>
      </w:r>
      <w:r>
        <w:t xml:space="preserve"> </w:t>
      </w:r>
      <w:r>
        <w:rPr>
          <w:bCs/>
          <w:b/>
        </w:rPr>
        <w:t xml:space="preserve">Binary Authorization</w:t>
      </w:r>
      <w:r>
        <w:t xml:space="preserve"> </w:t>
      </w:r>
      <w:r>
        <w:t xml:space="preserve">→</w:t>
      </w:r>
      <w:r>
        <w:t xml:space="preserve"> </w:t>
      </w:r>
      <w:r>
        <w:rPr>
          <w:bCs/>
          <w:b/>
        </w:rPr>
        <w:t xml:space="preserve">POLICY</w:t>
      </w:r>
      <w:r>
        <w:t xml:space="preserve"> </w:t>
      </w:r>
      <w:r>
        <w:t xml:space="preserve">tab →</w:t>
      </w:r>
      <w:r>
        <w:t xml:space="preserve"> </w:t>
      </w:r>
      <w:r>
        <w:rPr>
          <w:bCs/>
          <w:b/>
        </w:rPr>
        <w:t xml:space="preserve">EDIT POLICY</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Default rule</w:t>
            </w:r>
          </w:p>
        </w:tc>
        <w:tc>
          <w:tcPr/>
          <w:p>
            <w:pPr>
              <w:pStyle w:val="Compact"/>
              <w:jc w:val="left"/>
            </w:pPr>
            <w:r>
              <w:rPr>
                <w:bCs/>
                <w:b/>
              </w:rPr>
              <w:t xml:space="preserve">Allow only images that have been approved by all of the following attestors</w:t>
            </w:r>
          </w:p>
        </w:tc>
      </w:tr>
      <w:tr>
        <w:tc>
          <w:tcPr/>
          <w:p>
            <w:pPr>
              <w:pStyle w:val="Compact"/>
              <w:jc w:val="left"/>
            </w:pPr>
            <w:r>
              <w:t xml:space="preserve">Attestors</w:t>
            </w:r>
          </w:p>
        </w:tc>
        <w:tc>
          <w:tcPr/>
          <w:p>
            <w:pPr>
              <w:pStyle w:val="Compact"/>
              <w:jc w:val="left"/>
            </w:pPr>
            <w:r>
              <w:t xml:space="preserve">add</w:t>
            </w:r>
            <w:r>
              <w:t xml:space="preserve"> </w:t>
            </w:r>
            <w:r>
              <w:rPr>
                <w:rStyle w:val="VerbatimChar"/>
              </w:rPr>
              <w:t xml:space="preserve">aicoe-build-attestor</w:t>
            </w:r>
            <w:r>
              <w:t xml:space="preserve"> </w:t>
            </w:r>
            <w:r>
              <w:t xml:space="preserve">from the ingress project</w:t>
            </w:r>
          </w:p>
        </w:tc>
      </w:tr>
      <w:tr>
        <w:tc>
          <w:tcPr/>
          <w:p>
            <w:pPr>
              <w:pStyle w:val="Compact"/>
              <w:jc w:val="left"/>
            </w:pPr>
            <w:r>
              <w:t xml:space="preserve">Evaluation mode</w:t>
            </w:r>
          </w:p>
        </w:tc>
        <w:tc>
          <w:tcPr/>
          <w:p>
            <w:pPr>
              <w:pStyle w:val="Compact"/>
              <w:jc w:val="left"/>
            </w:pPr>
            <w:r>
              <w:rPr>
                <w:bCs/>
                <w:b/>
              </w:rPr>
              <w:t xml:space="preserve">Enforce</w:t>
            </w:r>
            <w:r>
              <w:t xml:space="preserve"> </w:t>
            </w:r>
            <w:r>
              <w:t xml:space="preserve">and produce audit log entries</w:t>
            </w:r>
          </w:p>
        </w:tc>
      </w:tr>
      <w:tr>
        <w:tc>
          <w:tcPr/>
          <w:p>
            <w:pPr>
              <w:pStyle w:val="Compact"/>
              <w:jc w:val="left"/>
            </w:pPr>
            <w:r>
              <w:t xml:space="preserve">Exempt images</w:t>
            </w:r>
          </w:p>
        </w:tc>
        <w:tc>
          <w:tcPr/>
          <w:p>
            <w:pPr>
              <w:pStyle w:val="Compact"/>
              <w:jc w:val="left"/>
            </w:pPr>
            <w:r>
              <w:t xml:space="preserve">leave empty</w:t>
            </w:r>
          </w:p>
        </w:tc>
      </w:tr>
    </w:tbl>
    <w:p>
      <w:pPr>
        <w:pStyle w:val="BodyText"/>
      </w:pPr>
      <w:r>
        <w:t xml:space="preserve">Repeat in</w:t>
      </w:r>
      <w:r>
        <w:t xml:space="preserve"> </w:t>
      </w:r>
      <w:r>
        <w:rPr>
          <w:rStyle w:val="VerbatimChar"/>
        </w:rPr>
        <w:t xml:space="preserve">gclt-aicoe-dev-aihub-ui</w:t>
      </w:r>
      <w:r>
        <w:t xml:space="preserve">.</w:t>
      </w:r>
    </w:p>
    <w:bookmarkEnd w:id="102"/>
    <w:bookmarkStart w:id="103" w:name="check-it-worked-10"/>
    <w:p>
      <w:pPr>
        <w:pStyle w:val="Heading2"/>
      </w:pPr>
      <w:r>
        <w:t xml:space="preserve">10.5 Check it worked</w:t>
      </w:r>
    </w:p>
    <w:p>
      <w:pPr>
        <w:pStyle w:val="FirstParagraph"/>
      </w:pPr>
      <w:r>
        <w:t xml:space="preserve">Try deploying any public image, for example</w:t>
      </w:r>
      <w:r>
        <w:t xml:space="preserve"> </w:t>
      </w:r>
      <w:r>
        <w:rPr>
          <w:rStyle w:val="VerbatimChar"/>
        </w:rPr>
        <w:t xml:space="preserve">gcr.io/google-samples/hello-app:1.0</w:t>
      </w:r>
      <w:r>
        <w:t xml:space="preserve">, to Cloud Run in that project. It should be</w:t>
      </w:r>
      <w:r>
        <w:t xml:space="preserve"> </w:t>
      </w:r>
      <w:r>
        <w:rPr>
          <w:bCs/>
          <w:b/>
        </w:rPr>
        <w:t xml:space="preserve">refused</w:t>
      </w:r>
      <w:r>
        <w:t xml:space="preserve">, with a message about the Binary Authorization policy. That refusal is the control working.</w:t>
      </w:r>
    </w:p>
    <w:bookmarkEnd w:id="103"/>
    <w:bookmarkStart w:id="104" w:name="watch-out-12"/>
    <w:p>
      <w:pPr>
        <w:pStyle w:val="Heading2"/>
      </w:pPr>
      <w:r>
        <w:t xml:space="preserve">10.6 Watch out</w:t>
      </w:r>
    </w:p>
    <w:p>
      <w:pPr>
        <w:numPr>
          <w:ilvl w:val="0"/>
          <w:numId w:val="1010"/>
        </w:numPr>
        <w:pStyle w:val="Compact"/>
      </w:pPr>
      <w:r>
        <w:t xml:space="preserve">Turn this on</w:t>
      </w:r>
      <w:r>
        <w:t xml:space="preserve"> </w:t>
      </w:r>
      <w:r>
        <w:rPr>
          <w:bCs/>
          <w:b/>
        </w:rPr>
        <w:t xml:space="preserve">before</w:t>
      </w:r>
      <w:r>
        <w:t xml:space="preserve"> </w:t>
      </w:r>
      <w:r>
        <w:t xml:space="preserve">your first real deployment, otherwise you will be debugging the policy and the application at the same time.</w:t>
      </w:r>
    </w:p>
    <w:p>
      <w:pPr>
        <w:numPr>
          <w:ilvl w:val="0"/>
          <w:numId w:val="1010"/>
        </w:numPr>
        <w:pStyle w:val="Compact"/>
      </w:pPr>
      <w:r>
        <w:t xml:space="preserve">The person or pipeline that signs must be different from the person who deploys. If the same identity does both, the control proves nothing.</w:t>
      </w:r>
    </w:p>
    <w:p>
      <w:pPr>
        <w:numPr>
          <w:ilvl w:val="0"/>
          <w:numId w:val="1010"/>
        </w:numPr>
        <w:pStyle w:val="Compact"/>
      </w:pPr>
      <w:r>
        <w:rPr>
          <w:bCs/>
          <w:b/>
        </w:rPr>
        <w:t xml:space="preserve">This does not cover Apigee.</w:t>
      </w:r>
      <w:r>
        <w:t xml:space="preserve"> </w:t>
      </w:r>
      <w:r>
        <w:t xml:space="preserve">Proxy bundles have no equivalent mechanism, which is why Part 22 relies on Git and pipeline-only deployment instead.</w:t>
      </w:r>
    </w:p>
    <w:p>
      <w:r>
        <w:br w:type="page"/>
      </w:r>
    </w:p>
    <w:bookmarkEnd w:id="104"/>
    <w:bookmarkEnd w:id="105"/>
    <w:bookmarkStart w:id="110" w:name="part-11-secret-manager"/>
    <w:p>
      <w:pPr>
        <w:pStyle w:val="Heading1"/>
      </w:pPr>
      <w:r>
        <w:t xml:space="preserve">Part 11 — Secret Manager</w:t>
      </w:r>
    </w:p>
    <w:bookmarkStart w:id="106" w:name="what-this-is-10"/>
    <w:p>
      <w:pPr>
        <w:pStyle w:val="Heading2"/>
      </w:pPr>
      <w:r>
        <w:t xml:space="preserve">11.1 What this is</w:t>
      </w:r>
    </w:p>
    <w:p>
      <w:pPr>
        <w:pStyle w:val="FirstParagraph"/>
      </w:pPr>
      <w:r>
        <w:t xml:space="preserve">Somewhere to keep passwords, certificates and signing keys so they are never in code, in environment variables, or in a config file.</w:t>
      </w:r>
    </w:p>
    <w:bookmarkEnd w:id="106"/>
    <w:bookmarkStart w:id="107" w:name="do-this-6"/>
    <w:p>
      <w:pPr>
        <w:pStyle w:val="Heading2"/>
      </w:pPr>
      <w:r>
        <w:t xml:space="preserve">11.2 Do this</w:t>
      </w:r>
    </w:p>
    <w:p>
      <w:pPr>
        <w:pStyle w:val="FirstParagraph"/>
      </w:pPr>
      <w:r>
        <w:rPr>
          <w:bCs/>
          <w:b/>
        </w:rPr>
        <w:t xml:space="preserve">Where:</w:t>
      </w:r>
      <w:r>
        <w:t xml:space="preserve"> </w:t>
      </w:r>
      <w:r>
        <w:t xml:space="preserve">in</w:t>
      </w:r>
      <w:r>
        <w:t xml:space="preserve"> </w:t>
      </w:r>
      <w:r>
        <w:rPr>
          <w:rStyle w:val="VerbatimChar"/>
        </w:rPr>
        <w:t xml:space="preserve">gclt-aicoe-dev-st</w:t>
      </w:r>
      <w:r>
        <w:t xml:space="preserve">, search for</w:t>
      </w:r>
      <w:r>
        <w:t xml:space="preserve"> </w:t>
      </w:r>
      <w:r>
        <w:rPr>
          <w:bCs/>
          <w:b/>
        </w:rPr>
        <w:t xml:space="preserve">Secret Manager</w:t>
      </w:r>
      <w:r>
        <w:t xml:space="preserve"> </w:t>
      </w:r>
      <w:r>
        <w:t xml:space="preserve">→</w:t>
      </w:r>
      <w:r>
        <w:t xml:space="preserve"> </w:t>
      </w:r>
      <w:r>
        <w:rPr>
          <w:bCs/>
          <w:b/>
        </w:rPr>
        <w:t xml:space="preserve">CREATE SECRET</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Secret name</w:t>
            </w:r>
          </w:p>
        </w:tc>
        <w:tc>
          <w:tcPr/>
          <w:p>
            <w:pPr>
              <w:pStyle w:val="Compact"/>
              <w:jc w:val="left"/>
            </w:pPr>
            <w:r>
              <w:t xml:space="preserve">Holds</w:t>
            </w:r>
          </w:p>
        </w:tc>
      </w:tr>
      <w:tr>
        <w:tc>
          <w:tcPr/>
          <w:p>
            <w:pPr>
              <w:pStyle w:val="Compact"/>
              <w:jc w:val="left"/>
            </w:pPr>
            <w:r>
              <w:rPr>
                <w:rStyle w:val="VerbatimChar"/>
              </w:rPr>
              <w:t xml:space="preserve">aihub-tls-cert</w:t>
            </w:r>
          </w:p>
        </w:tc>
        <w:tc>
          <w:tcPr/>
          <w:p>
            <w:pPr>
              <w:pStyle w:val="Compact"/>
              <w:jc w:val="left"/>
            </w:pPr>
            <w:r>
              <w:t xml:space="preserve">the certificate for</w:t>
            </w:r>
            <w:r>
              <w:t xml:space="preserve"> </w:t>
            </w:r>
            <w:r>
              <w:rPr>
                <w:rStyle w:val="VerbatimChar"/>
              </w:rPr>
              <w:t xml:space="preserve">aihub.aicoe-dev-int.colt.net</w:t>
            </w:r>
          </w:p>
        </w:tc>
      </w:tr>
      <w:tr>
        <w:tc>
          <w:tcPr/>
          <w:p>
            <w:pPr>
              <w:pStyle w:val="Compact"/>
              <w:jc w:val="left"/>
            </w:pPr>
            <w:r>
              <w:rPr>
                <w:rStyle w:val="VerbatimChar"/>
              </w:rPr>
              <w:t xml:space="preserve">aihub-tls-key</w:t>
            </w:r>
          </w:p>
        </w:tc>
        <w:tc>
          <w:tcPr/>
          <w:p>
            <w:pPr>
              <w:pStyle w:val="Compact"/>
              <w:jc w:val="left"/>
            </w:pPr>
            <w:r>
              <w:t xml:space="preserve">its private key</w:t>
            </w:r>
          </w:p>
        </w:tc>
      </w:tr>
      <w:tr>
        <w:tc>
          <w:tcPr/>
          <w:p>
            <w:pPr>
              <w:pStyle w:val="Compact"/>
              <w:jc w:val="left"/>
            </w:pPr>
            <w:r>
              <w:rPr>
                <w:rStyle w:val="VerbatimChar"/>
              </w:rPr>
              <w:t xml:space="preserve">apigee-consumer-credentials</w:t>
            </w:r>
          </w:p>
        </w:tc>
        <w:tc>
          <w:tcPr/>
          <w:p>
            <w:pPr>
              <w:pStyle w:val="Compact"/>
              <w:jc w:val="left"/>
            </w:pPr>
            <w:r>
              <w:t xml:space="preserve">the client credentials each Cloud Run service uses to call the AI gateway</w:t>
            </w:r>
          </w:p>
        </w:tc>
      </w:tr>
      <w:tr>
        <w:tc>
          <w:tcPr/>
          <w:p>
            <w:pPr>
              <w:pStyle w:val="Compact"/>
              <w:jc w:val="left"/>
            </w:pPr>
            <w:r>
              <w:rPr>
                <w:rStyle w:val="VerbatimChar"/>
              </w:rPr>
              <w:t xml:space="preserve">entra-bff-client-secret</w:t>
            </w:r>
          </w:p>
        </w:tc>
        <w:tc>
          <w:tcPr/>
          <w:p>
            <w:pPr>
              <w:pStyle w:val="Compact"/>
              <w:jc w:val="left"/>
            </w:pPr>
            <w:r>
              <w:t xml:space="preserve">the BFF’s confidential-client credential.</w:t>
            </w:r>
            <w:r>
              <w:t xml:space="preserve"> </w:t>
            </w:r>
            <w:r>
              <w:rPr>
                <w:bCs/>
                <w:b/>
              </w:rPr>
              <w:t xml:space="preserve">Prefer a certificate</w:t>
            </w:r>
            <w:r>
              <w:t xml:space="preserve"> </w:t>
            </w:r>
            <w:r>
              <w:t xml:space="preserve">— no expiry surprise and no secret in transit</w:t>
            </w:r>
          </w:p>
        </w:tc>
      </w:tr>
      <w:tr>
        <w:tc>
          <w:tcPr/>
          <w:p>
            <w:pPr>
              <w:pStyle w:val="Compact"/>
              <w:jc w:val="left"/>
            </w:pPr>
            <w:r>
              <w:rPr>
                <w:rStyle w:val="VerbatimChar"/>
              </w:rPr>
              <w:t xml:space="preserve">apigee-bff-client-key</w:t>
            </w:r>
          </w:p>
        </w:tc>
        <w:tc>
          <w:tcPr/>
          <w:p>
            <w:pPr>
              <w:pStyle w:val="Compact"/>
              <w:jc w:val="left"/>
            </w:pPr>
            <w:r>
              <w:t xml:space="preserve">the Apigee client key the BFF presents so quota can resolve an API Product</w:t>
            </w:r>
          </w:p>
        </w:tc>
      </w:tr>
      <w:tr>
        <w:tc>
          <w:tcPr/>
          <w:p>
            <w:pPr>
              <w:pStyle w:val="Compact"/>
              <w:jc w:val="left"/>
            </w:pPr>
            <w:r>
              <w:rPr>
                <w:rStyle w:val="VerbatimChar"/>
              </w:rPr>
              <w:t xml:space="preserve">session-encryption-key-ref</w:t>
            </w:r>
          </w:p>
        </w:tc>
        <w:tc>
          <w:tcPr/>
          <w:p>
            <w:pPr>
              <w:pStyle w:val="Compact"/>
              <w:jc w:val="left"/>
            </w:pPr>
            <w:r>
              <w:t xml:space="preserve">reference to the Cloud KMS key used to envelope-encrypt tokens inside session documents</w:t>
            </w:r>
          </w:p>
        </w:tc>
      </w:tr>
    </w:tbl>
    <w:p>
      <w:pPr>
        <w:pStyle w:val="BodyText"/>
      </w:pPr>
      <w:r>
        <w:t xml:space="preserve">For each: set</w:t>
      </w:r>
      <w:r>
        <w:t xml:space="preserve"> </w:t>
      </w:r>
      <w:r>
        <w:rPr>
          <w:bCs/>
          <w:b/>
        </w:rPr>
        <w:t xml:space="preserve">Replication policy</w:t>
      </w:r>
      <w:r>
        <w:t xml:space="preserve"> </w:t>
      </w:r>
      <w:r>
        <w:t xml:space="preserve">to</w:t>
      </w:r>
      <w:r>
        <w:t xml:space="preserve"> </w:t>
      </w:r>
      <w:r>
        <w:rPr>
          <w:bCs/>
          <w:b/>
        </w:rPr>
        <w:t xml:space="preserve">Manual</w:t>
      </w:r>
      <w:r>
        <w:t xml:space="preserve">, choose</w:t>
      </w:r>
      <w:r>
        <w:t xml:space="preserve"> </w:t>
      </w:r>
      <w:r>
        <w:rPr>
          <w:rStyle w:val="VerbatimChar"/>
        </w:rPr>
        <w:t xml:space="preserve">europe-west1</w:t>
      </w:r>
      <w:r>
        <w:t xml:space="preserve">, tick</w:t>
      </w:r>
      <w:r>
        <w:t xml:space="preserve"> </w:t>
      </w:r>
      <w:r>
        <w:rPr>
          <w:bCs/>
          <w:b/>
        </w:rPr>
        <w:t xml:space="preserve">Customer-managed encryption key</w:t>
      </w:r>
      <w:r>
        <w:t xml:space="preserve"> </w:t>
      </w:r>
      <w:r>
        <w:t xml:space="preserve">and select the</w:t>
      </w:r>
      <w:r>
        <w:t xml:space="preserve"> </w:t>
      </w:r>
      <w:r>
        <w:rPr>
          <w:rStyle w:val="VerbatimChar"/>
        </w:rPr>
        <w:t xml:space="preserve">secrets</w:t>
      </w:r>
      <w:r>
        <w:t xml:space="preserve"> </w:t>
      </w:r>
      <w:r>
        <w:t xml:space="preserve">key.</w:t>
      </w:r>
    </w:p>
    <w:bookmarkEnd w:id="107"/>
    <w:bookmarkStart w:id="108" w:name="do-this-set-expiry-alerts"/>
    <w:p>
      <w:pPr>
        <w:pStyle w:val="Heading2"/>
      </w:pPr>
      <w:r>
        <w:t xml:space="preserve">11.3 Do this — set expiry alerts</w:t>
      </w:r>
    </w:p>
    <w:p>
      <w:pPr>
        <w:pStyle w:val="FirstParagraph"/>
      </w:pPr>
      <w:r>
        <w:t xml:space="preserve">On each secret, open</w:t>
      </w:r>
      <w:r>
        <w:t xml:space="preserve"> </w:t>
      </w:r>
      <w:r>
        <w:rPr>
          <w:bCs/>
          <w:b/>
        </w:rPr>
        <w:t xml:space="preserve">Edit</w:t>
      </w:r>
      <w:r>
        <w:t xml:space="preserve">, and under rotation set a rotation period and a notification topic if your process uses one. At minimum record an owner in the secret’s labels:</w:t>
      </w:r>
      <w:r>
        <w:t xml:space="preserve"> </w:t>
      </w:r>
      <w:r>
        <w:rPr>
          <w:rStyle w:val="VerbatimChar"/>
        </w:rPr>
        <w:t xml:space="preserve">owner: platform-team</w:t>
      </w:r>
      <w:r>
        <w:t xml:space="preserve">.</w:t>
      </w:r>
    </w:p>
    <w:bookmarkEnd w:id="108"/>
    <w:bookmarkStart w:id="109" w:name="watch-out-13"/>
    <w:p>
      <w:pPr>
        <w:pStyle w:val="Heading2"/>
      </w:pPr>
      <w:r>
        <w:t xml:space="preserve">11.4 Watch out</w:t>
      </w:r>
    </w:p>
    <w:p>
      <w:pPr>
        <w:pStyle w:val="FirstParagraph"/>
      </w:pPr>
      <w:r>
        <w:t xml:space="preserve">Manual replication with a chosen region is what keeps the secret in the EU. The default automatic replication spreads it globally, which conflicts with your residency policy.</w:t>
      </w:r>
    </w:p>
    <w:p>
      <w:r>
        <w:br w:type="page"/>
      </w:r>
    </w:p>
    <w:bookmarkEnd w:id="109"/>
    <w:bookmarkEnd w:id="110"/>
    <w:bookmarkStart w:id="116" w:name="X6703f8adcb28b43358d9cbd29caa0c7febbd440"/>
    <w:p>
      <w:pPr>
        <w:pStyle w:val="Heading1"/>
      </w:pPr>
      <w:r>
        <w:t xml:space="preserve">Part 12 — Workload Identity Federation for GitLab</w:t>
      </w:r>
    </w:p>
    <w:bookmarkStart w:id="111" w:name="what-this-is-11"/>
    <w:p>
      <w:pPr>
        <w:pStyle w:val="Heading2"/>
      </w:pPr>
      <w:r>
        <w:t xml:space="preserve">12.1 What this is</w:t>
      </w:r>
    </w:p>
    <w:p>
      <w:pPr>
        <w:pStyle w:val="FirstParagraph"/>
      </w:pPr>
      <w:r>
        <w:t xml:space="preserve">Normally a pipeline authenticates with a downloaded key file — a permanent credential that leaks.</w:t>
      </w:r>
      <w:r>
        <w:t xml:space="preserve"> </w:t>
      </w:r>
      <w:r>
        <w:rPr>
          <w:bCs/>
          <w:b/>
        </w:rPr>
        <w:t xml:space="preserve">Workload Identity Federation</w:t>
      </w:r>
      <w:r>
        <w:t xml:space="preserve"> </w:t>
      </w:r>
      <w:r>
        <w:t xml:space="preserve">replaces it: GitLab presents a short-lived token proving which repository and branch is running, Google verifies it, and hands back a temporary Google credential. Nothing is ever downloaded.</w:t>
      </w:r>
    </w:p>
    <w:bookmarkEnd w:id="111"/>
    <w:bookmarkStart w:id="112" w:name="do-this-create-the-pool-and-provider"/>
    <w:p>
      <w:pPr>
        <w:pStyle w:val="Heading2"/>
      </w:pPr>
      <w:r>
        <w:t xml:space="preserve">12.2 Do this — create the pool and provider</w:t>
      </w:r>
    </w:p>
    <w:p>
      <w:pPr>
        <w:pStyle w:val="FirstParagraph"/>
      </w:pPr>
      <w:r>
        <w:rPr>
          <w:bCs/>
          <w:b/>
        </w:rPr>
        <w:t xml:space="preserve">Where:</w:t>
      </w:r>
      <w:r>
        <w:t xml:space="preserve"> </w:t>
      </w:r>
      <w:r>
        <w:t xml:space="preserve">switch to</w:t>
      </w:r>
      <w:r>
        <w:t xml:space="preserve"> </w:t>
      </w:r>
      <w:r>
        <w:rPr>
          <w:rStyle w:val="VerbatimChar"/>
        </w:rPr>
        <w:t xml:space="preserve">aicoe-sharedwif</w:t>
      </w:r>
      <w:r>
        <w:t xml:space="preserve">. Search for</w:t>
      </w:r>
      <w:r>
        <w:t xml:space="preserve"> </w:t>
      </w:r>
      <w:r>
        <w:rPr>
          <w:bCs/>
          <w:b/>
        </w:rPr>
        <w:t xml:space="preserve">Workload Identity Federation</w:t>
      </w:r>
      <w:r>
        <w:t xml:space="preserve"> </w:t>
      </w:r>
      <w:r>
        <w:t xml:space="preserve">→</w:t>
      </w:r>
      <w:r>
        <w:t xml:space="preserve"> </w:t>
      </w:r>
      <w:r>
        <w:rPr>
          <w:bCs/>
          <w:b/>
        </w:rPr>
        <w:t xml:space="preserve">CREATE POOL</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gitlab-pool</w:t>
            </w:r>
          </w:p>
        </w:tc>
      </w:tr>
      <w:tr>
        <w:tc>
          <w:tcPr/>
          <w:p>
            <w:pPr>
              <w:pStyle w:val="Compact"/>
              <w:jc w:val="left"/>
            </w:pPr>
            <w:r>
              <w:t xml:space="preserve">Description</w:t>
            </w:r>
          </w:p>
        </w:tc>
        <w:tc>
          <w:tcPr/>
          <w:p>
            <w:pPr>
              <w:pStyle w:val="Compact"/>
              <w:jc w:val="left"/>
            </w:pPr>
            <w:r>
              <w:t xml:space="preserve">GitLab CI for AI CoE, dev and prod</w:t>
            </w:r>
          </w:p>
        </w:tc>
      </w:tr>
    </w:tbl>
    <w:p>
      <w:pPr>
        <w:pStyle w:val="BodyText"/>
      </w:pPr>
      <w:r>
        <w:t xml:space="preserve">Then</w:t>
      </w:r>
      <w:r>
        <w:t xml:space="preserve"> </w:t>
      </w:r>
      <w:r>
        <w:rPr>
          <w:bCs/>
          <w:b/>
        </w:rPr>
        <w:t xml:space="preserve">Add a provider</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Provider type</w:t>
            </w:r>
          </w:p>
        </w:tc>
        <w:tc>
          <w:tcPr/>
          <w:p>
            <w:pPr>
              <w:pStyle w:val="Compact"/>
              <w:jc w:val="left"/>
            </w:pPr>
            <w:r>
              <w:rPr>
                <w:bCs/>
                <w:b/>
              </w:rPr>
              <w:t xml:space="preserve">OpenID Connect (OIDC)</w:t>
            </w:r>
          </w:p>
        </w:tc>
      </w:tr>
      <w:tr>
        <w:tc>
          <w:tcPr/>
          <w:p>
            <w:pPr>
              <w:pStyle w:val="Compact"/>
              <w:jc w:val="left"/>
            </w:pPr>
            <w:r>
              <w:t xml:space="preserve">Provider name</w:t>
            </w:r>
          </w:p>
        </w:tc>
        <w:tc>
          <w:tcPr/>
          <w:p>
            <w:pPr>
              <w:pStyle w:val="Compact"/>
              <w:jc w:val="left"/>
            </w:pPr>
            <w:r>
              <w:rPr>
                <w:rStyle w:val="VerbatimChar"/>
              </w:rPr>
              <w:t xml:space="preserve">gitlab-provider</w:t>
            </w:r>
          </w:p>
        </w:tc>
      </w:tr>
      <w:tr>
        <w:tc>
          <w:tcPr/>
          <w:p>
            <w:pPr>
              <w:pStyle w:val="Compact"/>
              <w:jc w:val="left"/>
            </w:pPr>
            <w:r>
              <w:t xml:space="preserve">Issuer URL</w:t>
            </w:r>
          </w:p>
        </w:tc>
        <w:tc>
          <w:tcPr/>
          <w:p>
            <w:pPr>
              <w:pStyle w:val="Compact"/>
              <w:jc w:val="left"/>
            </w:pPr>
            <w:r>
              <w:t xml:space="preserve">your GitLab URL, for example</w:t>
            </w:r>
            <w:r>
              <w:t xml:space="preserve"> </w:t>
            </w:r>
            <w:r>
              <w:rPr>
                <w:rStyle w:val="VerbatimChar"/>
              </w:rPr>
              <w:t xml:space="preserve">https://amsgit01.colt.net</w:t>
            </w:r>
          </w:p>
        </w:tc>
      </w:tr>
      <w:tr>
        <w:tc>
          <w:tcPr/>
          <w:p>
            <w:pPr>
              <w:pStyle w:val="Compact"/>
              <w:jc w:val="left"/>
            </w:pPr>
            <w:r>
              <w:t xml:space="preserve">Audiences</w:t>
            </w:r>
          </w:p>
        </w:tc>
        <w:tc>
          <w:tcPr/>
          <w:p>
            <w:pPr>
              <w:pStyle w:val="Compact"/>
              <w:jc w:val="left"/>
            </w:pPr>
            <w:r>
              <w:rPr>
                <w:bCs/>
                <w:b/>
              </w:rPr>
              <w:t xml:space="preserve">Allowed audiences</w:t>
            </w:r>
            <w:r>
              <w:t xml:space="preserve">, set to the value your</w:t>
            </w:r>
            <w:r>
              <w:t xml:space="preserve"> </w:t>
            </w:r>
            <w:r>
              <w:rPr>
                <w:rStyle w:val="VerbatimChar"/>
              </w:rPr>
              <w:t xml:space="preserve">.gitlab-ci.yml</w:t>
            </w:r>
            <w:r>
              <w:t xml:space="preserve"> </w:t>
            </w:r>
            <w:r>
              <w:t xml:space="preserve">requests</w:t>
            </w:r>
          </w:p>
        </w:tc>
      </w:tr>
    </w:tbl>
    <w:p>
      <w:pPr>
        <w:pStyle w:val="BodyText"/>
      </w:pPr>
      <w:r>
        <w:rPr>
          <w:bCs/>
          <w:b/>
        </w:rPr>
        <w:t xml:space="preserve">Attribute mapping</w:t>
      </w:r>
      <w:r>
        <w:t xml:space="preserve"> </w:t>
      </w:r>
      <w:r>
        <w:t xml:space="preserve">— this translates GitLab’s token fields into things Google can match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Google attribute</w:t>
            </w:r>
          </w:p>
        </w:tc>
        <w:tc>
          <w:tcPr/>
          <w:p>
            <w:pPr>
              <w:pStyle w:val="Compact"/>
              <w:jc w:val="left"/>
            </w:pPr>
            <w:r>
              <w:t xml:space="preserve">GitLab claim</w:t>
            </w:r>
          </w:p>
        </w:tc>
      </w:tr>
      <w:tr>
        <w:tc>
          <w:tcPr/>
          <w:p>
            <w:pPr>
              <w:pStyle w:val="Compact"/>
              <w:jc w:val="left"/>
            </w:pPr>
            <w:r>
              <w:rPr>
                <w:rStyle w:val="VerbatimChar"/>
              </w:rPr>
              <w:t xml:space="preserve">google.subject</w:t>
            </w:r>
          </w:p>
        </w:tc>
        <w:tc>
          <w:tcPr/>
          <w:p>
            <w:pPr>
              <w:pStyle w:val="Compact"/>
              <w:jc w:val="left"/>
            </w:pPr>
            <w:r>
              <w:rPr>
                <w:rStyle w:val="VerbatimChar"/>
              </w:rPr>
              <w:t xml:space="preserve">assertion.sub</w:t>
            </w:r>
          </w:p>
        </w:tc>
      </w:tr>
      <w:tr>
        <w:tc>
          <w:tcPr/>
          <w:p>
            <w:pPr>
              <w:pStyle w:val="Compact"/>
              <w:jc w:val="left"/>
            </w:pPr>
            <w:r>
              <w:rPr>
                <w:rStyle w:val="VerbatimChar"/>
              </w:rPr>
              <w:t xml:space="preserve">attribute.project_path</w:t>
            </w:r>
          </w:p>
        </w:tc>
        <w:tc>
          <w:tcPr/>
          <w:p>
            <w:pPr>
              <w:pStyle w:val="Compact"/>
              <w:jc w:val="left"/>
            </w:pPr>
            <w:r>
              <w:rPr>
                <w:rStyle w:val="VerbatimChar"/>
              </w:rPr>
              <w:t xml:space="preserve">assertion.project_path</w:t>
            </w:r>
          </w:p>
        </w:tc>
      </w:tr>
      <w:tr>
        <w:tc>
          <w:tcPr/>
          <w:p>
            <w:pPr>
              <w:pStyle w:val="Compact"/>
              <w:jc w:val="left"/>
            </w:pPr>
            <w:r>
              <w:rPr>
                <w:rStyle w:val="VerbatimChar"/>
              </w:rPr>
              <w:t xml:space="preserve">attribute.ref_protected</w:t>
            </w:r>
          </w:p>
        </w:tc>
        <w:tc>
          <w:tcPr/>
          <w:p>
            <w:pPr>
              <w:pStyle w:val="Compact"/>
              <w:jc w:val="left"/>
            </w:pPr>
            <w:r>
              <w:rPr>
                <w:rStyle w:val="VerbatimChar"/>
              </w:rPr>
              <w:t xml:space="preserve">assertion.ref_protected</w:t>
            </w:r>
          </w:p>
        </w:tc>
      </w:tr>
      <w:tr>
        <w:tc>
          <w:tcPr/>
          <w:p>
            <w:pPr>
              <w:pStyle w:val="Compact"/>
              <w:jc w:val="left"/>
            </w:pPr>
            <w:r>
              <w:rPr>
                <w:rStyle w:val="VerbatimChar"/>
              </w:rPr>
              <w:t xml:space="preserve">attribute.environment</w:t>
            </w:r>
          </w:p>
        </w:tc>
        <w:tc>
          <w:tcPr/>
          <w:p>
            <w:pPr>
              <w:pStyle w:val="Compact"/>
              <w:jc w:val="left"/>
            </w:pPr>
            <w:r>
              <w:rPr>
                <w:rStyle w:val="VerbatimChar"/>
              </w:rPr>
              <w:t xml:space="preserve">assertion.environment</w:t>
            </w:r>
          </w:p>
        </w:tc>
      </w:tr>
    </w:tbl>
    <w:p>
      <w:pPr>
        <w:pStyle w:val="BodyText"/>
      </w:pPr>
      <w:r>
        <w:rPr>
          <w:bCs/>
          <w:b/>
        </w:rPr>
        <w:t xml:space="preserve">Attribute condition</w:t>
      </w:r>
      <w:r>
        <w:t xml:space="preserve"> </w:t>
      </w:r>
      <w:r>
        <w:t xml:space="preserve">— paste this into the condition box:</w:t>
      </w:r>
    </w:p>
    <w:p>
      <w:pPr>
        <w:pStyle w:val="SourceCode"/>
      </w:pPr>
      <w:r>
        <w:rPr>
          <w:rStyle w:val="VerbatimChar"/>
        </w:rPr>
        <w:t xml:space="preserve">attribute.project_path == "aicoe/terraform" &amp;&amp; attribute.ref_protected == "true"</w:t>
      </w:r>
    </w:p>
    <w:bookmarkEnd w:id="112"/>
    <w:bookmarkStart w:id="113" w:name="why-the-condition-is-not-optional"/>
    <w:p>
      <w:pPr>
        <w:pStyle w:val="Heading2"/>
      </w:pPr>
      <w:r>
        <w:t xml:space="preserve">12.3 Why the condition is not optional</w:t>
      </w:r>
    </w:p>
    <w:p>
      <w:pPr>
        <w:pStyle w:val="FirstParagraph"/>
      </w:pPr>
      <w:r>
        <w:t xml:space="preserve">This pool serves</w:t>
      </w:r>
      <w:r>
        <w:t xml:space="preserve"> </w:t>
      </w:r>
      <w:r>
        <w:rPr>
          <w:bCs/>
          <w:b/>
        </w:rPr>
        <w:t xml:space="preserve">dev and prod</w:t>
      </w:r>
      <w:r>
        <w:t xml:space="preserve">. Without a condition,</w:t>
      </w:r>
      <w:r>
        <w:t xml:space="preserve"> </w:t>
      </w:r>
      <w:r>
        <w:rPr>
          <w:iCs/>
          <w:i/>
        </w:rPr>
        <w:t xml:space="preserve">any</w:t>
      </w:r>
      <w:r>
        <w:t xml:space="preserve"> </w:t>
      </w:r>
      <w:r>
        <w:t xml:space="preserve">repository on your GitLab server that can request a token for this audience can impersonate any service account bound to the pool — including production ones. The condition is the only thing separating the two environments. Treat it as a security control, not configuration.</w:t>
      </w:r>
    </w:p>
    <w:bookmarkEnd w:id="113"/>
    <w:bookmarkStart w:id="114" w:name="do-this-bind-it-to-a-service-account"/>
    <w:p>
      <w:pPr>
        <w:pStyle w:val="Heading2"/>
      </w:pPr>
      <w:r>
        <w:t xml:space="preserve">12.4 Do this — bind it to a service account</w:t>
      </w:r>
    </w:p>
    <w:p>
      <w:pPr>
        <w:pStyle w:val="FirstParagraph"/>
      </w:pPr>
      <w:r>
        <w:t xml:space="preserve">In each project, create a service account named</w:t>
      </w:r>
      <w:r>
        <w:t xml:space="preserve"> </w:t>
      </w:r>
      <w:r>
        <w:rPr>
          <w:rStyle w:val="VerbatimChar"/>
        </w:rPr>
        <w:t xml:space="preserve">tf-deployer</w:t>
      </w:r>
      <w:r>
        <w:t xml:space="preserve"> </w:t>
      </w:r>
      <w:r>
        <w:t xml:space="preserve">(Part 18 covers service accounts generally), then:</w:t>
      </w:r>
    </w:p>
    <w:p>
      <w:pPr>
        <w:numPr>
          <w:ilvl w:val="0"/>
          <w:numId w:val="1011"/>
        </w:numPr>
        <w:pStyle w:val="Compact"/>
      </w:pPr>
      <w:r>
        <w:rPr>
          <w:bCs/>
          <w:b/>
        </w:rPr>
        <w:t xml:space="preserve">IAM &amp; Admin</w:t>
      </w:r>
      <w:r>
        <w:t xml:space="preserve"> </w:t>
      </w:r>
      <w:r>
        <w:t xml:space="preserve">→</w:t>
      </w:r>
      <w:r>
        <w:t xml:space="preserve"> </w:t>
      </w:r>
      <w:r>
        <w:rPr>
          <w:bCs/>
          <w:b/>
        </w:rPr>
        <w:t xml:space="preserve">Service Accounts</w:t>
      </w:r>
      <w:r>
        <w:t xml:space="preserve"> </w:t>
      </w:r>
      <w:r>
        <w:t xml:space="preserve">→ click</w:t>
      </w:r>
      <w:r>
        <w:t xml:space="preserve"> </w:t>
      </w:r>
      <w:r>
        <w:rPr>
          <w:rStyle w:val="VerbatimChar"/>
        </w:rPr>
        <w:t xml:space="preserve">tf-deployer</w:t>
      </w:r>
      <w:r>
        <w:t xml:space="preserve">.</w:t>
      </w:r>
    </w:p>
    <w:p>
      <w:pPr>
        <w:numPr>
          <w:ilvl w:val="0"/>
          <w:numId w:val="1011"/>
        </w:numPr>
        <w:pStyle w:val="Compact"/>
      </w:pPr>
      <w:r>
        <w:rPr>
          <w:bCs/>
          <w:b/>
        </w:rPr>
        <w:t xml:space="preserve">PERMISSIONS</w:t>
      </w:r>
      <w:r>
        <w:t xml:space="preserve"> </w:t>
      </w:r>
      <w:r>
        <w:t xml:space="preserve">tab →</w:t>
      </w:r>
      <w:r>
        <w:t xml:space="preserve"> </w:t>
      </w:r>
      <w:r>
        <w:rPr>
          <w:bCs/>
          <w:b/>
        </w:rPr>
        <w:t xml:space="preserve">GRANT ACCESS</w:t>
      </w:r>
      <w:r>
        <w:t xml:space="preserve">.</w:t>
      </w:r>
    </w:p>
    <w:p>
      <w:pPr>
        <w:numPr>
          <w:ilvl w:val="0"/>
          <w:numId w:val="1011"/>
        </w:numPr>
        <w:pStyle w:val="Compact"/>
      </w:pPr>
      <w:r>
        <w:t xml:space="preserve">New principal, use the</w:t>
      </w:r>
      <w:r>
        <w:t xml:space="preserve"> </w:t>
      </w:r>
      <w:r>
        <w:rPr>
          <w:bCs/>
          <w:b/>
        </w:rPr>
        <w:t xml:space="preserve">principal</w:t>
      </w:r>
      <w:r>
        <w:t xml:space="preserve"> </w:t>
      </w:r>
      <w:r>
        <w:t xml:space="preserve">format for a single pipeline:</w:t>
      </w:r>
    </w:p>
    <w:p>
      <w:pPr>
        <w:pStyle w:val="SourceCode"/>
      </w:pPr>
      <w:r>
        <w:rPr>
          <w:rStyle w:val="VerbatimChar"/>
        </w:rPr>
        <w:t xml:space="preserve">principal://iam.googleapis.com/projects/&lt;SHAREDWIF_PROJECT_NUMBER&gt;/locations/global/workloadIdentityPools/gitlab-pool/subject/&lt;GITLAB_SUBJECT&gt;</w:t>
      </w:r>
    </w:p>
    <w:p>
      <w:pPr>
        <w:numPr>
          <w:ilvl w:val="0"/>
          <w:numId w:val="1012"/>
        </w:numPr>
        <w:pStyle w:val="Compact"/>
      </w:pPr>
      <w:r>
        <w:t xml:space="preserve">Role:</w:t>
      </w:r>
      <w:r>
        <w:t xml:space="preserve"> </w:t>
      </w:r>
      <w:r>
        <w:rPr>
          <w:bCs/>
          <w:b/>
        </w:rPr>
        <w:t xml:space="preserve">Workload Identity User</w:t>
      </w:r>
      <w:r>
        <w:t xml:space="preserve">.</w:t>
      </w:r>
    </w:p>
    <w:bookmarkEnd w:id="114"/>
    <w:bookmarkStart w:id="115" w:name="watch-out-14"/>
    <w:p>
      <w:pPr>
        <w:pStyle w:val="Heading2"/>
      </w:pPr>
      <w:r>
        <w:t xml:space="preserve">12.5 Watch out</w:t>
      </w:r>
    </w:p>
    <w:p>
      <w:pPr>
        <w:pStyle w:val="FirstParagraph"/>
      </w:pPr>
      <w:r>
        <w:t xml:space="preserve">Prefer</w:t>
      </w:r>
      <w:r>
        <w:t xml:space="preserve"> </w:t>
      </w:r>
      <w:r>
        <w:rPr>
          <w:rStyle w:val="VerbatimChar"/>
        </w:rPr>
        <w:t xml:space="preserve">principal://</w:t>
      </w:r>
      <w:r>
        <w:t xml:space="preserve"> </w:t>
      </w:r>
      <w:r>
        <w:t xml:space="preserve">(one specific pipeline) over</w:t>
      </w:r>
      <w:r>
        <w:t xml:space="preserve"> </w:t>
      </w:r>
      <w:r>
        <w:rPr>
          <w:rStyle w:val="VerbatimChar"/>
        </w:rPr>
        <w:t xml:space="preserve">principalSet://</w:t>
      </w:r>
      <w:r>
        <w:t xml:space="preserve"> </w:t>
      </w:r>
      <w:r>
        <w:t xml:space="preserve">(a whole group).</w:t>
      </w:r>
      <w:r>
        <w:t xml:space="preserve"> </w:t>
      </w:r>
      <w:r>
        <w:rPr>
          <w:rStyle w:val="VerbatimChar"/>
        </w:rPr>
        <w:t xml:space="preserve">principalSet</w:t>
      </w:r>
      <w:r>
        <w:t xml:space="preserve"> </w:t>
      </w:r>
      <w:r>
        <w:t xml:space="preserve">is convenient and is how most tutorials do it, but it widens who can impersonate the account.</w:t>
      </w:r>
    </w:p>
    <w:p>
      <w:r>
        <w:br w:type="page"/>
      </w:r>
    </w:p>
    <w:bookmarkEnd w:id="115"/>
    <w:bookmarkEnd w:id="116"/>
    <w:bookmarkStart w:id="128" w:name="Xafb07450ee2a6bb4fcd299ac7e4caea8d8a9757"/>
    <w:p>
      <w:pPr>
        <w:pStyle w:val="Heading1"/>
      </w:pPr>
      <w:r>
        <w:t xml:space="preserve">Part 13 — Entra ID: workforce federation and app registrations</w:t>
      </w:r>
    </w:p>
    <w:bookmarkStart w:id="117" w:name="what-this-is-12"/>
    <w:p>
      <w:pPr>
        <w:pStyle w:val="Heading2"/>
      </w:pPr>
      <w:r>
        <w:t xml:space="preserve">13.1 What this is</w:t>
      </w:r>
    </w:p>
    <w:p>
      <w:pPr>
        <w:pStyle w:val="FirstParagraph"/>
      </w:pPr>
      <w:r>
        <w:t xml:space="preserve">This is how a Colt employee signs in. Google does not hold their password; Entra ID authenticates them and vouches for them, including which groups they belong to. A</w:t>
      </w:r>
      <w:r>
        <w:t xml:space="preserve"> </w:t>
      </w:r>
      <w:r>
        <w:rPr>
          <w:bCs/>
          <w:b/>
        </w:rPr>
        <w:t xml:space="preserve">workforce pool</w:t>
      </w:r>
      <w:r>
        <w:t xml:space="preserve"> </w:t>
      </w:r>
      <w:r>
        <w:t xml:space="preserve">is the Google side of that arrangement.</w:t>
      </w:r>
    </w:p>
    <w:p>
      <w:pPr>
        <w:pStyle w:val="BodyText"/>
      </w:pPr>
      <w:r>
        <w:t xml:space="preserve">Note this is a different thing from Part 12 despite the similar name. Part 12 is for machines, this is for people.</w:t>
      </w:r>
    </w:p>
    <w:bookmarkEnd w:id="117"/>
    <w:bookmarkStart w:id="118" w:name="do-this-7"/>
    <w:p>
      <w:pPr>
        <w:pStyle w:val="Heading2"/>
      </w:pPr>
      <w:r>
        <w:t xml:space="preserve">13.2 Do this</w:t>
      </w:r>
    </w:p>
    <w:p>
      <w:pPr>
        <w:pStyle w:val="FirstParagraph"/>
      </w:pPr>
      <w:r>
        <w:rPr>
          <w:bCs/>
          <w:b/>
        </w:rPr>
        <w:t xml:space="preserve">Where:</w:t>
      </w:r>
      <w:r>
        <w:t xml:space="preserve"> </w:t>
      </w:r>
      <w:r>
        <w:t xml:space="preserve">search for</w:t>
      </w:r>
      <w:r>
        <w:t xml:space="preserve"> </w:t>
      </w:r>
      <w:r>
        <w:rPr>
          <w:bCs/>
          <w:b/>
        </w:rPr>
        <w:t xml:space="preserve">Workforce Identity Federation</w:t>
      </w:r>
      <w:r>
        <w:t xml:space="preserve">. This lives at the</w:t>
      </w:r>
      <w:r>
        <w:t xml:space="preserve"> </w:t>
      </w:r>
      <w:r>
        <w:rPr>
          <w:bCs/>
          <w:b/>
        </w:rPr>
        <w:t xml:space="preserve">organisation</w:t>
      </w:r>
      <w:r>
        <w:t xml:space="preserve"> </w:t>
      </w:r>
      <w:r>
        <w:t xml:space="preserve">level, so the resource picker must show your organisation, not a project.</w:t>
      </w:r>
    </w:p>
    <w:p>
      <w:pPr>
        <w:pStyle w:val="BodyText"/>
      </w:pPr>
      <w:r>
        <w:rPr>
          <w:bCs/>
          <w:b/>
        </w:rPr>
        <w:t xml:space="preserve">CREATE POOL: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colt-aiappsui-auth</w:t>
            </w:r>
          </w:p>
        </w:tc>
      </w:tr>
      <w:tr>
        <w:tc>
          <w:tcPr/>
          <w:p>
            <w:pPr>
              <w:pStyle w:val="Compact"/>
              <w:jc w:val="left"/>
            </w:pPr>
            <w:r>
              <w:t xml:space="preserve">Description</w:t>
            </w:r>
          </w:p>
        </w:tc>
        <w:tc>
          <w:tcPr/>
          <w:p>
            <w:pPr>
              <w:pStyle w:val="Compact"/>
              <w:jc w:val="left"/>
            </w:pPr>
            <w:r>
              <w:t xml:space="preserve">Entra ID sign-in for AI CoE applications</w:t>
            </w:r>
          </w:p>
        </w:tc>
      </w:tr>
      <w:tr>
        <w:tc>
          <w:tcPr/>
          <w:p>
            <w:pPr>
              <w:pStyle w:val="Compact"/>
              <w:jc w:val="left"/>
            </w:pPr>
            <w:r>
              <w:t xml:space="preserve">Session duration</w:t>
            </w:r>
          </w:p>
        </w:tc>
        <w:tc>
          <w:tcPr/>
          <w:p>
            <w:pPr>
              <w:pStyle w:val="Compact"/>
              <w:jc w:val="left"/>
            </w:pPr>
            <w:r>
              <w:t xml:space="preserve">start with 8 hours — see §13.5</w:t>
            </w:r>
          </w:p>
        </w:tc>
      </w:tr>
    </w:tbl>
    <w:p>
      <w:pPr>
        <w:pStyle w:val="BodyText"/>
      </w:pPr>
      <w:r>
        <w:rPr>
          <w:bCs/>
          <w:b/>
        </w:rPr>
        <w:t xml:space="preserve">Add a provider: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Provider type</w:t>
            </w:r>
          </w:p>
        </w:tc>
        <w:tc>
          <w:tcPr/>
          <w:p>
            <w:pPr>
              <w:pStyle w:val="Compact"/>
              <w:jc w:val="left"/>
            </w:pPr>
            <w:r>
              <w:rPr>
                <w:bCs/>
                <w:b/>
              </w:rPr>
              <w:t xml:space="preserve">OIDC</w:t>
            </w:r>
          </w:p>
        </w:tc>
      </w:tr>
      <w:tr>
        <w:tc>
          <w:tcPr/>
          <w:p>
            <w:pPr>
              <w:pStyle w:val="Compact"/>
              <w:jc w:val="left"/>
            </w:pPr>
            <w:r>
              <w:t xml:space="preserve">Name</w:t>
            </w:r>
          </w:p>
        </w:tc>
        <w:tc>
          <w:tcPr/>
          <w:p>
            <w:pPr>
              <w:pStyle w:val="Compact"/>
              <w:jc w:val="left"/>
            </w:pPr>
            <w:r>
              <w:rPr>
                <w:rStyle w:val="VerbatimChar"/>
              </w:rPr>
              <w:t xml:space="preserve">entra</w:t>
            </w:r>
          </w:p>
        </w:tc>
      </w:tr>
      <w:tr>
        <w:tc>
          <w:tcPr/>
          <w:p>
            <w:pPr>
              <w:pStyle w:val="Compact"/>
              <w:jc w:val="left"/>
            </w:pPr>
            <w:r>
              <w:t xml:space="preserve">Issuer URL</w:t>
            </w:r>
          </w:p>
        </w:tc>
        <w:tc>
          <w:tcPr/>
          <w:p>
            <w:pPr>
              <w:pStyle w:val="Compact"/>
              <w:jc w:val="left"/>
            </w:pPr>
            <w:r>
              <w:t xml:space="preserve">from your Entra app registration</w:t>
            </w:r>
          </w:p>
        </w:tc>
      </w:tr>
      <w:tr>
        <w:tc>
          <w:tcPr/>
          <w:p>
            <w:pPr>
              <w:pStyle w:val="Compact"/>
              <w:jc w:val="left"/>
            </w:pPr>
            <w:r>
              <w:t xml:space="preserve">Client ID</w:t>
            </w:r>
          </w:p>
        </w:tc>
        <w:tc>
          <w:tcPr/>
          <w:p>
            <w:pPr>
              <w:pStyle w:val="Compact"/>
              <w:jc w:val="left"/>
            </w:pPr>
            <w:r>
              <w:t xml:space="preserve">from your Entra app registration</w:t>
            </w:r>
          </w:p>
        </w:tc>
      </w:tr>
      <w:tr>
        <w:tc>
          <w:tcPr/>
          <w:p>
            <w:pPr>
              <w:pStyle w:val="Compact"/>
              <w:jc w:val="left"/>
            </w:pPr>
            <w:r>
              <w:t xml:space="preserve">Response type</w:t>
            </w:r>
          </w:p>
        </w:tc>
        <w:tc>
          <w:tcPr/>
          <w:p>
            <w:pPr>
              <w:pStyle w:val="Compact"/>
              <w:jc w:val="left"/>
            </w:pPr>
            <w:r>
              <w:t xml:space="preserve">Code</w:t>
            </w:r>
          </w:p>
        </w:tc>
      </w:tr>
      <w:tr>
        <w:tc>
          <w:tcPr/>
          <w:p>
            <w:pPr>
              <w:pStyle w:val="Compact"/>
              <w:jc w:val="left"/>
            </w:pPr>
            <w:r>
              <w:t xml:space="preserve">Client secret</w:t>
            </w:r>
          </w:p>
        </w:tc>
        <w:tc>
          <w:tcPr/>
          <w:p>
            <w:pPr>
              <w:pStyle w:val="Compact"/>
              <w:jc w:val="left"/>
            </w:pPr>
            <w:r>
              <w:t xml:space="preserve">from Entra, stored as a secret</w:t>
            </w:r>
          </w:p>
        </w:tc>
      </w:tr>
    </w:tbl>
    <w:p>
      <w:pPr>
        <w:pStyle w:val="BodyText"/>
      </w:pPr>
      <w:r>
        <w:rPr>
          <w:bCs/>
          <w:b/>
        </w:rPr>
        <w:t xml:space="preserve">Attribute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Google attribute</w:t>
            </w:r>
          </w:p>
        </w:tc>
        <w:tc>
          <w:tcPr/>
          <w:p>
            <w:pPr>
              <w:pStyle w:val="Compact"/>
              <w:jc w:val="left"/>
            </w:pPr>
            <w:r>
              <w:t xml:space="preserve">Entra claim</w:t>
            </w:r>
          </w:p>
        </w:tc>
      </w:tr>
      <w:tr>
        <w:tc>
          <w:tcPr/>
          <w:p>
            <w:pPr>
              <w:pStyle w:val="Compact"/>
              <w:jc w:val="left"/>
            </w:pPr>
            <w:r>
              <w:rPr>
                <w:rStyle w:val="VerbatimChar"/>
              </w:rPr>
              <w:t xml:space="preserve">google.subject</w:t>
            </w:r>
          </w:p>
        </w:tc>
        <w:tc>
          <w:tcPr/>
          <w:p>
            <w:pPr>
              <w:pStyle w:val="Compact"/>
              <w:jc w:val="left"/>
            </w:pPr>
            <w:r>
              <w:rPr>
                <w:rStyle w:val="VerbatimChar"/>
              </w:rPr>
              <w:t xml:space="preserve">assertion.sub</w:t>
            </w:r>
          </w:p>
        </w:tc>
      </w:tr>
      <w:tr>
        <w:tc>
          <w:tcPr/>
          <w:p>
            <w:pPr>
              <w:pStyle w:val="Compact"/>
              <w:jc w:val="left"/>
            </w:pPr>
            <w:r>
              <w:rPr>
                <w:rStyle w:val="VerbatimChar"/>
              </w:rPr>
              <w:t xml:space="preserve">google.groups</w:t>
            </w:r>
          </w:p>
        </w:tc>
        <w:tc>
          <w:tcPr/>
          <w:p>
            <w:pPr>
              <w:pStyle w:val="Compact"/>
              <w:jc w:val="left"/>
            </w:pPr>
            <w:r>
              <w:rPr>
                <w:rStyle w:val="VerbatimChar"/>
              </w:rPr>
              <w:t xml:space="preserve">assertion.groups</w:t>
            </w:r>
          </w:p>
        </w:tc>
      </w:tr>
      <w:tr>
        <w:tc>
          <w:tcPr/>
          <w:p>
            <w:pPr>
              <w:pStyle w:val="Compact"/>
              <w:jc w:val="left"/>
            </w:pPr>
            <w:r>
              <w:rPr>
                <w:rStyle w:val="VerbatimChar"/>
              </w:rPr>
              <w:t xml:space="preserve">attribute.department</w:t>
            </w:r>
          </w:p>
        </w:tc>
        <w:tc>
          <w:tcPr/>
          <w:p>
            <w:pPr>
              <w:pStyle w:val="Compact"/>
              <w:jc w:val="left"/>
            </w:pPr>
            <w:r>
              <w:rPr>
                <w:rStyle w:val="VerbatimChar"/>
              </w:rPr>
              <w:t xml:space="preserve">assertion.department</w:t>
            </w:r>
          </w:p>
        </w:tc>
      </w:tr>
      <w:tr>
        <w:tc>
          <w:tcPr/>
          <w:p>
            <w:pPr>
              <w:pStyle w:val="Compact"/>
              <w:jc w:val="left"/>
            </w:pPr>
            <w:r>
              <w:rPr>
                <w:rStyle w:val="VerbatimChar"/>
              </w:rPr>
              <w:t xml:space="preserve">attribute.organization</w:t>
            </w:r>
          </w:p>
        </w:tc>
        <w:tc>
          <w:tcPr/>
          <w:p>
            <w:pPr>
              <w:pStyle w:val="Compact"/>
              <w:jc w:val="left"/>
            </w:pPr>
            <w:r>
              <w:rPr>
                <w:rStyle w:val="VerbatimChar"/>
              </w:rPr>
              <w:t xml:space="preserve">assertion.companyName</w:t>
            </w:r>
          </w:p>
        </w:tc>
      </w:tr>
    </w:tbl>
    <w:bookmarkEnd w:id="118"/>
    <w:bookmarkStart w:id="124" w:name="do-this-the-two-entra-app-registrations"/>
    <w:p>
      <w:pPr>
        <w:pStyle w:val="Heading2"/>
      </w:pPr>
      <w:r>
        <w:t xml:space="preserve">13.3 Do this — the two Entra app registrations</w:t>
      </w:r>
    </w:p>
    <w:p>
      <w:pPr>
        <w:pStyle w:val="FirstParagraph"/>
      </w:pPr>
      <w:r>
        <w:t xml:space="preserve">The workforce pool above lets IAP authenticate people at the front door. The BFF needs something separate: it is an OAuth client in its own right, and it needs an API to request a token</w:t>
      </w:r>
      <w:r>
        <w:t xml:space="preserve"> </w:t>
      </w:r>
      <w:r>
        <w:rPr>
          <w:iCs/>
          <w:i/>
        </w:rPr>
        <w:t xml:space="preserve">for</w:t>
      </w:r>
      <w:r>
        <w:t xml:space="preserve">. That means two app registrations.</w:t>
      </w:r>
    </w:p>
    <w:p>
      <w:pPr>
        <w:pStyle w:val="BodyText"/>
      </w:pPr>
      <w:r>
        <w:t xml:space="preserve">Hand this section to the identity team as written.</w:t>
      </w:r>
    </w:p>
    <w:bookmarkStart w:id="119" w:name="X5dd5fa859e2d1152e3e058739178031e06a7a3f"/>
    <w:p>
      <w:pPr>
        <w:pStyle w:val="Heading3"/>
      </w:pPr>
      <w:r>
        <w:t xml:space="preserve">Registration 1 —</w:t>
      </w:r>
      <w:r>
        <w:t xml:space="preserve"> </w:t>
      </w:r>
      <w:r>
        <w:rPr>
          <w:rStyle w:val="VerbatimChar"/>
        </w:rPr>
        <w:t xml:space="preserve">AI-BFF</w:t>
      </w:r>
      <w:r>
        <w:t xml:space="preserve">, the confidential client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Platform</w:t>
            </w:r>
          </w:p>
        </w:tc>
        <w:tc>
          <w:tcPr/>
          <w:p>
            <w:pPr>
              <w:pStyle w:val="Compact"/>
              <w:jc w:val="left"/>
            </w:pPr>
            <w:r>
              <w:rPr>
                <w:bCs/>
                <w:b/>
              </w:rPr>
              <w:t xml:space="preserve">Web</w:t>
            </w:r>
            <w:r>
              <w:t xml:space="preserve"> </w:t>
            </w:r>
            <w:r>
              <w:t xml:space="preserve">— not Single-Page Application</w:t>
            </w:r>
          </w:p>
        </w:tc>
      </w:tr>
      <w:tr>
        <w:tc>
          <w:tcPr/>
          <w:p>
            <w:pPr>
              <w:pStyle w:val="Compact"/>
              <w:jc w:val="left"/>
            </w:pPr>
            <w:r>
              <w:t xml:space="preserve">Redirect URI</w:t>
            </w:r>
          </w:p>
        </w:tc>
        <w:tc>
          <w:tcPr/>
          <w:p>
            <w:pPr>
              <w:pStyle w:val="Compact"/>
              <w:jc w:val="left"/>
            </w:pPr>
            <w:r>
              <w:rPr>
                <w:rStyle w:val="VerbatimChar"/>
              </w:rPr>
              <w:t xml:space="preserve">https://aihub.aicoe-dev-int.colt.net/auth/callback</w:t>
            </w:r>
          </w:p>
        </w:tc>
      </w:tr>
      <w:tr>
        <w:tc>
          <w:tcPr/>
          <w:p>
            <w:pPr>
              <w:pStyle w:val="Compact"/>
              <w:jc w:val="left"/>
            </w:pPr>
            <w:r>
              <w:t xml:space="preserve">Credential</w:t>
            </w:r>
          </w:p>
        </w:tc>
        <w:tc>
          <w:tcPr/>
          <w:p>
            <w:pPr>
              <w:pStyle w:val="Compact"/>
              <w:jc w:val="left"/>
            </w:pPr>
            <w:r>
              <w:t xml:space="preserve">Client secret, or</w:t>
            </w:r>
            <w:r>
              <w:t xml:space="preserve"> </w:t>
            </w:r>
            <w:r>
              <w:rPr>
                <w:bCs/>
                <w:b/>
              </w:rPr>
              <w:t xml:space="preserve">preferably a certificate</w:t>
            </w:r>
            <w:r>
              <w:t xml:space="preserve"> </w:t>
            </w:r>
            <w:r>
              <w:t xml:space="preserve">— no expiry surprise, nothing secret in transit</w:t>
            </w:r>
          </w:p>
        </w:tc>
      </w:tr>
      <w:tr>
        <w:tc>
          <w:tcPr/>
          <w:p>
            <w:pPr>
              <w:pStyle w:val="Compact"/>
              <w:jc w:val="left"/>
            </w:pPr>
            <w:r>
              <w:t xml:space="preserve">Implicit grant</w:t>
            </w:r>
          </w:p>
        </w:tc>
        <w:tc>
          <w:tcPr/>
          <w:p>
            <w:pPr>
              <w:pStyle w:val="Compact"/>
              <w:jc w:val="left"/>
            </w:pPr>
            <w:r>
              <w:rPr>
                <w:bCs/>
                <w:b/>
              </w:rPr>
              <w:t xml:space="preserve">Disabled</w:t>
            </w:r>
          </w:p>
        </w:tc>
      </w:tr>
      <w:tr>
        <w:tc>
          <w:tcPr/>
          <w:p>
            <w:pPr>
              <w:pStyle w:val="Compact"/>
              <w:jc w:val="left"/>
            </w:pPr>
            <w:r>
              <w:t xml:space="preserve">Front-channel logout URL</w:t>
            </w:r>
          </w:p>
        </w:tc>
        <w:tc>
          <w:tcPr/>
          <w:p>
            <w:pPr>
              <w:pStyle w:val="Compact"/>
              <w:jc w:val="left"/>
            </w:pPr>
            <w:r>
              <w:rPr>
                <w:rStyle w:val="VerbatimChar"/>
              </w:rPr>
              <w:t xml:space="preserve">https://aihub.aicoe-dev-int.colt.net/auth/logout</w:t>
            </w:r>
          </w:p>
        </w:tc>
      </w:tr>
    </w:tbl>
    <w:p>
      <w:pPr>
        <w:pStyle w:val="BodyText"/>
      </w:pPr>
      <w:r>
        <w:t xml:space="preserve">The credential goes into Secret Manager as</w:t>
      </w:r>
      <w:r>
        <w:t xml:space="preserve"> </w:t>
      </w:r>
      <w:r>
        <w:rPr>
          <w:rStyle w:val="VerbatimChar"/>
        </w:rPr>
        <w:t xml:space="preserve">entra-bff-client-secret</w:t>
      </w:r>
      <w:r>
        <w:t xml:space="preserve"> </w:t>
      </w:r>
      <w:r>
        <w:t xml:space="preserve">(§11.2). It never appears in code, config or a container image.</w:t>
      </w:r>
    </w:p>
    <w:bookmarkEnd w:id="119"/>
    <w:bookmarkStart w:id="120" w:name="registration-2-ai-api-the-resource"/>
    <w:p>
      <w:pPr>
        <w:pStyle w:val="Heading3"/>
      </w:pPr>
      <w:r>
        <w:t xml:space="preserve">Registration 2 —</w:t>
      </w:r>
      <w:r>
        <w:t xml:space="preserve"> </w:t>
      </w:r>
      <w:r>
        <w:rPr>
          <w:rStyle w:val="VerbatimChar"/>
        </w:rPr>
        <w:t xml:space="preserve">AI-API</w:t>
      </w:r>
      <w:r>
        <w:t xml:space="preserve">, the resource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Application ID URI</w:t>
            </w:r>
          </w:p>
        </w:tc>
        <w:tc>
          <w:tcPr/>
          <w:p>
            <w:pPr>
              <w:pStyle w:val="Compact"/>
              <w:jc w:val="left"/>
            </w:pPr>
            <w:r>
              <w:rPr>
                <w:rStyle w:val="VerbatimChar"/>
              </w:rPr>
              <w:t xml:space="preserve">api://aicoe-platform</w:t>
            </w:r>
          </w:p>
        </w:tc>
      </w:tr>
      <w:tr>
        <w:tc>
          <w:tcPr/>
          <w:p>
            <w:pPr>
              <w:pStyle w:val="Compact"/>
              <w:jc w:val="left"/>
            </w:pPr>
            <w:r>
              <w:t xml:space="preserve">Exposed scope</w:t>
            </w:r>
          </w:p>
        </w:tc>
        <w:tc>
          <w:tcPr/>
          <w:p>
            <w:pPr>
              <w:pStyle w:val="Compact"/>
              <w:jc w:val="left"/>
            </w:pPr>
            <w:r>
              <w:rPr>
                <w:rStyle w:val="VerbatimChar"/>
              </w:rPr>
              <w:t xml:space="preserve">access_as_user</w:t>
            </w:r>
          </w:p>
        </w:tc>
      </w:tr>
      <w:tr>
        <w:tc>
          <w:tcPr/>
          <w:p>
            <w:pPr>
              <w:pStyle w:val="Compact"/>
              <w:jc w:val="left"/>
            </w:pPr>
            <w:r>
              <w:t xml:space="preserve">Optional claims on the access token</w:t>
            </w:r>
          </w:p>
        </w:tc>
        <w:tc>
          <w:tcPr/>
          <w:p>
            <w:pPr>
              <w:pStyle w:val="Compact"/>
              <w:jc w:val="left"/>
            </w:pPr>
            <w:r>
              <w:rPr>
                <w:rStyle w:val="VerbatimChar"/>
              </w:rPr>
              <w:t xml:space="preserve">department</w:t>
            </w:r>
            <w:r>
              <w:t xml:space="preserve">,</w:t>
            </w:r>
            <w:r>
              <w:t xml:space="preserve"> </w:t>
            </w:r>
            <w:r>
              <w:rPr>
                <w:rStyle w:val="VerbatimChar"/>
              </w:rPr>
              <w:t xml:space="preserve">companyName</w:t>
            </w:r>
          </w:p>
        </w:tc>
      </w:tr>
    </w:tbl>
    <w:bookmarkEnd w:id="120"/>
    <w:bookmarkStart w:id="121" w:name="app-roles-defined-on-ai-api"/>
    <w:p>
      <w:pPr>
        <w:pStyle w:val="Heading3"/>
      </w:pPr>
      <w:r>
        <w:t xml:space="preserve">App Roles, defined on</w:t>
      </w:r>
      <w:r>
        <w:t xml:space="preserve"> </w:t>
      </w:r>
      <w:r>
        <w:rPr>
          <w:rStyle w:val="VerbatimChar"/>
        </w:rPr>
        <w:t xml:space="preserve">AI-API</w:t>
      </w:r>
    </w:p>
    <w:p>
      <w:pPr>
        <w:pStyle w:val="FirstParagraph"/>
      </w:pPr>
      <w:r>
        <w:t xml:space="preserve">Set</w:t>
      </w:r>
      <w:r>
        <w:t xml:space="preserve"> </w:t>
      </w:r>
      <w:r>
        <w:rPr>
          <w:rStyle w:val="VerbatimChar"/>
        </w:rPr>
        <w:t xml:space="preserve">allowedMemberTypes</w:t>
      </w:r>
      <w:r>
        <w:t xml:space="preserve"> </w:t>
      </w:r>
      <w:r>
        <w:t xml:space="preserve">to</w:t>
      </w:r>
      <w:r>
        <w:t xml:space="preserve"> </w:t>
      </w:r>
      <w:r>
        <w:rPr>
          <w:rStyle w:val="VerbatimChar"/>
        </w:rPr>
        <w:t xml:space="preserve">["User"]</w:t>
      </w:r>
      <w:r>
        <w:t xml:space="preserve"> </w:t>
      </w:r>
      <w:r>
        <w:t xml:space="preserve">for each.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Role value</w:t>
            </w:r>
          </w:p>
        </w:tc>
        <w:tc>
          <w:tcPr/>
          <w:p>
            <w:pPr>
              <w:pStyle w:val="Compact"/>
              <w:jc w:val="left"/>
            </w:pPr>
            <w:r>
              <w:t xml:space="preserve">Grants access to</w:t>
            </w:r>
          </w:p>
        </w:tc>
      </w:tr>
      <w:tr>
        <w:tc>
          <w:tcPr/>
          <w:p>
            <w:pPr>
              <w:pStyle w:val="Compact"/>
              <w:jc w:val="left"/>
            </w:pPr>
            <w:r>
              <w:rPr>
                <w:rStyle w:val="VerbatimChar"/>
              </w:rPr>
              <w:t xml:space="preserve">Translation.User</w:t>
            </w:r>
          </w:p>
        </w:tc>
        <w:tc>
          <w:tcPr/>
          <w:p>
            <w:pPr>
              <w:pStyle w:val="Compact"/>
              <w:jc w:val="left"/>
            </w:pPr>
            <w:r>
              <w:rPr>
                <w:rStyle w:val="VerbatimChar"/>
              </w:rPr>
              <w:t xml:space="preserve">/api/translation/*</w:t>
            </w:r>
          </w:p>
        </w:tc>
      </w:tr>
      <w:tr>
        <w:tc>
          <w:tcPr/>
          <w:p>
            <w:pPr>
              <w:pStyle w:val="Compact"/>
              <w:jc w:val="left"/>
            </w:pPr>
            <w:r>
              <w:rPr>
                <w:rStyle w:val="VerbatimChar"/>
              </w:rPr>
              <w:t xml:space="preserve">SalesAgent.User</w:t>
            </w:r>
          </w:p>
        </w:tc>
        <w:tc>
          <w:tcPr/>
          <w:p>
            <w:pPr>
              <w:pStyle w:val="Compact"/>
              <w:jc w:val="left"/>
            </w:pPr>
            <w:r>
              <w:rPr>
                <w:rStyle w:val="VerbatimChar"/>
              </w:rPr>
              <w:t xml:space="preserve">/api/sales/*</w:t>
            </w:r>
          </w:p>
        </w:tc>
      </w:tr>
      <w:tr>
        <w:tc>
          <w:tcPr/>
          <w:p>
            <w:pPr>
              <w:pStyle w:val="Compact"/>
              <w:jc w:val="left"/>
            </w:pPr>
            <w:r>
              <w:rPr>
                <w:rStyle w:val="VerbatimChar"/>
              </w:rPr>
              <w:t xml:space="preserve">Platform.Admin</w:t>
            </w:r>
          </w:p>
        </w:tc>
        <w:tc>
          <w:tcPr/>
          <w:p>
            <w:pPr>
              <w:pStyle w:val="Compact"/>
              <w:jc w:val="left"/>
            </w:pPr>
            <w:r>
              <w:t xml:space="preserve">administrative endpoints</w:t>
            </w:r>
          </w:p>
        </w:tc>
      </w:tr>
    </w:tbl>
    <w:bookmarkEnd w:id="121"/>
    <w:bookmarkStart w:id="122" w:name="Xc470d61b9941e38886a6cdf2134261294efb4f6"/>
    <w:p>
      <w:pPr>
        <w:pStyle w:val="Heading3"/>
      </w:pPr>
      <w:r>
        <w:t xml:space="preserve">Security groups — assigned to roles, not users to roles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Assigned to</w:t>
            </w:r>
          </w:p>
        </w:tc>
      </w:tr>
      <w:tr>
        <w:tc>
          <w:tcPr/>
          <w:p>
            <w:pPr>
              <w:pStyle w:val="Compact"/>
              <w:jc w:val="left"/>
            </w:pPr>
            <w:r>
              <w:rPr>
                <w:rStyle w:val="VerbatimChar"/>
              </w:rPr>
              <w:t xml:space="preserve">App-AICoE-UI-Users</w:t>
            </w:r>
          </w:p>
        </w:tc>
        <w:tc>
          <w:tcPr/>
          <w:p>
            <w:pPr>
              <w:pStyle w:val="Compact"/>
              <w:jc w:val="left"/>
            </w:pPr>
            <w:r>
              <w:rPr>
                <w:iCs/>
                <w:i/>
              </w:rPr>
              <w:t xml:space="preserve">(no role)</w:t>
            </w:r>
            <w:r>
              <w:t xml:space="preserve"> </w:t>
            </w:r>
            <w:r>
              <w:t xml:space="preserve">— used for the IAP grant in §20.3</w:t>
            </w:r>
          </w:p>
        </w:tc>
      </w:tr>
      <w:tr>
        <w:tc>
          <w:tcPr/>
          <w:p>
            <w:pPr>
              <w:pStyle w:val="Compact"/>
              <w:jc w:val="left"/>
            </w:pPr>
            <w:r>
              <w:rPr>
                <w:rStyle w:val="VerbatimChar"/>
              </w:rPr>
              <w:t xml:space="preserve">App-AICoE-Translation-Users</w:t>
            </w:r>
          </w:p>
        </w:tc>
        <w:tc>
          <w:tcPr/>
          <w:p>
            <w:pPr>
              <w:pStyle w:val="Compact"/>
              <w:jc w:val="left"/>
            </w:pPr>
            <w:r>
              <w:rPr>
                <w:rStyle w:val="VerbatimChar"/>
              </w:rPr>
              <w:t xml:space="preserve">Translation.User</w:t>
            </w:r>
          </w:p>
        </w:tc>
      </w:tr>
      <w:tr>
        <w:tc>
          <w:tcPr/>
          <w:p>
            <w:pPr>
              <w:pStyle w:val="Compact"/>
              <w:jc w:val="left"/>
            </w:pPr>
            <w:r>
              <w:rPr>
                <w:rStyle w:val="VerbatimChar"/>
              </w:rPr>
              <w:t xml:space="preserve">App-AICoE-SalesAgent-Users</w:t>
            </w:r>
          </w:p>
        </w:tc>
        <w:tc>
          <w:tcPr/>
          <w:p>
            <w:pPr>
              <w:pStyle w:val="Compact"/>
              <w:jc w:val="left"/>
            </w:pPr>
            <w:r>
              <w:rPr>
                <w:rStyle w:val="VerbatimChar"/>
              </w:rPr>
              <w:t xml:space="preserve">SalesAgent.User</w:t>
            </w:r>
          </w:p>
        </w:tc>
      </w:tr>
      <w:tr>
        <w:tc>
          <w:tcPr/>
          <w:p>
            <w:pPr>
              <w:pStyle w:val="Compact"/>
              <w:jc w:val="left"/>
            </w:pPr>
            <w:r>
              <w:rPr>
                <w:rStyle w:val="VerbatimChar"/>
              </w:rPr>
              <w:t xml:space="preserve">App-AICoE-Platform-Admins</w:t>
            </w:r>
          </w:p>
        </w:tc>
        <w:tc>
          <w:tcPr/>
          <w:p>
            <w:pPr>
              <w:pStyle w:val="Compact"/>
              <w:jc w:val="left"/>
            </w:pPr>
            <w:r>
              <w:rPr>
                <w:rStyle w:val="VerbatimChar"/>
              </w:rPr>
              <w:t xml:space="preserve">Platform.Admin</w:t>
            </w:r>
          </w:p>
        </w:tc>
      </w:tr>
    </w:tbl>
    <w:p>
      <w:pPr>
        <w:pStyle w:val="BodyText"/>
      </w:pPr>
      <w:r>
        <w:rPr>
          <w:bCs/>
          <w:b/>
        </w:rPr>
        <w:t xml:space="preserve">Why this indirection is worth the extra step.</w:t>
      </w:r>
      <w:r>
        <w:t xml:space="preserve"> </w:t>
      </w:r>
      <w:r>
        <w:t xml:space="preserve">The service desk adds and removes people from groups and never touches an app registration. Apigee reads a clean</w:t>
      </w:r>
      <w:r>
        <w:t xml:space="preserve"> </w:t>
      </w:r>
      <w:r>
        <w:rPr>
          <w:rStyle w:val="VerbatimChar"/>
        </w:rPr>
        <w:t xml:space="preserve">roles</w:t>
      </w:r>
      <w:r>
        <w:t xml:space="preserve"> </w:t>
      </w:r>
      <w:r>
        <w:t xml:space="preserve">array rather than opaque group identifiers, so a policy is readable. And Entra’s group-overage limit — where a user in too many groups gets a pointer instead of a group list — becomes irrelevant, because roles are not affected by it.</w:t>
      </w:r>
    </w:p>
    <w:bookmarkEnd w:id="122"/>
    <w:bookmarkStart w:id="123" w:name="grant-admin-consent"/>
    <w:p>
      <w:pPr>
        <w:pStyle w:val="Heading3"/>
      </w:pPr>
      <w:r>
        <w:t xml:space="preserve">Grant admin consent</w:t>
      </w:r>
    </w:p>
    <w:p>
      <w:pPr>
        <w:pStyle w:val="FirstParagraph"/>
      </w:pPr>
      <w:r>
        <w:rPr>
          <w:rStyle w:val="VerbatimChar"/>
        </w:rPr>
        <w:t xml:space="preserve">AI-BFF</w:t>
      </w:r>
      <w:r>
        <w:t xml:space="preserve"> </w:t>
      </w:r>
      <w:r>
        <w:t xml:space="preserve">needs consent for</w:t>
      </w:r>
      <w:r>
        <w:t xml:space="preserve"> </w:t>
      </w:r>
      <w:r>
        <w:rPr>
          <w:rStyle w:val="VerbatimChar"/>
        </w:rPr>
        <w:t xml:space="preserve">api://aicoe-platform/access_as_user</w:t>
      </w:r>
      <w:r>
        <w:t xml:space="preserve">. Without it every sign-in shows a consent prompt, which is both confusing and a support ticket.</w:t>
      </w:r>
    </w:p>
    <w:bookmarkEnd w:id="123"/>
    <w:bookmarkEnd w:id="124"/>
    <w:bookmarkStart w:id="125" w:name="Xbe5b67c4911a76d5b9e542474995e075169c8bd"/>
    <w:p>
      <w:pPr>
        <w:pStyle w:val="Heading2"/>
      </w:pPr>
      <w:r>
        <w:t xml:space="preserve">13.3a What the identity team must also do for the workforce pool</w:t>
      </w:r>
    </w:p>
    <w:p>
      <w:pPr>
        <w:numPr>
          <w:ilvl w:val="0"/>
          <w:numId w:val="1013"/>
        </w:numPr>
        <w:pStyle w:val="Compact"/>
      </w:pPr>
      <w:r>
        <w:t xml:space="preserve">An app registration with the redirect URI Google shows on the workforce provider page</w:t>
      </w:r>
    </w:p>
    <w:p>
      <w:pPr>
        <w:numPr>
          <w:ilvl w:val="0"/>
          <w:numId w:val="1013"/>
        </w:numPr>
        <w:pStyle w:val="Compact"/>
      </w:pPr>
      <w:r>
        <w:t xml:space="preserve">The</w:t>
      </w:r>
      <w:r>
        <w:t xml:space="preserve"> </w:t>
      </w:r>
      <w:r>
        <w:rPr>
          <w:rStyle w:val="VerbatimChar"/>
        </w:rPr>
        <w:t xml:space="preserve">groups</w:t>
      </w:r>
      <w:r>
        <w:t xml:space="preserve"> </w:t>
      </w:r>
      <w:r>
        <w:t xml:space="preserve">claim configured to emit</w:t>
      </w:r>
      <w:r>
        <w:t xml:space="preserve"> </w:t>
      </w:r>
      <w:r>
        <w:rPr>
          <w:bCs/>
          <w:b/>
        </w:rPr>
        <w:t xml:space="preserve">only groups assigned to this application</w:t>
      </w:r>
    </w:p>
    <w:p>
      <w:pPr>
        <w:numPr>
          <w:ilvl w:val="0"/>
          <w:numId w:val="1013"/>
        </w:numPr>
        <w:pStyle w:val="Compact"/>
      </w:pPr>
      <w:r>
        <w:rPr>
          <w:rStyle w:val="VerbatimChar"/>
        </w:rPr>
        <w:t xml:space="preserve">department</w:t>
      </w:r>
      <w:r>
        <w:t xml:space="preserve"> </w:t>
      </w:r>
      <w:r>
        <w:t xml:space="preserve">and</w:t>
      </w:r>
      <w:r>
        <w:t xml:space="preserve"> </w:t>
      </w:r>
      <w:r>
        <w:rPr>
          <w:rStyle w:val="VerbatimChar"/>
        </w:rPr>
        <w:t xml:space="preserve">companyName</w:t>
      </w:r>
      <w:r>
        <w:t xml:space="preserve"> </w:t>
      </w:r>
      <w:r>
        <w:t xml:space="preserve">as optional claims</w:t>
      </w:r>
    </w:p>
    <w:p>
      <w:pPr>
        <w:numPr>
          <w:ilvl w:val="0"/>
          <w:numId w:val="1013"/>
        </w:numPr>
        <w:pStyle w:val="Compact"/>
      </w:pPr>
      <w:r>
        <w:rPr>
          <w:rStyle w:val="VerbatimChar"/>
        </w:rPr>
        <w:t xml:space="preserve">App-AICoE-UI-Users</w:t>
      </w:r>
      <w:r>
        <w:t xml:space="preserve"> </w:t>
      </w:r>
      <w:r>
        <w:t xml:space="preserve">assigned to the application</w:t>
      </w:r>
    </w:p>
    <w:bookmarkEnd w:id="125"/>
    <w:bookmarkStart w:id="126" w:name="check-it-worked-11"/>
    <w:p>
      <w:pPr>
        <w:pStyle w:val="Heading2"/>
      </w:pPr>
      <w:r>
        <w:t xml:space="preserve">13.4 Check it worked</w:t>
      </w:r>
    </w:p>
    <w:p>
      <w:pPr>
        <w:pStyle w:val="FirstParagraph"/>
      </w:pPr>
      <w:r>
        <w:t xml:space="preserve">You cannot fully test until IAP is configured in Part 20. What you can check now is that the pool and provider exist and show no configuration warnings.</w:t>
      </w:r>
    </w:p>
    <w:bookmarkEnd w:id="126"/>
    <w:bookmarkStart w:id="127" w:name="watch-out-15"/>
    <w:p>
      <w:pPr>
        <w:pStyle w:val="Heading2"/>
      </w:pPr>
      <w:r>
        <w:t xml:space="preserve">13.5 Watch out</w:t>
      </w:r>
    </w:p>
    <w:p>
      <w:pPr>
        <w:numPr>
          <w:ilvl w:val="0"/>
          <w:numId w:val="1014"/>
        </w:numPr>
        <w:pStyle w:val="Compact"/>
      </w:pPr>
      <w:r>
        <w:rPr>
          <w:bCs/>
          <w:b/>
        </w:rPr>
        <w:t xml:space="preserve">Group overflow.</w:t>
      </w:r>
      <w:r>
        <w:t xml:space="preserve"> </w:t>
      </w:r>
      <w:r>
        <w:t xml:space="preserve">If a user belongs to more than roughly 150 groups, Entra stops sending the group list and sends a pointer to fetch it instead. Your gateway policy will then see</w:t>
      </w:r>
      <w:r>
        <w:t xml:space="preserve"> </w:t>
      </w:r>
      <w:r>
        <w:rPr>
          <w:iCs/>
          <w:i/>
        </w:rPr>
        <w:t xml:space="preserve">no</w:t>
      </w:r>
      <w:r>
        <w:t xml:space="preserve"> </w:t>
      </w:r>
      <w:r>
        <w:t xml:space="preserve">groups. Asking Entra to emit only application-assigned groups makes this very unlikely, and Part 22 configures the gateway to</w:t>
      </w:r>
      <w:r>
        <w:t xml:space="preserve"> </w:t>
      </w:r>
      <w:r>
        <w:rPr>
          <w:bCs/>
          <w:b/>
        </w:rPr>
        <w:t xml:space="preserve">deny</w:t>
      </w:r>
      <w:r>
        <w:t xml:space="preserve"> </w:t>
      </w:r>
      <w:r>
        <w:t xml:space="preserve">when groups are missing rather than allow.</w:t>
      </w:r>
    </w:p>
    <w:p>
      <w:pPr>
        <w:numPr>
          <w:ilvl w:val="0"/>
          <w:numId w:val="1014"/>
        </w:numPr>
        <w:pStyle w:val="Compact"/>
      </w:pPr>
      <w:r>
        <w:rPr>
          <w:bCs/>
          <w:b/>
        </w:rPr>
        <w:t xml:space="preserve">Session duration</w:t>
      </w:r>
      <w:r>
        <w:t xml:space="preserve"> </w:t>
      </w:r>
      <w:r>
        <w:t xml:space="preserve">interacts with long-running streams. An 8-hour session is comfortable; a 1-hour session will interrupt long research jobs.</w:t>
      </w:r>
    </w:p>
    <w:p>
      <w:r>
        <w:br w:type="page"/>
      </w:r>
    </w:p>
    <w:bookmarkEnd w:id="127"/>
    <w:bookmarkEnd w:id="128"/>
    <w:bookmarkStart w:id="138" w:name="Xf559334f6fcad3b934086130d2dd5a5c2a93018"/>
    <w:p>
      <w:pPr>
        <w:pStyle w:val="Heading1"/>
      </w:pPr>
      <w:r>
        <w:t xml:space="preserve">Part 14 — Apigee: organisation, instance, environments</w:t>
      </w:r>
    </w:p>
    <w:bookmarkStart w:id="129" w:name="what-this-is-13"/>
    <w:p>
      <w:pPr>
        <w:pStyle w:val="Heading2"/>
      </w:pPr>
      <w:r>
        <w:t xml:space="preserve">14.1 What this is</w:t>
      </w:r>
    </w:p>
    <w:p>
      <w:pPr>
        <w:pStyle w:val="FirstParagraph"/>
      </w:pPr>
      <w:r>
        <w:t xml:space="preserve">Apigee is the gateway that sits in front of your APIs and your AI models. An</w:t>
      </w:r>
      <w:r>
        <w:t xml:space="preserve"> </w:t>
      </w:r>
      <w:r>
        <w:rPr>
          <w:bCs/>
          <w:b/>
        </w:rPr>
        <w:t xml:space="preserve">organisation</w:t>
      </w:r>
      <w:r>
        <w:t xml:space="preserve"> </w:t>
      </w:r>
      <w:r>
        <w:t xml:space="preserve">is the top-level container, one per project, permanent. An</w:t>
      </w:r>
      <w:r>
        <w:t xml:space="preserve"> </w:t>
      </w:r>
      <w:r>
        <w:rPr>
          <w:bCs/>
          <w:b/>
        </w:rPr>
        <w:t xml:space="preserve">instance</w:t>
      </w:r>
      <w:r>
        <w:t xml:space="preserve"> </w:t>
      </w:r>
      <w:r>
        <w:t xml:space="preserve">is the compute that actually processes requests. An</w:t>
      </w:r>
      <w:r>
        <w:t xml:space="preserve"> </w:t>
      </w:r>
      <w:r>
        <w:rPr>
          <w:bCs/>
          <w:b/>
        </w:rPr>
        <w:t xml:space="preserve">environment</w:t>
      </w:r>
      <w:r>
        <w:t xml:space="preserve"> </w:t>
      </w:r>
      <w:r>
        <w:t xml:space="preserve">is a deployment target — you will have separate ones for the user-facing API and the AI gateway. An</w:t>
      </w:r>
      <w:r>
        <w:t xml:space="preserve"> </w:t>
      </w:r>
      <w:r>
        <w:rPr>
          <w:bCs/>
          <w:b/>
        </w:rPr>
        <w:t xml:space="preserve">environment group</w:t>
      </w:r>
      <w:r>
        <w:t xml:space="preserve"> </w:t>
      </w:r>
      <w:r>
        <w:t xml:space="preserve">maps hostnames to environments.</w:t>
      </w:r>
    </w:p>
    <w:bookmarkEnd w:id="129"/>
    <w:bookmarkStart w:id="130" w:name="before-you-click-anything"/>
    <w:p>
      <w:pPr>
        <w:pStyle w:val="Heading2"/>
      </w:pPr>
      <w:r>
        <w:t xml:space="preserve">14.2 Before you click anything</w:t>
      </w:r>
    </w:p>
    <w:p>
      <w:pPr>
        <w:pStyle w:val="FirstParagraph"/>
      </w:pPr>
      <w:r>
        <w:t xml:space="preserve">Five settings here</w:t>
      </w:r>
      <w:r>
        <w:t xml:space="preserve"> </w:t>
      </w:r>
      <w:r>
        <w:rPr>
          <w:bCs/>
          <w:b/>
        </w:rPr>
        <w:t xml:space="preserve">cannot be changed afterwards</w:t>
      </w:r>
      <w:r>
        <w:t xml:space="preserve">. Getting one wrong means deleting the organisation and starting again, and deletion on a paid organisation has a waiting period.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Value</w:t>
            </w:r>
          </w:p>
        </w:tc>
        <w:tc>
          <w:tcPr/>
          <w:p>
            <w:pPr>
              <w:pStyle w:val="Compact"/>
              <w:jc w:val="left"/>
            </w:pPr>
            <w:r>
              <w:t xml:space="preserve">Why it matters</w:t>
            </w:r>
          </w:p>
        </w:tc>
      </w:tr>
      <w:tr>
        <w:tc>
          <w:tcPr/>
          <w:p>
            <w:pPr>
              <w:pStyle w:val="Compact"/>
              <w:jc w:val="left"/>
            </w:pPr>
            <w:r>
              <w:t xml:space="preserve">Networking</w:t>
            </w:r>
          </w:p>
        </w:tc>
        <w:tc>
          <w:tcPr/>
          <w:p>
            <w:pPr>
              <w:pStyle w:val="Compact"/>
              <w:jc w:val="left"/>
            </w:pPr>
            <w:r>
              <w:rPr>
                <w:bCs/>
                <w:b/>
              </w:rPr>
              <w:t xml:space="preserve">No VPC peering</w:t>
            </w:r>
            <w:r>
              <w:t xml:space="preserve"> </w:t>
            </w:r>
            <w:r>
              <w:t xml:space="preserve">/ service networking not required</w:t>
            </w:r>
          </w:p>
        </w:tc>
        <w:tc>
          <w:tcPr/>
          <w:p>
            <w:pPr>
              <w:pStyle w:val="Compact"/>
              <w:jc w:val="left"/>
            </w:pPr>
            <w:r>
              <w:t xml:space="preserve">Peering cannot reach other usecase networks later. This is the decision that keeps the gateway usable as a platform</w:t>
            </w:r>
          </w:p>
        </w:tc>
      </w:tr>
      <w:tr>
        <w:tc>
          <w:tcPr/>
          <w:p>
            <w:pPr>
              <w:pStyle w:val="Compact"/>
              <w:jc w:val="left"/>
            </w:pPr>
            <w:r>
              <w:t xml:space="preserve">Runtime database encryption key</w:t>
            </w:r>
          </w:p>
        </w:tc>
        <w:tc>
          <w:tcPr/>
          <w:p>
            <w:pPr>
              <w:pStyle w:val="Compact"/>
              <w:jc w:val="left"/>
            </w:pPr>
            <w:r>
              <w:rPr>
                <w:rStyle w:val="VerbatimChar"/>
              </w:rPr>
              <w:t xml:space="preserve">apigee/runtime-db</w:t>
            </w:r>
            <w:r>
              <w:t xml:space="preserve"> </w:t>
            </w:r>
            <w:r>
              <w:t xml:space="preserve">from Part 4</w:t>
            </w:r>
          </w:p>
        </w:tc>
        <w:tc>
          <w:tcPr/>
          <w:p>
            <w:pPr>
              <w:pStyle w:val="Compact"/>
              <w:jc w:val="left"/>
            </w:pPr>
            <w:r>
              <w:t xml:space="preserve">Cannot be added later</w:t>
            </w:r>
          </w:p>
        </w:tc>
      </w:tr>
      <w:tr>
        <w:tc>
          <w:tcPr/>
          <w:p>
            <w:pPr>
              <w:pStyle w:val="Compact"/>
              <w:jc w:val="left"/>
            </w:pPr>
            <w:r>
              <w:t xml:space="preserve">Analytics region</w:t>
            </w:r>
          </w:p>
        </w:tc>
        <w:tc>
          <w:tcPr/>
          <w:p>
            <w:pPr>
              <w:pStyle w:val="Compact"/>
              <w:jc w:val="left"/>
            </w:pPr>
            <w:r>
              <w:t xml:space="preserve">an</w:t>
            </w:r>
            <w:r>
              <w:t xml:space="preserve"> </w:t>
            </w:r>
            <w:r>
              <w:rPr>
                <w:bCs/>
                <w:b/>
              </w:rPr>
              <w:t xml:space="preserve">EU</w:t>
            </w:r>
            <w:r>
              <w:t xml:space="preserve"> </w:t>
            </w:r>
            <w:r>
              <w:t xml:space="preserve">region</w:t>
            </w:r>
          </w:p>
        </w:tc>
        <w:tc>
          <w:tcPr/>
          <w:p>
            <w:pPr>
              <w:pStyle w:val="Compact"/>
              <w:jc w:val="left"/>
            </w:pPr>
            <w:r>
              <w:t xml:space="preserve">Determines where request metadata is stored</w:t>
            </w:r>
          </w:p>
        </w:tc>
      </w:tr>
      <w:tr>
        <w:tc>
          <w:tcPr/>
          <w:p>
            <w:pPr>
              <w:pStyle w:val="Compact"/>
              <w:jc w:val="left"/>
            </w:pPr>
            <w:r>
              <w:t xml:space="preserve">Billing</w:t>
            </w:r>
          </w:p>
        </w:tc>
        <w:tc>
          <w:tcPr/>
          <w:p>
            <w:pPr>
              <w:pStyle w:val="Compact"/>
              <w:jc w:val="left"/>
            </w:pPr>
            <w:r>
              <w:rPr>
                <w:bCs/>
                <w:b/>
              </w:rPr>
              <w:t xml:space="preserve">Pay-as-you-go</w:t>
            </w:r>
          </w:p>
        </w:tc>
        <w:tc>
          <w:tcPr/>
          <w:p>
            <w:pPr>
              <w:pStyle w:val="Compact"/>
            </w:pPr>
          </w:p>
        </w:tc>
      </w:tr>
      <w:tr>
        <w:tc>
          <w:tcPr/>
          <w:p>
            <w:pPr>
              <w:pStyle w:val="Compact"/>
              <w:jc w:val="left"/>
            </w:pPr>
            <w:r>
              <w:t xml:space="preserve">Project</w:t>
            </w:r>
          </w:p>
        </w:tc>
        <w:tc>
          <w:tcPr/>
          <w:p>
            <w:pPr>
              <w:pStyle w:val="Compact"/>
              <w:jc w:val="left"/>
            </w:pPr>
            <w:r>
              <w:rPr>
                <w:rStyle w:val="VerbatimChar"/>
              </w:rPr>
              <w:t xml:space="preserve">gclt-aicoe-dev-apigee</w:t>
            </w:r>
          </w:p>
        </w:tc>
        <w:tc>
          <w:tcPr/>
          <w:p>
            <w:pPr>
              <w:pStyle w:val="Compact"/>
              <w:jc w:val="left"/>
            </w:pPr>
            <w:r>
              <w:t xml:space="preserve">One organisation per project, permanently</w:t>
            </w:r>
          </w:p>
        </w:tc>
      </w:tr>
    </w:tbl>
    <w:p>
      <w:pPr>
        <w:pStyle w:val="BodyText"/>
      </w:pPr>
      <w:r>
        <w:t xml:space="preserve">Confirm the Part 4 key grants are in place before starting. If the Apigee service agent cannot use the key, provisioning fails partway through with an unhelpful message.</w:t>
      </w:r>
    </w:p>
    <w:bookmarkEnd w:id="130"/>
    <w:bookmarkStart w:id="131" w:name="do-this-provision"/>
    <w:p>
      <w:pPr>
        <w:pStyle w:val="Heading2"/>
      </w:pPr>
      <w:r>
        <w:t xml:space="preserve">14.3 Do this — provision</w:t>
      </w:r>
    </w:p>
    <w:p>
      <w:pPr>
        <w:pStyle w:val="FirstParagraph"/>
      </w:pPr>
      <w:r>
        <w:rPr>
          <w:bCs/>
          <w:b/>
        </w:rPr>
        <w:t xml:space="preserve">Where:</w:t>
      </w:r>
      <w:r>
        <w:t xml:space="preserve"> </w:t>
      </w:r>
      <w:r>
        <w:t xml:space="preserve">switch to</w:t>
      </w:r>
      <w:r>
        <w:t xml:space="preserve"> </w:t>
      </w:r>
      <w:r>
        <w:rPr>
          <w:rStyle w:val="VerbatimChar"/>
        </w:rPr>
        <w:t xml:space="preserve">gclt-aicoe-dev-apigee</w:t>
      </w:r>
      <w:r>
        <w:t xml:space="preserve">, search for</w:t>
      </w:r>
      <w:r>
        <w:t xml:space="preserve"> </w:t>
      </w:r>
      <w:r>
        <w:rPr>
          <w:bCs/>
          <w:b/>
        </w:rPr>
        <w:t xml:space="preserve">Apigee</w:t>
      </w:r>
      <w:r>
        <w:t xml:space="preserve">, and start the setup wizard.</w:t>
      </w:r>
    </w:p>
    <w:p>
      <w:pPr>
        <w:numPr>
          <w:ilvl w:val="0"/>
          <w:numId w:val="1015"/>
        </w:numPr>
        <w:pStyle w:val="Compact"/>
      </w:pPr>
      <w:r>
        <w:t xml:space="preserve">Choose</w:t>
      </w:r>
      <w:r>
        <w:t xml:space="preserve"> </w:t>
      </w:r>
      <w:r>
        <w:rPr>
          <w:bCs/>
          <w:b/>
        </w:rPr>
        <w:t xml:space="preserve">Pay-as-you-go</w:t>
      </w:r>
      <w:r>
        <w:t xml:space="preserve">.</w:t>
      </w:r>
    </w:p>
    <w:p>
      <w:pPr>
        <w:numPr>
          <w:ilvl w:val="0"/>
          <w:numId w:val="1015"/>
        </w:numPr>
        <w:pStyle w:val="Compact"/>
      </w:pPr>
      <w:r>
        <w:t xml:space="preserve">Organisation name: it will use the project ID.</w:t>
      </w:r>
    </w:p>
    <w:p>
      <w:pPr>
        <w:numPr>
          <w:ilvl w:val="0"/>
          <w:numId w:val="1015"/>
        </w:numPr>
        <w:pStyle w:val="Compact"/>
      </w:pPr>
      <w:r>
        <w:t xml:space="preserve">Analytics region: an EU region.</w:t>
      </w:r>
    </w:p>
    <w:p>
      <w:pPr>
        <w:numPr>
          <w:ilvl w:val="0"/>
          <w:numId w:val="1015"/>
        </w:numPr>
        <w:pStyle w:val="Compact"/>
      </w:pPr>
      <w:r>
        <w:t xml:space="preserve">Encryption: choose</w:t>
      </w:r>
      <w:r>
        <w:t xml:space="preserve"> </w:t>
      </w:r>
      <w:r>
        <w:rPr>
          <w:bCs/>
          <w:b/>
        </w:rPr>
        <w:t xml:space="preserve">customer-managed</w:t>
      </w:r>
      <w:r>
        <w:t xml:space="preserve">, select</w:t>
      </w:r>
      <w:r>
        <w:t xml:space="preserve"> </w:t>
      </w:r>
      <w:r>
        <w:rPr>
          <w:rStyle w:val="VerbatimChar"/>
        </w:rPr>
        <w:t xml:space="preserve">apigee/runtime-db</w:t>
      </w:r>
      <w:r>
        <w:t xml:space="preserve">.</w:t>
      </w:r>
    </w:p>
    <w:p>
      <w:pPr>
        <w:numPr>
          <w:ilvl w:val="0"/>
          <w:numId w:val="1015"/>
        </w:numPr>
        <w:pStyle w:val="Compact"/>
      </w:pPr>
      <w:r>
        <w:t xml:space="preserve">Networking: choose the option that means</w:t>
      </w:r>
      <w:r>
        <w:t xml:space="preserve"> </w:t>
      </w:r>
      <w:r>
        <w:rPr>
          <w:bCs/>
          <w:b/>
        </w:rPr>
        <w:t xml:space="preserve">no VPC peering</w:t>
      </w:r>
      <w:r>
        <w:t xml:space="preserve"> </w:t>
      </w:r>
      <w:r>
        <w:t xml:space="preserve">— usually phrased as not requiring service networking or as</w:t>
      </w:r>
      <w:r>
        <w:t xml:space="preserve"> </w:t>
      </w:r>
      <w:r>
        <w:t xml:space="preserve">“</w:t>
      </w:r>
      <w:r>
        <w:t xml:space="preserve">Private Service Connect</w:t>
      </w:r>
      <w:r>
        <w:t xml:space="preserve">”</w:t>
      </w:r>
      <w:r>
        <w:t xml:space="preserve">. Do</w:t>
      </w:r>
      <w:r>
        <w:t xml:space="preserve"> </w:t>
      </w:r>
      <w:r>
        <w:rPr>
          <w:bCs/>
          <w:b/>
        </w:rPr>
        <w:t xml:space="preserve">not</w:t>
      </w:r>
      <w:r>
        <w:t xml:space="preserve"> </w:t>
      </w:r>
      <w:r>
        <w:t xml:space="preserve">supply an IP range. If the wizard insists on a</w:t>
      </w:r>
      <w:r>
        <w:t xml:space="preserve"> </w:t>
      </w:r>
      <w:r>
        <w:rPr>
          <w:rStyle w:val="VerbatimChar"/>
        </w:rPr>
        <w:t xml:space="preserve">/22</w:t>
      </w:r>
      <w:r>
        <w:t xml:space="preserve">, you are on the peering path — go back and change the networking choice.</w:t>
      </w:r>
    </w:p>
    <w:p>
      <w:pPr>
        <w:numPr>
          <w:ilvl w:val="0"/>
          <w:numId w:val="1015"/>
        </w:numPr>
        <w:pStyle w:val="Compact"/>
      </w:pPr>
      <w:r>
        <w:t xml:space="preserve">Routing: choose</w:t>
      </w:r>
      <w:r>
        <w:t xml:space="preserve"> </w:t>
      </w:r>
      <w:r>
        <w:rPr>
          <w:bCs/>
          <w:b/>
        </w:rPr>
        <w:t xml:space="preserve">internal</w:t>
      </w:r>
      <w:r>
        <w:t xml:space="preserve"> </w:t>
      </w:r>
      <w:r>
        <w:t xml:space="preserve">routing, and within that the</w:t>
      </w:r>
      <w:r>
        <w:t xml:space="preserve"> </w:t>
      </w:r>
      <w:r>
        <w:rPr>
          <w:bCs/>
          <w:b/>
        </w:rPr>
        <w:t xml:space="preserve">service endpoint</w:t>
      </w:r>
      <w:r>
        <w:t xml:space="preserve"> </w:t>
      </w:r>
      <w:r>
        <w:t xml:space="preserve">option. This is the documented way for clients inside your network to reach Apigee without a load balancer, and it is what Part 21 depends on. Google’s own instructions for calling an internal proxy describe exactly this: fetch the service endpoint IP, then call</w:t>
      </w:r>
      <w:r>
        <w:t xml:space="preserve"> </w:t>
      </w:r>
      <w:r>
        <w:rPr>
          <w:rStyle w:val="VerbatimChar"/>
        </w:rPr>
        <w:t xml:space="preserve">https://ENDPOINT_IP/basepath</w:t>
      </w:r>
      <w:r>
        <w:t xml:space="preserve"> </w:t>
      </w:r>
      <w:r>
        <w:t xml:space="preserve">with a</w:t>
      </w:r>
      <w:r>
        <w:t xml:space="preserve"> </w:t>
      </w:r>
      <w:r>
        <w:rPr>
          <w:rStyle w:val="VerbatimChar"/>
        </w:rPr>
        <w:t xml:space="preserve">Host:</w:t>
      </w:r>
      <w:r>
        <w:t xml:space="preserve"> </w:t>
      </w:r>
      <w:r>
        <w:t xml:space="preserve">header naming the environment group. Note the routing choice here rather than leaving it to Part 21 — it is part of provisioning, not something you add afterwards.</w:t>
      </w:r>
    </w:p>
    <w:p>
      <w:pPr>
        <w:numPr>
          <w:ilvl w:val="0"/>
          <w:numId w:val="1015"/>
        </w:numPr>
        <w:pStyle w:val="Compact"/>
      </w:pPr>
      <w:r>
        <w:t xml:space="preserve">Create the organisation.</w:t>
      </w:r>
      <w:r>
        <w:t xml:space="preserve"> </w:t>
      </w:r>
      <w:r>
        <w:rPr>
          <w:bCs/>
          <w:b/>
        </w:rPr>
        <w:t xml:space="preserve">This takes 30 to 45 minutes.</w:t>
      </w:r>
      <w:r>
        <w:t xml:space="preserve"> </w:t>
      </w:r>
      <w:r>
        <w:t xml:space="preserve">Leave the tab open.</w:t>
      </w:r>
    </w:p>
    <w:bookmarkEnd w:id="131"/>
    <w:bookmarkStart w:id="132" w:name="do-this-create-the-instance"/>
    <w:p>
      <w:pPr>
        <w:pStyle w:val="Heading2"/>
      </w:pPr>
      <w:r>
        <w:t xml:space="preserve">14.4 Do this — create the instance</w:t>
      </w:r>
    </w:p>
    <w:p>
      <w:pPr>
        <w:pStyle w:val="FirstParagraph"/>
      </w:pPr>
      <w:r>
        <w:t xml:space="preserve">Once the organisation exists, create the runtime instance.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aicoe-dev-ew1</w:t>
            </w:r>
          </w:p>
        </w:tc>
      </w:tr>
      <w:tr>
        <w:tc>
          <w:tcPr/>
          <w:p>
            <w:pPr>
              <w:pStyle w:val="Compact"/>
              <w:jc w:val="left"/>
            </w:pPr>
            <w:r>
              <w:t xml:space="preserve">Location</w:t>
            </w:r>
          </w:p>
        </w:tc>
        <w:tc>
          <w:tcPr/>
          <w:p>
            <w:pPr>
              <w:pStyle w:val="Compact"/>
              <w:jc w:val="left"/>
            </w:pPr>
            <w:r>
              <w:rPr>
                <w:rStyle w:val="VerbatimChar"/>
              </w:rPr>
              <w:t xml:space="preserve">europe-west1</w:t>
            </w:r>
          </w:p>
        </w:tc>
      </w:tr>
      <w:tr>
        <w:tc>
          <w:tcPr/>
          <w:p>
            <w:pPr>
              <w:pStyle w:val="Compact"/>
              <w:jc w:val="left"/>
            </w:pPr>
            <w:r>
              <w:t xml:space="preserve">Disk encryption key</w:t>
            </w:r>
          </w:p>
        </w:tc>
        <w:tc>
          <w:tcPr/>
          <w:p>
            <w:pPr>
              <w:pStyle w:val="Compact"/>
              <w:jc w:val="left"/>
            </w:pPr>
            <w:r>
              <w:rPr>
                <w:rStyle w:val="VerbatimChar"/>
              </w:rPr>
              <w:t xml:space="preserve">apigee/instance-disk</w:t>
            </w:r>
          </w:p>
        </w:tc>
      </w:tr>
    </w:tbl>
    <w:p>
      <w:pPr>
        <w:pStyle w:val="BodyText"/>
      </w:pPr>
      <w:r>
        <w:rPr>
          <w:bCs/>
          <w:b/>
        </w:rPr>
        <w:t xml:space="preserve">This takes another 30 to 60 minutes.</w:t>
      </w:r>
    </w:p>
    <w:bookmarkEnd w:id="132"/>
    <w:bookmarkStart w:id="134" w:name="do-this-create-the-two-environments"/>
    <w:p>
      <w:pPr>
        <w:pStyle w:val="Heading2"/>
      </w:pPr>
      <w:r>
        <w:t xml:space="preserve">14.5 Do this — create the two environments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Environment</w:t>
            </w:r>
          </w:p>
        </w:tc>
        <w:tc>
          <w:tcPr/>
          <w:p>
            <w:pPr>
              <w:pStyle w:val="Compact"/>
              <w:jc w:val="left"/>
            </w:pPr>
            <w:r>
              <w:t xml:space="preserve">Type</w:t>
            </w:r>
          </w:p>
        </w:tc>
        <w:tc>
          <w:tcPr/>
          <w:p>
            <w:pPr>
              <w:pStyle w:val="Compact"/>
              <w:jc w:val="left"/>
            </w:pPr>
            <w:r>
              <w:t xml:space="preserve">Why</w:t>
            </w:r>
          </w:p>
        </w:tc>
      </w:tr>
      <w:tr>
        <w:tc>
          <w:tcPr/>
          <w:p>
            <w:pPr>
              <w:pStyle w:val="Compact"/>
              <w:jc w:val="left"/>
            </w:pPr>
            <w:r>
              <w:rPr>
                <w:rStyle w:val="VerbatimChar"/>
              </w:rPr>
              <w:t xml:space="preserve">int</w:t>
            </w:r>
          </w:p>
        </w:tc>
        <w:tc>
          <w:tcPr/>
          <w:p>
            <w:pPr>
              <w:pStyle w:val="Compact"/>
              <w:jc w:val="left"/>
            </w:pPr>
            <w:r>
              <w:rPr>
                <w:bCs/>
                <w:b/>
              </w:rPr>
              <w:t xml:space="preserve">Base</w:t>
            </w:r>
          </w:p>
        </w:tc>
        <w:tc>
          <w:tcPr/>
          <w:p>
            <w:pPr>
              <w:pStyle w:val="Compact"/>
              <w:jc w:val="left"/>
            </w:pPr>
            <w:r>
              <w:t xml:space="preserve">Every policy in the user API proxy is Standard — SpikeArrest, VerifyJWT, ExtractVariables, RaiseFault, VerifyAPIKey, Quota, AssignMessage. Standard policies work with any environment type, so user traffic stays on the lower per-call rate</w:t>
            </w:r>
          </w:p>
        </w:tc>
      </w:tr>
      <w:tr>
        <w:tc>
          <w:tcPr/>
          <w:p>
            <w:pPr>
              <w:pStyle w:val="Compact"/>
              <w:jc w:val="left"/>
            </w:pPr>
            <w:r>
              <w:rPr>
                <w:rStyle w:val="VerbatimChar"/>
              </w:rPr>
              <w:t xml:space="preserve">llm</w:t>
            </w:r>
          </w:p>
        </w:tc>
        <w:tc>
          <w:tcPr/>
          <w:p>
            <w:pPr>
              <w:pStyle w:val="Compact"/>
              <w:jc w:val="left"/>
            </w:pPr>
            <w:r>
              <w:rPr>
                <w:bCs/>
                <w:b/>
              </w:rPr>
              <w:t xml:space="preserve">Intermediate</w:t>
            </w:r>
          </w:p>
        </w:tc>
        <w:tc>
          <w:tcPr/>
          <w:p>
            <w:pPr>
              <w:pStyle w:val="Compact"/>
              <w:jc w:val="left"/>
            </w:pPr>
            <w:r>
              <w:t xml:space="preserve">Required, not optional. Both LLM token policies are</w:t>
            </w:r>
            <w:r>
              <w:t xml:space="preserve"> </w:t>
            </w:r>
            <w:r>
              <w:rPr>
                <w:bCs/>
                <w:b/>
              </w:rPr>
              <w:t xml:space="preserve">Extensible</w:t>
            </w:r>
            <w:r>
              <w:t xml:space="preserve">, and extensible policies deploy only to intermediate and comprehensive environments</w:t>
            </w:r>
          </w:p>
        </w:tc>
      </w:tr>
    </w:tbl>
    <w:p>
      <w:pPr>
        <w:pStyle w:val="BodyText"/>
      </w:pPr>
      <w:r>
        <w:t xml:space="preserve">This is now confirmed rather than assumed. Google’s policy reference states that</w:t>
      </w:r>
      <w:r>
        <w:t xml:space="preserve"> </w:t>
      </w:r>
      <w:r>
        <w:rPr>
          <w:rStyle w:val="VerbatimChar"/>
        </w:rPr>
        <w:t xml:space="preserve">LLMTokenQuota</w:t>
      </w:r>
      <w:r>
        <w:t xml:space="preserve"> </w:t>
      </w:r>
      <w:r>
        <w:t xml:space="preserve">and</w:t>
      </w:r>
      <w:r>
        <w:t xml:space="preserve"> </w:t>
      </w:r>
      <w:r>
        <w:rPr>
          <w:rStyle w:val="VerbatimChar"/>
        </w:rPr>
        <w:t xml:space="preserve">PromptTokenLimit</w:t>
      </w:r>
      <w:r>
        <w:t xml:space="preserve"> </w:t>
      </w:r>
      <w:r>
        <w:t xml:space="preserve">are both Extensible policies whose use</w:t>
      </w:r>
      <w:r>
        <w:t xml:space="preserve"> </w:t>
      </w:r>
      <w:r>
        <w:t xml:space="preserve">“</w:t>
      </w:r>
      <w:r>
        <w:t xml:space="preserve">might have cost or utilization implications, depending on your Apigee license</w:t>
      </w:r>
      <w:r>
        <w:t xml:space="preserve">”</w:t>
      </w:r>
      <w:r>
        <w:t xml:space="preserve">, and that extensible policies can be used with intermediate and comprehensive environment types only. The Model Armor policies are Extensible too, so the AI gateway was always heading for Intermediate — the token policies remove any remaining doubt.</w:t>
      </w:r>
    </w:p>
    <w:bookmarkStart w:id="133" w:name="the-cost-consequence"/>
    <w:p>
      <w:pPr>
        <w:pStyle w:val="Heading3"/>
      </w:pPr>
      <w:r>
        <w:t xml:space="preserve">The cost consequence</w:t>
      </w:r>
    </w:p>
    <w:p>
      <w:pPr>
        <w:pStyle w:val="FirstParagraph"/>
      </w:pPr>
      <w:r>
        <w:t xml:space="preserve">An Intermediate environment costs several times a Base one per month, and a single extensible policy reclassifies the</w:t>
      </w:r>
      <w:r>
        <w:t xml:space="preserve"> </w:t>
      </w:r>
      <w:r>
        <w:rPr>
          <w:bCs/>
          <w:b/>
        </w:rPr>
        <w:t xml:space="preserve">whole proxy</w:t>
      </w:r>
      <w:r>
        <w:t xml:space="preserve"> </w:t>
      </w:r>
      <w:r>
        <w:t xml:space="preserve">to roughly five times the Standard per-call rate. The AI gateway is your highest-volume path, so model the monthly figure before committing.</w:t>
      </w:r>
    </w:p>
    <w:p>
      <w:pPr>
        <w:pStyle w:val="BodyText"/>
      </w:pPr>
      <w:r>
        <w:rPr>
          <w:bCs/>
          <w:b/>
        </w:rPr>
        <w:t xml:space="preserve">Keep the</w:t>
      </w:r>
      <w:r>
        <w:rPr>
          <w:bCs/>
          <w:b/>
        </w:rPr>
        <w:t xml:space="preserve"> </w:t>
      </w:r>
      <w:r>
        <w:rPr>
          <w:rStyle w:val="VerbatimChar"/>
          <w:bCs/>
          <w:b/>
        </w:rPr>
        <w:t xml:space="preserve">int</w:t>
      </w:r>
      <w:r>
        <w:rPr>
          <w:bCs/>
          <w:b/>
        </w:rPr>
        <w:t xml:space="preserve"> </w:t>
      </w:r>
      <w:r>
        <w:rPr>
          <w:bCs/>
          <w:b/>
        </w:rPr>
        <w:t xml:space="preserve">proxy clean.</w:t>
      </w:r>
      <w:r>
        <w:t xml:space="preserve"> </w:t>
      </w:r>
      <w:r>
        <w:t xml:space="preserve">One</w:t>
      </w:r>
      <w:r>
        <w:t xml:space="preserve"> </w:t>
      </w:r>
      <w:r>
        <w:rPr>
          <w:rStyle w:val="VerbatimChar"/>
        </w:rPr>
        <w:t xml:space="preserve">JavaScript</w:t>
      </w:r>
      <w:r>
        <w:t xml:space="preserve"> </w:t>
      </w:r>
      <w:r>
        <w:t xml:space="preserve">step, one</w:t>
      </w:r>
      <w:r>
        <w:t xml:space="preserve"> </w:t>
      </w:r>
      <w:r>
        <w:rPr>
          <w:rStyle w:val="VerbatimChar"/>
        </w:rPr>
        <w:t xml:space="preserve">ServiceCallout</w:t>
      </w:r>
      <w:r>
        <w:t xml:space="preserve">, one AI policy, and it moves tier. Google’s own guidance: where a standard and an extensible policy would both do the job, use the standard one. Add a pipeline check that fails the build if an extensible policy appears in a proxy targeted at a Base environment.</w:t>
      </w:r>
    </w:p>
    <w:p>
      <w:pPr>
        <w:pStyle w:val="BodyText"/>
      </w:pPr>
      <w:r>
        <w:t xml:space="preserve">If the AI gateway arithmetic turns out badly, the alternative is to drop the Model Armor and token policies from the proxy and screen and meter in the application instead, calling the Model Armor API directly from Cloud Run. You lose central enforcement and gain a much cheaper gateway. Decide on numbers, not preference.</w:t>
      </w:r>
    </w:p>
    <w:p>
      <w:pPr>
        <w:pStyle w:val="BodyText"/>
      </w:pPr>
      <w:r>
        <w:t xml:space="preserve">Attach each environment to the instance when prompted.</w:t>
      </w:r>
    </w:p>
    <w:p>
      <w:pPr>
        <w:pStyle w:val="BodyText"/>
      </w:pPr>
      <w:r>
        <w:rPr>
          <w:bCs/>
          <w:b/>
        </w:rPr>
        <w:t xml:space="preserve">Do not create</w:t>
      </w:r>
      <w:r>
        <w:rPr>
          <w:bCs/>
          <w:b/>
        </w:rPr>
        <w:t xml:space="preserve"> </w:t>
      </w:r>
      <w:r>
        <w:rPr>
          <w:rStyle w:val="VerbatimChar"/>
          <w:bCs/>
          <w:b/>
        </w:rPr>
        <w:t xml:space="preserve">ext</w:t>
      </w:r>
      <w:r>
        <w:rPr>
          <w:bCs/>
          <w:b/>
        </w:rPr>
        <w:t xml:space="preserve"> </w:t>
      </w:r>
      <w:r>
        <w:rPr>
          <w:bCs/>
          <w:b/>
        </w:rPr>
        <w:t xml:space="preserve">yet.</w:t>
      </w:r>
      <w:r>
        <w:t xml:space="preserve"> </w:t>
      </w:r>
      <w:r>
        <w:t xml:space="preserve">The external API is the last phase, and every environment is billed hourly whether it carries traffic or not.</w:t>
      </w:r>
    </w:p>
    <w:bookmarkEnd w:id="133"/>
    <w:bookmarkEnd w:id="134"/>
    <w:bookmarkStart w:id="135" w:name="do-this-create-the-environment-groups"/>
    <w:p>
      <w:pPr>
        <w:pStyle w:val="Heading2"/>
      </w:pPr>
      <w:r>
        <w:t xml:space="preserve">14.6 Do this — create the environment groups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Group</w:t>
            </w:r>
          </w:p>
        </w:tc>
        <w:tc>
          <w:tcPr/>
          <w:p>
            <w:pPr>
              <w:pStyle w:val="Compact"/>
              <w:jc w:val="left"/>
            </w:pPr>
            <w:r>
              <w:t xml:space="preserve">Hostname</w:t>
            </w:r>
          </w:p>
        </w:tc>
        <w:tc>
          <w:tcPr/>
          <w:p>
            <w:pPr>
              <w:pStyle w:val="Compact"/>
              <w:jc w:val="left"/>
            </w:pPr>
            <w:r>
              <w:t xml:space="preserve">Attached environment</w:t>
            </w:r>
          </w:p>
        </w:tc>
      </w:tr>
      <w:tr>
        <w:tc>
          <w:tcPr/>
          <w:p>
            <w:pPr>
              <w:pStyle w:val="Compact"/>
              <w:jc w:val="left"/>
            </w:pPr>
            <w:r>
              <w:rPr>
                <w:rStyle w:val="VerbatimChar"/>
              </w:rPr>
              <w:t xml:space="preserve">aihub-int</w:t>
            </w:r>
          </w:p>
        </w:tc>
        <w:tc>
          <w:tcPr/>
          <w:p>
            <w:pPr>
              <w:pStyle w:val="Compact"/>
              <w:jc w:val="left"/>
            </w:pPr>
            <w:r>
              <w:rPr>
                <w:rStyle w:val="VerbatimChar"/>
              </w:rPr>
              <w:t xml:space="preserve">aihub-api.aicoe-dev-int.colt.net</w:t>
            </w:r>
          </w:p>
        </w:tc>
        <w:tc>
          <w:tcPr/>
          <w:p>
            <w:pPr>
              <w:pStyle w:val="Compact"/>
              <w:jc w:val="left"/>
            </w:pPr>
            <w:r>
              <w:rPr>
                <w:rStyle w:val="VerbatimChar"/>
              </w:rPr>
              <w:t xml:space="preserve">int</w:t>
            </w:r>
          </w:p>
        </w:tc>
      </w:tr>
      <w:tr>
        <w:tc>
          <w:tcPr/>
          <w:p>
            <w:pPr>
              <w:pStyle w:val="Compact"/>
              <w:jc w:val="left"/>
            </w:pPr>
            <w:r>
              <w:rPr>
                <w:rStyle w:val="VerbatimChar"/>
              </w:rPr>
              <w:t xml:space="preserve">llm-int</w:t>
            </w:r>
          </w:p>
        </w:tc>
        <w:tc>
          <w:tcPr/>
          <w:p>
            <w:pPr>
              <w:pStyle w:val="Compact"/>
              <w:jc w:val="left"/>
            </w:pPr>
            <w:r>
              <w:rPr>
                <w:rStyle w:val="VerbatimChar"/>
              </w:rPr>
              <w:t xml:space="preserve">llm.aicoe-dev-int.colt.net</w:t>
            </w:r>
          </w:p>
        </w:tc>
        <w:tc>
          <w:tcPr/>
          <w:p>
            <w:pPr>
              <w:pStyle w:val="Compact"/>
              <w:jc w:val="left"/>
            </w:pPr>
            <w:r>
              <w:rPr>
                <w:rStyle w:val="VerbatimChar"/>
              </w:rPr>
              <w:t xml:space="preserve">llm</w:t>
            </w:r>
          </w:p>
        </w:tc>
      </w:tr>
    </w:tbl>
    <w:p>
      <w:pPr>
        <w:pStyle w:val="BodyText"/>
      </w:pPr>
      <w:r>
        <w:t xml:space="preserve">Both hostnames resolve to the</w:t>
      </w:r>
      <w:r>
        <w:t xml:space="preserve"> </w:t>
      </w:r>
      <w:r>
        <w:rPr>
          <w:bCs/>
          <w:b/>
        </w:rPr>
        <w:t xml:space="preserve">same</w:t>
      </w:r>
      <w:r>
        <w:t xml:space="preserve"> </w:t>
      </w:r>
      <w:r>
        <w:t xml:space="preserve">service endpoint address. Apigee selects the environment from the</w:t>
      </w:r>
      <w:r>
        <w:t xml:space="preserve"> </w:t>
      </w:r>
      <w:r>
        <w:rPr>
          <w:rStyle w:val="VerbatimChar"/>
        </w:rPr>
        <w:t xml:space="preserve">Host</w:t>
      </w:r>
      <w:r>
        <w:t xml:space="preserve"> </w:t>
      </w:r>
      <w:r>
        <w:t xml:space="preserve">header, which is why the header is functional rather than cosmetic.</w:t>
      </w:r>
    </w:p>
    <w:bookmarkEnd w:id="135"/>
    <w:bookmarkStart w:id="136" w:name="check-it-worked-12"/>
    <w:p>
      <w:pPr>
        <w:pStyle w:val="Heading2"/>
      </w:pPr>
      <w:r>
        <w:t xml:space="preserve">14.7 Check it worked</w:t>
      </w:r>
    </w:p>
    <w:p>
      <w:pPr>
        <w:pStyle w:val="FirstParagraph"/>
      </w:pPr>
      <w:r>
        <w:t xml:space="preserve">The Apigee overview shows the organisation, one instance with a green status, two environments attached, two environment groups. Note the instance’s</w:t>
      </w:r>
      <w:r>
        <w:t xml:space="preserve"> </w:t>
      </w:r>
      <w:r>
        <w:rPr>
          <w:bCs/>
          <w:b/>
        </w:rPr>
        <w:t xml:space="preserve">service attachment</w:t>
      </w:r>
      <w:r>
        <w:t xml:space="preserve"> </w:t>
      </w:r>
      <w:r>
        <w:t xml:space="preserve">identifier from the instance details page — Part 21 needs it.</w:t>
      </w:r>
    </w:p>
    <w:bookmarkEnd w:id="136"/>
    <w:bookmarkStart w:id="137" w:name="watch-out-16"/>
    <w:p>
      <w:pPr>
        <w:pStyle w:val="Heading2"/>
      </w:pPr>
      <w:r>
        <w:t xml:space="preserve">14.8 Watch out</w:t>
      </w:r>
    </w:p>
    <w:p>
      <w:pPr>
        <w:numPr>
          <w:ilvl w:val="0"/>
          <w:numId w:val="1016"/>
        </w:numPr>
        <w:pStyle w:val="Compact"/>
      </w:pPr>
      <w:r>
        <w:rPr>
          <w:bCs/>
          <w:b/>
        </w:rPr>
        <w:t xml:space="preserve">Environment type drives cost and capability.</w:t>
      </w:r>
      <w:r>
        <w:t xml:space="preserve"> </w:t>
      </w:r>
      <w:r>
        <w:t xml:space="preserve">A single Extensible policy reclassifies the whole proxy to the higher per-call rate. The Model Armor policies are Extensible, so this proxy is in the higher band. That is a deliberate trade for central safety enforcement — see §14.5 for the alternative.</w:t>
      </w:r>
    </w:p>
    <w:p>
      <w:pPr>
        <w:numPr>
          <w:ilvl w:val="0"/>
          <w:numId w:val="1016"/>
        </w:numPr>
        <w:pStyle w:val="Compact"/>
      </w:pPr>
      <w:r>
        <w:t xml:space="preserve">Provisioning genuinely takes over an hour end to end. Plan the day around it.</w:t>
      </w:r>
    </w:p>
    <w:p>
      <w:pPr>
        <w:numPr>
          <w:ilvl w:val="0"/>
          <w:numId w:val="1016"/>
        </w:numPr>
        <w:pStyle w:val="Compact"/>
      </w:pPr>
      <w:r>
        <w:t xml:space="preserve">If the wizard offers a</w:t>
      </w:r>
      <w:r>
        <w:t xml:space="preserve"> </w:t>
      </w:r>
      <w:r>
        <w:t xml:space="preserve">“</w:t>
      </w:r>
      <w:r>
        <w:t xml:space="preserve">developer portal</w:t>
      </w:r>
      <w:r>
        <w:t xml:space="preserve">”</w:t>
      </w:r>
      <w:r>
        <w:t xml:space="preserve"> </w:t>
      </w:r>
      <w:r>
        <w:t xml:space="preserve">or</w:t>
      </w:r>
      <w:r>
        <w:t xml:space="preserve"> </w:t>
      </w:r>
      <w:r>
        <w:t xml:space="preserve">“</w:t>
      </w:r>
      <w:r>
        <w:t xml:space="preserve">add-ons</w:t>
      </w:r>
      <w:r>
        <w:t xml:space="preserve">”</w:t>
      </w:r>
      <w:r>
        <w:t xml:space="preserve">, skip them for now — they cost money and you do not need them yet.</w:t>
      </w:r>
    </w:p>
    <w:p>
      <w:r>
        <w:br w:type="page"/>
      </w:r>
    </w:p>
    <w:bookmarkEnd w:id="137"/>
    <w:bookmarkEnd w:id="138"/>
    <w:bookmarkStart w:id="145" w:name="part-15-vertex-ai-vector-search"/>
    <w:p>
      <w:pPr>
        <w:pStyle w:val="Heading1"/>
      </w:pPr>
      <w:r>
        <w:t xml:space="preserve">Part 15 — Vertex AI Vector Search</w:t>
      </w:r>
    </w:p>
    <w:bookmarkStart w:id="139" w:name="what-this-is-14"/>
    <w:p>
      <w:pPr>
        <w:pStyle w:val="Heading2"/>
      </w:pPr>
      <w:r>
        <w:t xml:space="preserve">15.1 What this is</w:t>
      </w:r>
    </w:p>
    <w:p>
      <w:pPr>
        <w:pStyle w:val="FirstParagraph"/>
      </w:pPr>
      <w:r>
        <w:t xml:space="preserve">Vector Search stores mathematical representations of documents so the Sales Agent can find semantically similar content. Two pieces: an</w:t>
      </w:r>
      <w:r>
        <w:t xml:space="preserve"> </w:t>
      </w:r>
      <w:r>
        <w:rPr>
          <w:bCs/>
          <w:b/>
        </w:rPr>
        <w:t xml:space="preserve">index</w:t>
      </w:r>
      <w:r>
        <w:t xml:space="preserve"> </w:t>
      </w:r>
      <w:r>
        <w:t xml:space="preserve">(the data) and an</w:t>
      </w:r>
      <w:r>
        <w:t xml:space="preserve"> </w:t>
      </w:r>
      <w:r>
        <w:rPr>
          <w:bCs/>
          <w:b/>
        </w:rPr>
        <w:t xml:space="preserve">index endpoint</w:t>
      </w:r>
      <w:r>
        <w:t xml:space="preserve"> </w:t>
      </w:r>
      <w:r>
        <w:t xml:space="preserve">(the address you query).</w:t>
      </w:r>
    </w:p>
    <w:p>
      <w:pPr>
        <w:pStyle w:val="BodyText"/>
      </w:pPr>
      <w:r>
        <w:t xml:space="preserve">The business-unit isolation in this platform depends on a field called</w:t>
      </w:r>
      <w:r>
        <w:t xml:space="preserve"> </w:t>
      </w:r>
      <w:r>
        <w:rPr>
          <w:rStyle w:val="VerbatimChar"/>
        </w:rPr>
        <w:t xml:space="preserve">restricts</w:t>
      </w:r>
      <w:r>
        <w:t xml:space="preserve"> </w:t>
      </w:r>
      <w:r>
        <w:t xml:space="preserve">attached to each item. A query filtered by business unit only returns that unit’s documents.</w:t>
      </w:r>
    </w:p>
    <w:bookmarkEnd w:id="139"/>
    <w:bookmarkStart w:id="140" w:name="do-this-create-the-index"/>
    <w:p>
      <w:pPr>
        <w:pStyle w:val="Heading2"/>
      </w:pPr>
      <w:r>
        <w:t xml:space="preserve">15.2 Do this — create the index</w:t>
      </w:r>
    </w:p>
    <w:p>
      <w:pPr>
        <w:pStyle w:val="FirstParagraph"/>
      </w:pPr>
      <w:r>
        <w:rPr>
          <w:bCs/>
          <w:b/>
        </w:rPr>
        <w:t xml:space="preserve">Where:</w:t>
      </w:r>
      <w:r>
        <w:t xml:space="preserve"> </w:t>
      </w:r>
      <w:r>
        <w:t xml:space="preserve">switch to</w:t>
      </w:r>
      <w:r>
        <w:t xml:space="preserve"> </w:t>
      </w:r>
      <w:r>
        <w:rPr>
          <w:rStyle w:val="VerbatimChar"/>
        </w:rPr>
        <w:t xml:space="preserve">gclt-aicoe-dev-st</w:t>
      </w:r>
      <w:r>
        <w:t xml:space="preserve">, search for</w:t>
      </w:r>
      <w:r>
        <w:t xml:space="preserve"> </w:t>
      </w:r>
      <w:r>
        <w:rPr>
          <w:bCs/>
          <w:b/>
        </w:rPr>
        <w:t xml:space="preserve">Vector Search</w:t>
      </w:r>
      <w:r>
        <w:t xml:space="preserve"> </w:t>
      </w:r>
      <w:r>
        <w:t xml:space="preserve">(under Vertex AI). Click</w:t>
      </w:r>
      <w:r>
        <w:t xml:space="preserve"> </w:t>
      </w:r>
      <w:r>
        <w:rPr>
          <w:bCs/>
          <w:b/>
        </w:rPr>
        <w:t xml:space="preserve">CREATE INDEX</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Display name</w:t>
            </w:r>
          </w:p>
        </w:tc>
        <w:tc>
          <w:tcPr/>
          <w:p>
            <w:pPr>
              <w:pStyle w:val="Compact"/>
              <w:jc w:val="left"/>
            </w:pPr>
            <w:r>
              <w:rPr>
                <w:rStyle w:val="VerbatimChar"/>
              </w:rPr>
              <w:t xml:space="preserve">aicoe-business-index</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Cloud Storage folder</w:t>
            </w:r>
          </w:p>
        </w:tc>
        <w:tc>
          <w:tcPr/>
          <w:p>
            <w:pPr>
              <w:pStyle w:val="Compact"/>
              <w:jc w:val="left"/>
            </w:pPr>
            <w:r>
              <w:t xml:space="preserve">the bucket path where the platform team’s ingestion writes embeddings</w:t>
            </w:r>
          </w:p>
        </w:tc>
      </w:tr>
      <w:tr>
        <w:tc>
          <w:tcPr/>
          <w:p>
            <w:pPr>
              <w:pStyle w:val="Compact"/>
              <w:jc w:val="left"/>
            </w:pPr>
            <w:r>
              <w:t xml:space="preserve">Dimensions</w:t>
            </w:r>
          </w:p>
        </w:tc>
        <w:tc>
          <w:tcPr/>
          <w:p>
            <w:pPr>
              <w:pStyle w:val="Compact"/>
              <w:jc w:val="left"/>
            </w:pPr>
            <w:r>
              <w:t xml:space="preserve">match your embedding model</w:t>
            </w:r>
          </w:p>
        </w:tc>
      </w:tr>
      <w:tr>
        <w:tc>
          <w:tcPr/>
          <w:p>
            <w:pPr>
              <w:pStyle w:val="Compact"/>
              <w:jc w:val="left"/>
            </w:pPr>
            <w:r>
              <w:t xml:space="preserve">Update method</w:t>
            </w:r>
          </w:p>
        </w:tc>
        <w:tc>
          <w:tcPr/>
          <w:p>
            <w:pPr>
              <w:pStyle w:val="Compact"/>
              <w:jc w:val="left"/>
            </w:pPr>
            <w:r>
              <w:t xml:space="preserve">Streaming or Batch, per the ingestion design</w:t>
            </w:r>
          </w:p>
        </w:tc>
      </w:tr>
      <w:tr>
        <w:tc>
          <w:tcPr/>
          <w:p>
            <w:pPr>
              <w:pStyle w:val="Compact"/>
              <w:jc w:val="left"/>
            </w:pPr>
            <w:r>
              <w:t xml:space="preserve">Encryption</w:t>
            </w:r>
          </w:p>
        </w:tc>
        <w:tc>
          <w:tcPr/>
          <w:p>
            <w:pPr>
              <w:pStyle w:val="Compact"/>
              <w:jc w:val="left"/>
            </w:pPr>
            <w:r>
              <w:t xml:space="preserve">customer-managed, key</w:t>
            </w:r>
            <w:r>
              <w:t xml:space="preserve"> </w:t>
            </w:r>
            <w:r>
              <w:rPr>
                <w:rStyle w:val="VerbatimChar"/>
              </w:rPr>
              <w:t xml:space="preserve">st/vxai-index</w:t>
            </w:r>
          </w:p>
        </w:tc>
      </w:tr>
    </w:tbl>
    <w:bookmarkEnd w:id="140"/>
    <w:bookmarkStart w:id="141" w:name="do-this-create-the-endpoint-privately"/>
    <w:p>
      <w:pPr>
        <w:pStyle w:val="Heading2"/>
      </w:pPr>
      <w:r>
        <w:t xml:space="preserve">15.3 Do this — create the endpoint privately</w:t>
      </w:r>
    </w:p>
    <w:p>
      <w:pPr>
        <w:pStyle w:val="FirstParagraph"/>
      </w:pPr>
      <w:r>
        <w:t xml:space="preserve">Click</w:t>
      </w:r>
      <w:r>
        <w:t xml:space="preserve"> </w:t>
      </w:r>
      <w:r>
        <w:rPr>
          <w:bCs/>
          <w:b/>
        </w:rPr>
        <w:t xml:space="preserve">CREATE INDEX ENDPOINT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Display name</w:t>
            </w:r>
          </w:p>
        </w:tc>
        <w:tc>
          <w:tcPr/>
          <w:p>
            <w:pPr>
              <w:pStyle w:val="Compact"/>
              <w:jc w:val="left"/>
            </w:pPr>
            <w:r>
              <w:rPr>
                <w:rStyle w:val="VerbatimChar"/>
              </w:rPr>
              <w:t xml:space="preserve">aicoe-business-endpoint</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Access</w:t>
            </w:r>
          </w:p>
        </w:tc>
        <w:tc>
          <w:tcPr/>
          <w:p>
            <w:pPr>
              <w:pStyle w:val="Compact"/>
              <w:jc w:val="left"/>
            </w:pPr>
            <w:r>
              <w:rPr>
                <w:bCs/>
                <w:b/>
              </w:rPr>
              <w:t xml:space="preserve">Private Service Connect</w:t>
            </w:r>
          </w:p>
        </w:tc>
      </w:tr>
      <w:tr>
        <w:tc>
          <w:tcPr/>
          <w:p>
            <w:pPr>
              <w:pStyle w:val="Compact"/>
              <w:jc w:val="left"/>
            </w:pPr>
            <w:r>
              <w:t xml:space="preserve">Project allowlist</w:t>
            </w:r>
          </w:p>
        </w:tc>
        <w:tc>
          <w:tcPr/>
          <w:p>
            <w:pPr>
              <w:pStyle w:val="Compact"/>
              <w:jc w:val="left"/>
            </w:pPr>
            <w:r>
              <w:rPr>
                <w:rStyle w:val="VerbatimChar"/>
              </w:rPr>
              <w:t xml:space="preserve">gclt-aicoe-dev-st</w:t>
            </w:r>
          </w:p>
        </w:tc>
      </w:tr>
    </w:tbl>
    <w:p>
      <w:pPr>
        <w:pStyle w:val="BodyText"/>
      </w:pPr>
      <w:r>
        <w:t xml:space="preserve">Deploy the index to the endpoint.</w:t>
      </w:r>
      <w:r>
        <w:t xml:space="preserve"> </w:t>
      </w:r>
      <w:r>
        <w:rPr>
          <w:bCs/>
          <w:b/>
        </w:rPr>
        <w:t xml:space="preserve">This takes 20 to 60 minutes.</w:t>
      </w:r>
      <w:r>
        <w:t xml:space="preserve"> </w:t>
      </w:r>
      <w:r>
        <w:t xml:space="preserve">Set</w:t>
      </w:r>
      <w:r>
        <w:t xml:space="preserve"> </w:t>
      </w:r>
      <w:r>
        <w:rPr>
          <w:bCs/>
          <w:b/>
        </w:rPr>
        <w:t xml:space="preserve">minimum replicas to 2</w:t>
      </w:r>
      <w:r>
        <w:t xml:space="preserve"> </w:t>
      </w:r>
      <w:r>
        <w:t xml:space="preserve">— a single replica means a restart is an outage.</w:t>
      </w:r>
    </w:p>
    <w:bookmarkEnd w:id="141"/>
    <w:bookmarkStart w:id="142" w:name="do-this-connect-to-it-from-your-network"/>
    <w:p>
      <w:pPr>
        <w:pStyle w:val="Heading2"/>
      </w:pPr>
      <w:r>
        <w:t xml:space="preserve">15.4 Do this — connect to it from your network</w:t>
      </w:r>
    </w:p>
    <w:p>
      <w:pPr>
        <w:pStyle w:val="FirstParagraph"/>
      </w:pPr>
      <w:r>
        <w:t xml:space="preserve">Vector Search publishes a</w:t>
      </w:r>
      <w:r>
        <w:t xml:space="preserve"> </w:t>
      </w:r>
      <w:r>
        <w:rPr>
          <w:bCs/>
          <w:b/>
        </w:rPr>
        <w:t xml:space="preserve">service attachment per deployed index</w:t>
      </w:r>
      <w:r>
        <w:t xml:space="preserve">, and there are two ways to reach it. The difference matters more than it looks.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Mode</w:t>
            </w:r>
          </w:p>
        </w:tc>
        <w:tc>
          <w:tcPr/>
          <w:p>
            <w:pPr>
              <w:pStyle w:val="Compact"/>
              <w:jc w:val="left"/>
            </w:pPr>
            <w:r>
              <w:t xml:space="preserve">How it works</w:t>
            </w:r>
          </w:p>
        </w:tc>
        <w:tc>
          <w:tcPr/>
          <w:p>
            <w:pPr>
              <w:pStyle w:val="Compact"/>
              <w:jc w:val="left"/>
            </w:pPr>
            <w:r>
              <w:t xml:space="preserve">Trade-off</w:t>
            </w:r>
          </w:p>
        </w:tc>
      </w:tr>
      <w:tr>
        <w:tc>
          <w:tcPr/>
          <w:p>
            <w:pPr>
              <w:pStyle w:val="Compact"/>
              <w:jc w:val="left"/>
            </w:pPr>
            <w:r>
              <w:rPr>
                <w:bCs/>
                <w:b/>
              </w:rPr>
              <w:t xml:space="preserve">Automatic connection</w:t>
            </w:r>
            <w:r>
              <w:t xml:space="preserve"> </w:t>
            </w:r>
            <w:r>
              <w:t xml:space="preserve">— recommended</w:t>
            </w:r>
          </w:p>
        </w:tc>
        <w:tc>
          <w:tcPr/>
          <w:p>
            <w:pPr>
              <w:pStyle w:val="Compact"/>
              <w:jc w:val="left"/>
            </w:pPr>
            <w:r>
              <w:t xml:space="preserve">You create a</w:t>
            </w:r>
            <w:r>
              <w:t xml:space="preserve"> </w:t>
            </w:r>
            <w:r>
              <w:rPr>
                <w:bCs/>
                <w:b/>
              </w:rPr>
              <w:t xml:space="preserve">service connection policy</w:t>
            </w:r>
            <w:r>
              <w:t xml:space="preserve"> </w:t>
            </w:r>
            <w:r>
              <w:t xml:space="preserve">naming a subnet. Google allocates the address and creates the forwarding rule for you, every time an index is deployed</w:t>
            </w:r>
          </w:p>
        </w:tc>
        <w:tc>
          <w:tcPr/>
          <w:p>
            <w:pPr>
              <w:pStyle w:val="Compact"/>
              <w:jc w:val="left"/>
            </w:pPr>
            <w:r>
              <w:t xml:space="preserve">No manual work per deployment, no address to track</w:t>
            </w:r>
          </w:p>
        </w:tc>
      </w:tr>
      <w:tr>
        <w:tc>
          <w:tcPr/>
          <w:p>
            <w:pPr>
              <w:pStyle w:val="Compact"/>
              <w:jc w:val="left"/>
            </w:pPr>
            <w:r>
              <w:rPr>
                <w:bCs/>
                <w:b/>
              </w:rPr>
              <w:t xml:space="preserve">Manual connection</w:t>
            </w:r>
          </w:p>
        </w:tc>
        <w:tc>
          <w:tcPr/>
          <w:p>
            <w:pPr>
              <w:pStyle w:val="Compact"/>
              <w:jc w:val="left"/>
            </w:pPr>
            <w:r>
              <w:t xml:space="preserve">You create the address and forwarding rule yourself, per deployed index</w:t>
            </w:r>
          </w:p>
        </w:tc>
        <w:tc>
          <w:tcPr/>
          <w:p>
            <w:pPr>
              <w:pStyle w:val="Compact"/>
              <w:jc w:val="left"/>
            </w:pPr>
            <w:r>
              <w:t xml:space="preserve">Documented as the choice only when you need several addresses for one service attachment, which is uncommon</w:t>
            </w:r>
          </w:p>
        </w:tc>
      </w:tr>
    </w:tbl>
    <w:p>
      <w:pPr>
        <w:pStyle w:val="BodyText"/>
      </w:pPr>
      <w:r>
        <w:t xml:space="preserve">Take automatic. The reason is the phrase</w:t>
      </w:r>
      <w:r>
        <w:t xml:space="preserve"> </w:t>
      </w:r>
      <w:r>
        <w:t xml:space="preserve">“</w:t>
      </w:r>
      <w:r>
        <w:t xml:space="preserve">per deployed index</w:t>
      </w:r>
      <w:r>
        <w:t xml:space="preserve">”</w:t>
      </w:r>
      <w:r>
        <w:t xml:space="preserve">: in manual mode,</w:t>
      </w:r>
      <w:r>
        <w:t xml:space="preserve"> </w:t>
      </w:r>
      <w:r>
        <w:rPr>
          <w:bCs/>
          <w:b/>
        </w:rPr>
        <w:t xml:space="preserve">every future index deployment needs another address and another forwarding rule</w:t>
      </w:r>
      <w:r>
        <w:t xml:space="preserve">, created by hand, in the right subnet, and added to the egress firewall rule. That is a recurring task that will be forgotten.</w:t>
      </w:r>
    </w:p>
    <w:p>
      <w:pPr>
        <w:pStyle w:val="BodyText"/>
      </w:pPr>
      <w:r>
        <w:rPr>
          <w:bCs/>
          <w:b/>
        </w:rPr>
        <w:t xml:space="preserve">Where:</w:t>
      </w:r>
      <w:r>
        <w:t xml:space="preserve"> </w:t>
      </w:r>
      <w:r>
        <w:t xml:space="preserve">in</w:t>
      </w:r>
      <w:r>
        <w:t xml:space="preserve"> </w:t>
      </w:r>
      <w:r>
        <w:rPr>
          <w:rStyle w:val="VerbatimChar"/>
        </w:rPr>
        <w:t xml:space="preserve">gclt-aicoe-dev-network</w:t>
      </w:r>
      <w:r>
        <w:t xml:space="preserve">, search for</w:t>
      </w:r>
      <w:r>
        <w:t xml:space="preserve"> </w:t>
      </w:r>
      <w:r>
        <w:rPr>
          <w:bCs/>
          <w:b/>
        </w:rPr>
        <w:t xml:space="preserve">Private Service Connect</w:t>
      </w:r>
      <w:r>
        <w:t xml:space="preserve">, and look for</w:t>
      </w:r>
      <w:r>
        <w:t xml:space="preserve"> </w:t>
      </w:r>
      <w:r>
        <w:rPr>
          <w:bCs/>
          <w:b/>
        </w:rPr>
        <w:t xml:space="preserve">service connection policies</w:t>
      </w:r>
      <w:r>
        <w:t xml:space="preserve">. Create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Network</w:t>
            </w:r>
          </w:p>
        </w:tc>
        <w:tc>
          <w:tcPr/>
          <w:p>
            <w:pPr>
              <w:pStyle w:val="Compact"/>
              <w:jc w:val="left"/>
            </w:pPr>
            <w:r>
              <w:rPr>
                <w:rStyle w:val="VerbatimChar"/>
              </w:rPr>
              <w:t xml:space="preserve">gclt-aicoe-dev-vpc</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Service class</w:t>
            </w:r>
          </w:p>
        </w:tc>
        <w:tc>
          <w:tcPr/>
          <w:p>
            <w:pPr>
              <w:pStyle w:val="Compact"/>
              <w:jc w:val="left"/>
            </w:pPr>
            <w:r>
              <w:t xml:space="preserve">the Vertex AI / Vector Search class</w:t>
            </w:r>
          </w:p>
        </w:tc>
      </w:tr>
      <w:tr>
        <w:tc>
          <w:tcPr/>
          <w:p>
            <w:pPr>
              <w:pStyle w:val="Compact"/>
              <w:jc w:val="left"/>
            </w:pPr>
            <w:r>
              <w:t xml:space="preserve">Subnets</w:t>
            </w:r>
          </w:p>
        </w:tc>
        <w:tc>
          <w:tcPr/>
          <w:p>
            <w:pPr>
              <w:pStyle w:val="Compact"/>
              <w:jc w:val="left"/>
            </w:pPr>
            <w:r>
              <w:rPr>
                <w:rStyle w:val="VerbatimChar"/>
              </w:rPr>
              <w:t>gclt-aicoe-dev-internal-ew1 (192.168.6.144/28)</w:t>
            </w:r>
            <w:r/>
            <w:r/>
            <w:r>
              <w:rPr>
                <w:rStyle w:val="VerbatimChar"/>
              </w:rPr>
            </w:r>
            <w:r/>
          </w:p>
        </w:tc>
      </w:tr>
      <w:tr>
        <w:tc>
          <w:tcPr/>
          <w:p>
            <w:pPr>
              <w:pStyle w:val="Compact"/>
              <w:jc w:val="left"/>
            </w:pPr>
            <w:r>
              <w:t xml:space="preserve">Connection limit</w:t>
            </w:r>
          </w:p>
        </w:tc>
        <w:tc>
          <w:tcPr/>
          <w:p>
            <w:pPr>
              <w:pStyle w:val="Compact"/>
              <w:jc w:val="left"/>
            </w:pPr>
            <w:r>
              <w:t xml:space="preserve">small, for example 5</w:t>
            </w:r>
          </w:p>
        </w:tc>
      </w:tr>
    </w:tbl>
    <w:p>
      <w:pPr>
        <w:pStyle w:val="BodyText"/>
      </w:pPr>
      <w:r>
        <w:t xml:space="preserve">Then deploy the index with automatic connection, and read back the address that was allocated:</w:t>
      </w:r>
    </w:p>
    <w:p>
      <w:pPr>
        <w:pStyle w:val="SourceCode"/>
      </w:pPr>
      <w:r>
        <w:rPr>
          <w:rStyle w:val="VerbatimChar"/>
        </w:rPr>
        <w:t xml:space="preserve">gcloud compute forwarding-rules list   --filter="network:gclt-aicoe-dev-vpc" --regions=europe-west1</w:t>
      </w:r>
    </w:p>
    <w:p>
      <w:pPr>
        <w:pStyle w:val="FirstParagraph"/>
      </w:pPr>
      <w:r>
        <w:t xml:space="preserve">Record it in the table in §0.6, add it to the egress rule in §6.7, and — optionally — create a DNS record so application code never holds an address at all. Vector Search documents a DNS suffix (</w:t>
      </w:r>
      <w:r>
        <w:rPr>
          <w:rStyle w:val="VerbatimChar"/>
        </w:rPr>
        <w:t xml:space="preserve">matchingengine.vertexai.goog.</w:t>
      </w:r>
      <w:r>
        <w:t xml:space="preserve">) for exactly this.</w:t>
      </w:r>
    </w:p>
    <w:p>
      <w:pPr>
        <w:pStyle w:val="BodyText"/>
      </w:pPr>
      <w:r>
        <w:rPr>
          <w:bCs/>
          <w:b/>
        </w:rPr>
        <w:t xml:space="preserve">If you must use manual mode</w:t>
      </w:r>
      <w:r>
        <w:t xml:space="preserve">, the address must be an internal IPv4 address from a</w:t>
      </w:r>
      <w:r>
        <w:t xml:space="preserve"> </w:t>
      </w:r>
      <w:r>
        <w:rPr>
          <w:bCs/>
          <w:b/>
        </w:rPr>
        <w:t xml:space="preserve">regular subnet in the same region as the service attachment</w:t>
      </w:r>
      <w:r>
        <w:t xml:space="preserve">, and you obtain the attachment URI from the deployed index:</w:t>
      </w:r>
    </w:p>
    <w:p>
      <w:pPr>
        <w:pStyle w:val="SourceCode"/>
      </w:pPr>
      <w:r>
        <w:rPr>
          <w:rStyle w:val="VerbatimChar"/>
        </w:rPr>
        <w:t xml:space="preserve">gcloud ai index-endpoints describe INDEX_ENDPOINT_ID --region=europe-west1   --format="value(deployedIndexes.privateEndpoints.serviceAttachment)"</w:t>
      </w:r>
    </w:p>
    <w:bookmarkEnd w:id="142"/>
    <w:bookmarkStart w:id="143" w:name="business-unit-labelling-at-ingestion"/>
    <w:p>
      <w:pPr>
        <w:pStyle w:val="Heading2"/>
      </w:pPr>
      <w:r>
        <w:t xml:space="preserve">15.6 Business-unit labelling at ingestion</w:t>
      </w:r>
    </w:p>
    <w:p>
      <w:pPr>
        <w:pStyle w:val="FirstParagraph"/>
      </w:pPr>
      <w:r>
        <w:rPr>
          <w:bCs/>
          <w:b/>
        </w:rPr>
        <w:t xml:space="preserve">Why this section exists.</w:t>
      </w:r>
      <w:r>
        <w:t xml:space="preserve"> </w:t>
      </w:r>
      <w:r>
        <w:t xml:space="preserve">The Sales Agent’s tenant isolation works by attaching a</w:t>
      </w:r>
      <w:r>
        <w:t xml:space="preserve"> </w:t>
      </w:r>
      <w:r>
        <w:rPr>
          <w:rStyle w:val="VerbatimChar"/>
        </w:rPr>
        <w:t xml:space="preserve">restricts</w:t>
      </w:r>
      <w:r>
        <w:t xml:space="preserve"> </w:t>
      </w:r>
      <w:r>
        <w:t xml:space="preserve">field to every item in the index and filtering on it at query time. That filtering is only ever as trustworthy as the label written when the document was ingested. A wrong label at write time is a cross-business-unit data leak that no amount of query-side rigour can catch.</w:t>
      </w:r>
    </w:p>
    <w:p>
      <w:pPr>
        <w:pStyle w:val="BodyText"/>
      </w:pPr>
      <w:r>
        <w:rPr>
          <w:bCs/>
          <w:b/>
        </w:rPr>
        <w:t xml:space="preserve">Where the label comes from.</w:t>
      </w:r>
      <w:r>
        <w:t xml:space="preserve"> </w:t>
      </w:r>
      <w:r>
        <w:t xml:space="preserve">The business unit is carried in the Entra token — as a</w:t>
      </w:r>
      <w:r>
        <w:t xml:space="preserve"> </w:t>
      </w:r>
      <w:r>
        <w:rPr>
          <w:rStyle w:val="VerbatimChar"/>
        </w:rPr>
        <w:t xml:space="preserve">department</w:t>
      </w:r>
      <w:r>
        <w:t xml:space="preserve"> </w:t>
      </w:r>
      <w:r>
        <w:t xml:space="preserve">claim, or derived from the App Role and group membership — and passed into the ingestion API by the caller. The ingestion service reads it from the</w:t>
      </w:r>
      <w:r>
        <w:t xml:space="preserve"> </w:t>
      </w:r>
      <w:r>
        <w:rPr>
          <w:bCs/>
          <w:b/>
        </w:rPr>
        <w:t xml:space="preserve">verified token</w:t>
      </w:r>
      <w:r>
        <w:t xml:space="preserve">, not from a field in the request body.</w:t>
      </w:r>
    </w:p>
    <w:p>
      <w:pPr>
        <w:pStyle w:val="BodyText"/>
      </w:pPr>
      <w:r>
        <w:t xml:space="preserve">That distinction is the whole control. A body field can be set to anything by whoever calls the API; a token claim is signed by Entra and verified by the service. If ingestion accepts a business unit from the payload, the isolation is decorative.</w:t>
      </w:r>
    </w:p>
    <w:p>
      <w:pPr>
        <w:pStyle w:val="BodyText"/>
      </w:pPr>
      <w:r>
        <w:rPr>
          <w:bCs/>
          <w:b/>
        </w:rPr>
        <w:t xml:space="preserve">What the ingestion service must do:</w:t>
      </w:r>
    </w:p>
    <w:p>
      <w:pPr>
        <w:numPr>
          <w:ilvl w:val="0"/>
          <w:numId w:val="1017"/>
        </w:numPr>
        <w:pStyle w:val="Compact"/>
      </w:pPr>
      <w:r>
        <w:t xml:space="preserve">Verify the token, exactly as the read-path services do.</w:t>
      </w:r>
    </w:p>
    <w:p>
      <w:pPr>
        <w:numPr>
          <w:ilvl w:val="0"/>
          <w:numId w:val="1017"/>
        </w:numPr>
        <w:pStyle w:val="Compact"/>
      </w:pPr>
      <w:r>
        <w:t xml:space="preserve">Read the business unit from the verified claim, ignoring any value in the request body.</w:t>
      </w:r>
    </w:p>
    <w:p>
      <w:pPr>
        <w:numPr>
          <w:ilvl w:val="0"/>
          <w:numId w:val="1017"/>
        </w:numPr>
        <w:pStyle w:val="Compact"/>
      </w:pPr>
      <w:r>
        <w:t xml:space="preserve">Write it into the item’s</w:t>
      </w:r>
      <w:r>
        <w:t xml:space="preserve"> </w:t>
      </w:r>
      <w:r>
        <w:rPr>
          <w:rStyle w:val="VerbatimChar"/>
        </w:rPr>
        <w:t xml:space="preserve">restricts</w:t>
      </w:r>
      <w:r>
        <w:t xml:space="preserve"> </w:t>
      </w:r>
      <w:r>
        <w:t xml:space="preserve">field at index time.</w:t>
      </w:r>
    </w:p>
    <w:p>
      <w:pPr>
        <w:numPr>
          <w:ilvl w:val="0"/>
          <w:numId w:val="1017"/>
        </w:numPr>
        <w:pStyle w:val="Compact"/>
      </w:pPr>
      <w:r>
        <w:t xml:space="preserve">Record, per document, who ingested it and which business unit was applied — you will need this the first time somebody asks why a document appeared in the wrong result set.</w:t>
      </w:r>
    </w:p>
    <w:p>
      <w:pPr>
        <w:numPr>
          <w:ilvl w:val="0"/>
          <w:numId w:val="1017"/>
        </w:numPr>
        <w:pStyle w:val="Compact"/>
      </w:pPr>
      <w:r>
        <w:t xml:space="preserve">Provide a re-index path, because business units change and documents get misfiled.</w:t>
      </w:r>
    </w:p>
    <w:p>
      <w:pPr>
        <w:pStyle w:val="FirstParagraph"/>
      </w:pPr>
      <w:r>
        <w:rPr>
          <w:bCs/>
          <w:b/>
        </w:rPr>
        <w:t xml:space="preserve">Ownership.</w:t>
      </w:r>
      <w:r>
        <w:t xml:space="preserve"> </w:t>
      </w:r>
      <w:r>
        <w:t xml:space="preserve">Ingestion is built by the platform team rather than in this runbook, so treat points 1 to 5 as the handover contract rather than as implementation detail.</w:t>
      </w:r>
    </w:p>
    <w:bookmarkEnd w:id="143"/>
    <w:bookmarkStart w:id="144" w:name="watch-out-17"/>
    <w:p>
      <w:pPr>
        <w:pStyle w:val="Heading2"/>
      </w:pPr>
      <w:r>
        <w:t xml:space="preserve">15.5 Watch out</w:t>
      </w:r>
    </w:p>
    <w:p>
      <w:pPr>
        <w:numPr>
          <w:ilvl w:val="0"/>
          <w:numId w:val="1018"/>
        </w:numPr>
        <w:pStyle w:val="Compact"/>
      </w:pPr>
      <w:r>
        <w:rPr>
          <w:bCs/>
          <w:b/>
        </w:rPr>
        <w:t xml:space="preserve">Deploying an index is slow</w:t>
      </w:r>
      <w:r>
        <w:t xml:space="preserve"> </w:t>
      </w:r>
      <w:r>
        <w:t xml:space="preserve">and the connection is per deployed index, so the automatic mode in §15.4 is not a convenience — it is what stops the address plan drifting every time an index is redeployed.</w:t>
      </w:r>
    </w:p>
    <w:p>
      <w:pPr>
        <w:numPr>
          <w:ilvl w:val="0"/>
          <w:numId w:val="1018"/>
        </w:numPr>
        <w:pStyle w:val="Compact"/>
      </w:pPr>
      <w:r>
        <w:t xml:space="preserve">The BU label is written at</w:t>
      </w:r>
      <w:r>
        <w:t xml:space="preserve"> </w:t>
      </w:r>
      <w:r>
        <w:rPr>
          <w:bCs/>
          <w:b/>
        </w:rPr>
        <w:t xml:space="preserve">ingestion</w:t>
      </w:r>
      <w:r>
        <w:t xml:space="preserve">, which the platform team owns. Query-time filtering is only as trustworthy as that label. Confirm with them that it comes from a verified source and not a free-text job parameter — otherwise the isolation has a hole on the write side.</w:t>
      </w:r>
    </w:p>
    <w:p>
      <w:pPr>
        <w:numPr>
          <w:ilvl w:val="0"/>
          <w:numId w:val="1018"/>
        </w:numPr>
        <w:pStyle w:val="Compact"/>
      </w:pPr>
      <w:r>
        <w:t xml:space="preserve">Deploying an index is slow. Do not start it ten minutes before you need it.</w:t>
      </w:r>
    </w:p>
    <w:p>
      <w:r>
        <w:br w:type="page"/>
      </w:r>
    </w:p>
    <w:bookmarkEnd w:id="144"/>
    <w:bookmarkEnd w:id="145"/>
    <w:bookmarkStart w:id="151" w:name="Xb881bc853b6514accc117e8120abcc527af2847"/>
    <w:p>
      <w:pPr>
        <w:pStyle w:val="Heading1"/>
      </w:pPr>
      <w:r>
        <w:t xml:space="preserve">Part 16 — BigQuery, Cloud Storage, Cloud Tasks</w:t>
      </w:r>
    </w:p>
    <w:bookmarkStart w:id="146" w:name="cloud-storage-buckets"/>
    <w:p>
      <w:pPr>
        <w:pStyle w:val="Heading2"/>
      </w:pPr>
      <w:r>
        <w:t xml:space="preserve">16.1 Cloud Storage buckets</w:t>
      </w:r>
    </w:p>
    <w:p>
      <w:pPr>
        <w:pStyle w:val="FirstParagraph"/>
      </w:pPr>
      <w:r>
        <w:rPr>
          <w:bCs/>
          <w:b/>
        </w:rPr>
        <w:t xml:space="preserve">Where:</w:t>
      </w:r>
      <w:r>
        <w:t xml:space="preserve"> </w:t>
      </w:r>
      <w:r>
        <w:rPr>
          <w:rStyle w:val="VerbatimChar"/>
        </w:rPr>
        <w:t xml:space="preserve">gclt-aicoe-dev-st</w:t>
      </w:r>
      <w:r>
        <w:t xml:space="preserve"> </w:t>
      </w:r>
      <w:r>
        <w:t xml:space="preserve">→ search</w:t>
      </w:r>
      <w:r>
        <w:t xml:space="preserve"> </w:t>
      </w:r>
      <w:r>
        <w:rPr>
          <w:bCs/>
          <w:b/>
        </w:rPr>
        <w:t xml:space="preserve">Cloud Storage</w:t>
      </w:r>
      <w:r>
        <w:t xml:space="preserve"> </w:t>
      </w:r>
      <w:r>
        <w:t xml:space="preserve">→</w:t>
      </w:r>
      <w:r>
        <w:t xml:space="preserve"> </w:t>
      </w:r>
      <w:r>
        <w:rPr>
          <w:bCs/>
          <w:b/>
        </w:rPr>
        <w:t xml:space="preserve">CREATE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Bucket</w:t>
            </w:r>
          </w:p>
        </w:tc>
        <w:tc>
          <w:tcPr/>
          <w:p>
            <w:pPr>
              <w:pStyle w:val="Compact"/>
              <w:jc w:val="left"/>
            </w:pPr>
            <w:r>
              <w:t xml:space="preserve">Purpose</w:t>
            </w:r>
          </w:p>
        </w:tc>
      </w:tr>
      <w:tr>
        <w:tc>
          <w:tcPr/>
          <w:p>
            <w:pPr>
              <w:pStyle w:val="Compact"/>
              <w:jc w:val="left"/>
            </w:pPr>
            <w:r>
              <w:rPr>
                <w:rStyle w:val="VerbatimChar"/>
              </w:rPr>
              <w:t xml:space="preserve">gclt-aicoe-dev-st-documents</w:t>
            </w:r>
          </w:p>
        </w:tc>
        <w:tc>
          <w:tcPr/>
          <w:p>
            <w:pPr>
              <w:pStyle w:val="Compact"/>
              <w:jc w:val="left"/>
            </w:pPr>
            <w:r>
              <w:t xml:space="preserve">uploaded documents for translation</w:t>
            </w:r>
          </w:p>
        </w:tc>
      </w:tr>
      <w:tr>
        <w:tc>
          <w:tcPr/>
          <w:p>
            <w:pPr>
              <w:pStyle w:val="Compact"/>
              <w:jc w:val="left"/>
            </w:pPr>
            <w:r>
              <w:rPr>
                <w:rStyle w:val="VerbatimChar"/>
              </w:rPr>
              <w:t xml:space="preserve">gclt-aicoe-dev-st-vector-source</w:t>
            </w:r>
          </w:p>
        </w:tc>
        <w:tc>
          <w:tcPr/>
          <w:p>
            <w:pPr>
              <w:pStyle w:val="Compact"/>
              <w:jc w:val="left"/>
            </w:pPr>
            <w:r>
              <w:t xml:space="preserve">embedding source data</w:t>
            </w:r>
          </w:p>
        </w:tc>
      </w:tr>
    </w:tbl>
    <w:p>
      <w:pPr>
        <w:pStyle w:val="BodyText"/>
      </w:pPr>
      <w:r>
        <w:t xml:space="preserve">Settings for both: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Location type</w:t>
            </w:r>
          </w:p>
        </w:tc>
        <w:tc>
          <w:tcPr/>
          <w:p>
            <w:pPr>
              <w:pStyle w:val="Compact"/>
              <w:jc w:val="left"/>
            </w:pPr>
            <w:r>
              <w:t xml:space="preserve">Region →</w:t>
            </w:r>
            <w:r>
              <w:t xml:space="preserve"> </w:t>
            </w:r>
            <w:r>
              <w:rPr>
                <w:rStyle w:val="VerbatimChar"/>
              </w:rPr>
              <w:t xml:space="preserve">europe-west1</w:t>
            </w:r>
          </w:p>
        </w:tc>
      </w:tr>
      <w:tr>
        <w:tc>
          <w:tcPr/>
          <w:p>
            <w:pPr>
              <w:pStyle w:val="Compact"/>
              <w:jc w:val="left"/>
            </w:pPr>
            <w:r>
              <w:t xml:space="preserve">Storage class</w:t>
            </w:r>
          </w:p>
        </w:tc>
        <w:tc>
          <w:tcPr/>
          <w:p>
            <w:pPr>
              <w:pStyle w:val="Compact"/>
              <w:jc w:val="left"/>
            </w:pPr>
            <w:r>
              <w:t xml:space="preserve">Standard</w:t>
            </w:r>
          </w:p>
        </w:tc>
      </w:tr>
      <w:tr>
        <w:tc>
          <w:tcPr/>
          <w:p>
            <w:pPr>
              <w:pStyle w:val="Compact"/>
              <w:jc w:val="left"/>
            </w:pPr>
            <w:r>
              <w:t xml:space="preserve">Access control</w:t>
            </w:r>
          </w:p>
        </w:tc>
        <w:tc>
          <w:tcPr/>
          <w:p>
            <w:pPr>
              <w:pStyle w:val="Compact"/>
              <w:jc w:val="left"/>
            </w:pPr>
            <w:r>
              <w:rPr>
                <w:bCs/>
                <w:b/>
              </w:rPr>
              <w:t xml:space="preserve">Uniform</w:t>
            </w:r>
          </w:p>
        </w:tc>
      </w:tr>
      <w:tr>
        <w:tc>
          <w:tcPr/>
          <w:p>
            <w:pPr>
              <w:pStyle w:val="Compact"/>
              <w:jc w:val="left"/>
            </w:pPr>
            <w:r>
              <w:t xml:space="preserve">Public access prevention</w:t>
            </w:r>
          </w:p>
        </w:tc>
        <w:tc>
          <w:tcPr/>
          <w:p>
            <w:pPr>
              <w:pStyle w:val="Compact"/>
              <w:jc w:val="left"/>
            </w:pPr>
            <w:r>
              <w:rPr>
                <w:bCs/>
                <w:b/>
              </w:rPr>
              <w:t xml:space="preserve">Enforced</w:t>
            </w:r>
          </w:p>
        </w:tc>
      </w:tr>
      <w:tr>
        <w:tc>
          <w:tcPr/>
          <w:p>
            <w:pPr>
              <w:pStyle w:val="Compact"/>
              <w:jc w:val="left"/>
            </w:pPr>
            <w:r>
              <w:t xml:space="preserve">Encryption</w:t>
            </w:r>
          </w:p>
        </w:tc>
        <w:tc>
          <w:tcPr/>
          <w:p>
            <w:pPr>
              <w:pStyle w:val="Compact"/>
              <w:jc w:val="left"/>
            </w:pPr>
            <w:r>
              <w:t xml:space="preserve">customer-managed, key</w:t>
            </w:r>
            <w:r>
              <w:t xml:space="preserve"> </w:t>
            </w:r>
            <w:r>
              <w:rPr>
                <w:rStyle w:val="VerbatimChar"/>
              </w:rPr>
              <w:t xml:space="preserve">st/app-gcs</w:t>
            </w:r>
          </w:p>
        </w:tc>
      </w:tr>
      <w:tr>
        <w:tc>
          <w:tcPr/>
          <w:p>
            <w:pPr>
              <w:pStyle w:val="Compact"/>
              <w:jc w:val="left"/>
            </w:pPr>
            <w:r>
              <w:t xml:space="preserve">Object versioning</w:t>
            </w:r>
          </w:p>
        </w:tc>
        <w:tc>
          <w:tcPr/>
          <w:p>
            <w:pPr>
              <w:pStyle w:val="Compact"/>
              <w:jc w:val="left"/>
            </w:pPr>
            <w:r>
              <w:t xml:space="preserve">On</w:t>
            </w:r>
          </w:p>
        </w:tc>
      </w:tr>
      <w:tr>
        <w:tc>
          <w:tcPr/>
          <w:p>
            <w:pPr>
              <w:pStyle w:val="Compact"/>
              <w:jc w:val="left"/>
            </w:pPr>
            <w:r>
              <w:t xml:space="preserve">Soft delete</w:t>
            </w:r>
          </w:p>
        </w:tc>
        <w:tc>
          <w:tcPr/>
          <w:p>
            <w:pPr>
              <w:pStyle w:val="Compact"/>
              <w:jc w:val="left"/>
            </w:pPr>
            <w:r>
              <w:t xml:space="preserve">leave at default</w:t>
            </w:r>
          </w:p>
        </w:tc>
      </w:tr>
    </w:tbl>
    <w:p>
      <w:pPr>
        <w:pStyle w:val="BodyText"/>
      </w:pPr>
      <w:r>
        <w:rPr>
          <w:bCs/>
          <w:b/>
        </w:rPr>
        <w:t xml:space="preserve">Why uniform access control:</w:t>
      </w:r>
      <w:r>
        <w:t xml:space="preserve"> </w:t>
      </w:r>
      <w:r>
        <w:t xml:space="preserve">the alternative lets permissions be set on individual objects, which becomes impossible to audit. Uniform means the bucket’s IAM is the whole story.</w:t>
      </w:r>
    </w:p>
    <w:bookmarkEnd w:id="146"/>
    <w:bookmarkStart w:id="147" w:name="bigquery-datasets"/>
    <w:p>
      <w:pPr>
        <w:pStyle w:val="Heading2"/>
      </w:pPr>
      <w:r>
        <w:t xml:space="preserve">16.2 BigQuery datasets</w:t>
      </w:r>
    </w:p>
    <w:p>
      <w:pPr>
        <w:pStyle w:val="FirstParagraph"/>
      </w:pPr>
      <w:r>
        <w:rPr>
          <w:bCs/>
          <w:b/>
        </w:rPr>
        <w:t xml:space="preserve">Where:</w:t>
      </w:r>
      <w:r>
        <w:t xml:space="preserve"> </w:t>
      </w:r>
      <w:r>
        <w:t xml:space="preserve">search</w:t>
      </w:r>
      <w:r>
        <w:t xml:space="preserve"> </w:t>
      </w:r>
      <w:r>
        <w:rPr>
          <w:bCs/>
          <w:b/>
        </w:rPr>
        <w:t xml:space="preserve">BigQuery</w:t>
      </w:r>
      <w:r>
        <w:t xml:space="preserve"> </w:t>
      </w:r>
      <w:r>
        <w:t xml:space="preserve">→ in the Explorer panel, three dots next to the project →</w:t>
      </w:r>
      <w:r>
        <w:t xml:space="preserve"> </w:t>
      </w:r>
      <w:r>
        <w:rPr>
          <w:bCs/>
          <w:b/>
        </w:rPr>
        <w:t xml:space="preserve">Create dataset</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Dataset ID</w:t>
            </w:r>
          </w:p>
        </w:tc>
        <w:tc>
          <w:tcPr/>
          <w:p>
            <w:pPr>
              <w:pStyle w:val="Compact"/>
              <w:jc w:val="left"/>
            </w:pPr>
            <w:r>
              <w:rPr>
                <w:rStyle w:val="VerbatimChar"/>
              </w:rPr>
              <w:t xml:space="preserve">aicoe_usage</w:t>
            </w:r>
          </w:p>
        </w:tc>
      </w:tr>
      <w:tr>
        <w:tc>
          <w:tcPr/>
          <w:p>
            <w:pPr>
              <w:pStyle w:val="Compact"/>
              <w:jc w:val="left"/>
            </w:pPr>
            <w:r>
              <w:t xml:space="preserve">Location type</w:t>
            </w:r>
          </w:p>
        </w:tc>
        <w:tc>
          <w:tcPr/>
          <w:p>
            <w:pPr>
              <w:pStyle w:val="Compact"/>
              <w:jc w:val="left"/>
            </w:pPr>
            <w:r>
              <w:t xml:space="preserve">Region →</w:t>
            </w:r>
            <w:r>
              <w:t xml:space="preserve"> </w:t>
            </w:r>
            <w:r>
              <w:rPr>
                <w:rStyle w:val="VerbatimChar"/>
              </w:rPr>
              <w:t xml:space="preserve">europe-west1</w:t>
            </w:r>
          </w:p>
        </w:tc>
      </w:tr>
      <w:tr>
        <w:tc>
          <w:tcPr/>
          <w:p>
            <w:pPr>
              <w:pStyle w:val="Compact"/>
              <w:jc w:val="left"/>
            </w:pPr>
            <w:r>
              <w:t xml:space="preserve">Encryption</w:t>
            </w:r>
          </w:p>
        </w:tc>
        <w:tc>
          <w:tcPr/>
          <w:p>
            <w:pPr>
              <w:pStyle w:val="Compact"/>
              <w:jc w:val="left"/>
            </w:pPr>
            <w:r>
              <w:t xml:space="preserve">customer-managed, key</w:t>
            </w:r>
            <w:r>
              <w:t xml:space="preserve"> </w:t>
            </w:r>
            <w:r>
              <w:rPr>
                <w:rStyle w:val="VerbatimChar"/>
              </w:rPr>
              <w:t xml:space="preserve">st/bq</w:t>
            </w:r>
          </w:p>
        </w:tc>
      </w:tr>
    </w:tbl>
    <w:p>
      <w:pPr>
        <w:pStyle w:val="BodyText"/>
      </w:pPr>
      <w:r>
        <w:rPr>
          <w:bCs/>
          <w:b/>
        </w:rPr>
        <w:t xml:space="preserve">Watch out:</w:t>
      </w:r>
      <w:r>
        <w:t xml:space="preserve"> </w:t>
      </w:r>
      <w:r>
        <w:t xml:space="preserve">dataset IDs allow letters, numbers and underscores only. A hyphen is rejected, which catches people out when they mirror project naming.</w:t>
      </w:r>
    </w:p>
    <w:bookmarkEnd w:id="147"/>
    <w:bookmarkStart w:id="148" w:name="firestore-the-session-store"/>
    <w:p>
      <w:pPr>
        <w:pStyle w:val="Heading2"/>
      </w:pPr>
      <w:r>
        <w:t xml:space="preserve">16.3 Firestore — the session store</w:t>
      </w:r>
    </w:p>
    <w:p>
      <w:pPr>
        <w:pStyle w:val="FirstParagraph"/>
      </w:pPr>
      <w:r>
        <w:rPr>
          <w:bCs/>
          <w:b/>
        </w:rPr>
        <w:t xml:space="preserve">What this is.</w:t>
      </w:r>
      <w:r>
        <w:t xml:space="preserve"> </w:t>
      </w:r>
      <w:r>
        <w:t xml:space="preserve">The BFF keeps each user’s session server-side. Firestore holds it: who the user is, their access and refresh tokens, and when the session expires. The browser only ever holds an opaque identifier that points at one of these documents.</w:t>
      </w:r>
    </w:p>
    <w:p>
      <w:pPr>
        <w:pStyle w:val="BodyText"/>
      </w:pPr>
      <w:r>
        <w:rPr>
          <w:bCs/>
          <w:b/>
        </w:rPr>
        <w:t xml:space="preserve">Where:</w:t>
      </w:r>
      <w:r>
        <w:t xml:space="preserve"> </w:t>
      </w:r>
      <w:r>
        <w:t xml:space="preserve">switch to</w:t>
      </w:r>
      <w:r>
        <w:t xml:space="preserve"> </w:t>
      </w:r>
      <w:r>
        <w:rPr>
          <w:rStyle w:val="VerbatimChar"/>
        </w:rPr>
        <w:t xml:space="preserve">gclt-aicoe-dev-aihub-ui</w:t>
      </w:r>
      <w:r>
        <w:t xml:space="preserve">, search for</w:t>
      </w:r>
      <w:r>
        <w:t xml:space="preserve"> </w:t>
      </w:r>
      <w:r>
        <w:rPr>
          <w:bCs/>
          <w:b/>
        </w:rPr>
        <w:t xml:space="preserve">Firestore</w:t>
      </w:r>
      <w:r>
        <w:t xml:space="preserve"> </w:t>
      </w:r>
      <w:r>
        <w:t xml:space="preserve">→</w:t>
      </w:r>
      <w:r>
        <w:t xml:space="preserve"> </w:t>
      </w:r>
      <w:r>
        <w:rPr>
          <w:bCs/>
          <w:b/>
        </w:rPr>
        <w:t xml:space="preserve">CREATE DATABASE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Mode</w:t>
            </w:r>
          </w:p>
        </w:tc>
        <w:tc>
          <w:tcPr/>
          <w:p>
            <w:pPr>
              <w:pStyle w:val="Compact"/>
              <w:jc w:val="left"/>
            </w:pPr>
            <w:r>
              <w:rPr>
                <w:bCs/>
                <w:b/>
              </w:rPr>
              <w:t xml:space="preserve">Native</w:t>
            </w:r>
          </w:p>
        </w:tc>
      </w:tr>
      <w:tr>
        <w:tc>
          <w:tcPr/>
          <w:p>
            <w:pPr>
              <w:pStyle w:val="Compact"/>
              <w:jc w:val="left"/>
            </w:pPr>
            <w:r>
              <w:t xml:space="preserve">Location type</w:t>
            </w:r>
          </w:p>
        </w:tc>
        <w:tc>
          <w:tcPr/>
          <w:p>
            <w:pPr>
              <w:pStyle w:val="Compact"/>
              <w:jc w:val="left"/>
            </w:pPr>
            <w:r>
              <w:t xml:space="preserve">Region →</w:t>
            </w:r>
            <w:r>
              <w:t xml:space="preserve"> </w:t>
            </w:r>
            <w:r>
              <w:rPr>
                <w:rStyle w:val="VerbatimChar"/>
              </w:rPr>
              <w:t xml:space="preserve">europe-west1</w:t>
            </w:r>
          </w:p>
        </w:tc>
      </w:tr>
      <w:tr>
        <w:tc>
          <w:tcPr/>
          <w:p>
            <w:pPr>
              <w:pStyle w:val="Compact"/>
              <w:jc w:val="left"/>
            </w:pPr>
            <w:r>
              <w:t xml:space="preserve">Encryption</w:t>
            </w:r>
          </w:p>
        </w:tc>
        <w:tc>
          <w:tcPr/>
          <w:p>
            <w:pPr>
              <w:pStyle w:val="Compact"/>
              <w:jc w:val="left"/>
            </w:pPr>
            <w:r>
              <w:rPr>
                <w:bCs/>
                <w:b/>
              </w:rPr>
              <w:t xml:space="preserve">Customer-managed</w:t>
            </w:r>
            <w:r>
              <w:t xml:space="preserve">, key from the</w:t>
            </w:r>
            <w:r>
              <w:t xml:space="preserve"> </w:t>
            </w:r>
            <w:r>
              <w:rPr>
                <w:rStyle w:val="VerbatimChar"/>
              </w:rPr>
              <w:t xml:space="preserve">aihub</w:t>
            </w:r>
            <w:r>
              <w:t xml:space="preserve"> </w:t>
            </w:r>
            <w:r>
              <w:t xml:space="preserve">ring</w:t>
            </w:r>
          </w:p>
        </w:tc>
      </w:tr>
      <w:tr>
        <w:tc>
          <w:tcPr/>
          <w:p>
            <w:pPr>
              <w:pStyle w:val="Compact"/>
              <w:jc w:val="left"/>
            </w:pPr>
            <w:r>
              <w:t xml:space="preserve">Database ID</w:t>
            </w:r>
          </w:p>
        </w:tc>
        <w:tc>
          <w:tcPr/>
          <w:p>
            <w:pPr>
              <w:pStyle w:val="Compact"/>
              <w:jc w:val="left"/>
            </w:pPr>
            <w:r>
              <w:rPr>
                <w:rStyle w:val="VerbatimChar"/>
              </w:rPr>
              <w:t xml:space="preserve">(default)</w:t>
            </w:r>
          </w:p>
        </w:tc>
      </w:tr>
    </w:tbl>
    <w:p>
      <w:pPr>
        <w:pStyle w:val="BodyText"/>
      </w:pPr>
      <w:r>
        <w:t xml:space="preserve">Then create a</w:t>
      </w:r>
      <w:r>
        <w:t xml:space="preserve"> </w:t>
      </w:r>
      <w:r>
        <w:rPr>
          <w:bCs/>
          <w:b/>
        </w:rPr>
        <w:t xml:space="preserve">TTL policy</w:t>
      </w:r>
      <w:r>
        <w:t xml:space="preserve">:</w:t>
      </w:r>
      <w:r>
        <w:t xml:space="preserve"> </w:t>
      </w:r>
      <w:r>
        <w:rPr>
          <w:bCs/>
          <w:b/>
        </w:rPr>
        <w:t xml:space="preserve">Firestore</w:t>
      </w:r>
      <w:r>
        <w:t xml:space="preserve"> </w:t>
      </w:r>
      <w:r>
        <w:t xml:space="preserve">→</w:t>
      </w:r>
      <w:r>
        <w:t xml:space="preserve"> </w:t>
      </w:r>
      <w:r>
        <w:rPr>
          <w:bCs/>
          <w:b/>
        </w:rPr>
        <w:t xml:space="preserve">Time-to-live</w:t>
      </w:r>
      <w:r>
        <w:t xml:space="preserve"> </w:t>
      </w:r>
      <w:r>
        <w:t xml:space="preserve">→</w:t>
      </w:r>
      <w:r>
        <w:t xml:space="preserve"> </w:t>
      </w:r>
      <w:r>
        <w:rPr>
          <w:bCs/>
          <w:b/>
        </w:rPr>
        <w:t xml:space="preserve">CREATE POLICY</w:t>
      </w:r>
      <w:r>
        <w:t xml:space="preserve">, collection</w:t>
      </w:r>
      <w:r>
        <w:t xml:space="preserve"> </w:t>
      </w:r>
      <w:r>
        <w:rPr>
          <w:rStyle w:val="VerbatimChar"/>
        </w:rPr>
        <w:t xml:space="preserve">sessions</w:t>
      </w:r>
      <w:r>
        <w:t xml:space="preserve">, field</w:t>
      </w:r>
      <w:r>
        <w:t xml:space="preserve"> </w:t>
      </w:r>
      <w:r>
        <w:rPr>
          <w:rStyle w:val="VerbatimChar"/>
        </w:rPr>
        <w:t xml:space="preserve">absolute_expires_at</w:t>
      </w:r>
      <w:r>
        <w:t xml:space="preserve">. Firestore then deletes expired sessions itself and you need no cleanup job.</w:t>
      </w:r>
    </w:p>
    <w:p>
      <w:pPr>
        <w:pStyle w:val="BodyText"/>
      </w:pPr>
      <w:r>
        <w:t xml:space="preserve">Collections to expect: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Collection</w:t>
            </w:r>
          </w:p>
        </w:tc>
        <w:tc>
          <w:tcPr/>
          <w:p>
            <w:pPr>
              <w:pStyle w:val="Compact"/>
              <w:jc w:val="left"/>
            </w:pPr>
            <w:r>
              <w:t xml:space="preserve">Holds</w:t>
            </w:r>
          </w:p>
        </w:tc>
        <w:tc>
          <w:tcPr/>
          <w:p>
            <w:pPr>
              <w:pStyle w:val="Compact"/>
              <w:jc w:val="left"/>
            </w:pPr>
            <w:r>
              <w:t xml:space="preserve">Written by</w:t>
            </w:r>
          </w:p>
        </w:tc>
      </w:tr>
      <w:tr>
        <w:tc>
          <w:tcPr/>
          <w:p>
            <w:pPr>
              <w:pStyle w:val="Compact"/>
              <w:jc w:val="left"/>
            </w:pPr>
            <w:r>
              <w:rPr>
                <w:rStyle w:val="VerbatimChar"/>
              </w:rPr>
              <w:t xml:space="preserve">sessions</w:t>
            </w:r>
          </w:p>
        </w:tc>
        <w:tc>
          <w:tcPr/>
          <w:p>
            <w:pPr>
              <w:pStyle w:val="Compact"/>
              <w:jc w:val="left"/>
            </w:pPr>
            <w:r>
              <w:t xml:space="preserve">one document per active session, keyed on the</w:t>
            </w:r>
            <w:r>
              <w:t xml:space="preserve"> </w:t>
            </w:r>
            <w:r>
              <w:rPr>
                <w:bCs/>
                <w:b/>
              </w:rPr>
              <w:t xml:space="preserve">hash</w:t>
            </w:r>
            <w:r>
              <w:t xml:space="preserve"> </w:t>
            </w:r>
            <w:r>
              <w:t xml:space="preserve">of the session id</w:t>
            </w:r>
          </w:p>
        </w:tc>
        <w:tc>
          <w:tcPr/>
          <w:p>
            <w:pPr>
              <w:pStyle w:val="Compact"/>
              <w:jc w:val="left"/>
            </w:pPr>
            <w:r>
              <w:t xml:space="preserve">the BFF</w:t>
            </w:r>
          </w:p>
        </w:tc>
      </w:tr>
      <w:tr>
        <w:tc>
          <w:tcPr/>
          <w:p>
            <w:pPr>
              <w:pStyle w:val="Compact"/>
              <w:jc w:val="left"/>
            </w:pPr>
            <w:r>
              <w:rPr>
                <w:rStyle w:val="VerbatimChar"/>
              </w:rPr>
              <w:t xml:space="preserve">jobs</w:t>
            </w:r>
          </w:p>
        </w:tc>
        <w:tc>
          <w:tcPr/>
          <w:p>
            <w:pPr>
              <w:pStyle w:val="Compact"/>
              <w:jc w:val="left"/>
            </w:pPr>
            <w:r>
              <w:t xml:space="preserve">asynchronous translation and research jobs, carrying the user identity captured at creation</w:t>
            </w:r>
          </w:p>
        </w:tc>
        <w:tc>
          <w:tcPr/>
          <w:p>
            <w:pPr>
              <w:pStyle w:val="Compact"/>
              <w:jc w:val="left"/>
            </w:pPr>
            <w:r>
              <w:t xml:space="preserve">the translation API</w:t>
            </w:r>
          </w:p>
        </w:tc>
      </w:tr>
      <w:tr>
        <w:tc>
          <w:tcPr/>
          <w:p>
            <w:pPr>
              <w:pStyle w:val="Compact"/>
              <w:jc w:val="left"/>
            </w:pPr>
            <w:r>
              <w:rPr>
                <w:rStyle w:val="VerbatimChar"/>
              </w:rPr>
              <w:t xml:space="preserve">idempotency</w:t>
            </w:r>
          </w:p>
        </w:tc>
        <w:tc>
          <w:tcPr/>
          <w:p>
            <w:pPr>
              <w:pStyle w:val="Compact"/>
              <w:jc w:val="left"/>
            </w:pPr>
            <w:r>
              <w:t xml:space="preserve">client-supplied keys, so a retried submission does not run twice</w:t>
            </w:r>
          </w:p>
        </w:tc>
        <w:tc>
          <w:tcPr/>
          <w:p>
            <w:pPr>
              <w:pStyle w:val="Compact"/>
              <w:jc w:val="left"/>
            </w:pPr>
            <w:r>
              <w:t xml:space="preserve">the translation API</w:t>
            </w:r>
          </w:p>
        </w:tc>
      </w:tr>
    </w:tbl>
    <w:p>
      <w:pPr>
        <w:pStyle w:val="BodyText"/>
      </w:pPr>
      <w:r>
        <w:rPr>
          <w:bCs/>
          <w:b/>
        </w:rPr>
        <w:t xml:space="preserve">Watch out.</w:t>
      </w:r>
      <w:r>
        <w:t xml:space="preserve"> </w:t>
      </w:r>
      <w:r>
        <w:t xml:space="preserve">Store the</w:t>
      </w:r>
      <w:r>
        <w:t xml:space="preserve"> </w:t>
      </w:r>
      <w:r>
        <w:rPr>
          <w:bCs/>
          <w:b/>
        </w:rPr>
        <w:t xml:space="preserve">hash</w:t>
      </w:r>
      <w:r>
        <w:t xml:space="preserve"> </w:t>
      </w:r>
      <w:r>
        <w:t xml:space="preserve">of the session identifier as the document id, never the identifier itself — otherwise anyone who can read the database holds usable cookies. Envelope-encrypt the access and refresh tokens with a Cloud KMS key on top of Firestore’s own encryption, so a database export alone yields nothing usable.</w:t>
      </w:r>
    </w:p>
    <w:p>
      <w:pPr>
        <w:pStyle w:val="BodyText"/>
      </w:pPr>
      <w:r>
        <w:rPr>
          <w:bCs/>
          <w:b/>
        </w:rPr>
        <w:t xml:space="preserve">Why not Redis.</w:t>
      </w:r>
      <w:r>
        <w:t xml:space="preserve"> </w:t>
      </w:r>
      <w:r>
        <w:t xml:space="preserve">Memorystore Redis on the basic tier uses Private Service Access, which creates a</w:t>
      </w:r>
      <w:r>
        <w:t xml:space="preserve"> </w:t>
      </w:r>
      <w:r>
        <w:rPr>
          <w:bCs/>
          <w:b/>
        </w:rPr>
        <w:t xml:space="preserve">VPC peering on the Shared VPC host</w:t>
      </w:r>
      <w:r>
        <w:t xml:space="preserve"> </w:t>
      </w:r>
      <w:r>
        <w:t xml:space="preserve">— forbidden by the networking decision in</w:t>
      </w:r>
      <w:r>
        <w:t xml:space="preserve"> </w:t>
      </w:r>
      <w:r>
        <w:rPr>
          <w:rStyle w:val="VerbatimChar"/>
        </w:rPr>
        <w:t xml:space="preserve">01</w:t>
      </w:r>
      <w:r>
        <w:t xml:space="preserve"> </w:t>
      </w:r>
      <w:r>
        <w:t xml:space="preserve">§2 and a shared-fate change for every service project. If Redis were ever needed it would have to be Memorystore Cluster with Private Service Connect. At this scale Firestore is comfortably sufficient.</w:t>
      </w:r>
    </w:p>
    <w:bookmarkEnd w:id="148"/>
    <w:bookmarkStart w:id="149" w:name="cloud-tasks-queue"/>
    <w:p>
      <w:pPr>
        <w:pStyle w:val="Heading2"/>
      </w:pPr>
      <w:r>
        <w:t xml:space="preserve">16.4 Cloud Tasks queue</w:t>
      </w:r>
    </w:p>
    <w:p>
      <w:pPr>
        <w:pStyle w:val="FirstParagraph"/>
      </w:pPr>
      <w:r>
        <w:rPr>
          <w:bCs/>
          <w:b/>
        </w:rPr>
        <w:t xml:space="preserve">What this is.</w:t>
      </w:r>
      <w:r>
        <w:t xml:space="preserve"> </w:t>
      </w:r>
      <w:r>
        <w:t xml:space="preserve">Document translation can take minutes. Rather than making the user wait, the API hands the job to a queue and returns immediately. Cloud Tasks then calls the worker service.</w:t>
      </w:r>
    </w:p>
    <w:p>
      <w:pPr>
        <w:pStyle w:val="BodyText"/>
      </w:pPr>
      <w:r>
        <w:rPr>
          <w:bCs/>
          <w:b/>
        </w:rPr>
        <w:t xml:space="preserve">Where:</w:t>
      </w:r>
      <w:r>
        <w:t xml:space="preserve"> </w:t>
      </w:r>
      <w:r>
        <w:t xml:space="preserve">search</w:t>
      </w:r>
      <w:r>
        <w:t xml:space="preserve"> </w:t>
      </w:r>
      <w:r>
        <w:rPr>
          <w:bCs/>
          <w:b/>
        </w:rPr>
        <w:t xml:space="preserve">Cloud Tasks</w:t>
      </w:r>
      <w:r>
        <w:t xml:space="preserve"> </w:t>
      </w:r>
      <w:r>
        <w:t xml:space="preserve">→</w:t>
      </w:r>
      <w:r>
        <w:t xml:space="preserve"> </w:t>
      </w:r>
      <w:r>
        <w:rPr>
          <w:bCs/>
          <w:b/>
        </w:rPr>
        <w:t xml:space="preserve">CREATE QUEUE</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Queue name</w:t>
            </w:r>
          </w:p>
        </w:tc>
        <w:tc>
          <w:tcPr/>
          <w:p>
            <w:pPr>
              <w:pStyle w:val="Compact"/>
              <w:jc w:val="left"/>
            </w:pPr>
            <w:r>
              <w:rPr>
                <w:rStyle w:val="VerbatimChar"/>
              </w:rPr>
              <w:t xml:space="preserve">translation-jobs</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Max dispatches per second</w:t>
            </w:r>
          </w:p>
        </w:tc>
        <w:tc>
          <w:tcPr/>
          <w:p>
            <w:pPr>
              <w:pStyle w:val="Compact"/>
              <w:jc w:val="left"/>
            </w:pPr>
            <w:r>
              <w:rPr>
                <w:rStyle w:val="VerbatimChar"/>
              </w:rPr>
              <w:t xml:space="preserve">5</w:t>
            </w:r>
          </w:p>
        </w:tc>
      </w:tr>
      <w:tr>
        <w:tc>
          <w:tcPr/>
          <w:p>
            <w:pPr>
              <w:pStyle w:val="Compact"/>
              <w:jc w:val="left"/>
            </w:pPr>
            <w:r>
              <w:t xml:space="preserve">Max concurrent dispatches</w:t>
            </w:r>
          </w:p>
        </w:tc>
        <w:tc>
          <w:tcPr/>
          <w:p>
            <w:pPr>
              <w:pStyle w:val="Compact"/>
              <w:jc w:val="left"/>
            </w:pPr>
            <w:r>
              <w:rPr>
                <w:rStyle w:val="VerbatimChar"/>
              </w:rPr>
              <w:t xml:space="preserve">10</w:t>
            </w:r>
          </w:p>
        </w:tc>
      </w:tr>
      <w:tr>
        <w:tc>
          <w:tcPr/>
          <w:p>
            <w:pPr>
              <w:pStyle w:val="Compact"/>
              <w:jc w:val="left"/>
            </w:pPr>
            <w:r>
              <w:t xml:space="preserve">Max attempts</w:t>
            </w:r>
          </w:p>
        </w:tc>
        <w:tc>
          <w:tcPr/>
          <w:p>
            <w:pPr>
              <w:pStyle w:val="Compact"/>
              <w:jc w:val="left"/>
            </w:pPr>
            <w:r>
              <w:rPr>
                <w:rStyle w:val="VerbatimChar"/>
              </w:rPr>
              <w:t xml:space="preserve">3</w:t>
            </w:r>
          </w:p>
        </w:tc>
      </w:tr>
      <w:tr>
        <w:tc>
          <w:tcPr/>
          <w:p>
            <w:pPr>
              <w:pStyle w:val="Compact"/>
              <w:jc w:val="left"/>
            </w:pPr>
            <w:r>
              <w:t xml:space="preserve">Max retry duration</w:t>
            </w:r>
          </w:p>
        </w:tc>
        <w:tc>
          <w:tcPr/>
          <w:p>
            <w:pPr>
              <w:pStyle w:val="Compact"/>
              <w:jc w:val="left"/>
            </w:pPr>
            <w:r>
              <w:rPr>
                <w:rStyle w:val="VerbatimChar"/>
              </w:rPr>
              <w:t xml:space="preserve">3600s</w:t>
            </w:r>
          </w:p>
        </w:tc>
      </w:tr>
    </w:tbl>
    <w:bookmarkEnd w:id="149"/>
    <w:bookmarkStart w:id="150" w:name="watch-out-18"/>
    <w:p>
      <w:pPr>
        <w:pStyle w:val="Heading2"/>
      </w:pPr>
      <w:r>
        <w:t xml:space="preserve">16.5 Watch out</w:t>
      </w:r>
    </w:p>
    <w:p>
      <w:pPr>
        <w:pStyle w:val="FirstParagraph"/>
      </w:pPr>
      <w:r>
        <w:t xml:space="preserve">The worker service will have ingress set to</w:t>
      </w:r>
      <w:r>
        <w:t xml:space="preserve"> </w:t>
      </w:r>
      <w:r>
        <w:rPr>
          <w:bCs/>
          <w:b/>
        </w:rPr>
        <w:t xml:space="preserve">internal only</w:t>
      </w:r>
      <w:r>
        <w:t xml:space="preserve">. Whether Cloud Tasks can reach a Cloud Run service configured that way is spike</w:t>
      </w:r>
      <w:r>
        <w:t xml:space="preserve"> </w:t>
      </w:r>
      <w:r>
        <w:rPr>
          <w:bCs/>
          <w:b/>
        </w:rPr>
        <w:t xml:space="preserve">S11</w:t>
      </w:r>
      <w:r>
        <w:t xml:space="preserve"> </w:t>
      </w:r>
      <w:r>
        <w:t xml:space="preserve">in</w:t>
      </w:r>
      <w:r>
        <w:t xml:space="preserve"> </w:t>
      </w:r>
      <w:r>
        <w:rPr>
          <w:rStyle w:val="VerbatimChar"/>
        </w:rPr>
        <w:t xml:space="preserve">03</w:t>
      </w:r>
      <w:r>
        <w:t xml:space="preserve">. Test it with a throwaway service before you build the real worker — if it cannot, the worker needs</w:t>
      </w:r>
      <w:r>
        <w:t xml:space="preserve"> </w:t>
      </w:r>
      <w:r>
        <w:rPr>
          <w:rStyle w:val="VerbatimChar"/>
        </w:rPr>
        <w:t xml:space="preserve">internal-and-cloud-load-balancing</w:t>
      </w:r>
      <w:r>
        <w:t xml:space="preserve"> </w:t>
      </w:r>
      <w:r>
        <w:t xml:space="preserve">instead.</w:t>
      </w:r>
    </w:p>
    <w:p>
      <w:r>
        <w:br w:type="page"/>
      </w:r>
    </w:p>
    <w:bookmarkEnd w:id="150"/>
    <w:bookmarkEnd w:id="151"/>
    <w:bookmarkStart w:id="162" w:name="X509be15af778e8a7c281bbb926dfbcc743e6959"/>
    <w:p>
      <w:pPr>
        <w:pStyle w:val="Heading1"/>
      </w:pPr>
      <w:r>
        <w:t xml:space="preserve">Part 17 — Central LLM project, Model Armor and AI safety</w:t>
      </w:r>
    </w:p>
    <w:bookmarkStart w:id="152" w:name="what-this-is-15"/>
    <w:p>
      <w:pPr>
        <w:pStyle w:val="Heading2"/>
      </w:pPr>
      <w:r>
        <w:t xml:space="preserve">17.1 What this is</w:t>
      </w:r>
    </w:p>
    <w:p>
      <w:pPr>
        <w:pStyle w:val="FirstParagraph"/>
      </w:pPr>
      <w:r>
        <w:rPr>
          <w:rStyle w:val="VerbatimChar"/>
        </w:rPr>
        <w:t xml:space="preserve">gclt-aicoe-dev-llm</w:t>
      </w:r>
      <w:r>
        <w:t xml:space="preserve"> </w:t>
      </w:r>
      <w:r>
        <w:t xml:space="preserve">holds no servers. Its job is to be the single project every Vertex AI call is billed and quota-counted against, so cost and consumption can be seen in one place instead of scattered across usecases.</w:t>
      </w:r>
    </w:p>
    <w:p>
      <w:pPr>
        <w:pStyle w:val="BodyText"/>
      </w:pPr>
      <w:r>
        <w:rPr>
          <w:bCs/>
          <w:b/>
        </w:rPr>
        <w:t xml:space="preserve">Model Armor</w:t>
      </w:r>
      <w:r>
        <w:t xml:space="preserve"> </w:t>
      </w:r>
      <w:r>
        <w:t xml:space="preserve">inspects prompts and responses for prompt injection, jailbreak attempts, malicious links and sensitive data. It is the primary AI safety control in this design.</w:t>
      </w:r>
    </w:p>
    <w:bookmarkEnd w:id="152"/>
    <w:bookmarkStart w:id="153" w:name="X0d91894355634ffb12b58d62e2d95e74680a960"/>
    <w:p>
      <w:pPr>
        <w:pStyle w:val="Heading2"/>
      </w:pPr>
      <w:r>
        <w:t xml:space="preserve">17.2 Region — what is and is not available to you</w:t>
      </w:r>
    </w:p>
    <w:p>
      <w:pPr>
        <w:pStyle w:val="FirstParagraph"/>
      </w:pPr>
      <w:r>
        <w:t xml:space="preserve">Model Armor</w:t>
      </w:r>
      <w:r>
        <w:t xml:space="preserve"> </w:t>
      </w:r>
      <w:r>
        <w:rPr>
          <w:bCs/>
          <w:b/>
        </w:rPr>
        <w:t xml:space="preserve">is</w:t>
      </w:r>
      <w:r>
        <w:t xml:space="preserve"> </w:t>
      </w:r>
      <w:r>
        <w:t xml:space="preserve">available in</w:t>
      </w:r>
      <w:r>
        <w:t xml:space="preserve"> </w:t>
      </w:r>
      <w:r>
        <w:rPr>
          <w:rStyle w:val="VerbatimChar"/>
        </w:rPr>
        <w:t xml:space="preserve">europe-west1</w:t>
      </w:r>
      <w:r>
        <w:t xml:space="preserve"> </w:t>
      </w:r>
      <w:r>
        <w:t xml:space="preserve">(Belgium). Google’s supported-locations list includes it, alongside five other European regions and the</w:t>
      </w:r>
      <w:r>
        <w:t xml:space="preserve"> </w:t>
      </w:r>
      <w:r>
        <w:rPr>
          <w:rStyle w:val="VerbatimChar"/>
        </w:rPr>
        <w:t xml:space="preserve">eu</w:t>
      </w:r>
      <w:r>
        <w:t xml:space="preserve"> </w:t>
      </w:r>
      <w:r>
        <w:t xml:space="preserve">multi-region.</w:t>
      </w:r>
    </w:p>
    <w:p>
      <w:pPr>
        <w:pStyle w:val="BodyText"/>
      </w:pPr>
      <w:r>
        <w:t xml:space="preserve">There are two ways to use it, and the pinned location policy affects only the second: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How it works</w:t>
            </w:r>
          </w:p>
        </w:tc>
        <w:tc>
          <w:tcPr/>
          <w:p>
            <w:pPr>
              <w:pStyle w:val="Compact"/>
              <w:jc w:val="left"/>
            </w:pPr>
            <w:r>
              <w:t xml:space="preserve">Available to you</w:t>
            </w:r>
          </w:p>
        </w:tc>
      </w:tr>
      <w:tr>
        <w:tc>
          <w:tcPr/>
          <w:p>
            <w:pPr>
              <w:pStyle w:val="Compact"/>
              <w:jc w:val="left"/>
            </w:pPr>
            <w:r>
              <w:rPr>
                <w:bCs/>
                <w:b/>
              </w:rPr>
              <w:t xml:space="preserve">Called explicitly</w:t>
            </w:r>
          </w:p>
        </w:tc>
        <w:tc>
          <w:tcPr/>
          <w:p>
            <w:pPr>
              <w:pStyle w:val="Compact"/>
              <w:jc w:val="left"/>
            </w:pPr>
            <w:r>
              <w:t xml:space="preserve">your gateway proxy calls the Model Armor API against a template you create</w:t>
            </w:r>
          </w:p>
        </w:tc>
        <w:tc>
          <w:tcPr/>
          <w:p>
            <w:pPr>
              <w:pStyle w:val="Compact"/>
              <w:jc w:val="left"/>
            </w:pPr>
            <w:r>
              <w:rPr>
                <w:bCs/>
                <w:b/>
              </w:rPr>
              <w:t xml:space="preserve">Yes</w:t>
            </w:r>
            <w:r>
              <w:t xml:space="preserve"> </w:t>
            </w:r>
            <w:r>
              <w:t xml:space="preserve">— create the template in</w:t>
            </w:r>
            <w:r>
              <w:t xml:space="preserve"> </w:t>
            </w:r>
            <w:r>
              <w:rPr>
                <w:rStyle w:val="VerbatimChar"/>
              </w:rPr>
              <w:t xml:space="preserve">europe-west1</w:t>
            </w:r>
          </w:p>
        </w:tc>
      </w:tr>
      <w:tr>
        <w:tc>
          <w:tcPr/>
          <w:p>
            <w:pPr>
              <w:pStyle w:val="Compact"/>
              <w:jc w:val="left"/>
            </w:pPr>
            <w:r>
              <w:rPr>
                <w:bCs/>
                <w:b/>
              </w:rPr>
              <w:t xml:space="preserve">Built-in Vertex AI integration</w:t>
            </w:r>
          </w:p>
        </w:tc>
        <w:tc>
          <w:tcPr/>
          <w:p>
            <w:pPr>
              <w:pStyle w:val="Compact"/>
              <w:jc w:val="left"/>
            </w:pPr>
            <w:r>
              <w:t xml:space="preserve">configured once per project, every Vertex AI call is screened automatically with no proxy involvement</w:t>
            </w:r>
          </w:p>
        </w:tc>
        <w:tc>
          <w:tcPr/>
          <w:p>
            <w:pPr>
              <w:pStyle w:val="Compact"/>
              <w:jc w:val="left"/>
            </w:pPr>
            <w:r>
              <w:rPr>
                <w:bCs/>
                <w:b/>
              </w:rPr>
              <w:t xml:space="preserve">Probably not.</w:t>
            </w:r>
            <w:r>
              <w:t xml:space="preserve"> </w:t>
            </w:r>
            <w:r>
              <w:t xml:space="preserve">This pattern expects the template in</w:t>
            </w:r>
            <w:r>
              <w:t xml:space="preserve"> </w:t>
            </w:r>
            <w:r>
              <w:rPr>
                <w:rStyle w:val="VerbatimChar"/>
              </w:rPr>
              <w:t xml:space="preserve">us-central1</w:t>
            </w:r>
            <w:r>
              <w:t xml:space="preserve">,</w:t>
            </w:r>
            <w:r>
              <w:t xml:space="preserve"> </w:t>
            </w:r>
            <w:r>
              <w:rPr>
                <w:rStyle w:val="VerbatimChar"/>
              </w:rPr>
              <w:t xml:space="preserve">us-east4</w:t>
            </w:r>
            <w:r>
              <w:t xml:space="preserve">,</w:t>
            </w:r>
            <w:r>
              <w:t xml:space="preserve"> </w:t>
            </w:r>
            <w:r>
              <w:rPr>
                <w:rStyle w:val="VerbatimChar"/>
              </w:rPr>
              <w:t xml:space="preserve">us-west1</w:t>
            </w:r>
            <w:r>
              <w:t xml:space="preserve"> </w:t>
            </w:r>
            <w:r>
              <w:t xml:space="preserve">or</w:t>
            </w:r>
            <w:r>
              <w:t xml:space="preserve"> </w:t>
            </w:r>
            <w:r>
              <w:rPr>
                <w:rStyle w:val="VerbatimChar"/>
              </w:rPr>
              <w:t xml:space="preserve">europe-west4</w:t>
            </w:r>
            <w:r>
              <w:t xml:space="preserve">, none of which the pinned policy permits. Confirm against current documentation before ruling it out</w:t>
            </w:r>
          </w:p>
        </w:tc>
      </w:tr>
    </w:tbl>
    <w:p>
      <w:pPr>
        <w:pStyle w:val="BodyText"/>
      </w:pPr>
      <w:r>
        <w:t xml:space="preserve">This matters because the built-in pattern would have been</w:t>
      </w:r>
      <w:r>
        <w:t xml:space="preserve"> </w:t>
      </w:r>
      <w:r>
        <w:rPr>
          <w:bCs/>
          <w:b/>
        </w:rPr>
        <w:t xml:space="preserve">unbypassable</w:t>
      </w:r>
      <w:r>
        <w:t xml:space="preserve"> </w:t>
      </w:r>
      <w:r>
        <w:t xml:space="preserve">— it screens a call even if the caller goes round your gateway. With only the explicit pattern, screening happens because Apigee chooses to do it.</w:t>
      </w:r>
    </w:p>
    <w:p>
      <w:pPr>
        <w:pStyle w:val="BodyText"/>
      </w:pPr>
      <w:r>
        <w:rPr>
          <w:bCs/>
          <w:b/>
        </w:rPr>
        <w:t xml:space="preserve">The compensating control already exists and costs nothing:</w:t>
      </w:r>
      <w:r>
        <w:t xml:space="preserve"> </w:t>
      </w:r>
      <w:r>
        <w:t xml:space="preserve">§18.4 removes</w:t>
      </w:r>
      <w:r>
        <w:t xml:space="preserve"> </w:t>
      </w:r>
      <w:r>
        <w:rPr>
          <w:rStyle w:val="VerbatimChar"/>
        </w:rPr>
        <w:t xml:space="preserve">aiplatform.user</w:t>
      </w:r>
      <w:r>
        <w:t xml:space="preserve"> </w:t>
      </w:r>
      <w:r>
        <w:t xml:space="preserve">from every workload service account, so nothing</w:t>
      </w:r>
      <w:r>
        <w:t xml:space="preserve"> </w:t>
      </w:r>
      <w:r>
        <w:rPr>
          <w:iCs/>
          <w:i/>
        </w:rPr>
        <w:t xml:space="preserve">can</w:t>
      </w:r>
      <w:r>
        <w:t xml:space="preserve"> </w:t>
      </w:r>
      <w:r>
        <w:t xml:space="preserve">reach a model except through the gateway. That single IAM decision is what makes explicit screening as good as built-in screening — another reason not to defer it.</w:t>
      </w:r>
    </w:p>
    <w:bookmarkEnd w:id="153"/>
    <w:bookmarkStart w:id="154" w:name="do-this-create-the-templates"/>
    <w:p>
      <w:pPr>
        <w:pStyle w:val="Heading2"/>
      </w:pPr>
      <w:r>
        <w:t xml:space="preserve">17.3 Do this — create the templates</w:t>
      </w:r>
    </w:p>
    <w:p>
      <w:pPr>
        <w:pStyle w:val="FirstParagraph"/>
      </w:pPr>
      <w:r>
        <w:rPr>
          <w:bCs/>
          <w:b/>
        </w:rPr>
        <w:t xml:space="preserve">Where:</w:t>
      </w:r>
      <w:r>
        <w:t xml:space="preserve"> </w:t>
      </w:r>
      <w:r>
        <w:t xml:space="preserve">switch to</w:t>
      </w:r>
      <w:r>
        <w:t xml:space="preserve"> </w:t>
      </w:r>
      <w:r>
        <w:rPr>
          <w:rStyle w:val="VerbatimChar"/>
        </w:rPr>
        <w:t xml:space="preserve">gclt-aicoe-dev-llm</w:t>
      </w:r>
      <w:r>
        <w:t xml:space="preserve">, search for</w:t>
      </w:r>
      <w:r>
        <w:t xml:space="preserve"> </w:t>
      </w:r>
      <w:r>
        <w:rPr>
          <w:bCs/>
          <w:b/>
        </w:rPr>
        <w:t xml:space="preserve">Model Armor</w:t>
      </w:r>
      <w:r>
        <w:t xml:space="preserve">. Confirm the region selector shows</w:t>
      </w:r>
      <w:r>
        <w:t xml:space="preserve"> </w:t>
      </w:r>
      <w:r>
        <w:rPr>
          <w:rStyle w:val="VerbatimChar"/>
        </w:rPr>
        <w:t xml:space="preserve">europe-west1</w:t>
      </w:r>
      <w:r>
        <w:t xml:space="preserve">. Click</w:t>
      </w:r>
      <w:r>
        <w:t xml:space="preserve"> </w:t>
      </w:r>
      <w:r>
        <w:rPr>
          <w:bCs/>
          <w:b/>
        </w:rPr>
        <w:t xml:space="preserve">CREATE TEMPLATE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Template name</w:t>
            </w:r>
          </w:p>
        </w:tc>
        <w:tc>
          <w:tcPr/>
          <w:p>
            <w:pPr>
              <w:pStyle w:val="Compact"/>
              <w:jc w:val="left"/>
            </w:pPr>
            <w:r>
              <w:rPr>
                <w:rStyle w:val="VerbatimChar"/>
              </w:rPr>
              <w:t xml:space="preserve">aicoe-default</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Prompt injection and jailbreak detection</w:t>
            </w:r>
          </w:p>
        </w:tc>
        <w:tc>
          <w:tcPr/>
          <w:p>
            <w:pPr>
              <w:pStyle w:val="Compact"/>
              <w:jc w:val="left"/>
            </w:pPr>
            <w:r>
              <w:rPr>
                <w:bCs/>
                <w:b/>
              </w:rPr>
              <w:t xml:space="preserve">Enabled</w:t>
            </w:r>
            <w:r>
              <w:t xml:space="preserve">, confidence Medium and above</w:t>
            </w:r>
          </w:p>
        </w:tc>
      </w:tr>
      <w:tr>
        <w:tc>
          <w:tcPr/>
          <w:p>
            <w:pPr>
              <w:pStyle w:val="Compact"/>
              <w:jc w:val="left"/>
            </w:pPr>
            <w:r>
              <w:t xml:space="preserve">Malicious URL detection</w:t>
            </w:r>
          </w:p>
        </w:tc>
        <w:tc>
          <w:tcPr/>
          <w:p>
            <w:pPr>
              <w:pStyle w:val="Compact"/>
              <w:jc w:val="left"/>
            </w:pPr>
            <w:r>
              <w:t xml:space="preserve">Enabled</w:t>
            </w:r>
          </w:p>
        </w:tc>
      </w:tr>
      <w:tr>
        <w:tc>
          <w:tcPr/>
          <w:p>
            <w:pPr>
              <w:pStyle w:val="Compact"/>
              <w:jc w:val="left"/>
            </w:pPr>
            <w:r>
              <w:t xml:space="preserve">Sensitive data protection</w:t>
            </w:r>
          </w:p>
        </w:tc>
        <w:tc>
          <w:tcPr/>
          <w:p>
            <w:pPr>
              <w:pStyle w:val="Compact"/>
              <w:jc w:val="left"/>
            </w:pPr>
            <w:r>
              <w:t xml:space="preserve">Basic to start, then point it at your own inspection templates (§17.5)</w:t>
            </w:r>
          </w:p>
        </w:tc>
      </w:tr>
      <w:tr>
        <w:tc>
          <w:tcPr/>
          <w:p>
            <w:pPr>
              <w:pStyle w:val="Compact"/>
              <w:jc w:val="left"/>
            </w:pPr>
            <w:r>
              <w:t xml:space="preserve">Responsible AI filters</w:t>
            </w:r>
          </w:p>
        </w:tc>
        <w:tc>
          <w:tcPr/>
          <w:p>
            <w:pPr>
              <w:pStyle w:val="Compact"/>
              <w:jc w:val="left"/>
            </w:pPr>
            <w:r>
              <w:t xml:space="preserve">thresholds per your content policy</w:t>
            </w:r>
          </w:p>
        </w:tc>
      </w:tr>
    </w:tbl>
    <w:p>
      <w:pPr>
        <w:pStyle w:val="BodyText"/>
      </w:pPr>
      <w:r>
        <w:t xml:space="preserve">Create a second template</w:t>
      </w:r>
      <w:r>
        <w:t xml:space="preserve"> </w:t>
      </w:r>
      <w:r>
        <w:rPr>
          <w:rStyle w:val="VerbatimChar"/>
        </w:rPr>
        <w:t xml:space="preserve">aicoe-strict</w:t>
      </w:r>
      <w:r>
        <w:t xml:space="preserve"> </w:t>
      </w:r>
      <w:r>
        <w:t xml:space="preserve">with tighter thresholds for business units handling customer data. Part 22’s</w:t>
      </w:r>
      <w:r>
        <w:t xml:space="preserve"> </w:t>
      </w:r>
      <w:r>
        <w:rPr>
          <w:rStyle w:val="VerbatimChar"/>
        </w:rPr>
        <w:t xml:space="preserve">bu-policy</w:t>
      </w:r>
      <w:r>
        <w:t xml:space="preserve"> </w:t>
      </w:r>
      <w:r>
        <w:t xml:space="preserve">map chooses between them per business unit.</w:t>
      </w:r>
    </w:p>
    <w:bookmarkEnd w:id="154"/>
    <w:bookmarkStart w:id="157" w:name="Xbba342f410eb61387446572fcbbb3672f988199"/>
    <w:p>
      <w:pPr>
        <w:pStyle w:val="Heading2"/>
      </w:pPr>
      <w:r>
        <w:t xml:space="preserve">17.4 Watch out — screening limits and the silent-skip behaviour</w:t>
      </w:r>
    </w:p>
    <w:p>
      <w:pPr>
        <w:pStyle w:val="FirstParagraph"/>
      </w:pPr>
      <w:r>
        <w:t xml:space="preserve">Model Armor has three limits that matter, and one behaviour that matters more than any of them.</w:t>
      </w:r>
    </w:p>
    <w:p>
      <w:pPr>
        <w:pStyle w:val="BodyText"/>
      </w:pPr>
      <w:r>
        <w:rPr>
          <w:bCs/>
          <w:b/>
        </w:rPr>
        <w:t xml:space="preserve">Token limits, per filter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Filter</w:t>
            </w:r>
          </w:p>
        </w:tc>
        <w:tc>
          <w:tcPr/>
          <w:p>
            <w:pPr>
              <w:pStyle w:val="Compact"/>
              <w:jc w:val="left"/>
            </w:pPr>
            <w:r>
              <w:t xml:space="preserve">Limit</w:t>
            </w:r>
          </w:p>
        </w:tc>
      </w:tr>
      <w:tr>
        <w:tc>
          <w:tcPr/>
          <w:p>
            <w:pPr>
              <w:pStyle w:val="Compact"/>
              <w:jc w:val="left"/>
            </w:pPr>
            <w:r>
              <w:t xml:space="preserve">Prompt injection and jailbreak detection</w:t>
            </w:r>
          </w:p>
        </w:tc>
        <w:tc>
          <w:tcPr/>
          <w:p>
            <w:pPr>
              <w:pStyle w:val="Compact"/>
              <w:jc w:val="left"/>
            </w:pPr>
            <w:r>
              <w:t xml:space="preserve">10,000 tokens</w:t>
            </w:r>
          </w:p>
        </w:tc>
      </w:tr>
      <w:tr>
        <w:tc>
          <w:tcPr/>
          <w:p>
            <w:pPr>
              <w:pStyle w:val="Compact"/>
              <w:jc w:val="left"/>
            </w:pPr>
            <w:r>
              <w:t xml:space="preserve">Responsible AI</w:t>
            </w:r>
          </w:p>
        </w:tc>
        <w:tc>
          <w:tcPr/>
          <w:p>
            <w:pPr>
              <w:pStyle w:val="Compact"/>
              <w:jc w:val="left"/>
            </w:pPr>
            <w:r>
              <w:t xml:space="preserve">10,000 tokens</w:t>
            </w:r>
          </w:p>
        </w:tc>
      </w:tr>
      <w:tr>
        <w:tc>
          <w:tcPr/>
          <w:p>
            <w:pPr>
              <w:pStyle w:val="Compact"/>
              <w:jc w:val="left"/>
            </w:pPr>
            <w:r>
              <w:t xml:space="preserve">Child sexual abuse material</w:t>
            </w:r>
          </w:p>
        </w:tc>
        <w:tc>
          <w:tcPr/>
          <w:p>
            <w:pPr>
              <w:pStyle w:val="Compact"/>
              <w:jc w:val="left"/>
            </w:pPr>
            <w:r>
              <w:t xml:space="preserve">10,000 tokens</w:t>
            </w:r>
          </w:p>
        </w:tc>
      </w:tr>
      <w:tr>
        <w:tc>
          <w:tcPr/>
          <w:p>
            <w:pPr>
              <w:pStyle w:val="Compact"/>
              <w:jc w:val="left"/>
            </w:pPr>
            <w:r>
              <w:t xml:space="preserve">Sensitive Data Protection</w:t>
            </w:r>
          </w:p>
        </w:tc>
        <w:tc>
          <w:tcPr/>
          <w:p>
            <w:pPr>
              <w:pStyle w:val="Compact"/>
              <w:jc w:val="left"/>
            </w:pPr>
            <w:r>
              <w:t xml:space="preserve">130,000 tokens</w:t>
            </w:r>
          </w:p>
        </w:tc>
      </w:tr>
    </w:tbl>
    <w:p>
      <w:pPr>
        <w:pStyle w:val="BodyText"/>
      </w:pPr>
      <w:r>
        <w:rPr>
          <w:bCs/>
          <w:b/>
        </w:rPr>
        <w:t xml:space="preserve">Input size limit:</w:t>
      </w:r>
      <w:r>
        <w:t xml:space="preserve"> </w:t>
      </w:r>
      <w:r>
        <w:t xml:space="preserve">4 MB for all supported files and text. Content above this is skipped entirely.</w:t>
      </w:r>
    </w:p>
    <w:p>
      <w:pPr>
        <w:pStyle w:val="BodyText"/>
      </w:pPr>
      <w:r>
        <w:rPr>
          <w:bCs/>
          <w:b/>
        </w:rPr>
        <w:t xml:space="preserve">API quota:</w:t>
      </w:r>
      <w:r>
        <w:t xml:space="preserve"> </w:t>
      </w:r>
      <w:r>
        <w:t xml:space="preserve">1,200 queries per minute per project, adjustable on request.</w:t>
      </w:r>
    </w:p>
    <w:bookmarkStart w:id="155" w:name="the-behaviour-to-design-around"/>
    <w:p>
      <w:pPr>
        <w:pStyle w:val="Heading3"/>
      </w:pPr>
      <w:r>
        <w:t xml:space="preserve">The behaviour to design around</w:t>
      </w:r>
    </w:p>
    <w:p>
      <w:pPr>
        <w:pStyle w:val="FirstParagraph"/>
      </w:pPr>
      <w:r>
        <w:t xml:space="preserve">When content exceeds a filter’s token limit, that filter does</w:t>
      </w:r>
      <w:r>
        <w:t xml:space="preserve"> </w:t>
      </w:r>
      <w:r>
        <w:rPr>
          <w:bCs/>
          <w:b/>
        </w:rPr>
        <w:t xml:space="preserve">not</w:t>
      </w:r>
      <w:r>
        <w:t xml:space="preserve"> </w:t>
      </w:r>
      <w:r>
        <w:t xml:space="preserve">fail and does</w:t>
      </w:r>
      <w:r>
        <w:t xml:space="preserve"> </w:t>
      </w:r>
      <w:r>
        <w:rPr>
          <w:bCs/>
          <w:b/>
        </w:rPr>
        <w:t xml:space="preserve">not</w:t>
      </w:r>
      <w:r>
        <w:t xml:space="preserve"> </w:t>
      </w:r>
      <w:r>
        <w:t xml:space="preserve">block. It returns</w:t>
      </w:r>
      <w:r>
        <w:t xml:space="preserve"> </w:t>
      </w:r>
      <w:r>
        <w:rPr>
          <w:rStyle w:val="VerbatimChar"/>
        </w:rPr>
        <w:t xml:space="preserve">EXECUTION_SKIPPED</w:t>
      </w:r>
      <w:r>
        <w:t xml:space="preserve">. Within the limit and clean, it returns</w:t>
      </w:r>
      <w:r>
        <w:t xml:space="preserve"> </w:t>
      </w:r>
      <w:r>
        <w:rPr>
          <w:rStyle w:val="VerbatimChar"/>
        </w:rPr>
        <w:t xml:space="preserve">NO_MATCH_FOUND</w:t>
      </w:r>
      <w:r>
        <w:t xml:space="preserve">. Both look like</w:t>
      </w:r>
      <w:r>
        <w:t xml:space="preserve"> </w:t>
      </w:r>
      <w:r>
        <w:t xml:space="preserve">“</w:t>
      </w:r>
      <w:r>
        <w:t xml:space="preserve">nothing wrong</w:t>
      </w:r>
      <w:r>
        <w:t xml:space="preserve">”</w:t>
      </w:r>
      <w:r>
        <w:t xml:space="preserve"> </w:t>
      </w:r>
      <w:r>
        <w:t xml:space="preserve">to code that only checks for a match.</w:t>
      </w:r>
    </w:p>
    <w:p>
      <w:pPr>
        <w:pStyle w:val="BodyText"/>
      </w:pPr>
      <w:r>
        <w:rPr>
          <w:bCs/>
          <w:b/>
        </w:rPr>
        <w:t xml:space="preserve">So the proxy must treat</w:t>
      </w:r>
      <w:r>
        <w:rPr>
          <w:bCs/>
          <w:b/>
        </w:rPr>
        <w:t xml:space="preserve"> </w:t>
      </w:r>
      <w:r>
        <w:rPr>
          <w:rStyle w:val="VerbatimChar"/>
          <w:bCs/>
          <w:b/>
        </w:rPr>
        <w:t xml:space="preserve">EXECUTION_SKIPPED</w:t>
      </w:r>
      <w:r>
        <w:rPr>
          <w:bCs/>
          <w:b/>
        </w:rPr>
        <w:t xml:space="preserve"> </w:t>
      </w:r>
      <w:r>
        <w:rPr>
          <w:bCs/>
          <w:b/>
        </w:rPr>
        <w:t xml:space="preserve">as its own outcome, not as a pass.</w:t>
      </w:r>
      <w:r>
        <w:t xml:space="preserve"> </w:t>
      </w:r>
      <w:r>
        <w:t xml:space="preserve">Decide the behaviour explicitly and write it into the proxy: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Outcome</w:t>
            </w:r>
          </w:p>
        </w:tc>
        <w:tc>
          <w:tcPr/>
          <w:p>
            <w:pPr>
              <w:pStyle w:val="Compact"/>
              <w:jc w:val="left"/>
            </w:pPr>
            <w:r>
              <w:t xml:space="preserve">Suggested handling</w:t>
            </w:r>
          </w:p>
        </w:tc>
      </w:tr>
      <w:tr>
        <w:tc>
          <w:tcPr/>
          <w:p>
            <w:pPr>
              <w:pStyle w:val="Compact"/>
              <w:jc w:val="left"/>
            </w:pPr>
            <w:r>
              <w:rPr>
                <w:rStyle w:val="VerbatimChar"/>
              </w:rPr>
              <w:t xml:space="preserve">MATCH_FOUND</w:t>
            </w:r>
          </w:p>
        </w:tc>
        <w:tc>
          <w:tcPr/>
          <w:p>
            <w:pPr>
              <w:pStyle w:val="Compact"/>
              <w:jc w:val="left"/>
            </w:pPr>
            <w:r>
              <w:t xml:space="preserve">block, log, return an error to the caller</w:t>
            </w:r>
          </w:p>
        </w:tc>
      </w:tr>
      <w:tr>
        <w:tc>
          <w:tcPr/>
          <w:p>
            <w:pPr>
              <w:pStyle w:val="Compact"/>
              <w:jc w:val="left"/>
            </w:pPr>
            <w:r>
              <w:rPr>
                <w:rStyle w:val="VerbatimChar"/>
              </w:rPr>
              <w:t xml:space="preserve">NO_MATCH_FOUND</w:t>
            </w:r>
          </w:p>
        </w:tc>
        <w:tc>
          <w:tcPr/>
          <w:p>
            <w:pPr>
              <w:pStyle w:val="Compact"/>
              <w:jc w:val="left"/>
            </w:pPr>
            <w:r>
              <w:t xml:space="preserve">proceed</w:t>
            </w:r>
          </w:p>
        </w:tc>
      </w:tr>
      <w:tr>
        <w:tc>
          <w:tcPr/>
          <w:p>
            <w:pPr>
              <w:pStyle w:val="Compact"/>
              <w:jc w:val="left"/>
            </w:pPr>
            <w:r>
              <w:rPr>
                <w:rStyle w:val="VerbatimChar"/>
              </w:rPr>
              <w:t xml:space="preserve">EXECUTION_SKIPPED</w:t>
            </w:r>
          </w:p>
        </w:tc>
        <w:tc>
          <w:tcPr/>
          <w:p>
            <w:pPr>
              <w:pStyle w:val="Compact"/>
              <w:jc w:val="left"/>
            </w:pPr>
            <w:r>
              <w:rPr>
                <w:bCs/>
                <w:b/>
              </w:rPr>
              <w:t xml:space="preserve">decide per usecase.</w:t>
            </w:r>
            <w:r>
              <w:t xml:space="preserve"> </w:t>
            </w:r>
            <w:r>
              <w:t xml:space="preserve">Options: proceed and log that the request was unscreened, block, or chunk and re-screen</w:t>
            </w:r>
          </w:p>
        </w:tc>
      </w:tr>
    </w:tbl>
    <w:p>
      <w:pPr>
        <w:pStyle w:val="BodyText"/>
      </w:pPr>
      <w:r>
        <w:t xml:space="preserve">For the Sales Agent, unscreened input is the risk §17.6 exists for — so blocking or chunking is the safer choice. For document translation, where the content came from your own storage rather than a user’s keyboard, proceeding with a log entry is defensible. Whichever you choose, alert on the</w:t>
      </w:r>
      <w:r>
        <w:t xml:space="preserve"> </w:t>
      </w:r>
      <w:r>
        <w:rPr>
          <w:rStyle w:val="VerbatimChar"/>
        </w:rPr>
        <w:t xml:space="preserve">EXECUTION_SKIPPED</w:t>
      </w:r>
      <w:r>
        <w:t xml:space="preserve"> </w:t>
      </w:r>
      <w:r>
        <w:t xml:space="preserve">rate: a sudden rise means either a legitimate change in usage or someone probing for the gap.</w:t>
      </w:r>
    </w:p>
    <w:bookmarkEnd w:id="155"/>
    <w:bookmarkStart w:id="156" w:name="a-capacity-number-worth-working-out-now"/>
    <w:p>
      <w:pPr>
        <w:pStyle w:val="Heading3"/>
      </w:pPr>
      <w:r>
        <w:t xml:space="preserve">A capacity number worth working out now</w:t>
      </w:r>
    </w:p>
    <w:p>
      <w:pPr>
        <w:pStyle w:val="FirstParagraph"/>
      </w:pPr>
      <w:r>
        <w:t xml:space="preserve">Screening a prompt and its response is two API calls. At 1,200 queries per minute per project, that puts a practical ceiling of roughly</w:t>
      </w:r>
      <w:r>
        <w:t xml:space="preserve"> </w:t>
      </w:r>
      <w:r>
        <w:rPr>
          <w:bCs/>
          <w:b/>
        </w:rPr>
        <w:t xml:space="preserve">600 screened model calls per minute</w:t>
      </w:r>
      <w:r>
        <w:t xml:space="preserve"> </w:t>
      </w:r>
      <w:r>
        <w:t xml:space="preserve">across all usecases sharing</w:t>
      </w:r>
      <w:r>
        <w:t xml:space="preserve"> </w:t>
      </w:r>
      <w:r>
        <w:rPr>
          <w:rStyle w:val="VerbatimChar"/>
        </w:rPr>
        <w:t xml:space="preserve">gclt-aicoe-dev-llm</w:t>
      </w:r>
      <w:r>
        <w:t xml:space="preserve">. Compare that against your expected peak before go-live, and request an increase early if it is close — quota increases are not instant.</w:t>
      </w:r>
    </w:p>
    <w:p>
      <w:pPr>
        <w:pStyle w:val="BodyText"/>
      </w:pPr>
      <w:r>
        <w:t xml:space="preserve">Streamed responses can be screened; streaming sanitisation is generally available.</w:t>
      </w:r>
    </w:p>
    <w:bookmarkEnd w:id="156"/>
    <w:bookmarkEnd w:id="157"/>
    <w:bookmarkStart w:id="158" w:name="Xe6ebb7610e55790de06d0a1a0d8d93e128abaab"/>
    <w:p>
      <w:pPr>
        <w:pStyle w:val="Heading2"/>
      </w:pPr>
      <w:r>
        <w:t xml:space="preserve">17.5 Do this — Sensitive Data Protection templates</w:t>
      </w:r>
    </w:p>
    <w:p>
      <w:pPr>
        <w:pStyle w:val="FirstParagraph"/>
      </w:pPr>
      <w:r>
        <w:t xml:space="preserve">Model Armor’s sensitive-data filter can use your own inspection rules rather than its defaults, which is worth doing because the defaults do not cover everything.</w:t>
      </w:r>
    </w:p>
    <w:p>
      <w:pPr>
        <w:pStyle w:val="BodyText"/>
      </w:pPr>
      <w:r>
        <w:rPr>
          <w:bCs/>
          <w:b/>
        </w:rPr>
        <w:t xml:space="preserve">Where:</w:t>
      </w:r>
      <w:r>
        <w:t xml:space="preserve"> </w:t>
      </w:r>
      <w:r>
        <w:t xml:space="preserve">search for</w:t>
      </w:r>
      <w:r>
        <w:t xml:space="preserve"> </w:t>
      </w:r>
      <w:r>
        <w:rPr>
          <w:bCs/>
          <w:b/>
        </w:rPr>
        <w:t xml:space="preserve">Sensitive Data Protection</w:t>
      </w:r>
      <w:r>
        <w:t xml:space="preserve"> </w:t>
      </w:r>
      <w:r>
        <w:t xml:space="preserve">→</w:t>
      </w:r>
      <w:r>
        <w:t xml:space="preserve"> </w:t>
      </w:r>
      <w:r>
        <w:rPr>
          <w:bCs/>
          <w:b/>
        </w:rPr>
        <w:t xml:space="preserve">Configuration</w:t>
      </w:r>
      <w:r>
        <w:t xml:space="preserve"> </w:t>
      </w:r>
      <w:r>
        <w:t xml:space="preserve">→</w:t>
      </w:r>
      <w:r>
        <w:t xml:space="preserve"> </w:t>
      </w:r>
      <w:r>
        <w:rPr>
          <w:bCs/>
          <w:b/>
        </w:rPr>
        <w:t xml:space="preserve">Templates</w:t>
      </w:r>
      <w:r>
        <w:t xml:space="preserve"> </w:t>
      </w:r>
      <w:r>
        <w:t xml:space="preserve">→</w:t>
      </w:r>
      <w:r>
        <w:t xml:space="preserve"> </w:t>
      </w:r>
      <w:r>
        <w:rPr>
          <w:bCs/>
          <w:b/>
        </w:rPr>
        <w:t xml:space="preserve">CREATE TEMPLATE</w:t>
      </w:r>
      <w:r>
        <w:t xml:space="preserve">, in</w:t>
      </w:r>
      <w:r>
        <w:t xml:space="preserve"> </w:t>
      </w:r>
      <w:r>
        <w:rPr>
          <w:rStyle w:val="VerbatimChar"/>
        </w:rPr>
        <w:t xml:space="preserve">gclt-aicoe-dev-llm</w:t>
      </w:r>
      <w:r>
        <w:t xml:space="preserve">, region</w:t>
      </w:r>
      <w:r>
        <w:t xml:space="preserve"> </w:t>
      </w:r>
      <w:r>
        <w:rPr>
          <w:rStyle w:val="VerbatimChar"/>
        </w:rPr>
        <w:t xml:space="preserve">europe-west1</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Template type</w:t>
            </w:r>
          </w:p>
        </w:tc>
        <w:tc>
          <w:tcPr/>
          <w:p>
            <w:pPr>
              <w:pStyle w:val="Compact"/>
              <w:jc w:val="left"/>
            </w:pPr>
            <w:r>
              <w:t xml:space="preserve">Inspection</w:t>
            </w:r>
          </w:p>
        </w:tc>
      </w:tr>
      <w:tr>
        <w:tc>
          <w:tcPr/>
          <w:p>
            <w:pPr>
              <w:pStyle w:val="Compact"/>
              <w:jc w:val="left"/>
            </w:pPr>
            <w:r>
              <w:t xml:space="preserve">Info types</w:t>
            </w:r>
          </w:p>
        </w:tc>
        <w:tc>
          <w:tcPr/>
          <w:p>
            <w:pPr>
              <w:pStyle w:val="Compact"/>
              <w:jc w:val="left"/>
            </w:pPr>
            <w:r>
              <w:t xml:space="preserve">the personal-data types relevant to Colt — names, email addresses, phone numbers, national identifiers, payment details</w:t>
            </w:r>
          </w:p>
        </w:tc>
      </w:tr>
      <w:tr>
        <w:tc>
          <w:tcPr/>
          <w:p>
            <w:pPr>
              <w:pStyle w:val="Compact"/>
              <w:jc w:val="left"/>
            </w:pPr>
            <w:r>
              <w:t xml:space="preserve">Likelihood threshold</w:t>
            </w:r>
          </w:p>
        </w:tc>
        <w:tc>
          <w:tcPr/>
          <w:p>
            <w:pPr>
              <w:pStyle w:val="Compact"/>
              <w:jc w:val="left"/>
            </w:pPr>
            <w:r>
              <w:t xml:space="preserve">Possible</w:t>
            </w:r>
          </w:p>
        </w:tc>
      </w:tr>
    </w:tbl>
    <w:p>
      <w:pPr>
        <w:pStyle w:val="BodyText"/>
      </w:pPr>
      <w:r>
        <w:t xml:space="preserve">Create a de-identification template too, replacing findings with a placeholder. Then decide per business unit whether a finding</w:t>
      </w:r>
      <w:r>
        <w:t xml:space="preserve"> </w:t>
      </w:r>
      <w:r>
        <w:rPr>
          <w:bCs/>
          <w:b/>
        </w:rPr>
        <w:t xml:space="preserve">blocks</w:t>
      </w:r>
      <w:r>
        <w:t xml:space="preserve"> </w:t>
      </w:r>
      <w:r>
        <w:t xml:space="preserve">the request or</w:t>
      </w:r>
      <w:r>
        <w:t xml:space="preserve"> </w:t>
      </w:r>
      <w:r>
        <w:rPr>
          <w:bCs/>
          <w:b/>
        </w:rPr>
        <w:t xml:space="preserve">redacts</w:t>
      </w:r>
      <w:r>
        <w:t xml:space="preserve"> </w:t>
      </w:r>
      <w:r>
        <w:t xml:space="preserve">it and continues. Translation prompts legitimately contain personal data, so blocking there would break the usecase — redact instead.</w:t>
      </w:r>
    </w:p>
    <w:bookmarkEnd w:id="158"/>
    <w:bookmarkStart w:id="159" w:name="what-the-application-must-still-do"/>
    <w:p>
      <w:pPr>
        <w:pStyle w:val="Heading2"/>
      </w:pPr>
      <w:r>
        <w:t xml:space="preserve">17.6 What the application must still do</w:t>
      </w:r>
    </w:p>
    <w:p>
      <w:pPr>
        <w:pStyle w:val="FirstParagraph"/>
      </w:pPr>
      <w:r>
        <w:t xml:space="preserve">Model Armor is not a complete answer. Two things remain the application’s job.</w:t>
      </w:r>
    </w:p>
    <w:p>
      <w:pPr>
        <w:pStyle w:val="BodyText"/>
      </w:pPr>
      <w:r>
        <w:rPr>
          <w:bCs/>
          <w:b/>
        </w:rPr>
        <w:t xml:space="preserve">Indirect prompt injection — handled application-side.</w:t>
      </w:r>
      <w:r>
        <w:t xml:space="preserve"> </w:t>
      </w:r>
      <w:r>
        <w:t xml:space="preserve">The Sales Agent retrieves documents and places them in the model’s context. Model Armor screens the</w:t>
      </w:r>
      <w:r>
        <w:t xml:space="preserve"> </w:t>
      </w:r>
      <w:r>
        <w:rPr>
          <w:iCs/>
          <w:i/>
        </w:rPr>
        <w:t xml:space="preserve">user’s</w:t>
      </w:r>
      <w:r>
        <w:t xml:space="preserve"> </w:t>
      </w:r>
      <w:r>
        <w:t xml:space="preserve">prompt; it does not screen an instruction planted inside a retrieved document, because that content never passed through the prompt filter.</w:t>
      </w:r>
    </w:p>
    <w:p>
      <w:pPr>
        <w:pStyle w:val="BodyText"/>
      </w:pPr>
      <w:r>
        <w:t xml:space="preserve">This is the application’s responsibility, and it is a design decision rather than a configuration setting. Four things the Sales Agent must do:</w:t>
      </w:r>
    </w:p>
    <w:p>
      <w:pPr>
        <w:numPr>
          <w:ilvl w:val="0"/>
          <w:numId w:val="1019"/>
        </w:numPr>
        <w:pStyle w:val="Compact"/>
      </w:pPr>
      <w:r>
        <w:rPr>
          <w:bCs/>
          <w:b/>
        </w:rPr>
        <w:t xml:space="preserve">Delimit retrieved content structurally.</w:t>
      </w:r>
      <w:r>
        <w:t xml:space="preserve"> </w:t>
      </w:r>
      <w:r>
        <w:t xml:space="preserve">Place it in a clearly bounded section of the prompt and state explicitly that everything inside it is data to be considered, never instructions to be followed.</w:t>
      </w:r>
    </w:p>
    <w:p>
      <w:pPr>
        <w:numPr>
          <w:ilvl w:val="0"/>
          <w:numId w:val="1019"/>
        </w:numPr>
        <w:pStyle w:val="Compact"/>
      </w:pPr>
      <w:r>
        <w:rPr>
          <w:bCs/>
          <w:b/>
        </w:rPr>
        <w:t xml:space="preserve">Screen retrieved chunks as well as prompts.</w:t>
      </w:r>
      <w:r>
        <w:t xml:space="preserve"> </w:t>
      </w:r>
      <w:r>
        <w:t xml:space="preserve">The same Model Armor template can be called on retrieved text before it enters the context. This costs an extra call per chunk, so apply it to content from less trusted sources rather than to everything.</w:t>
      </w:r>
    </w:p>
    <w:p>
      <w:pPr>
        <w:numPr>
          <w:ilvl w:val="0"/>
          <w:numId w:val="1019"/>
        </w:numPr>
        <w:pStyle w:val="Compact"/>
      </w:pPr>
      <w:r>
        <w:rPr>
          <w:bCs/>
          <w:b/>
        </w:rPr>
        <w:t xml:space="preserve">Constrain the output shape.</w:t>
      </w:r>
      <w:r>
        <w:t xml:space="preserve"> </w:t>
      </w:r>
      <w:r>
        <w:t xml:space="preserve">A model asked for structured output is much harder to divert than one asked for free prose.</w:t>
      </w:r>
    </w:p>
    <w:p>
      <w:pPr>
        <w:numPr>
          <w:ilvl w:val="0"/>
          <w:numId w:val="1019"/>
        </w:numPr>
        <w:pStyle w:val="Compact"/>
      </w:pPr>
      <w:r>
        <w:rPr>
          <w:bCs/>
          <w:b/>
        </w:rPr>
        <w:t xml:space="preserve">Never let model output trigger a privileged action directly.</w:t>
      </w:r>
      <w:r>
        <w:t xml:space="preserve"> </w:t>
      </w:r>
      <w:r>
        <w:t xml:space="preserve">If the agent can call tools, each call is authorised in the</w:t>
      </w:r>
      <w:r>
        <w:t xml:space="preserve"> </w:t>
      </w:r>
      <w:r>
        <w:rPr>
          <w:iCs/>
          <w:i/>
        </w:rPr>
        <w:t xml:space="preserve">user’s</w:t>
      </w:r>
      <w:r>
        <w:t xml:space="preserve"> </w:t>
      </w:r>
      <w:r>
        <w:t xml:space="preserve">context and against the user’s entitlements — not the agent’s. Otherwise the agent becomes a confused deputy holding the union of everyone’s permissions.</w:t>
      </w:r>
    </w:p>
    <w:p>
      <w:pPr>
        <w:pStyle w:val="FirstParagraph"/>
      </w:pPr>
      <w:r>
        <w:t xml:space="preserve">Point 4 matters more as the agent gains capabilities. It is cheap to build in now and expensive to retrofit.</w:t>
      </w:r>
    </w:p>
    <w:p>
      <w:pPr>
        <w:pStyle w:val="BodyText"/>
      </w:pPr>
      <w:r>
        <w:rPr>
          <w:bCs/>
          <w:b/>
        </w:rPr>
        <w:t xml:space="preserve">Output handling.</w:t>
      </w:r>
      <w:r>
        <w:t xml:space="preserve"> </w:t>
      </w:r>
      <w:r>
        <w:t xml:space="preserve">If model output is rendered as HTML or Markdown in the web interface, it is a cross-site-scripting vector. Sanitise on render.</w:t>
      </w:r>
    </w:p>
    <w:bookmarkEnd w:id="159"/>
    <w:bookmarkStart w:id="160" w:name="do-this-check-your-vertex-ai-quota"/>
    <w:p>
      <w:pPr>
        <w:pStyle w:val="Heading2"/>
      </w:pPr>
      <w:r>
        <w:t xml:space="preserve">17.7 Do this — check your Vertex AI quota</w:t>
      </w:r>
    </w:p>
    <w:p>
      <w:pPr>
        <w:pStyle w:val="FirstParagraph"/>
      </w:pPr>
      <w:r>
        <w:rPr>
          <w:bCs/>
          <w:b/>
        </w:rPr>
        <w:t xml:space="preserve">Where:</w:t>
      </w:r>
      <w:r>
        <w:t xml:space="preserve"> </w:t>
      </w:r>
      <w:r>
        <w:rPr>
          <w:bCs/>
          <w:b/>
        </w:rPr>
        <w:t xml:space="preserve">IAM &amp; Admin</w:t>
      </w:r>
      <w:r>
        <w:t xml:space="preserve"> </w:t>
      </w:r>
      <w:r>
        <w:t xml:space="preserve">→</w:t>
      </w:r>
      <w:r>
        <w:t xml:space="preserve"> </w:t>
      </w:r>
      <w:r>
        <w:rPr>
          <w:bCs/>
          <w:b/>
        </w:rPr>
        <w:t xml:space="preserve">Quotas &amp; System Limits</w:t>
      </w:r>
      <w:r>
        <w:t xml:space="preserve">, filter for Vertex AI in</w:t>
      </w:r>
      <w:r>
        <w:t xml:space="preserve"> </w:t>
      </w:r>
      <w:r>
        <w:rPr>
          <w:rStyle w:val="VerbatimChar"/>
        </w:rPr>
        <w:t xml:space="preserve">europe-west1</w:t>
      </w:r>
      <w:r>
        <w:t xml:space="preserve">.</w:t>
      </w:r>
    </w:p>
    <w:p>
      <w:pPr>
        <w:pStyle w:val="BodyText"/>
      </w:pPr>
      <w:r>
        <w:t xml:space="preserve">Note the queries-per-minute and tokens-per-minute limits. Every usecase shares this one project, so these are pooled and one runaway service can starve the others. The gateway quotas in Part 22 prevent that — but you need to know the ceiling you are dividing up.</w:t>
      </w:r>
    </w:p>
    <w:bookmarkEnd w:id="160"/>
    <w:bookmarkStart w:id="161" w:name="record-one-narrow-residual-risk"/>
    <w:p>
      <w:pPr>
        <w:pStyle w:val="Heading2"/>
      </w:pPr>
      <w:r>
        <w:t xml:space="preserve">17.8 Record one narrow residual risk</w:t>
      </w:r>
    </w:p>
    <w:p>
      <w:pPr>
        <w:pStyle w:val="FirstParagraph"/>
      </w:pPr>
      <w:r>
        <w:t xml:space="preserve">Model Armor covers the main exposure. Record only what remains:</w:t>
      </w:r>
    </w:p>
    <w:p>
      <w:pPr>
        <w:pStyle w:val="BlockText"/>
      </w:pPr>
      <w:r>
        <w:t xml:space="preserve">Prompt screening is performed by the API gateway rather than by the built-in Vertex AI integration, which requires a template region the organisation’s resource-location policy does not permit. Screening therefore depends on traffic passing through the gateway; the compensating control is that no workload service account holds permission to call a model directly. Filters screen up to 10,000 tokens (130,000 for sensitive-data detection), and content above the limit returns</w:t>
      </w:r>
      <w:r>
        <w:t xml:space="preserve"> </w:t>
      </w:r>
      <w:r>
        <w:rPr>
          <w:rStyle w:val="VerbatimChar"/>
        </w:rPr>
        <w:t xml:space="preserve">EXECUTION_SKIPPED</w:t>
      </w:r>
      <w:r>
        <w:t xml:space="preserve"> </w:t>
      </w:r>
      <w:r>
        <w:t xml:space="preserve">rather than an error — so an unscreened request is silent unless the proxy handles that outcome explicitly. See §17.4. Indirect injection through retrieved documents is mitigated by prompt construction rather than by screening.</w:t>
      </w:r>
    </w:p>
    <w:p>
      <w:r>
        <w:br w:type="page"/>
      </w:r>
    </w:p>
    <w:bookmarkEnd w:id="161"/>
    <w:bookmarkEnd w:id="162"/>
    <w:bookmarkStart w:id="170" w:name="part-18-service-accounts-and-iam"/>
    <w:p>
      <w:pPr>
        <w:pStyle w:val="Heading1"/>
      </w:pPr>
      <w:r>
        <w:t xml:space="preserve">Part 18 — Service accounts and IAM</w:t>
      </w:r>
    </w:p>
    <w:bookmarkStart w:id="163" w:name="what-this-is-16"/>
    <w:p>
      <w:pPr>
        <w:pStyle w:val="Heading2"/>
      </w:pPr>
      <w:r>
        <w:t xml:space="preserve">18.1 What this is</w:t>
      </w:r>
    </w:p>
    <w:p>
      <w:pPr>
        <w:pStyle w:val="FirstParagraph"/>
      </w:pPr>
      <w:r>
        <w:t xml:space="preserve">A</w:t>
      </w:r>
      <w:r>
        <w:t xml:space="preserve"> </w:t>
      </w:r>
      <w:r>
        <w:rPr>
          <w:bCs/>
          <w:b/>
        </w:rPr>
        <w:t xml:space="preserve">service account</w:t>
      </w:r>
      <w:r>
        <w:t xml:space="preserve"> </w:t>
      </w:r>
      <w:r>
        <w:t xml:space="preserve">is an identity for software rather than a person. The rule that matters:</w:t>
      </w:r>
      <w:r>
        <w:t xml:space="preserve"> </w:t>
      </w:r>
      <w:r>
        <w:rPr>
          <w:bCs/>
          <w:b/>
        </w:rPr>
        <w:t xml:space="preserve">one per service, with only the permissions that service needs.</w:t>
      </w:r>
      <w:r>
        <w:t xml:space="preserve"> </w:t>
      </w:r>
      <w:r>
        <w:t xml:space="preserve">A shared account means a compromise anywhere is a compromise everywhere.</w:t>
      </w:r>
    </w:p>
    <w:bookmarkEnd w:id="163"/>
    <w:bookmarkStart w:id="164" w:name="do-this-create-them"/>
    <w:p>
      <w:pPr>
        <w:pStyle w:val="Heading2"/>
      </w:pPr>
      <w:r>
        <w:t xml:space="preserve">18.2 Do this — create them</w:t>
      </w:r>
    </w:p>
    <w:p>
      <w:pPr>
        <w:pStyle w:val="FirstParagraph"/>
      </w:pPr>
      <w:r>
        <w:rPr>
          <w:bCs/>
          <w:b/>
        </w:rPr>
        <w:t xml:space="preserve">Where:</w:t>
      </w:r>
      <w:r>
        <w:t xml:space="preserve"> </w:t>
      </w:r>
      <w:r>
        <w:t xml:space="preserve">in each project,</w:t>
      </w:r>
      <w:r>
        <w:t xml:space="preserve"> </w:t>
      </w:r>
      <w:r>
        <w:rPr>
          <w:bCs/>
          <w:b/>
        </w:rPr>
        <w:t xml:space="preserve">IAM &amp; Admin</w:t>
      </w:r>
      <w:r>
        <w:t xml:space="preserve"> </w:t>
      </w:r>
      <w:r>
        <w:t xml:space="preserve">→</w:t>
      </w:r>
      <w:r>
        <w:t xml:space="preserve"> </w:t>
      </w:r>
      <w:r>
        <w:rPr>
          <w:bCs/>
          <w:b/>
        </w:rPr>
        <w:t xml:space="preserve">Service Accounts</w:t>
      </w:r>
      <w:r>
        <w:t xml:space="preserve"> </w:t>
      </w:r>
      <w:r>
        <w:t xml:space="preserve">→</w:t>
      </w:r>
      <w:r>
        <w:t xml:space="preserve"> </w:t>
      </w:r>
      <w:r>
        <w:rPr>
          <w:bCs/>
          <w:b/>
        </w:rPr>
        <w:t xml:space="preserve">CREATE SERVICE ACCOUNT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Project</w:t>
            </w:r>
          </w:p>
        </w:tc>
        <w:tc>
          <w:tcPr/>
          <w:p>
            <w:pPr>
              <w:pStyle w:val="Compact"/>
              <w:jc w:val="left"/>
            </w:pPr>
            <w:r>
              <w:t xml:space="preserve">Account name</w:t>
            </w:r>
          </w:p>
        </w:tc>
        <w:tc>
          <w:tcPr/>
          <w:p>
            <w:pPr>
              <w:pStyle w:val="Compact"/>
              <w:jc w:val="left"/>
            </w:pPr>
            <w:r>
              <w:t xml:space="preserve">Used by</w:t>
            </w:r>
          </w:p>
        </w:tc>
      </w:tr>
      <w:tr>
        <w:tc>
          <w:tcPr/>
          <w:p>
            <w:pPr>
              <w:pStyle w:val="Compact"/>
              <w:jc w:val="left"/>
            </w:pPr>
            <w:r>
              <w:rPr>
                <w:rStyle w:val="VerbatimChar"/>
              </w:rPr>
              <w:t xml:space="preserve">gclt-aicoe-dev-st</w:t>
            </w:r>
          </w:p>
        </w:tc>
        <w:tc>
          <w:tcPr/>
          <w:p>
            <w:pPr>
              <w:pStyle w:val="Compact"/>
              <w:jc w:val="left"/>
            </w:pPr>
            <w:r>
              <w:rPr>
                <w:rStyle w:val="VerbatimChar"/>
              </w:rPr>
              <w:t xml:space="preserve">translation-api-sa</w:t>
            </w:r>
          </w:p>
        </w:tc>
        <w:tc>
          <w:tcPr/>
          <w:p>
            <w:pPr>
              <w:pStyle w:val="Compact"/>
              <w:jc w:val="left"/>
            </w:pPr>
            <w:r>
              <w:t xml:space="preserve">translation API service</w:t>
            </w:r>
          </w:p>
        </w:tc>
      </w:tr>
      <w:tr>
        <w:tc>
          <w:tcPr/>
          <w:p>
            <w:pPr>
              <w:pStyle w:val="Compact"/>
              <w:jc w:val="left"/>
            </w:pPr>
            <w:r>
              <w:rPr>
                <w:rStyle w:val="VerbatimChar"/>
              </w:rPr>
              <w:t xml:space="preserve">gclt-aicoe-dev-st</w:t>
            </w:r>
          </w:p>
        </w:tc>
        <w:tc>
          <w:tcPr/>
          <w:p>
            <w:pPr>
              <w:pStyle w:val="Compact"/>
              <w:jc w:val="left"/>
            </w:pPr>
            <w:r>
              <w:rPr>
                <w:rStyle w:val="VerbatimChar"/>
              </w:rPr>
              <w:t xml:space="preserve">translation-worker-sa</w:t>
            </w:r>
          </w:p>
        </w:tc>
        <w:tc>
          <w:tcPr/>
          <w:p>
            <w:pPr>
              <w:pStyle w:val="Compact"/>
              <w:jc w:val="left"/>
            </w:pPr>
            <w:r>
              <w:t xml:space="preserve">worker service</w:t>
            </w:r>
          </w:p>
        </w:tc>
      </w:tr>
      <w:tr>
        <w:tc>
          <w:tcPr/>
          <w:p>
            <w:pPr>
              <w:pStyle w:val="Compact"/>
              <w:jc w:val="left"/>
            </w:pPr>
            <w:r>
              <w:rPr>
                <w:rStyle w:val="VerbatimChar"/>
              </w:rPr>
              <w:t xml:space="preserve">gclt-aicoe-dev-st</w:t>
            </w:r>
          </w:p>
        </w:tc>
        <w:tc>
          <w:tcPr/>
          <w:p>
            <w:pPr>
              <w:pStyle w:val="Compact"/>
              <w:jc w:val="left"/>
            </w:pPr>
            <w:r>
              <w:rPr>
                <w:rStyle w:val="VerbatimChar"/>
              </w:rPr>
              <w:t xml:space="preserve">salesagent-sa</w:t>
            </w:r>
          </w:p>
        </w:tc>
        <w:tc>
          <w:tcPr/>
          <w:p>
            <w:pPr>
              <w:pStyle w:val="Compact"/>
              <w:jc w:val="left"/>
            </w:pPr>
            <w:r>
              <w:t xml:space="preserve">sales research service</w:t>
            </w:r>
          </w:p>
        </w:tc>
      </w:tr>
      <w:tr>
        <w:tc>
          <w:tcPr/>
          <w:p>
            <w:pPr>
              <w:pStyle w:val="Compact"/>
              <w:jc w:val="left"/>
            </w:pPr>
            <w:r>
              <w:rPr>
                <w:rStyle w:val="VerbatimChar"/>
              </w:rPr>
              <w:t xml:space="preserve">gclt-aicoe-dev-st</w:t>
            </w:r>
          </w:p>
        </w:tc>
        <w:tc>
          <w:tcPr/>
          <w:p>
            <w:pPr>
              <w:pStyle w:val="Compact"/>
              <w:jc w:val="left"/>
            </w:pPr>
            <w:r>
              <w:rPr>
                <w:rStyle w:val="VerbatimChar"/>
              </w:rPr>
              <w:t xml:space="preserve">mcp-sa</w:t>
            </w:r>
          </w:p>
        </w:tc>
        <w:tc>
          <w:tcPr/>
          <w:p>
            <w:pPr>
              <w:pStyle w:val="Compact"/>
              <w:jc w:val="left"/>
            </w:pPr>
            <w:r>
              <w:t xml:space="preserve">future MCP service</w:t>
            </w:r>
          </w:p>
        </w:tc>
      </w:tr>
      <w:tr>
        <w:tc>
          <w:tcPr/>
          <w:p>
            <w:pPr>
              <w:pStyle w:val="Compact"/>
              <w:jc w:val="left"/>
            </w:pPr>
            <w:r>
              <w:rPr>
                <w:rStyle w:val="VerbatimChar"/>
              </w:rPr>
              <w:t xml:space="preserve">gclt-aicoe-dev-st</w:t>
            </w:r>
          </w:p>
        </w:tc>
        <w:tc>
          <w:tcPr/>
          <w:p>
            <w:pPr>
              <w:pStyle w:val="Compact"/>
              <w:jc w:val="left"/>
            </w:pPr>
            <w:r>
              <w:rPr>
                <w:rStyle w:val="VerbatimChar"/>
              </w:rPr>
              <w:t xml:space="preserve">worker-invoker-sa</w:t>
            </w:r>
          </w:p>
        </w:tc>
        <w:tc>
          <w:tcPr/>
          <w:p>
            <w:pPr>
              <w:pStyle w:val="Compact"/>
              <w:jc w:val="left"/>
            </w:pPr>
            <w:r>
              <w:t xml:space="preserve">Cloud Tasks, to call the worker</w:t>
            </w:r>
          </w:p>
        </w:tc>
      </w:tr>
      <w:tr>
        <w:tc>
          <w:tcPr/>
          <w:p>
            <w:pPr>
              <w:pStyle w:val="Compact"/>
              <w:jc w:val="left"/>
            </w:pPr>
            <w:r>
              <w:rPr>
                <w:rStyle w:val="VerbatimChar"/>
              </w:rPr>
              <w:t xml:space="preserve">gclt-aicoe-dev-aihub-ui</w:t>
            </w:r>
          </w:p>
        </w:tc>
        <w:tc>
          <w:tcPr/>
          <w:p>
            <w:pPr>
              <w:pStyle w:val="Compact"/>
              <w:jc w:val="left"/>
            </w:pPr>
            <w:r>
              <w:rPr>
                <w:rStyle w:val="VerbatimChar"/>
              </w:rPr>
              <w:t xml:space="preserve">aihub-bff-sa</w:t>
            </w:r>
          </w:p>
        </w:tc>
        <w:tc>
          <w:tcPr/>
          <w:p>
            <w:pPr>
              <w:pStyle w:val="Compact"/>
              <w:jc w:val="left"/>
            </w:pPr>
            <w:r>
              <w:t xml:space="preserve">the Backend-for-Frontend</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apigee-int-runtime</w:t>
            </w:r>
          </w:p>
        </w:tc>
        <w:tc>
          <w:tcPr/>
          <w:p>
            <w:pPr>
              <w:pStyle w:val="Compact"/>
              <w:jc w:val="left"/>
            </w:pPr>
            <w:r>
              <w:t xml:space="preserve">the</w:t>
            </w:r>
            <w:r>
              <w:t xml:space="preserve"> </w:t>
            </w:r>
            <w:r>
              <w:rPr>
                <w:rStyle w:val="VerbatimChar"/>
              </w:rPr>
              <w:t xml:space="preserve">int</w:t>
            </w:r>
            <w:r>
              <w:t xml:space="preserve"> </w:t>
            </w:r>
            <w:r>
              <w:t xml:space="preserve">environment, the user API</w:t>
            </w:r>
          </w:p>
        </w:tc>
      </w:tr>
      <w:tr>
        <w:tc>
          <w:tcPr/>
          <w:p>
            <w:pPr>
              <w:pStyle w:val="Compact"/>
              <w:jc w:val="left"/>
            </w:pPr>
            <w:r>
              <w:rPr>
                <w:rStyle w:val="VerbatimChar"/>
              </w:rPr>
              <w:t xml:space="preserve">gclt-aicoe-dev-apigee</w:t>
            </w:r>
          </w:p>
        </w:tc>
        <w:tc>
          <w:tcPr/>
          <w:p>
            <w:pPr>
              <w:pStyle w:val="Compact"/>
              <w:jc w:val="left"/>
            </w:pPr>
            <w:r>
              <w:rPr>
                <w:rStyle w:val="VerbatimChar"/>
              </w:rPr>
              <w:t xml:space="preserve">apigee-llm-runtime</w:t>
            </w:r>
          </w:p>
        </w:tc>
        <w:tc>
          <w:tcPr/>
          <w:p>
            <w:pPr>
              <w:pStyle w:val="Compact"/>
              <w:jc w:val="left"/>
            </w:pPr>
            <w:r>
              <w:t xml:space="preserve">the</w:t>
            </w:r>
            <w:r>
              <w:t xml:space="preserve"> </w:t>
            </w:r>
            <w:r>
              <w:rPr>
                <w:rStyle w:val="VerbatimChar"/>
              </w:rPr>
              <w:t xml:space="preserve">llm</w:t>
            </w:r>
            <w:r>
              <w:t xml:space="preserve"> </w:t>
            </w:r>
            <w:r>
              <w:t xml:space="preserve">environment</w:t>
            </w:r>
          </w:p>
        </w:tc>
      </w:tr>
      <w:tr>
        <w:tc>
          <w:tcPr/>
          <w:p>
            <w:pPr>
              <w:pStyle w:val="Compact"/>
              <w:jc w:val="left"/>
            </w:pPr>
            <w:r>
              <w:rPr>
                <w:rStyle w:val="VerbatimChar"/>
              </w:rPr>
              <w:t xml:space="preserve">gclt-aicoe-dev-llm</w:t>
            </w:r>
          </w:p>
        </w:tc>
        <w:tc>
          <w:tcPr/>
          <w:p>
            <w:pPr>
              <w:pStyle w:val="Compact"/>
              <w:jc w:val="left"/>
            </w:pPr>
            <w:r>
              <w:rPr>
                <w:rStyle w:val="VerbatimChar"/>
              </w:rPr>
              <w:t xml:space="preserve">llm-breakglass</w:t>
            </w:r>
          </w:p>
        </w:tc>
        <w:tc>
          <w:tcPr/>
          <w:p>
            <w:pPr>
              <w:pStyle w:val="Compact"/>
              <w:jc w:val="left"/>
            </w:pPr>
            <w:r>
              <w:t xml:space="preserve">emergency direct model access</w:t>
            </w:r>
          </w:p>
        </w:tc>
      </w:tr>
      <w:tr>
        <w:tc>
          <w:tcPr/>
          <w:p>
            <w:pPr>
              <w:pStyle w:val="Compact"/>
              <w:jc w:val="left"/>
            </w:pPr>
            <w:r>
              <w:t xml:space="preserve">each project</w:t>
            </w:r>
          </w:p>
        </w:tc>
        <w:tc>
          <w:tcPr/>
          <w:p>
            <w:pPr>
              <w:pStyle w:val="Compact"/>
              <w:jc w:val="left"/>
            </w:pPr>
            <w:r>
              <w:rPr>
                <w:rStyle w:val="VerbatimChar"/>
              </w:rPr>
              <w:t xml:space="preserve">tf-deployer</w:t>
            </w:r>
          </w:p>
        </w:tc>
        <w:tc>
          <w:tcPr/>
          <w:p>
            <w:pPr>
              <w:pStyle w:val="Compact"/>
              <w:jc w:val="left"/>
            </w:pPr>
            <w:r>
              <w:t xml:space="preserve">the pipeline</w:t>
            </w:r>
          </w:p>
        </w:tc>
      </w:tr>
    </w:tbl>
    <w:bookmarkEnd w:id="164"/>
    <w:bookmarkStart w:id="165" w:name="do-this-grant-permissions"/>
    <w:p>
      <w:pPr>
        <w:pStyle w:val="Heading2"/>
      </w:pPr>
      <w:r>
        <w:t xml:space="preserve">18.3 Do this — grant permissions</w:t>
      </w:r>
    </w:p>
    <w:p>
      <w:pPr>
        <w:pStyle w:val="FirstParagraph"/>
      </w:pPr>
      <w:r>
        <w:rPr>
          <w:bCs/>
          <w:b/>
        </w:rPr>
        <w:t xml:space="preserve">Where:</w:t>
      </w:r>
      <w:r>
        <w:t xml:space="preserve"> </w:t>
      </w:r>
      <w:r>
        <w:rPr>
          <w:bCs/>
          <w:b/>
        </w:rPr>
        <w:t xml:space="preserve">IAM &amp; Admin</w:t>
      </w:r>
      <w:r>
        <w:t xml:space="preserve"> </w:t>
      </w:r>
      <w:r>
        <w:t xml:space="preserve">→</w:t>
      </w:r>
      <w:r>
        <w:t xml:space="preserve"> </w:t>
      </w:r>
      <w:r>
        <w:rPr>
          <w:bCs/>
          <w:b/>
        </w:rPr>
        <w:t xml:space="preserve">IAM</w:t>
      </w:r>
      <w:r>
        <w:t xml:space="preserve"> </w:t>
      </w:r>
      <w:r>
        <w:t xml:space="preserve">→</w:t>
      </w:r>
      <w:r>
        <w:t xml:space="preserve"> </w:t>
      </w:r>
      <w:r>
        <w:rPr>
          <w:bCs/>
          <w:b/>
        </w:rPr>
        <w:t xml:space="preserve">GRANT ACCESS</w:t>
      </w:r>
      <w:r>
        <w:t xml:space="preserve"> </w:t>
      </w:r>
      <w:r>
        <w:t xml:space="preserve">in the project that owns the resource.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Principal</w:t>
            </w:r>
          </w:p>
        </w:tc>
        <w:tc>
          <w:tcPr/>
          <w:p>
            <w:pPr>
              <w:pStyle w:val="Compact"/>
              <w:jc w:val="left"/>
            </w:pPr>
            <w:r>
              <w:t xml:space="preserve">Role</w:t>
            </w:r>
          </w:p>
        </w:tc>
        <w:tc>
          <w:tcPr/>
          <w:p>
            <w:pPr>
              <w:pStyle w:val="Compact"/>
              <w:jc w:val="left"/>
            </w:pPr>
            <w:r>
              <w:t xml:space="preserve">Where</w:t>
            </w:r>
          </w:p>
        </w:tc>
      </w:tr>
      <w:tr>
        <w:tc>
          <w:tcPr/>
          <w:p>
            <w:pPr>
              <w:pStyle w:val="Compact"/>
              <w:jc w:val="left"/>
            </w:pPr>
            <w:r>
              <w:rPr>
                <w:rStyle w:val="VerbatimChar"/>
              </w:rPr>
              <w:t xml:space="preserve">translation-api-sa</w:t>
            </w:r>
          </w:p>
        </w:tc>
        <w:tc>
          <w:tcPr/>
          <w:p>
            <w:pPr>
              <w:pStyle w:val="Compact"/>
              <w:jc w:val="left"/>
            </w:pPr>
            <w:r>
              <w:t xml:space="preserve">Storage Object Admin, scoped to the documents bucket</w:t>
            </w:r>
          </w:p>
        </w:tc>
        <w:tc>
          <w:tcPr/>
          <w:p>
            <w:pPr>
              <w:pStyle w:val="Compact"/>
              <w:jc w:val="left"/>
            </w:pPr>
            <w:r>
              <w:rPr>
                <w:rStyle w:val="VerbatimChar"/>
              </w:rPr>
              <w:t xml:space="preserve">st</w:t>
            </w:r>
          </w:p>
        </w:tc>
      </w:tr>
      <w:tr>
        <w:tc>
          <w:tcPr/>
          <w:p>
            <w:pPr>
              <w:pStyle w:val="Compact"/>
              <w:jc w:val="left"/>
            </w:pPr>
            <w:r>
              <w:rPr>
                <w:rStyle w:val="VerbatimChar"/>
              </w:rPr>
              <w:t xml:space="preserve">translation-api-sa</w:t>
            </w:r>
          </w:p>
        </w:tc>
        <w:tc>
          <w:tcPr/>
          <w:p>
            <w:pPr>
              <w:pStyle w:val="Compact"/>
              <w:jc w:val="left"/>
            </w:pPr>
            <w:r>
              <w:t xml:space="preserve">Cloud Tasks Enqueuer</w:t>
            </w:r>
          </w:p>
        </w:tc>
        <w:tc>
          <w:tcPr/>
          <w:p>
            <w:pPr>
              <w:pStyle w:val="Compact"/>
              <w:jc w:val="left"/>
            </w:pPr>
            <w:r>
              <w:rPr>
                <w:rStyle w:val="VerbatimChar"/>
              </w:rPr>
              <w:t xml:space="preserve">st</w:t>
            </w:r>
          </w:p>
        </w:tc>
      </w:tr>
      <w:tr>
        <w:tc>
          <w:tcPr/>
          <w:p>
            <w:pPr>
              <w:pStyle w:val="Compact"/>
              <w:jc w:val="left"/>
            </w:pPr>
            <w:r>
              <w:rPr>
                <w:rStyle w:val="VerbatimChar"/>
              </w:rPr>
              <w:t xml:space="preserve">translation-api-sa</w:t>
            </w:r>
          </w:p>
        </w:tc>
        <w:tc>
          <w:tcPr/>
          <w:p>
            <w:pPr>
              <w:pStyle w:val="Compact"/>
              <w:jc w:val="left"/>
            </w:pPr>
            <w:r>
              <w:t xml:space="preserve">Service Account User on</w:t>
            </w:r>
            <w:r>
              <w:t xml:space="preserve"> </w:t>
            </w:r>
            <w:r>
              <w:rPr>
                <w:rStyle w:val="VerbatimChar"/>
              </w:rPr>
              <w:t xml:space="preserve">worker-invoker-sa</w:t>
            </w:r>
          </w:p>
        </w:tc>
        <w:tc>
          <w:tcPr/>
          <w:p>
            <w:pPr>
              <w:pStyle w:val="Compact"/>
              <w:jc w:val="left"/>
            </w:pPr>
            <w:r>
              <w:rPr>
                <w:rStyle w:val="VerbatimChar"/>
              </w:rPr>
              <w:t xml:space="preserve">st</w:t>
            </w:r>
          </w:p>
        </w:tc>
      </w:tr>
      <w:tr>
        <w:tc>
          <w:tcPr/>
          <w:p>
            <w:pPr>
              <w:pStyle w:val="Compact"/>
              <w:jc w:val="left"/>
            </w:pPr>
            <w:r>
              <w:rPr>
                <w:rStyle w:val="VerbatimChar"/>
              </w:rPr>
              <w:t xml:space="preserve">salesagent-sa</w:t>
            </w:r>
          </w:p>
        </w:tc>
        <w:tc>
          <w:tcPr/>
          <w:p>
            <w:pPr>
              <w:pStyle w:val="Compact"/>
              <w:jc w:val="left"/>
            </w:pPr>
            <w:r>
              <w:t xml:space="preserve">Vertex AI User</w:t>
            </w:r>
          </w:p>
        </w:tc>
        <w:tc>
          <w:tcPr/>
          <w:p>
            <w:pPr>
              <w:pStyle w:val="Compact"/>
              <w:jc w:val="left"/>
            </w:pPr>
            <w:r>
              <w:rPr>
                <w:rStyle w:val="VerbatimChar"/>
              </w:rPr>
              <w:t xml:space="preserve">st</w:t>
            </w:r>
            <w:r>
              <w:t xml:space="preserve"> </w:t>
            </w:r>
            <w:r>
              <w:t xml:space="preserve">—</w:t>
            </w:r>
            <w:r>
              <w:t xml:space="preserve"> </w:t>
            </w:r>
            <w:r>
              <w:rPr>
                <w:bCs/>
                <w:b/>
              </w:rPr>
              <w:t xml:space="preserve">for Vector Search only, not models</w:t>
            </w:r>
          </w:p>
        </w:tc>
      </w:tr>
      <w:tr>
        <w:tc>
          <w:tcPr/>
          <w:p>
            <w:pPr>
              <w:pStyle w:val="Compact"/>
              <w:jc w:val="left"/>
            </w:pPr>
            <w:r>
              <w:rPr>
                <w:rStyle w:val="VerbatimChar"/>
              </w:rPr>
              <w:t xml:space="preserve">salesagent-sa</w:t>
            </w:r>
          </w:p>
        </w:tc>
        <w:tc>
          <w:tcPr/>
          <w:p>
            <w:pPr>
              <w:pStyle w:val="Compact"/>
              <w:jc w:val="left"/>
            </w:pPr>
            <w:r>
              <w:t xml:space="preserve">BigQuery Data Editor, scoped to</w:t>
            </w:r>
            <w:r>
              <w:t xml:space="preserve"> </w:t>
            </w:r>
            <w:r>
              <w:rPr>
                <w:rStyle w:val="VerbatimChar"/>
              </w:rPr>
              <w:t xml:space="preserve">aicoe_usage</w:t>
            </w:r>
          </w:p>
        </w:tc>
        <w:tc>
          <w:tcPr/>
          <w:p>
            <w:pPr>
              <w:pStyle w:val="Compact"/>
              <w:jc w:val="left"/>
            </w:pPr>
            <w:r>
              <w:rPr>
                <w:rStyle w:val="VerbatimChar"/>
              </w:rPr>
              <w:t xml:space="preserve">st</w:t>
            </w:r>
          </w:p>
        </w:tc>
      </w:tr>
      <w:tr>
        <w:tc>
          <w:tcPr/>
          <w:p>
            <w:pPr>
              <w:pStyle w:val="Compact"/>
              <w:jc w:val="left"/>
            </w:pPr>
            <w:r>
              <w:rPr>
                <w:rStyle w:val="VerbatimChar"/>
              </w:rPr>
              <w:t xml:space="preserve">worker-invoker-sa</w:t>
            </w:r>
          </w:p>
        </w:tc>
        <w:tc>
          <w:tcPr/>
          <w:p>
            <w:pPr>
              <w:pStyle w:val="Compact"/>
              <w:jc w:val="left"/>
            </w:pPr>
            <w:r>
              <w:t xml:space="preserve">Cloud Run Invoker on the worker service</w:t>
            </w:r>
          </w:p>
        </w:tc>
        <w:tc>
          <w:tcPr/>
          <w:p>
            <w:pPr>
              <w:pStyle w:val="Compact"/>
              <w:jc w:val="left"/>
            </w:pPr>
            <w:r>
              <w:rPr>
                <w:rStyle w:val="VerbatimChar"/>
              </w:rPr>
              <w:t xml:space="preserve">st</w:t>
            </w:r>
          </w:p>
        </w:tc>
      </w:tr>
      <w:tr>
        <w:tc>
          <w:tcPr/>
          <w:p>
            <w:pPr>
              <w:pStyle w:val="Compact"/>
              <w:jc w:val="left"/>
            </w:pPr>
            <w:r>
              <w:rPr>
                <w:bCs/>
                <w:b/>
              </w:rPr>
              <w:t xml:space="preserve">IAP service agent</w:t>
            </w:r>
            <w:r>
              <w:t xml:space="preserve"> </w:t>
            </w:r>
            <w:r>
              <w:t xml:space="preserve">of</w:t>
            </w:r>
            <w:r>
              <w:t xml:space="preserve"> </w:t>
            </w:r>
            <w:r>
              <w:rPr>
                <w:rStyle w:val="VerbatimChar"/>
              </w:rPr>
              <w:t xml:space="preserve">gclt-aicoe-dev-st</w:t>
            </w:r>
          </w:p>
        </w:tc>
        <w:tc>
          <w:tcPr/>
          <w:p>
            <w:pPr>
              <w:pStyle w:val="Compact"/>
              <w:jc w:val="left"/>
            </w:pPr>
            <w:r>
              <w:rPr>
                <w:bCs/>
                <w:b/>
              </w:rPr>
              <w:t xml:space="preserve">Cloud Run Invoker</w:t>
            </w:r>
            <w:r>
              <w:t xml:space="preserve"> </w:t>
            </w:r>
            <w:r>
              <w:t xml:space="preserve">on translation, sales and MCP services</w:t>
            </w:r>
          </w:p>
        </w:tc>
        <w:tc>
          <w:tcPr/>
          <w:p>
            <w:pPr>
              <w:pStyle w:val="Compact"/>
              <w:jc w:val="left"/>
            </w:pPr>
            <w:r>
              <w:rPr>
                <w:rStyle w:val="VerbatimChar"/>
              </w:rPr>
              <w:t xml:space="preserve">st</w:t>
            </w:r>
          </w:p>
        </w:tc>
      </w:tr>
      <w:tr>
        <w:tc>
          <w:tcPr/>
          <w:p>
            <w:pPr>
              <w:pStyle w:val="Compact"/>
              <w:jc w:val="left"/>
            </w:pPr>
            <w:r>
              <w:rPr>
                <w:bCs/>
                <w:b/>
              </w:rPr>
              <w:t xml:space="preserve">IAP service agent</w:t>
            </w:r>
            <w:r>
              <w:t xml:space="preserve"> </w:t>
            </w:r>
            <w:r>
              <w:t xml:space="preserve">of</w:t>
            </w:r>
            <w:r>
              <w:t xml:space="preserve"> </w:t>
            </w:r>
            <w:r>
              <w:rPr>
                <w:rStyle w:val="VerbatimChar"/>
              </w:rPr>
              <w:t xml:space="preserve">gclt-aicoe-dev-aihub-ui</w:t>
            </w:r>
          </w:p>
        </w:tc>
        <w:tc>
          <w:tcPr/>
          <w:p>
            <w:pPr>
              <w:pStyle w:val="Compact"/>
              <w:jc w:val="left"/>
            </w:pPr>
            <w:r>
              <w:rPr>
                <w:bCs/>
                <w:b/>
              </w:rPr>
              <w:t xml:space="preserve">Cloud Run Invoker</w:t>
            </w:r>
            <w:r>
              <w:t xml:space="preserve"> </w:t>
            </w:r>
            <w:r>
              <w:t xml:space="preserve">on the SPA</w:t>
            </w:r>
          </w:p>
        </w:tc>
        <w:tc>
          <w:tcPr/>
          <w:p>
            <w:pPr>
              <w:pStyle w:val="Compact"/>
              <w:jc w:val="left"/>
            </w:pPr>
            <w:r>
              <w:rPr>
                <w:rStyle w:val="VerbatimChar"/>
              </w:rPr>
              <w:t xml:space="preserve">aihub-ui</w:t>
            </w:r>
          </w:p>
        </w:tc>
      </w:tr>
      <w:tr>
        <w:tc>
          <w:tcPr/>
          <w:p>
            <w:pPr>
              <w:pStyle w:val="Compact"/>
              <w:jc w:val="left"/>
            </w:pPr>
            <w:r>
              <w:rPr>
                <w:rStyle w:val="VerbatimChar"/>
              </w:rPr>
              <w:t xml:space="preserve">apigee-llm-runtime</w:t>
            </w:r>
          </w:p>
        </w:tc>
        <w:tc>
          <w:tcPr/>
          <w:p>
            <w:pPr>
              <w:pStyle w:val="Compact"/>
              <w:jc w:val="left"/>
            </w:pPr>
            <w:r>
              <w:rPr>
                <w:bCs/>
                <w:b/>
              </w:rPr>
              <w:t xml:space="preserve">Vertex AI User</w:t>
            </w:r>
          </w:p>
        </w:tc>
        <w:tc>
          <w:tcPr/>
          <w:p>
            <w:pPr>
              <w:pStyle w:val="Compact"/>
              <w:jc w:val="left"/>
            </w:pPr>
            <w:r>
              <w:rPr>
                <w:rStyle w:val="VerbatimChar"/>
              </w:rPr>
              <w:t xml:space="preserve">gclt-aicoe-dev-llm</w:t>
            </w:r>
          </w:p>
        </w:tc>
      </w:tr>
      <w:tr>
        <w:tc>
          <w:tcPr/>
          <w:p>
            <w:pPr>
              <w:pStyle w:val="Compact"/>
              <w:jc w:val="left"/>
            </w:pPr>
            <w:r>
              <w:rPr>
                <w:rStyle w:val="VerbatimChar"/>
              </w:rPr>
              <w:t xml:space="preserve">apigee-llm-runtime</w:t>
            </w:r>
          </w:p>
        </w:tc>
        <w:tc>
          <w:tcPr/>
          <w:p>
            <w:pPr>
              <w:pStyle w:val="Compact"/>
              <w:jc w:val="left"/>
            </w:pPr>
            <w:r>
              <w:t xml:space="preserve">Model Armor User</w:t>
            </w:r>
          </w:p>
        </w:tc>
        <w:tc>
          <w:tcPr/>
          <w:p>
            <w:pPr>
              <w:pStyle w:val="Compact"/>
              <w:jc w:val="left"/>
            </w:pPr>
            <w:r>
              <w:rPr>
                <w:rStyle w:val="VerbatimChar"/>
              </w:rPr>
              <w:t xml:space="preserve">gclt-aicoe-dev-llm</w:t>
            </w:r>
          </w:p>
        </w:tc>
      </w:tr>
      <w:tr>
        <w:tc>
          <w:tcPr/>
          <w:p>
            <w:pPr>
              <w:pStyle w:val="Compact"/>
              <w:jc w:val="left"/>
            </w:pPr>
            <w:r>
              <w:rPr>
                <w:rStyle w:val="VerbatimChar"/>
              </w:rPr>
              <w:t xml:space="preserve">apigee-llm-runtime</w:t>
            </w:r>
          </w:p>
        </w:tc>
        <w:tc>
          <w:tcPr/>
          <w:p>
            <w:pPr>
              <w:pStyle w:val="Compact"/>
              <w:jc w:val="left"/>
            </w:pPr>
            <w:r>
              <w:t xml:space="preserve">DLP User, for the inspection templates</w:t>
            </w:r>
          </w:p>
        </w:tc>
        <w:tc>
          <w:tcPr/>
          <w:p>
            <w:pPr>
              <w:pStyle w:val="Compact"/>
              <w:jc w:val="left"/>
            </w:pPr>
            <w:r>
              <w:rPr>
                <w:rStyle w:val="VerbatimChar"/>
              </w:rPr>
              <w:t xml:space="preserve">gclt-aicoe-dev-llm</w:t>
            </w:r>
          </w:p>
        </w:tc>
      </w:tr>
      <w:tr>
        <w:tc>
          <w:tcPr/>
          <w:p>
            <w:pPr>
              <w:pStyle w:val="Compact"/>
              <w:jc w:val="left"/>
            </w:pPr>
            <w:r>
              <w:rPr>
                <w:rStyle w:val="VerbatimChar"/>
              </w:rPr>
              <w:t xml:space="preserve">apigee-llm-runtime</w:t>
            </w:r>
          </w:p>
        </w:tc>
        <w:tc>
          <w:tcPr/>
          <w:p>
            <w:pPr>
              <w:pStyle w:val="Compact"/>
              <w:jc w:val="left"/>
            </w:pPr>
            <w:r>
              <w:t xml:space="preserve">Model Armor User</w:t>
            </w:r>
          </w:p>
        </w:tc>
        <w:tc>
          <w:tcPr/>
          <w:p>
            <w:pPr>
              <w:pStyle w:val="Compact"/>
              <w:jc w:val="left"/>
            </w:pPr>
            <w:r>
              <w:rPr>
                <w:rStyle w:val="VerbatimChar"/>
              </w:rPr>
              <w:t xml:space="preserve">gclt-aicoe-dev-llm</w:t>
            </w:r>
          </w:p>
        </w:tc>
      </w:tr>
      <w:tr>
        <w:tc>
          <w:tcPr/>
          <w:p>
            <w:pPr>
              <w:pStyle w:val="Compact"/>
              <w:jc w:val="left"/>
            </w:pPr>
            <w:r>
              <w:rPr>
                <w:rStyle w:val="VerbatimChar"/>
              </w:rPr>
              <w:t xml:space="preserve">llm-breakglass</w:t>
            </w:r>
          </w:p>
        </w:tc>
        <w:tc>
          <w:tcPr/>
          <w:p>
            <w:pPr>
              <w:pStyle w:val="Compact"/>
              <w:jc w:val="left"/>
            </w:pPr>
            <w:r>
              <w:t xml:space="preserve">Vertex AI User</w:t>
            </w:r>
          </w:p>
        </w:tc>
        <w:tc>
          <w:tcPr/>
          <w:p>
            <w:pPr>
              <w:pStyle w:val="Compact"/>
              <w:jc w:val="left"/>
            </w:pPr>
            <w:r>
              <w:rPr>
                <w:rStyle w:val="VerbatimChar"/>
              </w:rPr>
              <w:t xml:space="preserve">gclt-aicoe-dev-llm</w:t>
            </w:r>
            <w:r>
              <w:t xml:space="preserve"> </w:t>
            </w:r>
            <w:r>
              <w:t xml:space="preserve">— see §18.5</w:t>
            </w:r>
          </w:p>
        </w:tc>
      </w:tr>
      <w:tr>
        <w:tc>
          <w:tcPr/>
          <w:p>
            <w:pPr>
              <w:pStyle w:val="Compact"/>
              <w:jc w:val="left"/>
            </w:pPr>
            <w:r>
              <w:rPr>
                <w:rStyle w:val="VerbatimChar"/>
              </w:rPr>
              <w:t xml:space="preserve">aihub-bff-sa</w:t>
            </w:r>
          </w:p>
        </w:tc>
        <w:tc>
          <w:tcPr/>
          <w:p>
            <w:pPr>
              <w:pStyle w:val="Compact"/>
              <w:jc w:val="left"/>
            </w:pPr>
            <w:r>
              <w:t xml:space="preserve">Firestore User, scoped to the database</w:t>
            </w:r>
          </w:p>
        </w:tc>
        <w:tc>
          <w:tcPr/>
          <w:p>
            <w:pPr>
              <w:pStyle w:val="Compact"/>
              <w:jc w:val="left"/>
            </w:pPr>
            <w:r>
              <w:rPr>
                <w:rStyle w:val="VerbatimChar"/>
              </w:rPr>
              <w:t xml:space="preserve">aihub-ui</w:t>
            </w:r>
          </w:p>
        </w:tc>
      </w:tr>
      <w:tr>
        <w:tc>
          <w:tcPr/>
          <w:p>
            <w:pPr>
              <w:pStyle w:val="Compact"/>
              <w:jc w:val="left"/>
            </w:pPr>
            <w:r>
              <w:rPr>
                <w:rStyle w:val="VerbatimChar"/>
              </w:rPr>
              <w:t xml:space="preserve">aihub-bff-sa</w:t>
            </w:r>
          </w:p>
        </w:tc>
        <w:tc>
          <w:tcPr/>
          <w:p>
            <w:pPr>
              <w:pStyle w:val="Compact"/>
              <w:jc w:val="left"/>
            </w:pPr>
            <w:r>
              <w:t xml:space="preserve">Secret Manager Secret Accessor on the three BFF secrets</w:t>
            </w:r>
          </w:p>
        </w:tc>
        <w:tc>
          <w:tcPr/>
          <w:p>
            <w:pPr>
              <w:pStyle w:val="Compact"/>
              <w:jc w:val="left"/>
            </w:pPr>
            <w:r>
              <w:rPr>
                <w:rStyle w:val="VerbatimChar"/>
              </w:rPr>
              <w:t xml:space="preserve">aihub-ui</w:t>
            </w:r>
          </w:p>
        </w:tc>
      </w:tr>
      <w:tr>
        <w:tc>
          <w:tcPr/>
          <w:p>
            <w:pPr>
              <w:pStyle w:val="Compact"/>
              <w:jc w:val="left"/>
            </w:pPr>
            <w:r>
              <w:rPr>
                <w:rStyle w:val="VerbatimChar"/>
              </w:rPr>
              <w:t xml:space="preserve">aihub-bff-sa</w:t>
            </w:r>
          </w:p>
        </w:tc>
        <w:tc>
          <w:tcPr/>
          <w:p>
            <w:pPr>
              <w:pStyle w:val="Compact"/>
              <w:jc w:val="left"/>
            </w:pPr>
            <w:r>
              <w:t xml:space="preserve">Cloud KMS CryptoKey Encrypter/Decrypter on the session key</w:t>
            </w:r>
          </w:p>
        </w:tc>
        <w:tc>
          <w:tcPr/>
          <w:p>
            <w:pPr>
              <w:pStyle w:val="Compact"/>
              <w:jc w:val="left"/>
            </w:pPr>
            <w:r>
              <w:rPr>
                <w:rStyle w:val="VerbatimChar"/>
              </w:rPr>
              <w:t xml:space="preserve">aihub-ui</w:t>
            </w:r>
          </w:p>
        </w:tc>
      </w:tr>
      <w:tr>
        <w:tc>
          <w:tcPr/>
          <w:p>
            <w:pPr>
              <w:pStyle w:val="Compact"/>
              <w:jc w:val="left"/>
            </w:pPr>
            <w:r>
              <w:rPr>
                <w:rStyle w:val="VerbatimChar"/>
              </w:rPr>
              <w:t xml:space="preserve">apigee-int-runtime</w:t>
            </w:r>
          </w:p>
        </w:tc>
        <w:tc>
          <w:tcPr/>
          <w:p>
            <w:pPr>
              <w:pStyle w:val="Compact"/>
              <w:jc w:val="left"/>
            </w:pPr>
            <w:r>
              <w:rPr>
                <w:bCs/>
                <w:b/>
              </w:rPr>
              <w:t xml:space="preserve">Cloud Run Invoker</w:t>
            </w:r>
            <w:r>
              <w:t xml:space="preserve"> </w:t>
            </w:r>
            <w:r>
              <w:t xml:space="preserve">on</w:t>
            </w:r>
            <w:r>
              <w:t xml:space="preserve"> </w:t>
            </w:r>
            <w:r>
              <w:rPr>
                <w:rStyle w:val="VerbatimChar"/>
              </w:rPr>
              <w:t xml:space="preserve">translation-api-service</w:t>
            </w:r>
            <w:r>
              <w:t xml:space="preserve">,</w:t>
            </w:r>
            <w:r>
              <w:t xml:space="preserve"> </w:t>
            </w:r>
            <w:r>
              <w:rPr>
                <w:rStyle w:val="VerbatimChar"/>
              </w:rPr>
              <w:t xml:space="preserve">sales-research-application</w:t>
            </w:r>
            <w:r>
              <w:t xml:space="preserve">,</w:t>
            </w:r>
            <w:r>
              <w:t xml:space="preserve"> </w:t>
            </w:r>
            <w:r>
              <w:rPr>
                <w:rStyle w:val="VerbatimChar"/>
              </w:rPr>
              <w:t xml:space="preserve">mcp-server</w:t>
            </w:r>
          </w:p>
        </w:tc>
        <w:tc>
          <w:tcPr/>
          <w:p>
            <w:pPr>
              <w:pStyle w:val="Compact"/>
              <w:jc w:val="left"/>
            </w:pPr>
            <w:r>
              <w:rPr>
                <w:rStyle w:val="VerbatimChar"/>
              </w:rPr>
              <w:t xml:space="preserve">st</w:t>
            </w:r>
          </w:p>
        </w:tc>
      </w:tr>
      <w:tr>
        <w:tc>
          <w:tcPr/>
          <w:p>
            <w:pPr>
              <w:pStyle w:val="Compact"/>
              <w:jc w:val="left"/>
            </w:pPr>
            <w:r>
              <w:t xml:space="preserve">IAP service agent of</w:t>
            </w:r>
            <w:r>
              <w:t xml:space="preserve"> </w:t>
            </w:r>
            <w:r>
              <w:rPr>
                <w:rStyle w:val="VerbatimChar"/>
              </w:rPr>
              <w:t xml:space="preserve">aihub-ui</w:t>
            </w:r>
          </w:p>
        </w:tc>
        <w:tc>
          <w:tcPr/>
          <w:p>
            <w:pPr>
              <w:pStyle w:val="Compact"/>
              <w:jc w:val="left"/>
            </w:pPr>
            <w:r>
              <w:t xml:space="preserve">Cloud Run Invoker on the BFF —</w:t>
            </w:r>
            <w:r>
              <w:t xml:space="preserve"> </w:t>
            </w:r>
            <w:r>
              <w:rPr>
                <w:bCs/>
                <w:b/>
              </w:rPr>
              <w:t xml:space="preserve">the only IAP grant in the platform</w:t>
            </w:r>
          </w:p>
        </w:tc>
        <w:tc>
          <w:tcPr/>
          <w:p>
            <w:pPr>
              <w:pStyle w:val="Compact"/>
              <w:jc w:val="left"/>
            </w:pPr>
            <w:r>
              <w:rPr>
                <w:rStyle w:val="VerbatimChar"/>
              </w:rPr>
              <w:t xml:space="preserve">aihub-ui</w:t>
            </w:r>
          </w:p>
        </w:tc>
      </w:tr>
    </w:tbl>
    <w:bookmarkEnd w:id="165"/>
    <w:bookmarkStart w:id="166" w:name="the-step-that-makes-the-ai-gateway-real"/>
    <w:p>
      <w:pPr>
        <w:pStyle w:val="Heading2"/>
      </w:pPr>
      <w:r>
        <w:t xml:space="preserve">18.4 The step that makes the AI gateway real</w:t>
      </w:r>
    </w:p>
    <w:p>
      <w:pPr>
        <w:pStyle w:val="FirstParagraph"/>
      </w:pPr>
      <w:r>
        <w:t xml:space="preserve">Nowhere in the table above does a workload service account get permission to call a language model. Only</w:t>
      </w:r>
      <w:r>
        <w:t xml:space="preserve"> </w:t>
      </w:r>
      <w:r>
        <w:rPr>
          <w:rStyle w:val="VerbatimChar"/>
        </w:rPr>
        <w:t xml:space="preserve">apigee-llm-runtime</w:t>
      </w:r>
      <w:r>
        <w:t xml:space="preserve"> </w:t>
      </w:r>
      <w:r>
        <w:t xml:space="preserve">does.</w:t>
      </w:r>
    </w:p>
    <w:p>
      <w:pPr>
        <w:pStyle w:val="BodyText"/>
      </w:pPr>
      <w:r>
        <w:t xml:space="preserve">Until that is true, every service can call Vertex AI directly and the gateway’s quotas, safety checks and cost attribution are all optional.</w:t>
      </w:r>
      <w:r>
        <w:t xml:space="preserve"> </w:t>
      </w:r>
      <w:r>
        <w:rPr>
          <w:bCs/>
          <w:b/>
        </w:rPr>
        <w:t xml:space="preserve">Check explicitly</w:t>
      </w:r>
      <w:r>
        <w:t xml:space="preserve"> </w:t>
      </w:r>
      <w:r>
        <w:t xml:space="preserve">that</w:t>
      </w:r>
      <w:r>
        <w:t xml:space="preserve"> </w:t>
      </w:r>
      <w:r>
        <w:rPr>
          <w:rStyle w:val="VerbatimChar"/>
        </w:rPr>
        <w:t xml:space="preserve">translation-api-sa</w:t>
      </w:r>
      <w:r>
        <w:t xml:space="preserve">,</w:t>
      </w:r>
      <w:r>
        <w:t xml:space="preserve"> </w:t>
      </w:r>
      <w:r>
        <w:rPr>
          <w:rStyle w:val="VerbatimChar"/>
        </w:rPr>
        <w:t xml:space="preserve">translation-worker-sa</w:t>
      </w:r>
      <w:r>
        <w:t xml:space="preserve">,</w:t>
      </w:r>
      <w:r>
        <w:t xml:space="preserve"> </w:t>
      </w:r>
      <w:r>
        <w:rPr>
          <w:rStyle w:val="VerbatimChar"/>
        </w:rPr>
        <w:t xml:space="preserve">salesagent-sa</w:t>
      </w:r>
      <w:r>
        <w:t xml:space="preserve"> </w:t>
      </w:r>
      <w:r>
        <w:t xml:space="preserve">and</w:t>
      </w:r>
      <w:r>
        <w:t xml:space="preserve"> </w:t>
      </w:r>
      <w:r>
        <w:rPr>
          <w:rStyle w:val="VerbatimChar"/>
        </w:rPr>
        <w:t xml:space="preserve">mcp-sa</w:t>
      </w:r>
      <w:r>
        <w:t xml:space="preserve"> </w:t>
      </w:r>
      <w:r>
        <w:t xml:space="preserve">do</w:t>
      </w:r>
      <w:r>
        <w:t xml:space="preserve"> </w:t>
      </w:r>
      <w:r>
        <w:rPr>
          <w:bCs/>
          <w:b/>
        </w:rPr>
        <w:t xml:space="preserve">not</w:t>
      </w:r>
      <w:r>
        <w:t xml:space="preserve"> </w:t>
      </w:r>
      <w:r>
        <w:t xml:space="preserve">hold Vertex AI User in the</w:t>
      </w:r>
      <w:r>
        <w:t xml:space="preserve"> </w:t>
      </w:r>
      <w:r>
        <w:rPr>
          <w:rStyle w:val="VerbatimChar"/>
        </w:rPr>
        <w:t xml:space="preserve">llm</w:t>
      </w:r>
      <w:r>
        <w:t xml:space="preserve"> </w:t>
      </w:r>
      <w:r>
        <w:t xml:space="preserve">project. If any does, remove it.</w:t>
      </w:r>
    </w:p>
    <w:bookmarkEnd w:id="166"/>
    <w:bookmarkStart w:id="167" w:name="a-a-note-on-the-iap-service-agent"/>
    <w:p>
      <w:pPr>
        <w:pStyle w:val="Heading2"/>
      </w:pPr>
      <w:r>
        <w:t xml:space="preserve">18.4a A note on the IAP service agent</w:t>
      </w:r>
    </w:p>
    <w:p>
      <w:pPr>
        <w:pStyle w:val="FirstParagraph"/>
      </w:pPr>
      <w:r>
        <w:t xml:space="preserve">A load balancer, not Apigee, is what actually calls your Cloud Run services — and when IAP is switched on, it invokes them as</w:t>
      </w:r>
      <w:r>
        <w:t xml:space="preserve"> </w:t>
      </w:r>
      <w:r>
        <w:rPr>
          <w:bCs/>
          <w:b/>
        </w:rPr>
        <w:t xml:space="preserve">its own service agent</w:t>
      </w:r>
      <w:r>
        <w:t xml:space="preserve">, an account named</w:t>
      </w:r>
      <w:r>
        <w:t xml:space="preserve"> </w:t>
      </w:r>
      <w:r>
        <w:rPr>
          <w:rStyle w:val="VerbatimChar"/>
        </w:rPr>
        <w:t xml:space="preserve">service-&lt;PROJECT_NUMBER&gt;@gcp-sa-iap.iam.gserviceaccount.com</w:t>
      </w:r>
      <w:r>
        <w:t xml:space="preserve">.</w:t>
      </w:r>
    </w:p>
    <w:p>
      <w:pPr>
        <w:pStyle w:val="BodyText"/>
      </w:pPr>
      <w:r>
        <w:t xml:space="preserve">That account must hold Cloud Run Invoker on each service, or every request returns 403 after a successful sign-in, which is a confusing failure to debug. Find the exact address on the</w:t>
      </w:r>
      <w:r>
        <w:t xml:space="preserve"> </w:t>
      </w:r>
      <w:r>
        <w:rPr>
          <w:bCs/>
          <w:b/>
        </w:rPr>
        <w:t xml:space="preserve">IAM</w:t>
      </w:r>
      <w:r>
        <w:t xml:space="preserve"> </w:t>
      </w:r>
      <w:r>
        <w:t xml:space="preserve">page with</w:t>
      </w:r>
      <w:r>
        <w:t xml:space="preserve"> </w:t>
      </w:r>
      <w:r>
        <w:rPr>
          <w:bCs/>
          <w:b/>
        </w:rPr>
        <w:t xml:space="preserve">Include Google-provided role grants</w:t>
      </w:r>
      <w:r>
        <w:t xml:space="preserve"> </w:t>
      </w:r>
      <w:r>
        <w:t xml:space="preserve">ticked, or force it into existence:</w:t>
      </w:r>
    </w:p>
    <w:p>
      <w:pPr>
        <w:pStyle w:val="SourceCode"/>
      </w:pPr>
      <w:r>
        <w:rPr>
          <w:rStyle w:val="VerbatimChar"/>
        </w:rPr>
        <w:t xml:space="preserve">gcloud beta services identity create --service=iap.googleapis.com \</w:t>
      </w:r>
      <w:r>
        <w:br/>
      </w:r>
      <w:r>
        <w:rPr>
          <w:rStyle w:val="VerbatimChar"/>
        </w:rPr>
        <w:t xml:space="preserve">  --project=gclt-aicoe-dev-st</w:t>
      </w:r>
    </w:p>
    <w:p>
      <w:pPr>
        <w:pStyle w:val="FirstParagraph"/>
      </w:pPr>
      <w:r>
        <w:t xml:space="preserve">Note also that IAP now uses a</w:t>
      </w:r>
      <w:r>
        <w:t xml:space="preserve"> </w:t>
      </w:r>
      <w:r>
        <w:rPr>
          <w:bCs/>
          <w:b/>
        </w:rPr>
        <w:t xml:space="preserve">Google-managed OAuth client by default</w:t>
      </w:r>
      <w:r>
        <w:t xml:space="preserve">, and a custom client is needed only for access from outside your organisation. That removes most of the earlier concern about creating a second OAuth brand — though programmatic access still needs a client id to use as the token audience, which is question 3 of spike S1.</w:t>
      </w:r>
    </w:p>
    <w:bookmarkEnd w:id="167"/>
    <w:bookmarkStart w:id="168" w:name="do-this-the-break-glass-account"/>
    <w:p>
      <w:pPr>
        <w:pStyle w:val="Heading2"/>
      </w:pPr>
      <w:r>
        <w:t xml:space="preserve">18.5 Do this — the break-glass account</w:t>
      </w:r>
    </w:p>
    <w:p>
      <w:pPr>
        <w:pStyle w:val="FirstParagraph"/>
      </w:pPr>
      <w:r>
        <w:t xml:space="preserve">Because Apigee now sits on the path of every model call, an Apigee outage stops all AI.</w:t>
      </w:r>
      <w:r>
        <w:t xml:space="preserve"> </w:t>
      </w:r>
      <w:r>
        <w:rPr>
          <w:rStyle w:val="VerbatimChar"/>
        </w:rPr>
        <w:t xml:space="preserve">llm-breakglass</w:t>
      </w:r>
      <w:r>
        <w:t xml:space="preserve"> </w:t>
      </w:r>
      <w:r>
        <w:t xml:space="preserve">is the way out.</w:t>
      </w:r>
    </w:p>
    <w:p>
      <w:pPr>
        <w:numPr>
          <w:ilvl w:val="0"/>
          <w:numId w:val="1020"/>
        </w:numPr>
        <w:pStyle w:val="Compact"/>
      </w:pPr>
      <w:r>
        <w:t xml:space="preserve">Grant it Vertex AI User in</w:t>
      </w:r>
      <w:r>
        <w:t xml:space="preserve"> </w:t>
      </w:r>
      <w:r>
        <w:rPr>
          <w:rStyle w:val="VerbatimChar"/>
        </w:rPr>
        <w:t xml:space="preserve">gclt-aicoe-dev-llm</w:t>
      </w:r>
      <w:r>
        <w:t xml:space="preserve">.</w:t>
      </w:r>
    </w:p>
    <w:p>
      <w:pPr>
        <w:numPr>
          <w:ilvl w:val="0"/>
          <w:numId w:val="1020"/>
        </w:numPr>
        <w:pStyle w:val="Compact"/>
      </w:pPr>
      <w:r>
        <w:t xml:space="preserve">Grant</w:t>
      </w:r>
      <w:r>
        <w:t xml:space="preserve"> </w:t>
      </w:r>
      <w:r>
        <w:rPr>
          <w:bCs/>
          <w:b/>
        </w:rPr>
        <w:t xml:space="preserve">no human</w:t>
      </w:r>
      <w:r>
        <w:t xml:space="preserve"> </w:t>
      </w:r>
      <w:r>
        <w:t xml:space="preserve">the ability to impersonate it by default. Access should come through your privileged access process with approval.</w:t>
      </w:r>
    </w:p>
    <w:p>
      <w:pPr>
        <w:numPr>
          <w:ilvl w:val="0"/>
          <w:numId w:val="1020"/>
        </w:numPr>
        <w:pStyle w:val="Compact"/>
      </w:pPr>
      <w:r>
        <w:t xml:space="preserve">Part 23 adds an alert on any use of it.</w:t>
      </w:r>
    </w:p>
    <w:p>
      <w:pPr>
        <w:pStyle w:val="FirstParagraph"/>
      </w:pPr>
      <w:r>
        <w:t xml:space="preserve">An emergency route that nobody notices being used is not a control. The alert is the point.</w:t>
      </w:r>
    </w:p>
    <w:bookmarkEnd w:id="168"/>
    <w:bookmarkStart w:id="169" w:name="watch-out-19"/>
    <w:p>
      <w:pPr>
        <w:pStyle w:val="Heading2"/>
      </w:pPr>
      <w:r>
        <w:t xml:space="preserve">18.6 Watch out</w:t>
      </w:r>
    </w:p>
    <w:p>
      <w:pPr>
        <w:numPr>
          <w:ilvl w:val="0"/>
          <w:numId w:val="1021"/>
        </w:numPr>
        <w:pStyle w:val="Compact"/>
      </w:pPr>
      <w:r>
        <w:t xml:space="preserve">Roles like Editor and Owner are convenient during a build and dangerous afterwards. Once the platform works, review</w:t>
      </w:r>
      <w:r>
        <w:t xml:space="preserve"> </w:t>
      </w:r>
      <w:r>
        <w:rPr>
          <w:bCs/>
          <w:b/>
        </w:rPr>
        <w:t xml:space="preserve">IAM &amp; Admin</w:t>
      </w:r>
      <w:r>
        <w:t xml:space="preserve"> </w:t>
      </w:r>
      <w:r>
        <w:t xml:space="preserve">→</w:t>
      </w:r>
      <w:r>
        <w:t xml:space="preserve"> </w:t>
      </w:r>
      <w:r>
        <w:rPr>
          <w:bCs/>
          <w:b/>
        </w:rPr>
        <w:t xml:space="preserve">IAM</w:t>
      </w:r>
      <w:r>
        <w:t xml:space="preserve"> </w:t>
      </w:r>
      <w:r>
        <w:t xml:space="preserve">in every project and remove them.</w:t>
      </w:r>
    </w:p>
    <w:p>
      <w:pPr>
        <w:numPr>
          <w:ilvl w:val="0"/>
          <w:numId w:val="1021"/>
        </w:numPr>
        <w:pStyle w:val="Compact"/>
      </w:pPr>
      <w:r>
        <w:t xml:space="preserve">Grant on the narrowest resource the console allows. Storage Object Admin on one bucket is very different from the same role across the project.</w:t>
      </w:r>
    </w:p>
    <w:p>
      <w:r>
        <w:br w:type="page"/>
      </w:r>
    </w:p>
    <w:bookmarkEnd w:id="169"/>
    <w:bookmarkEnd w:id="170"/>
    <w:bookmarkStart w:id="184" w:name="Xf4c86905f4bd3a2693958fd70c523d64550fe6c"/>
    <w:p>
      <w:pPr>
        <w:pStyle w:val="Heading1"/>
      </w:pPr>
      <w:r>
        <w:t xml:space="preserve">Part 19 — Cloud Run settings you must apply</w:t>
      </w:r>
    </w:p>
    <w:p>
      <w:pPr>
        <w:pStyle w:val="FirstParagraph"/>
      </w:pPr>
      <w:r>
        <w:t xml:space="preserve">You are building these services. This part is the contract they must meet to work inside the platform.</w:t>
      </w:r>
    </w:p>
    <w:bookmarkStart w:id="171" w:name="settings-for-every-service"/>
    <w:p>
      <w:pPr>
        <w:pStyle w:val="Heading2"/>
      </w:pPr>
      <w:r>
        <w:t xml:space="preserve">19.1 Settings for every service</w:t>
      </w:r>
    </w:p>
    <w:p>
      <w:pPr>
        <w:pStyle w:val="FirstParagraph"/>
      </w:pPr>
      <w:r>
        <w:rPr>
          <w:bCs/>
          <w:b/>
        </w:rPr>
        <w:t xml:space="preserve">Where:</w:t>
      </w:r>
      <w:r>
        <w:t xml:space="preserve"> </w:t>
      </w:r>
      <w:r>
        <w:rPr>
          <w:bCs/>
          <w:b/>
        </w:rPr>
        <w:t xml:space="preserve">Cloud Run</w:t>
      </w:r>
      <w:r>
        <w:t xml:space="preserve"> </w:t>
      </w:r>
      <w:r>
        <w:t xml:space="preserve">→ your service →</w:t>
      </w:r>
      <w:r>
        <w:t xml:space="preserve"> </w:t>
      </w:r>
      <w:r>
        <w:rPr>
          <w:bCs/>
          <w:b/>
        </w:rPr>
        <w:t xml:space="preserve">EDIT &amp; DEPLOY NEW REVISION</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w:t>
            </w:r>
          </w:p>
        </w:tc>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Security</w:t>
            </w:r>
          </w:p>
        </w:tc>
        <w:tc>
          <w:tcPr/>
          <w:p>
            <w:pPr>
              <w:pStyle w:val="Compact"/>
              <w:jc w:val="left"/>
            </w:pPr>
            <w:r>
              <w:t xml:space="preserve">Service account</w:t>
            </w:r>
          </w:p>
        </w:tc>
        <w:tc>
          <w:tcPr/>
          <w:p>
            <w:pPr>
              <w:pStyle w:val="Compact"/>
              <w:jc w:val="left"/>
            </w:pPr>
            <w:r>
              <w:t xml:space="preserve">the matching account from Part 18</w:t>
            </w:r>
          </w:p>
        </w:tc>
      </w:tr>
      <w:tr>
        <w:tc>
          <w:tcPr/>
          <w:p>
            <w:pPr>
              <w:pStyle w:val="Compact"/>
              <w:jc w:val="left"/>
            </w:pPr>
            <w:r>
              <w:t xml:space="preserve">Networking</w:t>
            </w:r>
          </w:p>
        </w:tc>
        <w:tc>
          <w:tcPr/>
          <w:p>
            <w:pPr>
              <w:pStyle w:val="Compact"/>
              <w:jc w:val="left"/>
            </w:pPr>
            <w:r>
              <w:t xml:space="preserve">Ingress</w:t>
            </w:r>
          </w:p>
        </w:tc>
        <w:tc>
          <w:tcPr/>
          <w:p>
            <w:pPr>
              <w:pStyle w:val="Compact"/>
              <w:jc w:val="left"/>
            </w:pPr>
            <w:r>
              <w:rPr>
                <w:bCs/>
                <w:b/>
              </w:rPr>
              <w:t xml:space="preserve">Internal and Cloud Load Balancing</w:t>
            </w:r>
            <w:r>
              <w:t xml:space="preserve"> </w:t>
            </w:r>
            <w:r>
              <w:t xml:space="preserve">— except the worker, which is</w:t>
            </w:r>
            <w:r>
              <w:t xml:space="preserve"> </w:t>
            </w:r>
            <w:r>
              <w:rPr>
                <w:bCs/>
                <w:b/>
              </w:rPr>
              <w:t xml:space="preserve">Internal</w:t>
            </w:r>
          </w:p>
        </w:tc>
      </w:tr>
      <w:tr>
        <w:tc>
          <w:tcPr/>
          <w:p>
            <w:pPr>
              <w:pStyle w:val="Compact"/>
              <w:jc w:val="left"/>
            </w:pPr>
            <w:r>
              <w:t xml:space="preserve">Networking</w:t>
            </w:r>
          </w:p>
        </w:tc>
        <w:tc>
          <w:tcPr/>
          <w:p>
            <w:pPr>
              <w:pStyle w:val="Compact"/>
              <w:jc w:val="left"/>
            </w:pPr>
            <w:r>
              <w:t xml:space="preserve">Egress / VPC</w:t>
            </w:r>
          </w:p>
        </w:tc>
        <w:tc>
          <w:tcPr/>
          <w:p>
            <w:pPr>
              <w:pStyle w:val="Compact"/>
              <w:jc w:val="left"/>
            </w:pPr>
            <w:r>
              <w:rPr>
                <w:bCs/>
                <w:b/>
              </w:rPr>
              <w:t xml:space="preserve">Direct VPC egress</w:t>
            </w:r>
          </w:p>
        </w:tc>
      </w:tr>
      <w:tr>
        <w:tc>
          <w:tcPr/>
          <w:p>
            <w:pPr>
              <w:pStyle w:val="Compact"/>
              <w:jc w:val="left"/>
            </w:pPr>
            <w:r>
              <w:t xml:space="preserve">Networking</w:t>
            </w:r>
          </w:p>
        </w:tc>
        <w:tc>
          <w:tcPr/>
          <w:p>
            <w:pPr>
              <w:pStyle w:val="Compact"/>
              <w:jc w:val="left"/>
            </w:pPr>
            <w:r>
              <w:t xml:space="preserve">Network / Subnet</w:t>
            </w:r>
          </w:p>
        </w:tc>
        <w:tc>
          <w:tcPr/>
          <w:p>
            <w:pPr>
              <w:pStyle w:val="Compact"/>
              <w:jc w:val="left"/>
            </w:pPr>
            <w:r>
              <w:rPr>
                <w:rStyle w:val="VerbatimChar"/>
              </w:rPr>
              <w:t xml:space="preserve">gclt-aicoe-dev-vpc</w:t>
            </w:r>
            <w:r>
              <w:t xml:space="preserve"> </w:t>
            </w:r>
            <w:r>
              <w:t xml:space="preserve">/</w:t>
            </w:r>
            <w:r>
              <w:t xml:space="preserve"> </w:t>
            </w:r>
            <w:r>
              <w:rPr>
                <w:rStyle w:val="VerbatimChar"/>
              </w:rPr>
              <w:t xml:space="preserve">gclt-aicoe-dev-cloudrun-ew1</w:t>
            </w:r>
          </w:p>
        </w:tc>
      </w:tr>
      <w:tr>
        <w:tc>
          <w:tcPr/>
          <w:p>
            <w:pPr>
              <w:pStyle w:val="Compact"/>
              <w:jc w:val="left"/>
            </w:pPr>
            <w:r>
              <w:t xml:space="preserve">Networking</w:t>
            </w:r>
          </w:p>
        </w:tc>
        <w:tc>
          <w:tcPr/>
          <w:p>
            <w:pPr>
              <w:pStyle w:val="Compact"/>
              <w:jc w:val="left"/>
            </w:pPr>
            <w:r>
              <w:t xml:space="preserve">Traffic routing</w:t>
            </w:r>
          </w:p>
        </w:tc>
        <w:tc>
          <w:tcPr/>
          <w:p>
            <w:pPr>
              <w:pStyle w:val="Compact"/>
              <w:jc w:val="left"/>
            </w:pPr>
            <w:r>
              <w:rPr>
                <w:bCs/>
                <w:b/>
              </w:rPr>
              <w:t xml:space="preserve">Route only requests to private IPs to the VPC</w:t>
            </w:r>
          </w:p>
        </w:tc>
      </w:tr>
      <w:tr>
        <w:tc>
          <w:tcPr/>
          <w:p>
            <w:pPr>
              <w:pStyle w:val="Compact"/>
              <w:jc w:val="left"/>
            </w:pPr>
            <w:r>
              <w:t xml:space="preserve">Container</w:t>
            </w:r>
          </w:p>
        </w:tc>
        <w:tc>
          <w:tcPr/>
          <w:p>
            <w:pPr>
              <w:pStyle w:val="Compact"/>
              <w:jc w:val="left"/>
            </w:pPr>
            <w:r>
              <w:t xml:space="preserve">Request timeout</w:t>
            </w:r>
          </w:p>
        </w:tc>
        <w:tc>
          <w:tcPr/>
          <w:p>
            <w:pPr>
              <w:pStyle w:val="Compact"/>
              <w:jc w:val="left"/>
            </w:pPr>
            <w:r>
              <w:t xml:space="preserve">600s for API services, 3600s for the worker</w:t>
            </w:r>
          </w:p>
        </w:tc>
      </w:tr>
      <w:tr>
        <w:tc>
          <w:tcPr/>
          <w:p>
            <w:pPr>
              <w:pStyle w:val="Compact"/>
              <w:jc w:val="left"/>
            </w:pPr>
            <w:r>
              <w:t xml:space="preserve">Container</w:t>
            </w:r>
          </w:p>
        </w:tc>
        <w:tc>
          <w:tcPr/>
          <w:p>
            <w:pPr>
              <w:pStyle w:val="Compact"/>
              <w:jc w:val="left"/>
            </w:pPr>
            <w:r>
              <w:t xml:space="preserve">Maximum instances</w:t>
            </w:r>
          </w:p>
        </w:tc>
        <w:tc>
          <w:tcPr/>
          <w:p>
            <w:pPr>
              <w:pStyle w:val="Compact"/>
              <w:jc w:val="left"/>
            </w:pPr>
            <w:r>
              <w:t xml:space="preserve">from the budget in §19.3</w:t>
            </w:r>
          </w:p>
        </w:tc>
      </w:tr>
      <w:tr>
        <w:tc>
          <w:tcPr/>
          <w:p>
            <w:pPr>
              <w:pStyle w:val="Compact"/>
              <w:jc w:val="left"/>
            </w:pPr>
            <w:r>
              <w:t xml:space="preserve">Variables &amp; Secrets</w:t>
            </w:r>
          </w:p>
        </w:tc>
        <w:tc>
          <w:tcPr/>
          <w:p>
            <w:pPr>
              <w:pStyle w:val="Compact"/>
              <w:jc w:val="left"/>
            </w:pPr>
            <w:r>
              <w:t xml:space="preserve">Secrets</w:t>
            </w:r>
          </w:p>
        </w:tc>
        <w:tc>
          <w:tcPr/>
          <w:p>
            <w:pPr>
              <w:pStyle w:val="Compact"/>
              <w:jc w:val="left"/>
            </w:pPr>
            <w:r>
              <w:t xml:space="preserve">reference Secret Manager, never paste values into environment variables</w:t>
            </w:r>
          </w:p>
        </w:tc>
      </w:tr>
      <w:tr>
        <w:tc>
          <w:tcPr/>
          <w:p>
            <w:pPr>
              <w:pStyle w:val="Compact"/>
              <w:jc w:val="left"/>
            </w:pPr>
            <w:r>
              <w:t xml:space="preserve">Security</w:t>
            </w:r>
          </w:p>
        </w:tc>
        <w:tc>
          <w:tcPr/>
          <w:p>
            <w:pPr>
              <w:pStyle w:val="Compact"/>
              <w:jc w:val="left"/>
            </w:pPr>
            <w:r>
              <w:t xml:space="preserve">Identity-Aware Proxy</w:t>
            </w:r>
          </w:p>
        </w:tc>
        <w:tc>
          <w:tcPr/>
          <w:p>
            <w:pPr>
              <w:pStyle w:val="Compact"/>
              <w:jc w:val="left"/>
            </w:pPr>
            <w:r>
              <w:rPr>
                <w:bCs/>
                <w:b/>
              </w:rPr>
              <w:t xml:space="preserve">Leave off.</w:t>
            </w:r>
            <w:r>
              <w:t xml:space="preserve"> </w:t>
            </w:r>
            <w:r>
              <w:t xml:space="preserve">IAP is enabled on the load balancer backend services instead — see §20.4 and §20.7</w:t>
            </w:r>
          </w:p>
        </w:tc>
      </w:tr>
    </w:tbl>
    <w:p>
      <w:pPr>
        <w:pStyle w:val="BodyText"/>
      </w:pPr>
      <w:r>
        <w:rPr>
          <w:bCs/>
          <w:b/>
        </w:rPr>
        <w:t xml:space="preserve">Do not</w:t>
      </w:r>
      <w:r>
        <w:t xml:space="preserve"> </w:t>
      </w:r>
      <w:r>
        <w:t xml:space="preserve">tick anything that allows unauthenticated invocations. The organisation policy in Part 1 should block it anyway.</w:t>
      </w:r>
    </w:p>
    <w:p>
      <w:pPr>
        <w:pStyle w:val="BodyText"/>
      </w:pPr>
      <w:r>
        <w:rPr>
          <w:bCs/>
          <w:b/>
        </w:rPr>
        <w:t xml:space="preserve">IAP exists in exactly one place.</w:t>
      </w:r>
      <w:r>
        <w:t xml:space="preserve"> </w:t>
      </w:r>
      <w:r>
        <w:t xml:space="preserve">The front door, protecting the BFF, authenticating people: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IAP</w:t>
            </w:r>
          </w:p>
        </w:tc>
        <w:tc>
          <w:tcPr/>
          <w:p>
            <w:pPr>
              <w:pStyle w:val="Compact"/>
              <w:jc w:val="left"/>
            </w:pPr>
            <w:r>
              <w:t xml:space="preserve">How the caller is authenticated</w:t>
            </w:r>
          </w:p>
        </w:tc>
      </w:tr>
      <w:tr>
        <w:tc>
          <w:tcPr/>
          <w:p>
            <w:pPr>
              <w:pStyle w:val="Compact"/>
              <w:jc w:val="left"/>
            </w:pPr>
            <w:r>
              <w:t xml:space="preserve">BFF</w:t>
            </w:r>
          </w:p>
        </w:tc>
        <w:tc>
          <w:tcPr/>
          <w:p>
            <w:pPr>
              <w:pStyle w:val="Compact"/>
              <w:jc w:val="left"/>
            </w:pPr>
            <w:r>
              <w:rPr>
                <w:bCs/>
                <w:b/>
              </w:rPr>
              <w:t xml:space="preserve">on</w:t>
            </w:r>
            <w:r>
              <w:rPr>
                <w:bCs/>
                <w:b/>
              </w:rPr>
              <w:t xml:space="preserve"> </w:t>
            </w:r>
            <w:r>
              <w:rPr>
                <w:rStyle w:val="VerbatimChar"/>
                <w:bCs/>
                <w:b/>
              </w:rPr>
              <w:t xml:space="preserve">bs-aihub-bff</w:t>
            </w:r>
            <w:r>
              <w:t xml:space="preserve">, workforce pool</w:t>
            </w:r>
          </w:p>
        </w:tc>
        <w:tc>
          <w:tcPr/>
          <w:p>
            <w:pPr>
              <w:pStyle w:val="Compact"/>
              <w:jc w:val="left"/>
            </w:pPr>
            <w:r>
              <w:t xml:space="preserve">A person, via Entra</w:t>
            </w:r>
          </w:p>
        </w:tc>
      </w:tr>
      <w:tr>
        <w:tc>
          <w:tcPr/>
          <w:p>
            <w:pPr>
              <w:pStyle w:val="Compact"/>
              <w:jc w:val="left"/>
            </w:pPr>
            <w:r>
              <w:rPr>
                <w:rStyle w:val="VerbatimChar"/>
              </w:rPr>
              <w:t xml:space="preserve">translation-api-service</w:t>
            </w:r>
            <w:r>
              <w:t xml:space="preserve">,</w:t>
            </w:r>
            <w:r>
              <w:t xml:space="preserve"> </w:t>
            </w:r>
            <w:r>
              <w:rPr>
                <w:rStyle w:val="VerbatimChar"/>
              </w:rPr>
              <w:t xml:space="preserve">sales-research-application</w:t>
            </w:r>
            <w:r>
              <w:t xml:space="preserve">,</w:t>
            </w:r>
            <w:r>
              <w:t xml:space="preserve"> </w:t>
            </w:r>
            <w:r>
              <w:rPr>
                <w:rStyle w:val="VerbatimChar"/>
              </w:rPr>
              <w:t xml:space="preserve">mcp-server</w:t>
            </w:r>
          </w:p>
        </w:tc>
        <w:tc>
          <w:tcPr/>
          <w:p>
            <w:pPr>
              <w:pStyle w:val="Compact"/>
              <w:jc w:val="left"/>
            </w:pPr>
            <w:r>
              <w:rPr>
                <w:bCs/>
                <w:b/>
              </w:rPr>
              <w:t xml:space="preserve">none</w:t>
            </w:r>
          </w:p>
        </w:tc>
        <w:tc>
          <w:tcPr/>
          <w:p>
            <w:pPr>
              <w:pStyle w:val="Compact"/>
              <w:jc w:val="left"/>
            </w:pPr>
            <w:r>
              <w:t xml:space="preserve">Cloud Run IAM —</w:t>
            </w:r>
            <w:r>
              <w:t xml:space="preserve"> </w:t>
            </w:r>
            <w:r>
              <w:rPr>
                <w:rStyle w:val="VerbatimChar"/>
              </w:rPr>
              <w:t xml:space="preserve">roles/run.invoker</w:t>
            </w:r>
            <w:r>
              <w:t xml:space="preserve"> </w:t>
            </w:r>
            <w:r>
              <w:t xml:space="preserve">granted only to</w:t>
            </w:r>
            <w:r>
              <w:t xml:space="preserve"> </w:t>
            </w:r>
            <w:r>
              <w:rPr>
                <w:rStyle w:val="VerbatimChar"/>
              </w:rPr>
              <w:t xml:space="preserve">apigee-int-runtime@</w:t>
            </w:r>
          </w:p>
        </w:tc>
      </w:tr>
      <w:tr>
        <w:tc>
          <w:tcPr/>
          <w:p>
            <w:pPr>
              <w:pStyle w:val="Compact"/>
              <w:jc w:val="left"/>
            </w:pPr>
            <w:r>
              <w:rPr>
                <w:rStyle w:val="VerbatimChar"/>
              </w:rPr>
              <w:t xml:space="preserve">translation-worker-service</w:t>
            </w:r>
          </w:p>
        </w:tc>
        <w:tc>
          <w:tcPr/>
          <w:p>
            <w:pPr>
              <w:pStyle w:val="Compact"/>
              <w:jc w:val="left"/>
            </w:pPr>
            <w:r>
              <w:t xml:space="preserve">none</w:t>
            </w:r>
          </w:p>
        </w:tc>
        <w:tc>
          <w:tcPr/>
          <w:p>
            <w:pPr>
              <w:pStyle w:val="Compact"/>
              <w:jc w:val="left"/>
            </w:pPr>
            <w:r>
              <w:t xml:space="preserve">Cloud Run IAM —</w:t>
            </w:r>
            <w:r>
              <w:t xml:space="preserve"> </w:t>
            </w:r>
            <w:r>
              <w:rPr>
                <w:rStyle w:val="VerbatimChar"/>
              </w:rPr>
              <w:t xml:space="preserve">roles/run.invoker</w:t>
            </w:r>
            <w:r>
              <w:t xml:space="preserve"> </w:t>
            </w:r>
            <w:r>
              <w:t xml:space="preserve">granted only to</w:t>
            </w:r>
            <w:r>
              <w:t xml:space="preserve"> </w:t>
            </w:r>
            <w:r>
              <w:rPr>
                <w:rStyle w:val="VerbatimChar"/>
              </w:rPr>
              <w:t xml:space="preserve">worker-invoker-sa@</w:t>
            </w:r>
          </w:p>
        </w:tc>
      </w:tr>
    </w:tbl>
    <w:p>
      <w:pPr>
        <w:pStyle w:val="BodyText"/>
      </w:pPr>
      <w:r>
        <w:rPr>
          <w:bCs/>
          <w:b/>
        </w:rPr>
        <w:t xml:space="preserve">Why the backends need no IAP.</w:t>
      </w:r>
      <w:r>
        <w:t xml:space="preserve"> </w:t>
      </w:r>
      <w:r>
        <w:t xml:space="preserve">IAP was only ever going to solve one problem there: a load balancer invoking a Cloud Run service via a serverless network endpoint group does not pass the caller’s identity through, so Cloud Run sees an anonymous request and would need</w:t>
      </w:r>
      <w:r>
        <w:t xml:space="preserve"> </w:t>
      </w:r>
      <w:r>
        <w:rPr>
          <w:rStyle w:val="VerbatimChar"/>
        </w:rPr>
        <w:t xml:space="preserve">allUsers</w:t>
      </w:r>
      <w:r>
        <w:t xml:space="preserve">, which domain-restricted sharing forbids.</w:t>
      </w:r>
    </w:p>
    <w:p>
      <w:pPr>
        <w:pStyle w:val="BodyText"/>
      </w:pPr>
      <w:r>
        <w:t xml:space="preserve">Cloud Run IAM solves the same problem without IAP. A</w:t>
      </w:r>
      <w:r>
        <w:t xml:space="preserve"> </w:t>
      </w:r>
      <w:r>
        <w:rPr>
          <w:bCs/>
          <w:b/>
        </w:rPr>
        <w:t xml:space="preserve">machine</w:t>
      </w:r>
      <w:r>
        <w:t xml:space="preserve"> </w:t>
      </w:r>
      <w:r>
        <w:t xml:space="preserve">caller can supply its own token — Apigee sends a Google ID token in</w:t>
      </w:r>
      <w:r>
        <w:t xml:space="preserve"> </w:t>
      </w:r>
      <w:r>
        <w:rPr>
          <w:rStyle w:val="VerbatimChar"/>
        </w:rPr>
        <w:t xml:space="preserve">X-Serverless-Authorization</w:t>
      </w:r>
      <w:r>
        <w:t xml:space="preserve">, the load balancer passes the header through untouched, and Cloud Run validates it against</w:t>
      </w:r>
      <w:r>
        <w:t xml:space="preserve"> </w:t>
      </w:r>
      <w:r>
        <w:rPr>
          <w:rStyle w:val="VerbatimChar"/>
        </w:rPr>
        <w:t xml:space="preserve">roles/run.invoker</w:t>
      </w:r>
      <w:r>
        <w:t xml:space="preserve">. The permission is scoped to exactly one service account.</w:t>
      </w:r>
    </w:p>
    <w:p>
      <w:pPr>
        <w:pStyle w:val="BodyText"/>
      </w:pPr>
      <w:r>
        <w:t xml:space="preserve">That leaves one authentication mechanism per boundary, each doing one job: IAP proves a person at the front door, Apigee decides what they may do, Cloud Run IAM proves the machine on the last hop.</w:t>
      </w:r>
    </w:p>
    <w:p>
      <w:pPr>
        <w:pStyle w:val="BodyText"/>
      </w:pPr>
      <w:r>
        <w:rPr>
          <w:bCs/>
          <w:b/>
        </w:rPr>
        <w:t xml:space="preserve">Note the distinction on</w:t>
      </w:r>
      <w:r>
        <w:rPr>
          <w:bCs/>
          <w:b/>
        </w:rPr>
        <w:t xml:space="preserve"> </w:t>
      </w:r>
      <w:r>
        <w:rPr>
          <w:rStyle w:val="VerbatimChar"/>
          <w:bCs/>
          <w:b/>
        </w:rPr>
        <w:t xml:space="preserve">X-Serverless-Authorization</w:t>
      </w:r>
      <w:r>
        <w:rPr>
          <w:bCs/>
          <w:b/>
        </w:rPr>
        <w:t xml:space="preserve">.</w:t>
      </w:r>
      <w:r>
        <w:t xml:space="preserve"> </w:t>
      </w:r>
      <w:r>
        <w:t xml:space="preserve">When IAP is in the path, that header is IAP’s own internal hop and a caller must never construct it. With</w:t>
      </w:r>
      <w:r>
        <w:t xml:space="preserve"> </w:t>
      </w:r>
      <w:r>
        <w:rPr>
          <w:bCs/>
          <w:b/>
        </w:rPr>
        <w:t xml:space="preserve">no IAP</w:t>
      </w:r>
      <w:r>
        <w:t xml:space="preserve"> </w:t>
      </w:r>
      <w:r>
        <w:t xml:space="preserve">on these services, it is the documented header for a caller to present a Cloud Run IAM token — which is exactly the situation here. The two cases are different and the rule is not being broken.</w:t>
      </w:r>
    </w:p>
    <w:bookmarkEnd w:id="171"/>
    <w:bookmarkStart w:id="172" w:name="which-services-need-vpc-egress"/>
    <w:p>
      <w:pPr>
        <w:pStyle w:val="Heading2"/>
      </w:pPr>
      <w:r>
        <w:t xml:space="preserve">19.2 Which services need VPC egress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Direct VPC egress</w:t>
            </w:r>
          </w:p>
        </w:tc>
        <w:tc>
          <w:tcPr/>
          <w:p>
            <w:pPr>
              <w:pStyle w:val="Compact"/>
              <w:jc w:val="left"/>
            </w:pPr>
            <w:r>
              <w:t xml:space="preserve">Why</w:t>
            </w:r>
          </w:p>
        </w:tc>
      </w:tr>
      <w:tr>
        <w:tc>
          <w:tcPr/>
          <w:p>
            <w:pPr>
              <w:pStyle w:val="Compact"/>
              <w:jc w:val="left"/>
            </w:pPr>
            <w:r>
              <w:rPr>
                <w:bCs/>
                <w:b/>
              </w:rPr>
              <w:t xml:space="preserve">BFF</w:t>
            </w:r>
            <w:r>
              <w:t xml:space="preserve"> </w:t>
            </w:r>
            <w:r>
              <w:t xml:space="preserve">(</w:t>
            </w:r>
            <w:r>
              <w:rPr>
                <w:rStyle w:val="VerbatimChar"/>
              </w:rPr>
              <w:t xml:space="preserve">aihub-bff</w:t>
            </w:r>
            <w:r>
              <w:t xml:space="preserve">)</w:t>
            </w:r>
          </w:p>
        </w:tc>
        <w:tc>
          <w:tcPr/>
          <w:p>
            <w:pPr>
              <w:pStyle w:val="Compact"/>
              <w:jc w:val="left"/>
            </w:pPr>
            <w:r>
              <w:rPr>
                <w:bCs/>
                <w:b/>
              </w:rPr>
              <w:t xml:space="preserve">Yes</w:t>
            </w:r>
          </w:p>
        </w:tc>
        <w:tc>
          <w:tcPr/>
          <w:p>
            <w:pPr>
              <w:pStyle w:val="Compact"/>
              <w:jc w:val="left"/>
            </w:pPr>
            <w:r>
              <w:t>Calls Apigee at 192.168.6.146, Firestore and Secret Manager via 192.168.6.164. This is a change from the static SPA, which needed none</w:t>
            </w:r>
            <w:r/>
            <w:r>
              <w:rPr>
                <w:rStyle w:val="VerbatimChar"/>
              </w:rPr>
            </w:r>
            <w:r/>
            <w:r/>
            <w:r>
              <w:rPr>
                <w:rStyle w:val="VerbatimChar"/>
              </w:rPr>
            </w:r>
            <w:r/>
          </w:p>
        </w:tc>
      </w:tr>
      <w:tr>
        <w:tc>
          <w:tcPr/>
          <w:p>
            <w:pPr>
              <w:pStyle w:val="Compact"/>
              <w:jc w:val="left"/>
            </w:pPr>
            <w:r>
              <w:rPr>
                <w:rStyle w:val="VerbatimChar"/>
              </w:rPr>
              <w:t xml:space="preserve">translation-api-service</w:t>
            </w:r>
          </w:p>
        </w:tc>
        <w:tc>
          <w:tcPr/>
          <w:p>
            <w:pPr>
              <w:pStyle w:val="Compact"/>
              <w:jc w:val="left"/>
            </w:pPr>
            <w:r>
              <w:t xml:space="preserve">Yes</w:t>
            </w:r>
          </w:p>
        </w:tc>
        <w:tc>
          <w:tcPr/>
          <w:p>
            <w:pPr>
              <w:pStyle w:val="Compact"/>
              <w:jc w:val="left"/>
            </w:pPr>
            <w:r>
              <w:t xml:space="preserve">Google APIs and the AI gateway</w:t>
            </w:r>
          </w:p>
        </w:tc>
      </w:tr>
      <w:tr>
        <w:tc>
          <w:tcPr/>
          <w:p>
            <w:pPr>
              <w:pStyle w:val="Compact"/>
              <w:jc w:val="left"/>
            </w:pPr>
            <w:r>
              <w:rPr>
                <w:rStyle w:val="VerbatimChar"/>
              </w:rPr>
              <w:t xml:space="preserve">translation-worker-service</w:t>
            </w:r>
          </w:p>
        </w:tc>
        <w:tc>
          <w:tcPr/>
          <w:p>
            <w:pPr>
              <w:pStyle w:val="Compact"/>
              <w:jc w:val="left"/>
            </w:pPr>
            <w:r>
              <w:t xml:space="preserve">Yes</w:t>
            </w:r>
          </w:p>
        </w:tc>
        <w:tc>
          <w:tcPr/>
          <w:p>
            <w:pPr>
              <w:pStyle w:val="Compact"/>
              <w:jc w:val="left"/>
            </w:pPr>
            <w:r>
              <w:t xml:space="preserve">same</w:t>
            </w:r>
          </w:p>
        </w:tc>
      </w:tr>
      <w:tr>
        <w:tc>
          <w:tcPr/>
          <w:p>
            <w:pPr>
              <w:pStyle w:val="Compact"/>
              <w:jc w:val="left"/>
            </w:pPr>
            <w:r>
              <w:rPr>
                <w:rStyle w:val="VerbatimChar"/>
              </w:rPr>
              <w:t xml:space="preserve">sales-research-application</w:t>
            </w:r>
          </w:p>
        </w:tc>
        <w:tc>
          <w:tcPr/>
          <w:p>
            <w:pPr>
              <w:pStyle w:val="Compact"/>
              <w:jc w:val="left"/>
            </w:pPr>
            <w:r>
              <w:t xml:space="preserve">Yes</w:t>
            </w:r>
          </w:p>
        </w:tc>
        <w:tc>
          <w:tcPr/>
          <w:p>
            <w:pPr>
              <w:pStyle w:val="Compact"/>
              <w:jc w:val="left"/>
            </w:pPr>
            <w:r>
              <w:t xml:space="preserve">plus Vector Search</w:t>
            </w:r>
          </w:p>
        </w:tc>
      </w:tr>
      <w:tr>
        <w:tc>
          <w:tcPr/>
          <w:p>
            <w:pPr>
              <w:pStyle w:val="Compact"/>
              <w:jc w:val="left"/>
            </w:pPr>
            <w:r>
              <w:rPr>
                <w:rStyle w:val="VerbatimChar"/>
              </w:rPr>
              <w:t xml:space="preserve">mcp-server</w:t>
            </w:r>
          </w:p>
        </w:tc>
        <w:tc>
          <w:tcPr/>
          <w:p>
            <w:pPr>
              <w:pStyle w:val="Compact"/>
              <w:jc w:val="left"/>
            </w:pPr>
            <w:r>
              <w:t xml:space="preserve">Yes</w:t>
            </w:r>
          </w:p>
        </w:tc>
        <w:tc>
          <w:tcPr/>
          <w:p>
            <w:pPr>
              <w:pStyle w:val="Compact"/>
            </w:pPr>
          </w:p>
        </w:tc>
      </w:tr>
    </w:tbl>
    <w:bookmarkEnd w:id="172"/>
    <w:bookmarkStart w:id="175" w:name="the-instance-budget-a-real-constraint"/>
    <w:p>
      <w:pPr>
        <w:pStyle w:val="Heading2"/>
      </w:pPr>
      <w:r>
        <w:t xml:space="preserve">19.3 The instance budget — a real constraint</w:t>
      </w:r>
    </w:p>
    <w:p>
      <w:pPr>
        <w:pStyle w:val="FirstParagraph"/>
      </w:pPr>
      <w:r>
        <w:t>Direct VPC egress assigns addresses from 192.168.4.0/23, which has 508 usable. Google’s documented sizing rules are stricter than they first appear:</w:t>
      </w:r>
      <w:r/>
      <w:r>
        <w:rPr>
          <w:rStyle w:val="VerbatimChar"/>
        </w:rPr>
      </w:r>
      <w:r/>
    </w:p>
    <w:p>
      <w:pPr>
        <w:numPr>
          <w:ilvl w:val="0"/>
          <w:numId w:val="1022"/>
        </w:numPr>
        <w:pStyle w:val="Compact"/>
      </w:pPr>
      <w:r>
        <w:rPr>
          <w:bCs/>
          <w:b/>
        </w:rPr>
        <w:t xml:space="preserve">Steady state is about 2 addresses per instance</w:t>
      </w:r>
      <w:r>
        <w:t xml:space="preserve">, not one. Cloud Monitoring’s instance-count metric should be multiplied by 2 to estimate addresses in use.</w:t>
      </w:r>
    </w:p>
    <w:p>
      <w:pPr>
        <w:numPr>
          <w:ilvl w:val="0"/>
          <w:numId w:val="1022"/>
        </w:numPr>
        <w:pStyle w:val="Compact"/>
      </w:pPr>
      <w:r>
        <w:rPr>
          <w:bCs/>
          <w:b/>
        </w:rPr>
        <w:t xml:space="preserve">A revision rollout needs 4x peak.</w:t>
      </w:r>
      <w:r>
        <w:t xml:space="preserve"> </w:t>
      </w:r>
      <w:r>
        <w:t xml:space="preserve">The documented example: revision 1 scaling from 100 to zero while revision 2 scales zero to 100 requires 400 addresses reserved —</w:t>
      </w:r>
      <w:r>
        <w:t xml:space="preserve"> </w:t>
      </w:r>
      <w:r>
        <w:rPr>
          <w:rStyle w:val="VerbatimChar"/>
        </w:rPr>
        <w:t xml:space="preserve">(100 + 100) x 2</w:t>
      </w:r>
      <w:r>
        <w:t xml:space="preserve">.</w:t>
      </w:r>
    </w:p>
    <w:p>
      <w:pPr>
        <w:numPr>
          <w:ilvl w:val="0"/>
          <w:numId w:val="1022"/>
        </w:numPr>
        <w:pStyle w:val="Compact"/>
      </w:pPr>
      <w:r>
        <w:rPr>
          <w:bCs/>
          <w:b/>
        </w:rPr>
        <w:t xml:space="preserve">Addresses are retained for up to 20 minutes</w:t>
      </w:r>
      <w:r>
        <w:t xml:space="preserve"> </w:t>
      </w:r>
      <w:r>
        <w:t xml:space="preserve">after a revision scales down, which is what creates the overlap.</w:t>
      </w:r>
    </w:p>
    <w:p>
      <w:pPr>
        <w:numPr>
          <w:ilvl w:val="0"/>
          <w:numId w:val="1022"/>
        </w:numPr>
        <w:pStyle w:val="Compact"/>
      </w:pPr>
      <w:r>
        <w:rPr>
          <w:bCs/>
          <w:b/>
        </w:rPr>
        <w:t xml:space="preserve">Addresses are reserved in blocks of 16</w:t>
      </w:r>
      <w:r>
        <w:t xml:space="preserve">, so real capacity is a little below the raw count.</w:t>
      </w:r>
    </w:p>
    <w:p>
      <w:pPr>
        <w:numPr>
          <w:ilvl w:val="0"/>
          <w:numId w:val="1022"/>
        </w:numPr>
        <w:pStyle w:val="Compact"/>
      </w:pPr>
      <w:r>
        <w:t xml:space="preserve">The subnet must be</w:t>
      </w:r>
      <w:r>
        <w:t xml:space="preserve"> </w:t>
      </w:r>
      <w:r>
        <w:rPr>
          <w:rStyle w:val="VerbatimChar"/>
        </w:rPr>
        <w:t xml:space="preserve">/26</w:t>
      </w:r>
      <w:r>
        <w:t xml:space="preserve"> </w:t>
      </w:r>
      <w:r>
        <w:t xml:space="preserve">or larger. Ours is</w:t>
      </w:r>
      <w:r>
        <w:t xml:space="preserve"> </w:t>
      </w:r>
      <w:r>
        <w:rPr>
          <w:rStyle w:val="VerbatimChar"/>
        </w:rPr>
        <w:t xml:space="preserve">/25</w:t>
      </w:r>
      <w:r>
        <w:t xml:space="preserve">, so that is satisfied.</w:t>
      </w:r>
    </w:p>
    <w:bookmarkStart w:id="173" w:name="the-number"/>
    <w:p>
      <w:pPr>
        <w:pStyle w:val="Heading3"/>
      </w:pPr>
      <w:r>
        <w:t xml:space="preserve">The number</w:t>
      </w:r>
    </w:p>
    <w:p>
      <w:pPr>
        <w:pStyle w:val="FirstParagraph"/>
      </w:pPr>
      <w:r>
        <w:t>508 usable ÷ 4 = 127 total maximum instances across all services. The BFF now takes the largest share, because it sits on every request including static asset fetches:</w:t>
      </w:r>
      <w:r/>
      <w:r>
        <w:rPr>
          <w:bCs/>
          <w:b/>
        </w:rPr>
      </w:r>
      <w:r/>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Service</w:t>
            </w:r>
          </w:p>
        </w:tc>
        <w:tc>
          <w:tcPr/>
          <w:p>
            <w:pPr>
              <w:pStyle w:val="Compact"/>
              <w:jc w:val="left"/>
            </w:pPr>
            <w:r>
              <w:t xml:space="preserve">Maximum instances</w:t>
            </w:r>
          </w:p>
        </w:tc>
      </w:tr>
      <w:tr>
        <w:tc>
          <w:tcPr/>
          <w:p>
            <w:pPr>
              <w:pStyle w:val="Compact"/>
              <w:jc w:val="left"/>
            </w:pPr>
            <w:r>
              <w:rPr>
                <w:bCs/>
                <w:b/>
              </w:rPr>
              <w:t xml:space="preserve">BFF</w:t>
            </w:r>
          </w:p>
        </w:tc>
        <w:tc>
          <w:tcPr/>
          <w:p>
            <w:pPr>
              <w:pStyle w:val="Compact"/>
              <w:jc w:val="left"/>
            </w:pPr>
            <w:r>
              <w:t xml:space="preserve">10</w:t>
            </w:r>
          </w:p>
        </w:tc>
      </w:tr>
      <w:tr>
        <w:tc>
          <w:tcPr/>
          <w:p>
            <w:pPr>
              <w:pStyle w:val="Compact"/>
              <w:jc w:val="left"/>
            </w:pPr>
            <w:r>
              <w:rPr>
                <w:rStyle w:val="VerbatimChar"/>
              </w:rPr>
              <w:t xml:space="preserve">translation-api-service</w:t>
            </w:r>
          </w:p>
        </w:tc>
        <w:tc>
          <w:tcPr/>
          <w:p>
            <w:pPr>
              <w:pStyle w:val="Compact"/>
              <w:jc w:val="left"/>
            </w:pPr>
            <w:r>
              <w:t xml:space="preserve">7</w:t>
            </w:r>
          </w:p>
        </w:tc>
      </w:tr>
      <w:tr>
        <w:tc>
          <w:tcPr/>
          <w:p>
            <w:pPr>
              <w:pStyle w:val="Compact"/>
              <w:jc w:val="left"/>
            </w:pPr>
            <w:r>
              <w:rPr>
                <w:rStyle w:val="VerbatimChar"/>
              </w:rPr>
              <w:t xml:space="preserve">translation-worker-service</w:t>
            </w:r>
          </w:p>
        </w:tc>
        <w:tc>
          <w:tcPr/>
          <w:p>
            <w:pPr>
              <w:pStyle w:val="Compact"/>
              <w:jc w:val="left"/>
            </w:pPr>
            <w:r>
              <w:t xml:space="preserve">7</w:t>
            </w:r>
          </w:p>
        </w:tc>
      </w:tr>
      <w:tr>
        <w:tc>
          <w:tcPr/>
          <w:p>
            <w:pPr>
              <w:pStyle w:val="Compact"/>
              <w:jc w:val="left"/>
            </w:pPr>
            <w:r>
              <w:rPr>
                <w:rStyle w:val="VerbatimChar"/>
              </w:rPr>
              <w:t xml:space="preserve">sales-research-application</w:t>
            </w:r>
          </w:p>
        </w:tc>
        <w:tc>
          <w:tcPr/>
          <w:p>
            <w:pPr>
              <w:pStyle w:val="Compact"/>
              <w:jc w:val="left"/>
            </w:pPr>
            <w:r>
              <w:t xml:space="preserve">4</w:t>
            </w:r>
          </w:p>
        </w:tc>
      </w:tr>
      <w:tr>
        <w:tc>
          <w:tcPr/>
          <w:p>
            <w:pPr>
              <w:pStyle w:val="Compact"/>
              <w:jc w:val="left"/>
            </w:pPr>
            <w:r>
              <w:rPr>
                <w:rStyle w:val="VerbatimChar"/>
              </w:rPr>
              <w:t xml:space="preserve">mcp-server</w:t>
            </w:r>
          </w:p>
        </w:tc>
        <w:tc>
          <w:tcPr/>
          <w:p>
            <w:pPr>
              <w:pStyle w:val="Compact"/>
              <w:jc w:val="left"/>
            </w:pPr>
            <w:r>
              <w:t xml:space="preserve">3</w:t>
            </w:r>
          </w:p>
        </w:tc>
      </w:tr>
      <w:tr>
        <w:tc>
          <w:tcPr/>
          <w:p>
            <w:pPr>
              <w:pStyle w:val="Compact"/>
              <w:jc w:val="left"/>
            </w:pPr>
            <w:r>
              <w:rPr>
                <w:bCs/>
                <w:b/>
              </w:rPr>
              <w:t xml:space="preserve">Total</w:t>
            </w:r>
          </w:p>
        </w:tc>
        <w:tc>
          <w:tcPr/>
          <w:p>
            <w:pPr>
              <w:pStyle w:val="Compact"/>
              <w:jc w:val="left"/>
            </w:pPr>
            <w:r>
              <w:rPr>
                <w:bCs/>
                <w:b/>
              </w:rPr>
              <w:t xml:space="preserve">31</w:t>
            </w:r>
          </w:p>
        </w:tc>
      </w:tr>
    </w:tbl>
    <w:p>
      <w:pPr>
        <w:pStyle w:val="BodyText"/>
      </w:pPr>
      <w:r>
        <w:t>For a development environment that is comfortable — 127 concurrent instances is a lot of parallel work. But it is a hard ceiling, so agree it with the application teams and write it down. If services default to a high maximum, a rollout eventually cannot obtain addresses and stalls, and the error will not obviously say “out of IP addresses”.</w:t>
      </w:r>
      <w:r/>
      <w:r/>
      <w:r/>
      <w:r/>
      <w:r/>
    </w:p>
    <w:p>
      <w:pPr>
        <w:pStyle w:val="BodyText"/>
      </w:pPr>
      <w:r>
        <w:rPr>
          <w:bCs/>
          <w:b/>
        </w:rPr>
        <w:t xml:space="preserve">Monitor it:</w:t>
      </w:r>
      <w:r>
        <w:t xml:space="preserve"> </w:t>
      </w:r>
      <w:r>
        <w:t xml:space="preserve">track the Cloud Run instance-count metric, multiply by 2, and alert if it exceeds 60 — that is the point at which a rollout starts to be at risk.</w:t>
      </w:r>
    </w:p>
    <w:bookmarkEnd w:id="173"/>
    <w:bookmarkStart w:id="174" w:name="if-you-need-more"/>
    <w:p>
      <w:pPr>
        <w:pStyle w:val="Heading3"/>
      </w:pPr>
      <w:r>
        <w:t xml:space="preserve">If you need more</w:t>
      </w:r>
    </w:p>
    <w:p>
      <w:pPr>
        <w:pStyle w:val="FirstParagraph"/>
      </w:pPr>
      <w:r>
        <w:t>Every service now needs VPC egress, so the free headroom the static SPA used to provide is gone. Google recommends keeping multiple services on the same subnet for allocation efficiency, so the answer is a larger single subnet rather than several small ones — which means another IPAM request, since 192.168.4.0/22 is fully carved.</w:t>
      </w:r>
      <w:r/>
      <w:r>
        <w:rPr>
          <w:bCs/>
          <w:b/>
        </w:rPr>
      </w:r>
      <w:r/>
      <w:r/>
      <w:r/>
      <w:r>
        <w:rPr>
          <w:rStyle w:val="VerbatimChar"/>
        </w:rPr>
      </w:r>
      <w:r/>
      <w:r/>
    </w:p>
    <w:bookmarkEnd w:id="174"/>
    <w:bookmarkEnd w:id="175"/>
    <w:bookmarkStart w:id="182" w:name="what-the-bff-must-do"/>
    <w:p>
      <w:pPr>
        <w:pStyle w:val="Heading2"/>
      </w:pPr>
      <w:r>
        <w:t xml:space="preserve">19.4 What the BFF must do</w:t>
      </w:r>
    </w:p>
    <w:p>
      <w:pPr>
        <w:pStyle w:val="FirstParagraph"/>
      </w:pPr>
      <w:r>
        <w:t xml:space="preserve">The BFF is the OAuth client and the session authority. Everything below is required, not advisory — full reasoning in</w:t>
      </w:r>
      <w:r>
        <w:t xml:space="preserve"> </w:t>
      </w:r>
      <w:r>
        <w:rPr>
          <w:rStyle w:val="VerbatimChar"/>
        </w:rPr>
        <w:t xml:space="preserve">13-session-lifecycle-and-limits.md</w:t>
      </w:r>
      <w:r>
        <w:t xml:space="preserve">.</w:t>
      </w:r>
    </w:p>
    <w:bookmarkStart w:id="176" w:name="authentication"/>
    <w:p>
      <w:pPr>
        <w:pStyle w:val="Heading3"/>
      </w:pPr>
      <w:r>
        <w:t xml:space="preserve">Authentication</w:t>
      </w:r>
    </w:p>
    <w:p>
      <w:pPr>
        <w:numPr>
          <w:ilvl w:val="0"/>
          <w:numId w:val="1023"/>
        </w:numPr>
        <w:pStyle w:val="Compact"/>
      </w:pPr>
      <w:r>
        <w:rPr>
          <w:bCs/>
          <w:b/>
        </w:rPr>
        <w:t xml:space="preserve">Complete the authorisation code exchange</w:t>
      </w:r>
      <w:r>
        <w:t xml:space="preserve"> </w:t>
      </w:r>
      <w:r>
        <w:t xml:space="preserve">with Entra using the confidential-client credential from Secret Manager, seeding</w:t>
      </w:r>
      <w:r>
        <w:t xml:space="preserve"> </w:t>
      </w:r>
      <w:r>
        <w:rPr>
          <w:rStyle w:val="VerbatimChar"/>
        </w:rPr>
        <w:t xml:space="preserve">login_hint</w:t>
      </w:r>
      <w:r>
        <w:t xml:space="preserve"> </w:t>
      </w:r>
      <w:r>
        <w:t xml:space="preserve">from the IAP assertion so no second prompt appears.</w:t>
      </w:r>
    </w:p>
    <w:p>
      <w:pPr>
        <w:numPr>
          <w:ilvl w:val="0"/>
          <w:numId w:val="1023"/>
        </w:numPr>
        <w:pStyle w:val="Compact"/>
      </w:pPr>
      <w:r>
        <w:rPr>
          <w:bCs/>
          <w:b/>
        </w:rPr>
        <w:t xml:space="preserve">Grant admin consent</w:t>
      </w:r>
      <w:r>
        <w:t xml:space="preserve"> </w:t>
      </w:r>
      <w:r>
        <w:t xml:space="preserve">beforehand, or every sign-in shows a consent screen.</w:t>
      </w:r>
    </w:p>
    <w:bookmarkEnd w:id="176"/>
    <w:bookmarkStart w:id="177" w:name="session-creation"/>
    <w:p>
      <w:pPr>
        <w:pStyle w:val="Heading3"/>
      </w:pPr>
      <w:r>
        <w:t xml:space="preserve">Session creation</w:t>
      </w:r>
    </w:p>
    <w:p>
      <w:pPr>
        <w:numPr>
          <w:ilvl w:val="0"/>
          <w:numId w:val="1024"/>
        </w:numPr>
        <w:pStyle w:val="Compact"/>
      </w:pPr>
      <w:r>
        <w:rPr>
          <w:bCs/>
          <w:b/>
        </w:rPr>
        <w:t xml:space="preserve">Store the session in Firestore keyed on the SHA-256 hash of the session identifier</w:t>
      </w:r>
      <w:r>
        <w:t xml:space="preserve"> </w:t>
      </w:r>
      <w:r>
        <w:t xml:space="preserve">— never the identifier itself. Anyone who can read the database must not thereby hold usable cookies.</w:t>
      </w:r>
    </w:p>
    <w:p>
      <w:pPr>
        <w:numPr>
          <w:ilvl w:val="0"/>
          <w:numId w:val="1024"/>
        </w:numPr>
        <w:pStyle w:val="Compact"/>
      </w:pPr>
      <w:r>
        <w:rPr>
          <w:bCs/>
          <w:b/>
        </w:rPr>
        <w:t xml:space="preserve">Envelope-encrypt the tokens with a cached data encryption key</w:t>
      </w:r>
      <w:r>
        <w:t xml:space="preserve">, wrapped by Cloud KMS.</w:t>
      </w:r>
      <w:r>
        <w:t xml:space="preserve"> </w:t>
      </w:r>
      <w:r>
        <w:rPr>
          <w:bCs/>
          <w:b/>
        </w:rPr>
        <w:t xml:space="preserve">Not a KMS call per read</w:t>
      </w:r>
      <w:r>
        <w:t xml:space="preserve"> </w:t>
      </w:r>
      <w:r>
        <w:t xml:space="preserve">— that adds 10 to 30 ms to every request and consumes KMS quota at your full request rate.</w:t>
      </w:r>
    </w:p>
    <w:p>
      <w:pPr>
        <w:numPr>
          <w:ilvl w:val="0"/>
          <w:numId w:val="1024"/>
        </w:numPr>
        <w:pStyle w:val="Compact"/>
      </w:pPr>
      <w:r>
        <w:rPr>
          <w:bCs/>
          <w:b/>
        </w:rPr>
        <w:t xml:space="preserve">Set the cookie as</w:t>
      </w:r>
      <w:r>
        <w:rPr>
          <w:bCs/>
          <w:b/>
        </w:rPr>
        <w:t xml:space="preserve"> </w:t>
      </w:r>
      <w:r>
        <w:rPr>
          <w:rStyle w:val="VerbatimChar"/>
          <w:bCs/>
          <w:b/>
        </w:rPr>
        <w:t xml:space="preserve">__Host-AISESSION</w:t>
      </w:r>
      <w:r>
        <w:rPr>
          <w:bCs/>
          <w:b/>
        </w:rPr>
        <w:t xml:space="preserve">,</w:t>
      </w:r>
      <w:r>
        <w:rPr>
          <w:bCs/>
          <w:b/>
        </w:rPr>
        <w:t xml:space="preserve"> </w:t>
      </w:r>
      <w:r>
        <w:rPr>
          <w:rStyle w:val="VerbatimChar"/>
          <w:bCs/>
          <w:b/>
        </w:rPr>
        <w:t xml:space="preserve">HttpOnly</w:t>
      </w:r>
      <w:r>
        <w:rPr>
          <w:bCs/>
          <w:b/>
        </w:rPr>
        <w:t xml:space="preserve">,</w:t>
      </w:r>
      <w:r>
        <w:rPr>
          <w:bCs/>
          <w:b/>
        </w:rPr>
        <w:t xml:space="preserve"> </w:t>
      </w:r>
      <w:r>
        <w:rPr>
          <w:rStyle w:val="VerbatimChar"/>
          <w:bCs/>
          <w:b/>
        </w:rPr>
        <w:t xml:space="preserve">Secure</w:t>
      </w:r>
      <w:r>
        <w:rPr>
          <w:bCs/>
          <w:b/>
        </w:rPr>
        <w:t xml:space="preserve">,</w:t>
      </w:r>
      <w:r>
        <w:rPr>
          <w:bCs/>
          <w:b/>
        </w:rPr>
        <w:t xml:space="preserve"> </w:t>
      </w:r>
      <w:r>
        <w:rPr>
          <w:rStyle w:val="VerbatimChar"/>
          <w:bCs/>
          <w:b/>
        </w:rPr>
        <w:t xml:space="preserve">SameSite=Lax</w:t>
      </w:r>
      <w:r>
        <w:rPr>
          <w:bCs/>
          <w:b/>
        </w:rPr>
        <w:t xml:space="preserve">.</w:t>
      </w:r>
      <w:r>
        <w:t xml:space="preserve"> </w:t>
      </w:r>
      <w:r>
        <w:t xml:space="preserve">Not</w:t>
      </w:r>
      <w:r>
        <w:t xml:space="preserve"> </w:t>
      </w:r>
      <w:r>
        <w:rPr>
          <w:rStyle w:val="VerbatimChar"/>
        </w:rPr>
        <w:t xml:space="preserve">Strict</w:t>
      </w:r>
      <w:r>
        <w:t xml:space="preserve"> </w:t>
      </w:r>
      <w:r>
        <w:t xml:space="preserve">— that drops the cookie on the return leg of the Entra redirect and the login loops.</w:t>
      </w:r>
    </w:p>
    <w:bookmarkEnd w:id="177"/>
    <w:bookmarkStart w:id="178" w:name="session-lifetime"/>
    <w:p>
      <w:pPr>
        <w:pStyle w:val="Heading3"/>
      </w:pPr>
      <w:r>
        <w:t xml:space="preserve">Session lifetime</w:t>
      </w:r>
    </w:p>
    <w:p>
      <w:pPr>
        <w:numPr>
          <w:ilvl w:val="0"/>
          <w:numId w:val="1025"/>
        </w:numPr>
        <w:pStyle w:val="Compact"/>
      </w:pPr>
      <w:r>
        <w:rPr>
          <w:bCs/>
          <w:b/>
        </w:rPr>
        <w:t xml:space="preserve">Check expiry on every read.</w:t>
      </w:r>
      <w:r>
        <w:t xml:space="preserve"> </w:t>
      </w:r>
      <w:r>
        <w:t xml:space="preserve">Firestore TTL deletion lags by up to 24 hours, so TTL is housekeeping and not enforcement. A design relying on TTL has sessions outliving their stated lifetime by a day.</w:t>
      </w:r>
    </w:p>
    <w:p>
      <w:pPr>
        <w:numPr>
          <w:ilvl w:val="0"/>
          <w:numId w:val="1025"/>
        </w:numPr>
        <w:pStyle w:val="Compact"/>
      </w:pPr>
      <w:r>
        <w:rPr>
          <w:bCs/>
          <w:b/>
        </w:rPr>
        <w:t xml:space="preserve">Throttle</w:t>
      </w:r>
      <w:r>
        <w:rPr>
          <w:bCs/>
          <w:b/>
        </w:rPr>
        <w:t xml:space="preserve"> </w:t>
      </w:r>
      <w:r>
        <w:rPr>
          <w:rStyle w:val="VerbatimChar"/>
          <w:bCs/>
          <w:b/>
        </w:rPr>
        <w:t xml:space="preserve">last_seen_at</w:t>
      </w:r>
      <w:r>
        <w:rPr>
          <w:bCs/>
          <w:b/>
        </w:rPr>
        <w:t xml:space="preserve"> </w:t>
      </w:r>
      <w:r>
        <w:rPr>
          <w:bCs/>
          <w:b/>
        </w:rPr>
        <w:t xml:space="preserve">writes to once a minute.</w:t>
      </w:r>
      <w:r>
        <w:t xml:space="preserve"> </w:t>
      </w:r>
      <w:r>
        <w:t xml:space="preserve">Firestore sustains roughly one write per second per document, and a naive write per request will hit that on an active session.</w:t>
      </w:r>
    </w:p>
    <w:p>
      <w:pPr>
        <w:numPr>
          <w:ilvl w:val="0"/>
          <w:numId w:val="1025"/>
        </w:numPr>
        <w:pStyle w:val="Compact"/>
      </w:pPr>
      <w:r>
        <w:rPr>
          <w:bCs/>
          <w:b/>
        </w:rPr>
        <w:t xml:space="preserve">Rotate the session identifier</w:t>
      </w:r>
      <w:r>
        <w:t xml:space="preserve"> </w:t>
      </w:r>
      <w:r>
        <w:t xml:space="preserve">on authentication and on any privilege change — a new document, a new cookie, and the old document marked superseded with a</w:t>
      </w:r>
      <w:r>
        <w:t xml:space="preserve"> </w:t>
      </w:r>
      <w:r>
        <w:rPr>
          <w:bCs/>
          <w:b/>
        </w:rPr>
        <w:t xml:space="preserve">30-second grace window</w:t>
      </w:r>
      <w:r>
        <w:t xml:space="preserve"> </w:t>
      </w:r>
      <w:r>
        <w:t xml:space="preserve">so in-flight parallel requests do not fail.</w:t>
      </w:r>
    </w:p>
    <w:bookmarkEnd w:id="178"/>
    <w:bookmarkStart w:id="179" w:name="token-refresh"/>
    <w:p>
      <w:pPr>
        <w:pStyle w:val="Heading3"/>
      </w:pPr>
      <w:r>
        <w:t xml:space="preserve">Token refresh</w:t>
      </w:r>
    </w:p>
    <w:p>
      <w:pPr>
        <w:numPr>
          <w:ilvl w:val="0"/>
          <w:numId w:val="1026"/>
        </w:numPr>
        <w:pStyle w:val="Compact"/>
      </w:pPr>
      <w:r>
        <w:rPr>
          <w:bCs/>
          <w:b/>
        </w:rPr>
        <w:t xml:space="preserve">Refresh at 80% of the access token’s lifetime, with jitter</w:t>
      </w:r>
      <w:r>
        <w:t xml:space="preserve">, so instances do not synchronise onto the same instant.</w:t>
      </w:r>
    </w:p>
    <w:p>
      <w:pPr>
        <w:numPr>
          <w:ilvl w:val="0"/>
          <w:numId w:val="1026"/>
        </w:numPr>
        <w:pStyle w:val="Compact"/>
      </w:pPr>
      <w:r>
        <w:rPr>
          <w:bCs/>
          <w:b/>
        </w:rPr>
        <w:t xml:space="preserve">Serialise refresh with a Firestore lease</w:t>
      </w:r>
      <w:r>
        <w:t xml:space="preserve"> </w:t>
      </w:r>
      <w:r>
        <w:t xml:space="preserve">of about 10 seconds. One request refreshes, others back off and re-read. Without this, concurrent requests all attempt a refresh, rotation invalidates the token, and the losers sign the user out at random under load.</w:t>
      </w:r>
    </w:p>
    <w:p>
      <w:pPr>
        <w:numPr>
          <w:ilvl w:val="0"/>
          <w:numId w:val="1026"/>
        </w:numPr>
        <w:pStyle w:val="Compact"/>
      </w:pPr>
      <w:r>
        <w:rPr>
          <w:bCs/>
          <w:b/>
        </w:rPr>
        <w:t xml:space="preserve">The Entra call must time out well inside the lease.</w:t>
      </w:r>
      <w:r>
        <w:t xml:space="preserve"> </w:t>
      </w:r>
      <w:r>
        <w:t xml:space="preserve">A 30-second HTTP timeout under a 10-second lease recreates the stampede.</w:t>
      </w:r>
    </w:p>
    <w:p>
      <w:pPr>
        <w:numPr>
          <w:ilvl w:val="0"/>
          <w:numId w:val="1026"/>
        </w:numPr>
        <w:pStyle w:val="Compact"/>
      </w:pPr>
      <w:r>
        <w:rPr>
          <w:bCs/>
          <w:b/>
        </w:rPr>
        <w:t xml:space="preserve">On</w:t>
      </w:r>
      <w:r>
        <w:rPr>
          <w:bCs/>
          <w:b/>
        </w:rPr>
        <w:t xml:space="preserve"> </w:t>
      </w:r>
      <w:r>
        <w:rPr>
          <w:rStyle w:val="VerbatimChar"/>
          <w:bCs/>
          <w:b/>
        </w:rPr>
        <w:t xml:space="preserve">invalid_grant</w:t>
      </w:r>
      <w:r>
        <w:rPr>
          <w:bCs/>
          <w:b/>
        </w:rPr>
        <w:t xml:space="preserve">, terminate the session</w:t>
      </w:r>
      <w:r>
        <w:t xml:space="preserve"> </w:t>
      </w:r>
      <w:r>
        <w:t xml:space="preserve">and force re-authentication. Never retry.</w:t>
      </w:r>
    </w:p>
    <w:bookmarkEnd w:id="179"/>
    <w:bookmarkStart w:id="180" w:name="logout"/>
    <w:p>
      <w:pPr>
        <w:pStyle w:val="Heading3"/>
      </w:pPr>
      <w:r>
        <w:t xml:space="preserve">Logout</w:t>
      </w:r>
    </w:p>
    <w:p>
      <w:pPr>
        <w:numPr>
          <w:ilvl w:val="0"/>
          <w:numId w:val="1027"/>
        </w:numPr>
        <w:pStyle w:val="Compact"/>
      </w:pPr>
      <w:r>
        <w:rPr>
          <w:rStyle w:val="VerbatimChar"/>
          <w:bCs/>
          <w:b/>
        </w:rPr>
        <w:t xml:space="preserve">POST /auth/logout</w:t>
      </w:r>
      <w:r>
        <w:rPr>
          <w:bCs/>
          <w:b/>
        </w:rPr>
        <w:t xml:space="preserve">, CSRF-protected.</w:t>
      </w:r>
      <w:r>
        <w:t xml:space="preserve"> </w:t>
      </w:r>
      <w:r>
        <w:t xml:space="preserve">A logout reachable by GET is itself a cross-site request forgery vector.</w:t>
      </w:r>
    </w:p>
    <w:p>
      <w:pPr>
        <w:numPr>
          <w:ilvl w:val="0"/>
          <w:numId w:val="1027"/>
        </w:numPr>
        <w:pStyle w:val="Compact"/>
      </w:pPr>
      <w:r>
        <w:t xml:space="preserve">Order matters:</w:t>
      </w:r>
      <w:r>
        <w:t xml:space="preserve"> </w:t>
      </w:r>
      <w:r>
        <w:rPr>
          <w:bCs/>
          <w:b/>
        </w:rPr>
        <w:t xml:space="preserve">revoke the refresh token at Entra first</w:t>
      </w:r>
      <w:r>
        <w:t xml:space="preserve"> </w:t>
      </w:r>
      <w:r>
        <w:t xml:space="preserve">while you still have it, then</w:t>
      </w:r>
      <w:r>
        <w:t xml:space="preserve"> </w:t>
      </w:r>
      <w:r>
        <w:rPr>
          <w:bCs/>
          <w:b/>
        </w:rPr>
        <w:t xml:space="preserve">delete</w:t>
      </w:r>
      <w:r>
        <w:t xml:space="preserve"> </w:t>
      </w:r>
      <w:r>
        <w:t xml:space="preserve">the Firestore document, then clear the cookie with</w:t>
      </w:r>
      <w:r>
        <w:t xml:space="preserve"> </w:t>
      </w:r>
      <w:r>
        <w:rPr>
          <w:iCs/>
          <w:i/>
        </w:rPr>
        <w:t xml:space="preserve">identical</w:t>
      </w:r>
      <w:r>
        <w:t xml:space="preserve"> </w:t>
      </w:r>
      <w:r>
        <w:t xml:space="preserve">attributes, then</w:t>
      </w:r>
      <w:r>
        <w:t xml:space="preserve"> </w:t>
      </w:r>
      <w:r>
        <w:rPr>
          <w:bCs/>
          <w:b/>
        </w:rPr>
        <w:t xml:space="preserve">redirect to IAP’s clear-cookie endpoint</w:t>
      </w:r>
      <w:r>
        <w:t xml:space="preserve">.</w:t>
      </w:r>
    </w:p>
    <w:p>
      <w:pPr>
        <w:numPr>
          <w:ilvl w:val="0"/>
          <w:numId w:val="1027"/>
        </w:numPr>
        <w:pStyle w:val="Compact"/>
      </w:pPr>
      <w:r>
        <w:rPr>
          <w:bCs/>
          <w:b/>
        </w:rPr>
        <w:t xml:space="preserve">Clearing the IAP session is mandatory.</w:t>
      </w:r>
      <w:r>
        <w:t xml:space="preserve"> </w:t>
      </w:r>
      <w:r>
        <w:t xml:space="preserve">Clear only the application session and the next person at that browser is silently signed in as the previous user — no app session, but IAP and Entra sessions still live, so re-authentication completes invisibly.</w:t>
      </w:r>
    </w:p>
    <w:p>
      <w:pPr>
        <w:numPr>
          <w:ilvl w:val="0"/>
          <w:numId w:val="1027"/>
        </w:numPr>
        <w:pStyle w:val="Compact"/>
      </w:pPr>
      <w:r>
        <w:t xml:space="preserve">Offer</w:t>
      </w:r>
      <w:r>
        <w:t xml:space="preserve"> </w:t>
      </w:r>
      <w:r>
        <w:rPr>
          <w:bCs/>
          <w:b/>
        </w:rPr>
        <w:t xml:space="preserve">“</w:t>
      </w:r>
      <w:r>
        <w:rPr>
          <w:bCs/>
          <w:b/>
        </w:rPr>
        <w:t xml:space="preserve">Sign out everywhere</w:t>
      </w:r>
      <w:r>
        <w:rPr>
          <w:bCs/>
          <w:b/>
        </w:rPr>
        <w:t xml:space="preserve">”</w:t>
      </w:r>
      <w:r>
        <w:t xml:space="preserve"> </w:t>
      </w:r>
      <w:r>
        <w:t xml:space="preserve">separately, which additionally ends the Entra session. Do not make it the default: it signs the user out of Outlook and Teams too, and people stop using a logout button that does that.</w:t>
      </w:r>
    </w:p>
    <w:p>
      <w:pPr>
        <w:numPr>
          <w:ilvl w:val="0"/>
          <w:numId w:val="1027"/>
        </w:numPr>
        <w:pStyle w:val="Compact"/>
      </w:pPr>
      <w:r>
        <w:rPr>
          <w:bCs/>
          <w:b/>
        </w:rPr>
        <w:t xml:space="preserve">Idle and absolute expiry run the same path.</w:t>
      </w:r>
      <w:r>
        <w:t xml:space="preserve"> </w:t>
      </w:r>
      <w:r>
        <w:t xml:space="preserve">Logout is idempotent. Log the reason — user, idle, absolute or revoked.</w:t>
      </w:r>
    </w:p>
    <w:bookmarkEnd w:id="180"/>
    <w:bookmarkStart w:id="181" w:name="request-handling"/>
    <w:p>
      <w:pPr>
        <w:pStyle w:val="Heading3"/>
      </w:pPr>
      <w:r>
        <w:t xml:space="preserve">Request handling</w:t>
      </w:r>
    </w:p>
    <w:p>
      <w:pPr>
        <w:numPr>
          <w:ilvl w:val="0"/>
          <w:numId w:val="1028"/>
        </w:numPr>
        <w:pStyle w:val="Compact"/>
      </w:pPr>
      <w:r>
        <w:rPr>
          <w:bCs/>
          <w:b/>
        </w:rPr>
        <w:t xml:space="preserve">Enforce CSRF on every state-changing request</w:t>
      </w:r>
      <w:r>
        <w:t xml:space="preserve"> </w:t>
      </w:r>
      <w:r>
        <w:t xml:space="preserve">— a synchroniser or double-submit token, plus an</w:t>
      </w:r>
      <w:r>
        <w:t xml:space="preserve"> </w:t>
      </w:r>
      <w:r>
        <w:rPr>
          <w:rStyle w:val="VerbatimChar"/>
        </w:rPr>
        <w:t xml:space="preserve">Origin</w:t>
      </w:r>
      <w:r>
        <w:t xml:space="preserve"> </w:t>
      </w:r>
      <w:r>
        <w:t xml:space="preserve">check. No state change behind a GET.</w:t>
      </w:r>
    </w:p>
    <w:p>
      <w:pPr>
        <w:numPr>
          <w:ilvl w:val="0"/>
          <w:numId w:val="1028"/>
        </w:numPr>
        <w:pStyle w:val="Compact"/>
      </w:pPr>
      <w:r>
        <w:rPr>
          <w:bCs/>
          <w:b/>
        </w:rPr>
        <w:t xml:space="preserve">Strip</w:t>
      </w:r>
      <w:r>
        <w:rPr>
          <w:bCs/>
          <w:b/>
        </w:rPr>
        <w:t xml:space="preserve"> </w:t>
      </w:r>
      <w:r>
        <w:rPr>
          <w:rStyle w:val="VerbatimChar"/>
          <w:bCs/>
          <w:b/>
        </w:rPr>
        <w:t xml:space="preserve">X-Serverless-Authorization</w:t>
      </w:r>
      <w:r>
        <w:rPr>
          <w:bCs/>
          <w:b/>
        </w:rPr>
        <w:t xml:space="preserve"> </w:t>
      </w:r>
      <w:r>
        <w:rPr>
          <w:bCs/>
          <w:b/>
        </w:rPr>
        <w:t xml:space="preserve">before every outbound call.</w:t>
      </w:r>
      <w:r>
        <w:t xml:space="preserve"> </w:t>
      </w:r>
      <w:r>
        <w:t xml:space="preserve">The BFF sits behind IAP and receives it; Google’s documentation is explicit that a service forwarding onward must remove it.</w:t>
      </w:r>
    </w:p>
    <w:p>
      <w:pPr>
        <w:numPr>
          <w:ilvl w:val="0"/>
          <w:numId w:val="1028"/>
        </w:numPr>
        <w:pStyle w:val="Compact"/>
      </w:pPr>
      <w:r>
        <w:rPr>
          <w:bCs/>
          <w:b/>
        </w:rPr>
        <w:t xml:space="preserve">Fail closed.</w:t>
      </w:r>
      <w:r>
        <w:t xml:space="preserve"> </w:t>
      </w:r>
      <w:r>
        <w:t xml:space="preserve">Firestore unreachable returns</w:t>
      </w:r>
      <w:r>
        <w:t xml:space="preserve"> </w:t>
      </w:r>
      <w:r>
        <w:rPr>
          <w:bCs/>
          <w:b/>
        </w:rPr>
        <w:t xml:space="preserve">503</w:t>
      </w:r>
      <w:r>
        <w:t xml:space="preserve"> </w:t>
      </w:r>
      <w:r>
        <w:t xml:space="preserve">with</w:t>
      </w:r>
      <w:r>
        <w:t xml:space="preserve"> </w:t>
      </w:r>
      <w:r>
        <w:rPr>
          <w:rStyle w:val="VerbatimChar"/>
        </w:rPr>
        <w:t xml:space="preserve">Retry-After</w:t>
      </w:r>
      <w:r>
        <w:t xml:space="preserve"> </w:t>
      </w:r>
      <w:r>
        <w:t xml:space="preserve">— never a fallback to an unauthenticated path. Session not found returns</w:t>
      </w:r>
      <w:r>
        <w:t xml:space="preserve"> </w:t>
      </w:r>
      <w:r>
        <w:rPr>
          <w:bCs/>
          <w:b/>
        </w:rPr>
        <w:t xml:space="preserve">401</w:t>
      </w:r>
      <w:r>
        <w:t xml:space="preserve">. Keep the two distinct, or you cannot tell an outage from normal expiry in the logs.</w:t>
      </w:r>
    </w:p>
    <w:p>
      <w:pPr>
        <w:numPr>
          <w:ilvl w:val="0"/>
          <w:numId w:val="1028"/>
        </w:numPr>
        <w:pStyle w:val="Compact"/>
      </w:pPr>
      <w:r>
        <w:rPr>
          <w:bCs/>
          <w:b/>
        </w:rPr>
        <w:t xml:space="preserve">Accept the session identifier from the cookie only.</w:t>
      </w:r>
      <w:r>
        <w:t xml:space="preserve"> </w:t>
      </w:r>
      <w:r>
        <w:t xml:space="preserve">Not a URL parameter, not a header, not a body field.</w:t>
      </w:r>
    </w:p>
    <w:p>
      <w:pPr>
        <w:pStyle w:val="FirstParagraph"/>
      </w:pPr>
      <w:r>
        <w:t xml:space="preserve">It must</w:t>
      </w:r>
      <w:r>
        <w:t xml:space="preserve"> </w:t>
      </w:r>
      <w:r>
        <w:rPr>
          <w:bCs/>
          <w:b/>
        </w:rPr>
        <w:t xml:space="preserve">not</w:t>
      </w:r>
      <w:r>
        <w:t xml:space="preserve"> </w:t>
      </w:r>
      <w:r>
        <w:t xml:space="preserve">enforce authorisation or rate limits. Those stay in Apigee, keyed on the verified</w:t>
      </w:r>
      <w:r>
        <w:t xml:space="preserve"> </w:t>
      </w:r>
      <w:r>
        <w:rPr>
          <w:rStyle w:val="VerbatimChar"/>
        </w:rPr>
        <w:t xml:space="preserve">oid</w:t>
      </w:r>
      <w:r>
        <w:t xml:space="preserve">, or you have two places to keep in sync.</w:t>
      </w:r>
    </w:p>
    <w:bookmarkEnd w:id="181"/>
    <w:bookmarkEnd w:id="182"/>
    <w:bookmarkStart w:id="183" w:name="what-the-backend-services-must-do"/>
    <w:p>
      <w:pPr>
        <w:pStyle w:val="Heading2"/>
      </w:pPr>
      <w:r>
        <w:t xml:space="preserve">19.5 What the backend services must do</w:t>
      </w:r>
    </w:p>
    <w:p>
      <w:pPr>
        <w:numPr>
          <w:ilvl w:val="0"/>
          <w:numId w:val="1029"/>
        </w:numPr>
        <w:pStyle w:val="Compact"/>
      </w:pPr>
      <w:r>
        <w:rPr>
          <w:bCs/>
          <w:b/>
        </w:rPr>
        <w:t xml:space="preserve">Verify the credential on the final hop</w:t>
      </w:r>
      <w:r>
        <w:t xml:space="preserve"> </w:t>
      </w:r>
      <w:r>
        <w:t xml:space="preserve">— the IAP-issued identity, and the audience.</w:t>
      </w:r>
    </w:p>
    <w:p>
      <w:pPr>
        <w:numPr>
          <w:ilvl w:val="0"/>
          <w:numId w:val="1029"/>
        </w:numPr>
        <w:pStyle w:val="Compact"/>
      </w:pPr>
      <w:r>
        <w:rPr>
          <w:bCs/>
          <w:b/>
        </w:rPr>
        <w:t xml:space="preserve">Strip any incoming</w:t>
      </w:r>
      <w:r>
        <w:rPr>
          <w:bCs/>
          <w:b/>
        </w:rPr>
        <w:t xml:space="preserve"> </w:t>
      </w:r>
      <w:r>
        <w:rPr>
          <w:rStyle w:val="VerbatimChar"/>
          <w:bCs/>
          <w:b/>
        </w:rPr>
        <w:t xml:space="preserve">x-colt-*</w:t>
      </w:r>
      <w:r>
        <w:rPr>
          <w:bCs/>
          <w:b/>
        </w:rPr>
        <w:t xml:space="preserve"> </w:t>
      </w:r>
      <w:r>
        <w:rPr>
          <w:bCs/>
          <w:b/>
        </w:rPr>
        <w:t xml:space="preserve">header</w:t>
      </w:r>
      <w:r>
        <w:t xml:space="preserve"> </w:t>
      </w:r>
      <w:r>
        <w:t xml:space="preserve">before use. A service that reads a business unit from a plain header lets any caller claim any business unit.</w:t>
      </w:r>
    </w:p>
    <w:p>
      <w:pPr>
        <w:numPr>
          <w:ilvl w:val="0"/>
          <w:numId w:val="1029"/>
        </w:numPr>
        <w:pStyle w:val="Compact"/>
      </w:pPr>
      <w:r>
        <w:rPr>
          <w:bCs/>
          <w:b/>
        </w:rPr>
        <w:t xml:space="preserve">Forward the user context</w:t>
      </w:r>
      <w:r>
        <w:t xml:space="preserve"> </w:t>
      </w:r>
      <w:r>
        <w:t xml:space="preserve">on calls to the AI gateway, so token spend attributes to a person rather than a service account.</w:t>
      </w:r>
    </w:p>
    <w:p>
      <w:pPr>
        <w:numPr>
          <w:ilvl w:val="0"/>
          <w:numId w:val="1029"/>
        </w:numPr>
        <w:pStyle w:val="Compact"/>
      </w:pPr>
      <w:r>
        <w:rPr>
          <w:bCs/>
          <w:b/>
        </w:rPr>
        <w:t xml:space="preserve">Persist</w:t>
      </w:r>
      <w:r>
        <w:rPr>
          <w:bCs/>
          <w:b/>
        </w:rPr>
        <w:t xml:space="preserve"> </w:t>
      </w:r>
      <w:r>
        <w:rPr>
          <w:rStyle w:val="VerbatimChar"/>
          <w:bCs/>
          <w:b/>
        </w:rPr>
        <w:t xml:space="preserve">oid</w:t>
      </w:r>
      <w:r>
        <w:rPr>
          <w:bCs/>
          <w:b/>
        </w:rPr>
        <w:t xml:space="preserve"> </w:t>
      </w:r>
      <w:r>
        <w:rPr>
          <w:bCs/>
          <w:b/>
        </w:rPr>
        <w:t xml:space="preserve">and</w:t>
      </w:r>
      <w:r>
        <w:rPr>
          <w:bCs/>
          <w:b/>
        </w:rPr>
        <w:t xml:space="preserve"> </w:t>
      </w:r>
      <w:r>
        <w:rPr>
          <w:rStyle w:val="VerbatimChar"/>
          <w:bCs/>
          <w:b/>
        </w:rPr>
        <w:t xml:space="preserve">department</w:t>
      </w:r>
      <w:r>
        <w:rPr>
          <w:bCs/>
          <w:b/>
        </w:rPr>
        <w:t xml:space="preserve"> </w:t>
      </w:r>
      <w:r>
        <w:rPr>
          <w:bCs/>
          <w:b/>
        </w:rPr>
        <w:t xml:space="preserve">into the job record</w:t>
      </w:r>
      <w:r>
        <w:t xml:space="preserve"> </w:t>
      </w:r>
      <w:r>
        <w:t xml:space="preserve">when creating an asynchronous job. The access token will have expired by the time the worker runs, so capture identity while it is still provable and have the worker read it from that immutable record.</w:t>
      </w:r>
    </w:p>
    <w:p>
      <w:r>
        <w:br w:type="page"/>
      </w:r>
    </w:p>
    <w:bookmarkEnd w:id="183"/>
    <w:bookmarkEnd w:id="184"/>
    <w:bookmarkStart w:id="199" w:name="part-20-load-balancers-and-iap"/>
    <w:p>
      <w:pPr>
        <w:pStyle w:val="Heading1"/>
      </w:pPr>
      <w:r>
        <w:t xml:space="preserve">Part 20 — Load balancers and IAP</w:t>
      </w:r>
    </w:p>
    <w:p>
      <w:pPr>
        <w:pStyle w:val="FirstParagraph"/>
      </w:pPr>
      <w:r>
        <w:t xml:space="preserve">This is where users first reach the platform. There are</w:t>
      </w:r>
      <w:r>
        <w:t xml:space="preserve"> </w:t>
      </w:r>
      <w:r>
        <w:rPr>
          <w:bCs/>
          <w:b/>
        </w:rPr>
        <w:t xml:space="preserve">two</w:t>
      </w:r>
      <w:r>
        <w:t xml:space="preserve"> </w:t>
      </w:r>
      <w:r>
        <w:t xml:space="preserve">load balancers: the AI Hub one that users reach, and a machine-only Backend load balancer that exists so Apigee can reach your services.</w:t>
      </w:r>
    </w:p>
    <w:bookmarkStart w:id="185" w:name="what-this-is-and-the-rule-that-shapes-it"/>
    <w:p>
      <w:pPr>
        <w:pStyle w:val="Heading2"/>
      </w:pPr>
      <w:r>
        <w:t xml:space="preserve">20.1 What this is, and the rule that shapes it</w:t>
      </w:r>
    </w:p>
    <w:p>
      <w:pPr>
        <w:pStyle w:val="FirstParagraph"/>
      </w:pPr>
      <w:r>
        <w:t xml:space="preserve">A load balancer has a</w:t>
      </w:r>
      <w:r>
        <w:t xml:space="preserve"> </w:t>
      </w:r>
      <w:r>
        <w:rPr>
          <w:bCs/>
          <w:b/>
        </w:rPr>
        <w:t xml:space="preserve">frontend</w:t>
      </w:r>
      <w:r>
        <w:t xml:space="preserve"> </w:t>
      </w:r>
      <w:r>
        <w:t xml:space="preserve">(the address users connect to, and the rules deciding where each URL goes) and</w:t>
      </w:r>
      <w:r>
        <w:t xml:space="preserve"> </w:t>
      </w:r>
      <w:r>
        <w:rPr>
          <w:bCs/>
          <w:b/>
        </w:rPr>
        <w:t xml:space="preserve">backends</w:t>
      </w:r>
      <w:r>
        <w:t xml:space="preserve"> </w:t>
      </w:r>
      <w:r>
        <w:t xml:space="preserve">(what actually serves the request).</w:t>
      </w:r>
    </w:p>
    <w:p>
      <w:pPr>
        <w:pStyle w:val="BodyText"/>
      </w:pPr>
      <w:r>
        <w:t xml:space="preserve">The rule that shapes the whole design:</w:t>
      </w:r>
      <w:r>
        <w:t xml:space="preserve"> </w:t>
      </w:r>
      <w:r>
        <w:rPr>
          <w:bCs/>
          <w:b/>
        </w:rPr>
        <w:t xml:space="preserve">a serverless network endpoint group must live in the same project as the Cloud Run service it points at.</w:t>
      </w:r>
      <w:r>
        <w:t xml:space="preserve"> </w:t>
      </w:r>
      <w:r>
        <w:t xml:space="preserve">So the backends are created in the workload projects, and the frontend in the ingress project references them across the boundary. This is called cross-project service referencing.</w:t>
      </w:r>
    </w:p>
    <w:bookmarkEnd w:id="185"/>
    <w:bookmarkStart w:id="186" w:name="do-this-backend-for-the-web-interface"/>
    <w:p>
      <w:pPr>
        <w:pStyle w:val="Heading2"/>
      </w:pPr>
      <w:r>
        <w:t xml:space="preserve">20.2 Do this — backend for the web interface</w:t>
      </w:r>
    </w:p>
    <w:p>
      <w:pPr>
        <w:pStyle w:val="FirstParagraph"/>
      </w:pPr>
      <w:r>
        <w:rPr>
          <w:bCs/>
          <w:b/>
        </w:rPr>
        <w:t xml:space="preserve">Where:</w:t>
      </w:r>
      <w:r>
        <w:t xml:space="preserve"> </w:t>
      </w:r>
      <w:r>
        <w:t xml:space="preserve">switch to</w:t>
      </w:r>
      <w:r>
        <w:t xml:space="preserve"> </w:t>
      </w:r>
      <w:r>
        <w:rPr>
          <w:rStyle w:val="VerbatimChar"/>
        </w:rPr>
        <w:t xml:space="preserve">gclt-aicoe-dev-aihub-ui</w:t>
      </w:r>
      <w:r>
        <w:t xml:space="preserve">.</w:t>
      </w:r>
      <w:r>
        <w:t xml:space="preserve"> </w:t>
      </w:r>
      <w:r>
        <w:rPr>
          <w:bCs/>
          <w:b/>
        </w:rPr>
        <w:t xml:space="preserve">Network services</w:t>
      </w:r>
      <w:r>
        <w:t xml:space="preserve"> </w:t>
      </w:r>
      <w:r>
        <w:t xml:space="preserve">→</w:t>
      </w:r>
      <w:r>
        <w:t xml:space="preserve"> </w:t>
      </w:r>
      <w:r>
        <w:rPr>
          <w:bCs/>
          <w:b/>
        </w:rPr>
        <w:t xml:space="preserve">Load balancing</w:t>
      </w:r>
      <w:r>
        <w:t xml:space="preserve"> </w:t>
      </w:r>
      <w:r>
        <w:t xml:space="preserve">→</w:t>
      </w:r>
      <w:r>
        <w:t xml:space="preserve"> </w:t>
      </w:r>
      <w:r>
        <w:rPr>
          <w:bCs/>
          <w:b/>
        </w:rPr>
        <w:t xml:space="preserve">BACKENDS</w:t>
      </w:r>
      <w:r>
        <w:t xml:space="preserve"> </w:t>
      </w:r>
      <w:r>
        <w:t xml:space="preserve">tab →</w:t>
      </w:r>
      <w:r>
        <w:t xml:space="preserve"> </w:t>
      </w:r>
      <w:r>
        <w:rPr>
          <w:bCs/>
          <w:b/>
        </w:rPr>
        <w:t xml:space="preserve">CREATE BACKEND SERVICE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Name</w:t>
            </w:r>
          </w:p>
        </w:tc>
        <w:tc>
          <w:tcPr/>
          <w:p>
            <w:pPr>
              <w:pStyle w:val="Compact"/>
              <w:jc w:val="left"/>
            </w:pPr>
            <w:r>
              <w:rPr>
                <w:rStyle w:val="VerbatimChar"/>
              </w:rPr>
              <w:t xml:space="preserve">bs-aihub-bff</w:t>
            </w:r>
          </w:p>
        </w:tc>
      </w:tr>
      <w:tr>
        <w:tc>
          <w:tcPr/>
          <w:p>
            <w:pPr>
              <w:pStyle w:val="Compact"/>
              <w:jc w:val="left"/>
            </w:pPr>
            <w:r>
              <w:t xml:space="preserve">Backend type</w:t>
            </w:r>
          </w:p>
        </w:tc>
        <w:tc>
          <w:tcPr/>
          <w:p>
            <w:pPr>
              <w:pStyle w:val="Compact"/>
              <w:jc w:val="left"/>
            </w:pPr>
            <w:r>
              <w:rPr>
                <w:bCs/>
                <w:b/>
              </w:rPr>
              <w:t xml:space="preserve">Serverless network endpoint group</w:t>
            </w:r>
          </w:p>
        </w:tc>
      </w:tr>
      <w:tr>
        <w:tc>
          <w:tcPr/>
          <w:p>
            <w:pPr>
              <w:pStyle w:val="Compact"/>
              <w:jc w:val="left"/>
            </w:pPr>
            <w:r>
              <w:t xml:space="preserve">Protocol</w:t>
            </w:r>
          </w:p>
        </w:tc>
        <w:tc>
          <w:tcPr/>
          <w:p>
            <w:pPr>
              <w:pStyle w:val="Compact"/>
              <w:jc w:val="left"/>
            </w:pPr>
            <w:r>
              <w:t xml:space="preserve">HTTPS</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Backend</w:t>
            </w:r>
          </w:p>
        </w:tc>
        <w:tc>
          <w:tcPr/>
          <w:p>
            <w:pPr>
              <w:pStyle w:val="Compact"/>
              <w:jc w:val="left"/>
            </w:pPr>
            <w:r>
              <w:t xml:space="preserve">create a new serverless NEG named</w:t>
            </w:r>
            <w:r>
              <w:t xml:space="preserve"> </w:t>
            </w:r>
            <w:r>
              <w:rPr>
                <w:rStyle w:val="VerbatimChar"/>
              </w:rPr>
              <w:t xml:space="preserve">neg-aihub-bff</w:t>
            </w:r>
            <w:r>
              <w:t xml:space="preserve"> </w:t>
            </w:r>
            <w:r>
              <w:t xml:space="preserve">pointing at your</w:t>
            </w:r>
            <w:r>
              <w:t xml:space="preserve"> </w:t>
            </w:r>
            <w:r>
              <w:rPr>
                <w:bCs/>
                <w:b/>
              </w:rPr>
              <w:t xml:space="preserve">BFF</w:t>
            </w:r>
            <w:r>
              <w:t xml:space="preserve"> </w:t>
            </w:r>
            <w:r>
              <w:t xml:space="preserve">Cloud Run service</w:t>
            </w:r>
          </w:p>
        </w:tc>
      </w:tr>
      <w:tr>
        <w:tc>
          <w:tcPr/>
          <w:p>
            <w:pPr>
              <w:pStyle w:val="Compact"/>
              <w:jc w:val="left"/>
            </w:pPr>
            <w:r>
              <w:t xml:space="preserve">Cloud CDN</w:t>
            </w:r>
          </w:p>
        </w:tc>
        <w:tc>
          <w:tcPr/>
          <w:p>
            <w:pPr>
              <w:pStyle w:val="Compact"/>
              <w:jc w:val="left"/>
            </w:pPr>
            <w:r>
              <w:t xml:space="preserve">off</w:t>
            </w:r>
          </w:p>
        </w:tc>
      </w:tr>
    </w:tbl>
    <w:bookmarkEnd w:id="186"/>
    <w:bookmarkStart w:id="187" w:name="do-this-enable-iap-on-it"/>
    <w:p>
      <w:pPr>
        <w:pStyle w:val="Heading2"/>
      </w:pPr>
      <w:r>
        <w:t xml:space="preserve">20.3 Do this — enable IAP on it</w:t>
      </w:r>
    </w:p>
    <w:p>
      <w:pPr>
        <w:pStyle w:val="FirstParagraph"/>
      </w:pPr>
      <w:r>
        <w:rPr>
          <w:bCs/>
          <w:b/>
        </w:rPr>
        <w:t xml:space="preserve">Identity-Aware Proxy</w:t>
      </w:r>
      <w:r>
        <w:t xml:space="preserve"> </w:t>
      </w:r>
      <w:r>
        <w:t xml:space="preserve">is the checkpoint that requires a Colt sign-in before any request reaches the service.</w:t>
      </w:r>
    </w:p>
    <w:p>
      <w:pPr>
        <w:pStyle w:val="BodyText"/>
      </w:pPr>
      <w:r>
        <w:rPr>
          <w:bCs/>
          <w:b/>
        </w:rPr>
        <w:t xml:space="preserve">Where:</w:t>
      </w:r>
      <w:r>
        <w:t xml:space="preserve"> </w:t>
      </w:r>
      <w:r>
        <w:t xml:space="preserve">in the same project, search for</w:t>
      </w:r>
      <w:r>
        <w:t xml:space="preserve"> </w:t>
      </w:r>
      <w:r>
        <w:rPr>
          <w:bCs/>
          <w:b/>
        </w:rPr>
        <w:t xml:space="preserve">Identity-Aware Proxy</w:t>
      </w:r>
      <w:r>
        <w:t xml:space="preserve">. Find</w:t>
      </w:r>
      <w:r>
        <w:t xml:space="preserve"> </w:t>
      </w:r>
      <w:r>
        <w:rPr>
          <w:rStyle w:val="VerbatimChar"/>
        </w:rPr>
        <w:t xml:space="preserve">bs-aihub-bff</w:t>
      </w:r>
      <w:r>
        <w:t xml:space="preserve"> </w:t>
      </w:r>
      <w:r>
        <w:t xml:space="preserve">and switch IAP</w:t>
      </w:r>
      <w:r>
        <w:t xml:space="preserve"> </w:t>
      </w:r>
      <w:r>
        <w:rPr>
          <w:bCs/>
          <w:b/>
        </w:rPr>
        <w:t xml:space="preserve">on</w:t>
      </w:r>
      <w:r>
        <w:t xml:space="preserve">.</w:t>
      </w:r>
    </w:p>
    <w:p>
      <w:pPr>
        <w:pStyle w:val="BodyText"/>
      </w:pPr>
      <w:r>
        <w:t xml:space="preserve">Then grant access: select the backend service, and in the info panel add each Entra group as a principal in the workforce-pool format, with the role</w:t>
      </w:r>
      <w:r>
        <w:t xml:space="preserve"> </w:t>
      </w:r>
      <w:r>
        <w:rPr>
          <w:bCs/>
          <w:b/>
        </w:rPr>
        <w:t xml:space="preserve">IAP-secured Web App User</w:t>
      </w:r>
      <w:r>
        <w:t xml:space="preserve">:</w:t>
      </w:r>
    </w:p>
    <w:p>
      <w:pPr>
        <w:pStyle w:val="SourceCode"/>
      </w:pPr>
      <w:r>
        <w:rPr>
          <w:rStyle w:val="VerbatimChar"/>
        </w:rPr>
        <w:t xml:space="preserve">principalSet://iam.googleapis.com/locations/global/workforcePools/colt-aiappsui-auth/group/&lt;GROUP_OBJECT_ID&gt;</w:t>
      </w:r>
    </w:p>
    <w:bookmarkEnd w:id="187"/>
    <w:bookmarkStart w:id="188" w:name="do-this-backends-for-the-api-services"/>
    <w:p>
      <w:pPr>
        <w:pStyle w:val="Heading2"/>
      </w:pPr>
      <w:r>
        <w:t xml:space="preserve">20.4 Do this — backends for the API services</w:t>
      </w:r>
    </w:p>
    <w:p>
      <w:pPr>
        <w:pStyle w:val="FirstParagraph"/>
      </w:pPr>
      <w:r>
        <w:rPr>
          <w:bCs/>
          <w:b/>
        </w:rPr>
        <w:t xml:space="preserve">Where:</w:t>
      </w:r>
      <w:r>
        <w:t xml:space="preserve"> </w:t>
      </w:r>
      <w:r>
        <w:t xml:space="preserve">switch to</w:t>
      </w:r>
      <w:r>
        <w:t xml:space="preserve"> </w:t>
      </w:r>
      <w:r>
        <w:rPr>
          <w:rStyle w:val="VerbatimChar"/>
        </w:rPr>
        <w:t xml:space="preserve">gclt-aicoe-dev-st</w:t>
      </w:r>
      <w:r>
        <w:t xml:space="preserve">. Create one backend service per Cloud Run service, exactly as in §20.2: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Backend service</w:t>
            </w:r>
          </w:p>
        </w:tc>
        <w:tc>
          <w:tcPr/>
          <w:p>
            <w:pPr>
              <w:pStyle w:val="Compact"/>
              <w:jc w:val="left"/>
            </w:pPr>
            <w:r>
              <w:t xml:space="preserve">Points at</w:t>
            </w:r>
          </w:p>
        </w:tc>
      </w:tr>
      <w:tr>
        <w:tc>
          <w:tcPr/>
          <w:p>
            <w:pPr>
              <w:pStyle w:val="Compact"/>
              <w:jc w:val="left"/>
            </w:pPr>
            <w:r>
              <w:rPr>
                <w:rStyle w:val="VerbatimChar"/>
              </w:rPr>
              <w:t xml:space="preserve">bs-translation</w:t>
            </w:r>
          </w:p>
        </w:tc>
        <w:tc>
          <w:tcPr/>
          <w:p>
            <w:pPr>
              <w:pStyle w:val="Compact"/>
              <w:jc w:val="left"/>
            </w:pPr>
            <w:r>
              <w:rPr>
                <w:rStyle w:val="VerbatimChar"/>
              </w:rPr>
              <w:t xml:space="preserve">translation-api-service</w:t>
            </w:r>
          </w:p>
        </w:tc>
      </w:tr>
      <w:tr>
        <w:tc>
          <w:tcPr/>
          <w:p>
            <w:pPr>
              <w:pStyle w:val="Compact"/>
              <w:jc w:val="left"/>
            </w:pPr>
            <w:r>
              <w:rPr>
                <w:rStyle w:val="VerbatimChar"/>
              </w:rPr>
              <w:t xml:space="preserve">bs-sales</w:t>
            </w:r>
          </w:p>
        </w:tc>
        <w:tc>
          <w:tcPr/>
          <w:p>
            <w:pPr>
              <w:pStyle w:val="Compact"/>
              <w:jc w:val="left"/>
            </w:pPr>
            <w:r>
              <w:rPr>
                <w:rStyle w:val="VerbatimChar"/>
              </w:rPr>
              <w:t xml:space="preserve">sales-research-application</w:t>
            </w:r>
          </w:p>
        </w:tc>
      </w:tr>
      <w:tr>
        <w:tc>
          <w:tcPr/>
          <w:p>
            <w:pPr>
              <w:pStyle w:val="Compact"/>
              <w:jc w:val="left"/>
            </w:pPr>
            <w:r>
              <w:rPr>
                <w:rStyle w:val="VerbatimChar"/>
              </w:rPr>
              <w:t xml:space="preserve">bs-mcp</w:t>
            </w:r>
          </w:p>
        </w:tc>
        <w:tc>
          <w:tcPr/>
          <w:p>
            <w:pPr>
              <w:pStyle w:val="Compact"/>
              <w:jc w:val="left"/>
            </w:pPr>
            <w:r>
              <w:rPr>
                <w:rStyle w:val="VerbatimChar"/>
              </w:rPr>
              <w:t xml:space="preserve">mcp-server</w:t>
            </w:r>
            <w:r>
              <w:t xml:space="preserve">, when it exists</w:t>
            </w:r>
          </w:p>
        </w:tc>
      </w:tr>
    </w:tbl>
    <w:p>
      <w:pPr>
        <w:pStyle w:val="BodyText"/>
      </w:pPr>
      <w:r>
        <w:rPr>
          <w:bCs/>
          <w:b/>
        </w:rPr>
        <w:t xml:space="preserve">Do not enable IAP on these backend services.</w:t>
      </w:r>
      <w:r>
        <w:t xml:space="preserve"> </w:t>
      </w:r>
      <w:r>
        <w:t xml:space="preserve">Nothing human reaches them, and the invocation problem is solved by Cloud Run IAM instead.</w:t>
      </w:r>
    </w:p>
    <w:p>
      <w:pPr>
        <w:pStyle w:val="BodyText"/>
      </w:pPr>
      <w:r>
        <w:t xml:space="preserve">Grant, in</w:t>
      </w:r>
      <w:r>
        <w:t xml:space="preserve"> </w:t>
      </w:r>
      <w:r>
        <w:rPr>
          <w:rStyle w:val="VerbatimChar"/>
        </w:rPr>
        <w:t xml:space="preserve">gclt-aicoe-dev-st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Principal</w:t>
            </w:r>
          </w:p>
        </w:tc>
        <w:tc>
          <w:tcPr/>
          <w:p>
            <w:pPr>
              <w:pStyle w:val="Compact"/>
              <w:jc w:val="left"/>
            </w:pPr>
            <w:r>
              <w:t xml:space="preserve">Role</w:t>
            </w:r>
          </w:p>
        </w:tc>
        <w:tc>
          <w:tcPr/>
          <w:p>
            <w:pPr>
              <w:pStyle w:val="Compact"/>
              <w:jc w:val="left"/>
            </w:pPr>
            <w:r>
              <w:t xml:space="preserve">On</w:t>
            </w:r>
          </w:p>
        </w:tc>
      </w:tr>
      <w:tr>
        <w:tc>
          <w:tcPr/>
          <w:p>
            <w:pPr>
              <w:pStyle w:val="Compact"/>
              <w:jc w:val="left"/>
            </w:pPr>
            <w:r>
              <w:rPr>
                <w:rStyle w:val="VerbatimChar"/>
              </w:rPr>
              <w:t xml:space="preserve">apigee-int-runtime@</w:t>
            </w:r>
          </w:p>
        </w:tc>
        <w:tc>
          <w:tcPr/>
          <w:p>
            <w:pPr>
              <w:pStyle w:val="Compact"/>
              <w:jc w:val="left"/>
            </w:pPr>
            <w:r>
              <w:rPr>
                <w:bCs/>
                <w:b/>
              </w:rPr>
              <w:t xml:space="preserve">Cloud Run Invoker</w:t>
            </w:r>
          </w:p>
        </w:tc>
        <w:tc>
          <w:tcPr/>
          <w:p>
            <w:pPr>
              <w:pStyle w:val="Compact"/>
              <w:jc w:val="left"/>
            </w:pPr>
            <w:r>
              <w:rPr>
                <w:rStyle w:val="VerbatimChar"/>
              </w:rPr>
              <w:t xml:space="preserve">translation-api-service</w:t>
            </w:r>
            <w:r>
              <w:t xml:space="preserve">,</w:t>
            </w:r>
            <w:r>
              <w:t xml:space="preserve"> </w:t>
            </w:r>
            <w:r>
              <w:rPr>
                <w:rStyle w:val="VerbatimChar"/>
              </w:rPr>
              <w:t xml:space="preserve">sales-research-application</w:t>
            </w:r>
            <w:r>
              <w:t xml:space="preserve">,</w:t>
            </w:r>
            <w:r>
              <w:t xml:space="preserve"> </w:t>
            </w:r>
            <w:r>
              <w:rPr>
                <w:rStyle w:val="VerbatimChar"/>
              </w:rPr>
              <w:t xml:space="preserve">mcp-server</w:t>
            </w:r>
          </w:p>
        </w:tc>
      </w:tr>
      <w:tr>
        <w:tc>
          <w:tcPr/>
          <w:p>
            <w:pPr>
              <w:pStyle w:val="Compact"/>
              <w:jc w:val="left"/>
            </w:pPr>
            <w:r>
              <w:rPr>
                <w:rStyle w:val="VerbatimChar"/>
              </w:rPr>
              <w:t xml:space="preserve">worker-invoker-sa@</w:t>
            </w:r>
          </w:p>
        </w:tc>
        <w:tc>
          <w:tcPr/>
          <w:p>
            <w:pPr>
              <w:pStyle w:val="Compact"/>
              <w:jc w:val="left"/>
            </w:pPr>
            <w:r>
              <w:rPr>
                <w:bCs/>
                <w:b/>
              </w:rPr>
              <w:t xml:space="preserve">Cloud Run Invoker</w:t>
            </w:r>
          </w:p>
        </w:tc>
        <w:tc>
          <w:tcPr/>
          <w:p>
            <w:pPr>
              <w:pStyle w:val="Compact"/>
              <w:jc w:val="left"/>
            </w:pPr>
            <w:r>
              <w:rPr>
                <w:rStyle w:val="VerbatimChar"/>
              </w:rPr>
              <w:t xml:space="preserve">translation-worker-service</w:t>
            </w:r>
          </w:p>
        </w:tc>
      </w:tr>
    </w:tbl>
    <w:p>
      <w:pPr>
        <w:pStyle w:val="BodyText"/>
      </w:pPr>
      <w:r>
        <w:t xml:space="preserve">That is the whole authentication design for this hop. No OAuth client, no IAP service agent grant, no</w:t>
      </w:r>
      <w:r>
        <w:t xml:space="preserve"> </w:t>
      </w:r>
      <w:r>
        <w:rPr>
          <w:rStyle w:val="VerbatimChar"/>
        </w:rPr>
        <w:t xml:space="preserve">iap.httpsResourceAccessor</w:t>
      </w:r>
      <w:r>
        <w:t xml:space="preserve">.</w:t>
      </w:r>
    </w:p>
    <w:p>
      <w:pPr>
        <w:pStyle w:val="BodyText"/>
      </w:pPr>
      <w:r>
        <w:rPr>
          <w:bCs/>
          <w:b/>
        </w:rPr>
        <w:t xml:space="preserve">Record each Cloud Run service’s URL.</w:t>
      </w:r>
      <w:r>
        <w:t xml:space="preserve"> </w:t>
      </w:r>
      <w:r>
        <w:t xml:space="preserve">Apigee needs it as the token audience in §22.7.</w:t>
      </w:r>
    </w:p>
    <w:p>
      <w:pPr>
        <w:pStyle w:val="BodyText"/>
      </w:pPr>
      <w:r>
        <w:rPr>
          <w:bCs/>
          <w:b/>
        </w:rPr>
        <w:t xml:space="preserve">Per-usecase entitlement is not enforced here.</w:t>
      </w:r>
      <w:r>
        <w:t xml:space="preserve"> </w:t>
      </w:r>
      <w:r>
        <w:t xml:space="preserve">It is Apigee’s job — the App Role check on the Entra token. These grants say only</w:t>
      </w:r>
      <w:r>
        <w:t xml:space="preserve"> </w:t>
      </w:r>
      <w:r>
        <w:t xml:space="preserve">“</w:t>
      </w:r>
      <w:r>
        <w:t xml:space="preserve">Apigee may call this service</w:t>
      </w:r>
      <w:r>
        <w:t xml:space="preserve">”</w:t>
      </w:r>
      <w:r>
        <w:t xml:space="preserve">, nothing about which user.</w:t>
      </w:r>
    </w:p>
    <w:bookmarkEnd w:id="188"/>
    <w:bookmarkStart w:id="189" w:name="do-this-the-ai-hub-frontend"/>
    <w:p>
      <w:pPr>
        <w:pStyle w:val="Heading2"/>
      </w:pPr>
      <w:r>
        <w:t xml:space="preserve">20.5 Do this — the AI Hub frontend</w:t>
      </w:r>
    </w:p>
    <w:p>
      <w:pPr>
        <w:pStyle w:val="FirstParagraph"/>
      </w:pPr>
      <w:r>
        <w:rPr>
          <w:bCs/>
          <w:b/>
        </w:rPr>
        <w:t xml:space="preserve">Where:</w:t>
      </w:r>
      <w:r>
        <w:t xml:space="preserve"> </w:t>
      </w:r>
      <w:r>
        <w:t xml:space="preserve">switch to</w:t>
      </w:r>
      <w:r>
        <w:t xml:space="preserve"> </w:t>
      </w:r>
      <w:r>
        <w:rPr>
          <w:rStyle w:val="VerbatimChar"/>
        </w:rPr>
        <w:t xml:space="preserve">gclt-aicoe-dev-ingress</w:t>
      </w:r>
      <w:r>
        <w:t xml:space="preserve">.</w:t>
      </w:r>
      <w:r>
        <w:t xml:space="preserve"> </w:t>
      </w:r>
      <w:r>
        <w:rPr>
          <w:bCs/>
          <w:b/>
        </w:rPr>
        <w:t xml:space="preserve">Network services</w:t>
      </w:r>
      <w:r>
        <w:t xml:space="preserve"> </w:t>
      </w:r>
      <w:r>
        <w:t xml:space="preserve">→</w:t>
      </w:r>
      <w:r>
        <w:t xml:space="preserve"> </w:t>
      </w:r>
      <w:r>
        <w:rPr>
          <w:bCs/>
          <w:b/>
        </w:rPr>
        <w:t xml:space="preserve">Load balancing</w:t>
      </w:r>
      <w:r>
        <w:t xml:space="preserve"> </w:t>
      </w:r>
      <w:r>
        <w:t xml:space="preserve">→</w:t>
      </w:r>
      <w:r>
        <w:t xml:space="preserve"> </w:t>
      </w:r>
      <w:r>
        <w:rPr>
          <w:bCs/>
          <w:b/>
        </w:rPr>
        <w:t xml:space="preserve">CREATE LOAD BALANCER</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Choice</w:t>
            </w:r>
          </w:p>
        </w:tc>
        <w:tc>
          <w:tcPr/>
          <w:p>
            <w:pPr>
              <w:pStyle w:val="Compact"/>
              <w:jc w:val="left"/>
            </w:pPr>
            <w:r>
              <w:t xml:space="preserve">Value</w:t>
            </w:r>
          </w:p>
        </w:tc>
      </w:tr>
      <w:tr>
        <w:tc>
          <w:tcPr/>
          <w:p>
            <w:pPr>
              <w:pStyle w:val="Compact"/>
              <w:jc w:val="left"/>
            </w:pPr>
            <w:r>
              <w:t xml:space="preserve">Type</w:t>
            </w:r>
          </w:p>
        </w:tc>
        <w:tc>
          <w:tcPr/>
          <w:p>
            <w:pPr>
              <w:pStyle w:val="Compact"/>
              <w:jc w:val="left"/>
            </w:pPr>
            <w:r>
              <w:t xml:space="preserve">Application Load Balancer (HTTP/S)</w:t>
            </w:r>
          </w:p>
        </w:tc>
      </w:tr>
      <w:tr>
        <w:tc>
          <w:tcPr/>
          <w:p>
            <w:pPr>
              <w:pStyle w:val="Compact"/>
              <w:jc w:val="left"/>
            </w:pPr>
            <w:r>
              <w:t xml:space="preserve">Public facing or internal</w:t>
            </w:r>
          </w:p>
        </w:tc>
        <w:tc>
          <w:tcPr/>
          <w:p>
            <w:pPr>
              <w:pStyle w:val="Compact"/>
              <w:jc w:val="left"/>
            </w:pPr>
            <w:r>
              <w:rPr>
                <w:bCs/>
                <w:b/>
              </w:rPr>
              <w:t xml:space="preserve">Internal</w:t>
            </w:r>
          </w:p>
        </w:tc>
      </w:tr>
      <w:tr>
        <w:tc>
          <w:tcPr/>
          <w:p>
            <w:pPr>
              <w:pStyle w:val="Compact"/>
              <w:jc w:val="left"/>
            </w:pPr>
            <w:r>
              <w:t xml:space="preserve">Deployment</w:t>
            </w:r>
          </w:p>
        </w:tc>
        <w:tc>
          <w:tcPr/>
          <w:p>
            <w:pPr>
              <w:pStyle w:val="Compact"/>
              <w:jc w:val="left"/>
            </w:pPr>
            <w:r>
              <w:t xml:space="preserve">Regional</w:t>
            </w:r>
          </w:p>
        </w:tc>
      </w:tr>
      <w:tr>
        <w:tc>
          <w:tcPr/>
          <w:p>
            <w:pPr>
              <w:pStyle w:val="Compact"/>
              <w:jc w:val="left"/>
            </w:pPr>
            <w:r>
              <w:t xml:space="preserve">Region</w:t>
            </w:r>
          </w:p>
        </w:tc>
        <w:tc>
          <w:tcPr/>
          <w:p>
            <w:pPr>
              <w:pStyle w:val="Compact"/>
              <w:jc w:val="left"/>
            </w:pPr>
            <w:r>
              <w:rPr>
                <w:rStyle w:val="VerbatimChar"/>
              </w:rPr>
              <w:t xml:space="preserve">europe-west1</w:t>
            </w:r>
          </w:p>
        </w:tc>
      </w:tr>
      <w:tr>
        <w:tc>
          <w:tcPr/>
          <w:p>
            <w:pPr>
              <w:pStyle w:val="Compact"/>
              <w:jc w:val="left"/>
            </w:pPr>
            <w:r>
              <w:t xml:space="preserve">Network</w:t>
            </w:r>
          </w:p>
        </w:tc>
        <w:tc>
          <w:tcPr/>
          <w:p>
            <w:pPr>
              <w:pStyle w:val="Compact"/>
              <w:jc w:val="left"/>
            </w:pPr>
            <w:r>
              <w:rPr>
                <w:rStyle w:val="VerbatimChar"/>
              </w:rPr>
              <w:t xml:space="preserve">gclt-aicoe-dev-vpc</w:t>
            </w:r>
          </w:p>
        </w:tc>
      </w:tr>
    </w:tbl>
    <w:p>
      <w:pPr>
        <w:pStyle w:val="BodyText"/>
      </w:pPr>
      <w:r>
        <w:rPr>
          <w:bCs/>
          <w:b/>
        </w:rPr>
        <w:t xml:space="preserve">Frontend: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Protocol</w:t>
            </w:r>
          </w:p>
        </w:tc>
        <w:tc>
          <w:tcPr/>
          <w:p>
            <w:pPr>
              <w:pStyle w:val="Compact"/>
              <w:jc w:val="left"/>
            </w:pPr>
            <w:r>
              <w:t xml:space="preserve">HTTPS</w:t>
            </w:r>
          </w:p>
        </w:tc>
      </w:tr>
      <w:tr>
        <w:tc>
          <w:tcPr/>
          <w:p>
            <w:pPr>
              <w:pStyle w:val="Compact"/>
              <w:jc w:val="left"/>
            </w:pPr>
            <w:r>
              <w:t xml:space="preserve">IP address</w:t>
            </w:r>
          </w:p>
        </w:tc>
        <w:tc>
          <w:tcPr/>
          <w:p>
            <w:pPr>
              <w:pStyle w:val="Compact"/>
              <w:jc w:val="left"/>
            </w:pPr>
            <w:r>
              <w:t xml:space="preserve">the reserved</w:t>
            </w:r>
            <w:r>
              <w:t xml:space="preserve"> </w:t>
            </w:r>
            <w:r>
              <w:rPr>
                <w:rStyle w:val="VerbatimChar"/>
              </w:rPr>
              <w:t xml:space="preserve">aihub-ilb-vip</w:t>
            </w:r>
            <w:r>
              <w:t xml:space="preserve"> </w:t>
            </w:r>
            <w:r>
              <w:t xml:space="preserve">(</w:t>
            </w:r>
            <w:r>
              <w:rPr>
                <w:rStyle w:val="VerbatimChar"/>
              </w:rPr>
              <w:t xml:space="preserve">10.110.73.20</w:t>
            </w:r>
            <w:r>
              <w:t xml:space="preserve">)</w:t>
            </w:r>
          </w:p>
        </w:tc>
      </w:tr>
      <w:tr>
        <w:tc>
          <w:tcPr/>
          <w:p>
            <w:pPr>
              <w:pStyle w:val="Compact"/>
              <w:jc w:val="left"/>
            </w:pPr>
            <w:r>
              <w:t xml:space="preserve">Port</w:t>
            </w:r>
          </w:p>
        </w:tc>
        <w:tc>
          <w:tcPr/>
          <w:p>
            <w:pPr>
              <w:pStyle w:val="Compact"/>
              <w:jc w:val="left"/>
            </w:pPr>
            <w:r>
              <w:t xml:space="preserve">443</w:t>
            </w:r>
          </w:p>
        </w:tc>
      </w:tr>
      <w:tr>
        <w:tc>
          <w:tcPr/>
          <w:p>
            <w:pPr>
              <w:pStyle w:val="Compact"/>
              <w:jc w:val="left"/>
            </w:pPr>
            <w:r>
              <w:t xml:space="preserve">Certificate</w:t>
            </w:r>
          </w:p>
        </w:tc>
        <w:tc>
          <w:tcPr/>
          <w:p>
            <w:pPr>
              <w:pStyle w:val="Compact"/>
              <w:jc w:val="left"/>
            </w:pPr>
            <w:r>
              <w:t xml:space="preserve">create one for</w:t>
            </w:r>
            <w:r>
              <w:t xml:space="preserve"> </w:t>
            </w:r>
            <w:r>
              <w:rPr>
                <w:rStyle w:val="VerbatimChar"/>
              </w:rPr>
              <w:t xml:space="preserve">aihub.aicoe-dev-int.colt.net</w:t>
            </w:r>
            <w:r>
              <w:t xml:space="preserve"> </w:t>
            </w:r>
            <w:r>
              <w:t xml:space="preserve">— see §20.9</w:t>
            </w:r>
          </w:p>
        </w:tc>
      </w:tr>
    </w:tbl>
    <w:p>
      <w:pPr>
        <w:pStyle w:val="BodyText"/>
      </w:pPr>
      <w:r>
        <w:rPr>
          <w:bCs/>
          <w:b/>
        </w:rPr>
        <w:t xml:space="preserve">Routing rules:</w:t>
      </w:r>
      <w:r>
        <w:t xml:space="preserve"> </w:t>
      </w:r>
      <w:r>
        <w:t xml:space="preserve">create a URL map with: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Sends to</w:t>
            </w:r>
          </w:p>
        </w:tc>
      </w:tr>
      <w:tr>
        <w:tc>
          <w:tcPr/>
          <w:p>
            <w:pPr>
              <w:pStyle w:val="Compact"/>
              <w:jc w:val="left"/>
            </w:pPr>
            <w:r>
              <w:t xml:space="preserve">everything</w:t>
            </w:r>
          </w:p>
        </w:tc>
        <w:tc>
          <w:tcPr/>
          <w:p>
            <w:pPr>
              <w:pStyle w:val="Compact"/>
              <w:jc w:val="left"/>
            </w:pPr>
            <w:r>
              <w:rPr>
                <w:rStyle w:val="VerbatimChar"/>
              </w:rPr>
              <w:t xml:space="preserve">bs-aihub-bff</w:t>
            </w:r>
            <w:r>
              <w:t xml:space="preserve"> </w:t>
            </w:r>
            <w:r>
              <w:t xml:space="preserve">in the</w:t>
            </w:r>
            <w:r>
              <w:t xml:space="preserve"> </w:t>
            </w:r>
            <w:r>
              <w:rPr>
                <w:rStyle w:val="VerbatimChar"/>
              </w:rPr>
              <w:t xml:space="preserve">aihub-ui</w:t>
            </w:r>
            <w:r>
              <w:t xml:space="preserve"> </w:t>
            </w:r>
            <w:r>
              <w:t xml:space="preserve">project</w:t>
            </w:r>
          </w:p>
        </w:tc>
      </w:tr>
    </w:tbl>
    <w:p>
      <w:pPr>
        <w:pStyle w:val="BodyText"/>
      </w:pPr>
      <w:r>
        <w:t xml:space="preserve">There is only one rule. The BFF serves the static assets, the</w:t>
      </w:r>
      <w:r>
        <w:t xml:space="preserve"> </w:t>
      </w:r>
      <w:r>
        <w:rPr>
          <w:rStyle w:val="VerbatimChar"/>
        </w:rPr>
        <w:t xml:space="preserve">/auth/*</w:t>
      </w:r>
      <w:r>
        <w:t xml:space="preserve"> </w:t>
      </w:r>
      <w:r>
        <w:t xml:space="preserve">endpoints and the</w:t>
      </w:r>
      <w:r>
        <w:t xml:space="preserve"> </w:t>
      </w:r>
      <w:r>
        <w:rPr>
          <w:rStyle w:val="VerbatimChar"/>
        </w:rPr>
        <w:t xml:space="preserve">/api/*</w:t>
      </w:r>
      <w:r>
        <w:t xml:space="preserve"> </w:t>
      </w:r>
      <w:r>
        <w:t xml:space="preserve">endpoints from a single origin — which is what lets the session cookie work without any cross-origin configuration.</w:t>
      </w:r>
    </w:p>
    <w:p>
      <w:pPr>
        <w:pStyle w:val="BodyText"/>
      </w:pPr>
      <w:r>
        <w:rPr>
          <w:bCs/>
          <w:b/>
        </w:rPr>
        <w:t xml:space="preserve">Cloud Armor:</w:t>
      </w:r>
      <w:r>
        <w:t xml:space="preserve"> </w:t>
      </w:r>
      <w:r>
        <w:t xml:space="preserve">attach a security policy if the console offers one for internal load balancers. If it does not, note it in your design document rather than claiming protection you do not have — this is open item 11.</w:t>
      </w:r>
    </w:p>
    <w:bookmarkEnd w:id="189"/>
    <w:bookmarkStart w:id="190" w:name="X77fc4ab9369089150e70a53ba391d05a0dd1db0"/>
    <w:p>
      <w:pPr>
        <w:pStyle w:val="Heading2"/>
      </w:pPr>
      <w:r>
        <w:t xml:space="preserve">20.6 If the console will not select a backend from another project</w:t>
      </w:r>
    </w:p>
    <w:p>
      <w:pPr>
        <w:pStyle w:val="FirstParagraph"/>
      </w:pPr>
      <w:r>
        <w:t xml:space="preserve">Cross-project service referencing is supported by the platform, but the console picker sometimes only lists backend services in the current project. If so, create the URL map with a placeholder and then repoint it from Cloud Shell:</w:t>
      </w:r>
    </w:p>
    <w:p>
      <w:pPr>
        <w:pStyle w:val="SourceCode"/>
      </w:pPr>
      <w:r>
        <w:rPr>
          <w:rStyle w:val="VerbatimChar"/>
        </w:rPr>
        <w:t xml:space="preserve">gcloud compute url-maps add-path-matcher aihub-urlmap \</w:t>
      </w:r>
      <w:r>
        <w:br/>
      </w:r>
      <w:r>
        <w:rPr>
          <w:rStyle w:val="VerbatimChar"/>
        </w:rPr>
        <w:t xml:space="preserve">  --default-service=projects/gclt-aicoe-dev-aihub-ui/regions/europe-west1/backendServices/bs-aihub-bff \</w:t>
      </w:r>
      <w:r>
        <w:br/>
      </w:r>
      <w:r>
        <w:rPr>
          <w:rStyle w:val="VerbatimChar"/>
        </w:rPr>
        <w:t xml:space="preserve">  --path-matcher-name=api \</w:t>
      </w:r>
      <w:r>
        <w:br/>
      </w:r>
      <w:r>
        <w:rPr>
          <w:rStyle w:val="VerbatimChar"/>
        </w:rPr>
        <w:t xml:space="preserve">  --path-rules="/api/translation/*=projects/gclt-aicoe-dev-st/regions/europe-west1/backendServices/bs-translation,/api/sales/*=projects/gclt-aicoe-dev-st/regions/europe-west1/backendServices/bs-sales" \</w:t>
      </w:r>
      <w:r>
        <w:br/>
      </w:r>
      <w:r>
        <w:rPr>
          <w:rStyle w:val="VerbatimChar"/>
        </w:rPr>
        <w:t xml:space="preserve">  --region=europe-west1 \</w:t>
      </w:r>
      <w:r>
        <w:br/>
      </w:r>
      <w:r>
        <w:rPr>
          <w:rStyle w:val="VerbatimChar"/>
        </w:rPr>
        <w:t xml:space="preserve">  --project=gclt-aicoe-dev-ingress</w:t>
      </w:r>
    </w:p>
    <w:p>
      <w:pPr>
        <w:pStyle w:val="FirstParagraph"/>
      </w:pPr>
      <w:r>
        <w:t xml:space="preserve">The principal building the frontend also needs the role</w:t>
      </w:r>
      <w:r>
        <w:t xml:space="preserve"> </w:t>
      </w:r>
      <w:r>
        <w:rPr>
          <w:bCs/>
          <w:b/>
        </w:rPr>
        <w:t xml:space="preserve">Compute Load Balancer Services User</w:t>
      </w:r>
      <w:r>
        <w:t xml:space="preserve"> </w:t>
      </w:r>
      <w:r>
        <w:t xml:space="preserve">on each backend service in the other projects. Grant it on the backend service itself.</w:t>
      </w:r>
    </w:p>
    <w:bookmarkEnd w:id="190"/>
    <w:bookmarkStart w:id="195" w:name="X38915a0c9f3eda33a384278859f19c780ff9e37"/>
    <w:p>
      <w:pPr>
        <w:pStyle w:val="Heading2"/>
      </w:pPr>
      <w:r>
        <w:t xml:space="preserve">20.7 The backend path — read this before building</w:t>
      </w:r>
    </w:p>
    <w:p>
      <w:pPr>
        <w:pStyle w:val="FirstParagraph"/>
      </w:pPr>
      <w:r>
        <w:t xml:space="preserve">Two facts from Google’s documentation change what you build here, and the second one may remove this load balancer entirely.</w:t>
      </w:r>
    </w:p>
    <w:bookmarkStart w:id="191" w:name="X2316ad3e9a3ec127e6b28847af097c33bcc843b"/>
    <w:p>
      <w:pPr>
        <w:pStyle w:val="Heading3"/>
      </w:pPr>
      <w:r>
        <w:t xml:space="preserve">Do not confuse the two authentication mechanisms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Cloud Run IAM</w:t>
            </w:r>
          </w:p>
        </w:tc>
        <w:tc>
          <w:tcPr/>
          <w:p>
            <w:pPr>
              <w:pStyle w:val="Compact"/>
              <w:jc w:val="left"/>
            </w:pPr>
            <w:r>
              <w:t xml:space="preserve">IAP</w:t>
            </w:r>
          </w:p>
        </w:tc>
      </w:tr>
      <w:tr>
        <w:tc>
          <w:tcPr/>
          <w:p>
            <w:pPr>
              <w:pStyle w:val="Compact"/>
              <w:jc w:val="left"/>
            </w:pPr>
            <w:r>
              <w:t xml:space="preserve">Caller sends</w:t>
            </w:r>
          </w:p>
        </w:tc>
        <w:tc>
          <w:tcPr/>
          <w:p>
            <w:pPr>
              <w:pStyle w:val="Compact"/>
              <w:jc w:val="left"/>
            </w:pPr>
            <w:r>
              <w:t xml:space="preserve">Google ID token, audience = the service URL</w:t>
            </w:r>
          </w:p>
        </w:tc>
        <w:tc>
          <w:tcPr/>
          <w:p>
            <w:pPr>
              <w:pStyle w:val="Compact"/>
              <w:jc w:val="left"/>
            </w:pPr>
            <w:r>
              <w:t xml:space="preserve">IAP ID token, audience = the</w:t>
            </w:r>
            <w:r>
              <w:t xml:space="preserve"> </w:t>
            </w:r>
            <w:r>
              <w:rPr>
                <w:bCs/>
                <w:b/>
              </w:rPr>
              <w:t xml:space="preserve">OAuth client ID</w:t>
            </w:r>
          </w:p>
        </w:tc>
      </w:tr>
      <w:tr>
        <w:tc>
          <w:tcPr/>
          <w:p>
            <w:pPr>
              <w:pStyle w:val="Compact"/>
              <w:jc w:val="left"/>
            </w:pPr>
            <w:r>
              <w:t xml:space="preserve">Header</w:t>
            </w:r>
          </w:p>
        </w:tc>
        <w:tc>
          <w:tcPr/>
          <w:p>
            <w:pPr>
              <w:pStyle w:val="Compact"/>
              <w:jc w:val="left"/>
            </w:pPr>
            <w:r>
              <w:rPr>
                <w:rStyle w:val="VerbatimChar"/>
              </w:rPr>
              <w:t xml:space="preserve">Authorization</w:t>
            </w:r>
            <w:r>
              <w:t xml:space="preserve">, or</w:t>
            </w:r>
            <w:r>
              <w:t xml:space="preserve"> </w:t>
            </w:r>
            <w:r>
              <w:rPr>
                <w:rStyle w:val="VerbatimChar"/>
              </w:rPr>
              <w:t xml:space="preserve">X-Serverless-Authorization</w:t>
            </w:r>
          </w:p>
        </w:tc>
        <w:tc>
          <w:tcPr/>
          <w:p>
            <w:pPr>
              <w:pStyle w:val="Compact"/>
              <w:jc w:val="left"/>
            </w:pPr>
            <w:r>
              <w:rPr>
                <w:rStyle w:val="VerbatimChar"/>
              </w:rPr>
              <w:t xml:space="preserve">Authorization</w:t>
            </w:r>
            <w:r>
              <w:t xml:space="preserve">, or</w:t>
            </w:r>
            <w:r>
              <w:t xml:space="preserve"> </w:t>
            </w:r>
            <w:r>
              <w:rPr>
                <w:rStyle w:val="VerbatimChar"/>
              </w:rPr>
              <w:t xml:space="preserve">Proxy-Authorization</w:t>
            </w:r>
            <w:r>
              <w:t xml:space="preserve"> </w:t>
            </w:r>
            <w:r>
              <w:t xml:space="preserve">if the app already uses</w:t>
            </w:r>
            <w:r>
              <w:t xml:space="preserve"> </w:t>
            </w:r>
            <w:r>
              <w:rPr>
                <w:rStyle w:val="VerbatimChar"/>
              </w:rPr>
              <w:t xml:space="preserve">Authorization</w:t>
            </w:r>
          </w:p>
        </w:tc>
      </w:tr>
      <w:tr>
        <w:tc>
          <w:tcPr/>
          <w:p>
            <w:pPr>
              <w:pStyle w:val="Compact"/>
              <w:jc w:val="left"/>
            </w:pPr>
            <w:r>
              <w:t xml:space="preserve">Checked by</w:t>
            </w:r>
          </w:p>
        </w:tc>
        <w:tc>
          <w:tcPr/>
          <w:p>
            <w:pPr>
              <w:pStyle w:val="Compact"/>
              <w:jc w:val="left"/>
            </w:pPr>
            <w:r>
              <w:t xml:space="preserve">Cloud Run, against</w:t>
            </w:r>
            <w:r>
              <w:t xml:space="preserve"> </w:t>
            </w:r>
            <w:r>
              <w:rPr>
                <w:rStyle w:val="VerbatimChar"/>
              </w:rPr>
              <w:t xml:space="preserve">roles/run.invoker</w:t>
            </w:r>
          </w:p>
        </w:tc>
        <w:tc>
          <w:tcPr/>
          <w:p>
            <w:pPr>
              <w:pStyle w:val="Compact"/>
              <w:jc w:val="left"/>
            </w:pPr>
            <w:r>
              <w:t xml:space="preserve">IAP, before the request reaches the service</w:t>
            </w:r>
          </w:p>
        </w:tc>
      </w:tr>
    </w:tbl>
    <w:p>
      <w:pPr>
        <w:pStyle w:val="BodyText"/>
      </w:pPr>
      <w:r>
        <w:rPr>
          <w:rStyle w:val="VerbatimChar"/>
        </w:rPr>
        <w:t xml:space="preserve">X-Serverless-Authorization</w:t>
      </w:r>
      <w:r>
        <w:t xml:space="preserve"> </w:t>
      </w:r>
      <w:r>
        <w:t xml:space="preserve">is</w:t>
      </w:r>
      <w:r>
        <w:t xml:space="preserve"> </w:t>
      </w:r>
      <w:r>
        <w:rPr>
          <w:bCs/>
          <w:b/>
        </w:rPr>
        <w:t xml:space="preserve">how IAP itself talks to Cloud Run</w:t>
      </w:r>
      <w:r>
        <w:t xml:space="preserve"> </w:t>
      </w:r>
      <w:r>
        <w:t xml:space="preserve">on the internal hop, and Cloud Run passes it through to your container after stripping its signature.</w:t>
      </w:r>
      <w:r>
        <w:t xml:space="preserve"> </w:t>
      </w:r>
      <w:r>
        <w:rPr>
          <w:bCs/>
          <w:b/>
        </w:rPr>
        <w:t xml:space="preserve">Never construct it in a caller.</w:t>
      </w:r>
      <w:r>
        <w:t xml:space="preserve"> </w:t>
      </w:r>
      <w:r>
        <w:t xml:space="preserve">When a backend is IAP-protected, Apigee authenticates</w:t>
      </w:r>
      <w:r>
        <w:t xml:space="preserve"> </w:t>
      </w:r>
      <w:r>
        <w:rPr>
          <w:iCs/>
          <w:i/>
        </w:rPr>
        <w:t xml:space="preserve">to IAP</w:t>
      </w:r>
      <w:r>
        <w:t xml:space="preserve">, with a token whose audience is the OAuth client id.</w:t>
      </w:r>
    </w:p>
    <w:bookmarkEnd w:id="191"/>
    <w:bookmarkStart w:id="192" w:name="X2b89bdb23630e1aec9aca018f40864c3b5f03e5"/>
    <w:p>
      <w:pPr>
        <w:pStyle w:val="Heading3"/>
      </w:pPr>
      <w:r>
        <w:t xml:space="preserve">Google recommends IAP directly on the Cloud Run service</w:t>
      </w:r>
    </w:p>
    <w:p>
      <w:pPr>
        <w:pStyle w:val="FirstParagraph"/>
      </w:pPr>
      <w:r>
        <w:t xml:space="preserve">Not on a load balancer backend service. Direct enablement protects the</w:t>
      </w:r>
      <w:r>
        <w:t xml:space="preserve"> </w:t>
      </w:r>
      <w:r>
        <w:rPr>
          <w:rStyle w:val="VerbatimChar"/>
        </w:rPr>
        <w:t xml:space="preserve">run.app</w:t>
      </w:r>
      <w:r>
        <w:t xml:space="preserve"> </w:t>
      </w:r>
      <w:r>
        <w:t xml:space="preserve">endpoint, needs no load balancer resources, and costs less. Enabling on a backend service is documented for multi-region services behind one global backend service.</w:t>
      </w:r>
    </w:p>
    <w:p>
      <w:pPr>
        <w:pStyle w:val="BodyText"/>
      </w:pPr>
      <w:r>
        <w:t xml:space="preserve">Two constraints:</w:t>
      </w:r>
    </w:p>
    <w:p>
      <w:pPr>
        <w:numPr>
          <w:ilvl w:val="0"/>
          <w:numId w:val="1030"/>
        </w:numPr>
        <w:pStyle w:val="Compact"/>
      </w:pPr>
      <w:r>
        <w:rPr>
          <w:bCs/>
          <w:b/>
        </w:rPr>
        <w:t xml:space="preserve">IAP cannot be on both the Cloud Run service and the load balancer.</w:t>
      </w:r>
      <w:r>
        <w:t xml:space="preserve"> </w:t>
      </w:r>
      <w:r>
        <w:t xml:space="preserve">If it is on the load balancer, the</w:t>
      </w:r>
      <w:r>
        <w:t xml:space="preserve"> </w:t>
      </w:r>
      <w:r>
        <w:rPr>
          <w:rStyle w:val="VerbatimChar"/>
        </w:rPr>
        <w:t xml:space="preserve">run.app</w:t>
      </w:r>
      <w:r>
        <w:t xml:space="preserve"> </w:t>
      </w:r>
      <w:r>
        <w:t xml:space="preserve">URL stays unprotected unless you disable the default URL or restrict ingress.</w:t>
      </w:r>
    </w:p>
    <w:p>
      <w:pPr>
        <w:numPr>
          <w:ilvl w:val="0"/>
          <w:numId w:val="1030"/>
        </w:numPr>
        <w:pStyle w:val="Compact"/>
      </w:pPr>
      <w:r>
        <w:rPr>
          <w:bCs/>
          <w:b/>
        </w:rPr>
        <w:t xml:space="preserve">IAP adds latency.</w:t>
      </w:r>
      <w:r>
        <w:t xml:space="preserve"> </w:t>
      </w:r>
      <w:r>
        <w:t xml:space="preserve">With IAP on the front door and again on the backends, you pay it twice per request.</w:t>
      </w:r>
    </w:p>
    <w:bookmarkEnd w:id="192"/>
    <w:bookmarkStart w:id="193" w:name="build-this"/>
    <w:p>
      <w:pPr>
        <w:pStyle w:val="Heading3"/>
      </w:pPr>
      <w:r>
        <w:t xml:space="preserve">Build this</w:t>
      </w:r>
    </w:p>
    <w:p>
      <w:pPr>
        <w:pStyle w:val="FirstParagraph"/>
      </w:pPr>
      <w:r>
        <w:rPr>
          <w:bCs/>
          <w:b/>
        </w:rPr>
        <w:t xml:space="preserve">Where:</w:t>
      </w:r>
      <w:r>
        <w:t xml:space="preserve"> </w:t>
      </w:r>
      <w:r>
        <w:rPr>
          <w:rStyle w:val="VerbatimChar"/>
        </w:rPr>
        <w:t xml:space="preserve">gclt-aicoe-dev-ingress</w:t>
      </w:r>
      <w:r>
        <w:t xml:space="preserve"> </w:t>
      </w:r>
      <w:r>
        <w:t xml:space="preserve">→</w:t>
      </w:r>
      <w:r>
        <w:t xml:space="preserve"> </w:t>
      </w:r>
      <w:r>
        <w:rPr>
          <w:bCs/>
          <w:b/>
        </w:rPr>
        <w:t xml:space="preserve">CREATE LOAD BALANCER</w:t>
      </w:r>
      <w:r>
        <w:t xml:space="preserve"> </w:t>
      </w:r>
      <w:r>
        <w:t xml:space="preserve">→ Application Load Balancer →</w:t>
      </w:r>
      <w:r>
        <w:t xml:space="preserve"> </w:t>
      </w:r>
      <w:r>
        <w:rPr>
          <w:bCs/>
          <w:b/>
        </w:rPr>
        <w:t xml:space="preserve">Internal</w:t>
      </w:r>
      <w:r>
        <w:t xml:space="preserve"> </w:t>
      </w:r>
      <w:r>
        <w:t xml:space="preserve">→ Regional →</w:t>
      </w:r>
      <w:r>
        <w:t xml:space="preserve"> </w:t>
      </w:r>
      <w:r>
        <w:rPr>
          <w:rStyle w:val="VerbatimChar"/>
        </w:rPr>
        <w:t xml:space="preserve">europe-west1</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Frontend IP</w:t>
            </w:r>
          </w:p>
        </w:tc>
        <w:tc>
          <w:tcPr/>
          <w:p>
            <w:pPr>
              <w:pStyle w:val="Compact"/>
              <w:jc w:val="left"/>
            </w:pPr>
            <w:r>
              <w:t>reserved backend-ilb-vip (192.168.6.145)</w:t>
            </w:r>
            <w:r/>
            <w:r>
              <w:rPr>
                <w:rStyle w:val="VerbatimChar"/>
              </w:rPr>
            </w:r>
            <w:r/>
            <w:r/>
            <w:r>
              <w:rPr>
                <w:rStyle w:val="VerbatimChar"/>
              </w:rPr>
            </w:r>
            <w:r/>
          </w:p>
        </w:tc>
      </w:tr>
      <w:tr>
        <w:tc>
          <w:tcPr/>
          <w:p>
            <w:pPr>
              <w:pStyle w:val="Compact"/>
              <w:jc w:val="left"/>
            </w:pPr>
            <w:r>
              <w:t xml:space="preserve">Protocol</w:t>
            </w:r>
          </w:p>
        </w:tc>
        <w:tc>
          <w:tcPr/>
          <w:p>
            <w:pPr>
              <w:pStyle w:val="Compact"/>
              <w:jc w:val="left"/>
            </w:pPr>
            <w:r>
              <w:t xml:space="preserve">HTTPS, port 443</w:t>
            </w:r>
          </w:p>
        </w:tc>
      </w:tr>
      <w:tr>
        <w:tc>
          <w:tcPr/>
          <w:p>
            <w:pPr>
              <w:pStyle w:val="Compact"/>
              <w:jc w:val="left"/>
            </w:pPr>
            <w:r>
              <w:t xml:space="preserve">Certificate</w:t>
            </w:r>
          </w:p>
        </w:tc>
        <w:tc>
          <w:tcPr/>
          <w:p>
            <w:pPr>
              <w:pStyle w:val="Compact"/>
              <w:jc w:val="left"/>
            </w:pPr>
            <w:r>
              <w:t xml:space="preserve">for</w:t>
            </w:r>
            <w:r>
              <w:t xml:space="preserve"> </w:t>
            </w:r>
            <w:r>
              <w:rPr>
                <w:rStyle w:val="VerbatimChar"/>
              </w:rPr>
              <w:t xml:space="preserve">backend.aicoe-dev-int.colt.net</w:t>
            </w:r>
          </w:p>
        </w:tc>
      </w:tr>
      <w:tr>
        <w:tc>
          <w:tcPr/>
          <w:p>
            <w:pPr>
              <w:pStyle w:val="Compact"/>
              <w:jc w:val="left"/>
            </w:pPr>
            <w:r>
              <w:t xml:space="preserve">Routing</w:t>
            </w:r>
          </w:p>
        </w:tc>
        <w:tc>
          <w:tcPr/>
          <w:p>
            <w:pPr>
              <w:pStyle w:val="Compact"/>
              <w:jc w:val="left"/>
            </w:pPr>
            <w:r>
              <w:rPr>
                <w:rStyle w:val="VerbatimChar"/>
              </w:rPr>
              <w:t xml:space="preserve">/translation/*</w:t>
            </w:r>
            <w:r>
              <w:t xml:space="preserve"> </w:t>
            </w:r>
            <w:r>
              <w:t xml:space="preserve">→</w:t>
            </w:r>
            <w:r>
              <w:t xml:space="preserve"> </w:t>
            </w:r>
            <w:r>
              <w:rPr>
                <w:rStyle w:val="VerbatimChar"/>
              </w:rPr>
              <w:t xml:space="preserve">bs-translation</w:t>
            </w:r>
            <w:r>
              <w:t xml:space="preserve">,</w:t>
            </w:r>
            <w:r>
              <w:t xml:space="preserve"> </w:t>
            </w:r>
            <w:r>
              <w:rPr>
                <w:rStyle w:val="VerbatimChar"/>
              </w:rPr>
              <w:t xml:space="preserve">/sales/*</w:t>
            </w:r>
            <w:r>
              <w:t xml:space="preserve"> </w:t>
            </w:r>
            <w:r>
              <w:t xml:space="preserve">→</w:t>
            </w:r>
            <w:r>
              <w:t xml:space="preserve"> </w:t>
            </w:r>
            <w:r>
              <w:rPr>
                <w:rStyle w:val="VerbatimChar"/>
              </w:rPr>
              <w:t xml:space="preserve">bs-sales</w:t>
            </w:r>
            <w:r>
              <w:t xml:space="preserve">,</w:t>
            </w:r>
            <w:r>
              <w:t xml:space="preserve"> </w:t>
            </w:r>
            <w:r>
              <w:rPr>
                <w:rStyle w:val="VerbatimChar"/>
              </w:rPr>
              <w:t xml:space="preserve">/mcp/*</w:t>
            </w:r>
            <w:r>
              <w:t xml:space="preserve"> </w:t>
            </w:r>
            <w:r>
              <w:t xml:space="preserve">→</w:t>
            </w:r>
            <w:r>
              <w:t xml:space="preserve"> </w:t>
            </w:r>
            <w:r>
              <w:rPr>
                <w:rStyle w:val="VerbatimChar"/>
              </w:rPr>
              <w:t xml:space="preserve">bs-mcp</w:t>
            </w:r>
          </w:p>
        </w:tc>
      </w:tr>
      <w:tr>
        <w:tc>
          <w:tcPr/>
          <w:p>
            <w:pPr>
              <w:pStyle w:val="Compact"/>
              <w:jc w:val="left"/>
            </w:pPr>
            <w:r>
              <w:rPr>
                <w:bCs/>
                <w:b/>
              </w:rPr>
              <w:t xml:space="preserve">IAP</w:t>
            </w:r>
          </w:p>
        </w:tc>
        <w:tc>
          <w:tcPr/>
          <w:p>
            <w:pPr>
              <w:pStyle w:val="Compact"/>
              <w:jc w:val="left"/>
            </w:pPr>
            <w:r>
              <w:rPr>
                <w:bCs/>
                <w:b/>
              </w:rPr>
              <w:t xml:space="preserve">off</w:t>
            </w:r>
            <w:r>
              <w:t xml:space="preserve">, on the load balancer and on its backend services</w:t>
            </w:r>
          </w:p>
        </w:tc>
      </w:tr>
      <w:tr>
        <w:tc>
          <w:tcPr/>
          <w:p>
            <w:pPr>
              <w:pStyle w:val="Compact"/>
              <w:jc w:val="left"/>
            </w:pPr>
            <w:r>
              <w:t xml:space="preserve">Cloud Armor</w:t>
            </w:r>
          </w:p>
        </w:tc>
        <w:tc>
          <w:tcPr/>
          <w:p>
            <w:pPr>
              <w:pStyle w:val="Compact"/>
              <w:jc w:val="left"/>
            </w:pPr>
            <w:r>
              <w:t xml:space="preserve">not needed — nothing user-facing reaches this</w:t>
            </w:r>
          </w:p>
        </w:tc>
      </w:tr>
    </w:tbl>
    <w:p>
      <w:pPr>
        <w:pStyle w:val="BodyText"/>
      </w:pPr>
      <w:r>
        <w:t xml:space="preserve">This load balancer is pure transport. It exists for one reason: Apigee runs in a Google-managed tenant project outside your network and cannot otherwise reach a service with internal-only ingress.</w:t>
      </w:r>
    </w:p>
    <w:p>
      <w:pPr>
        <w:pStyle w:val="BodyText"/>
      </w:pPr>
      <w:r>
        <w:rPr>
          <w:bCs/>
          <w:b/>
        </w:rPr>
        <w:t xml:space="preserve">How authentication works on this hop.</w:t>
      </w:r>
      <w:r>
        <w:t xml:space="preserve"> </w:t>
      </w:r>
      <w:r>
        <w:t xml:space="preserve">Apigee mints a Google ID token whose audience is the target Cloud Run service URL and sends it in</w:t>
      </w:r>
      <w:r>
        <w:t xml:space="preserve"> </w:t>
      </w:r>
      <w:r>
        <w:rPr>
          <w:rStyle w:val="VerbatimChar"/>
        </w:rPr>
        <w:t xml:space="preserve">X-Serverless-Authorization</w:t>
      </w:r>
      <w:r>
        <w:t xml:space="preserve">. The load balancer passes the header through. Cloud Run validates the token and checks</w:t>
      </w:r>
      <w:r>
        <w:t xml:space="preserve"> </w:t>
      </w:r>
      <w:r>
        <w:rPr>
          <w:rStyle w:val="VerbatimChar"/>
        </w:rPr>
        <w:t xml:space="preserve">roles/run.invoker</w:t>
      </w:r>
      <w:r>
        <w:t xml:space="preserve">, which is granted to</w:t>
      </w:r>
      <w:r>
        <w:t xml:space="preserve"> </w:t>
      </w:r>
      <w:r>
        <w:rPr>
          <w:rStyle w:val="VerbatimChar"/>
        </w:rPr>
        <w:t xml:space="preserve">apigee-int-runtime@</w:t>
      </w:r>
      <w:r>
        <w:t xml:space="preserve"> </w:t>
      </w:r>
      <w:r>
        <w:t xml:space="preserve">and nothing else.</w:t>
      </w:r>
    </w:p>
    <w:p>
      <w:pPr>
        <w:pStyle w:val="BodyText"/>
      </w:pPr>
      <w:r>
        <w:rPr>
          <w:bCs/>
          <w:b/>
        </w:rPr>
        <w:t xml:space="preserve">Why</w:t>
      </w:r>
      <w:r>
        <w:rPr>
          <w:bCs/>
          <w:b/>
        </w:rPr>
        <w:t xml:space="preserve"> </w:t>
      </w:r>
      <w:r>
        <w:rPr>
          <w:rStyle w:val="VerbatimChar"/>
          <w:bCs/>
          <w:b/>
        </w:rPr>
        <w:t xml:space="preserve">allUsers</w:t>
      </w:r>
      <w:r>
        <w:rPr>
          <w:bCs/>
          <w:b/>
        </w:rPr>
        <w:t xml:space="preserve"> </w:t>
      </w:r>
      <w:r>
        <w:rPr>
          <w:bCs/>
          <w:b/>
        </w:rPr>
        <w:t xml:space="preserve">never comes up.</w:t>
      </w:r>
      <w:r>
        <w:t xml:space="preserve"> </w:t>
      </w:r>
      <w:r>
        <w:t xml:space="preserve">The problem was that a load balancer does not pass the caller’s identity to a serverless backend, so Cloud Run would see an anonymous request. A machine caller supplying its own token sidesteps that entirely — the identity is in the request, not inferred from the connection.</w:t>
      </w:r>
    </w:p>
    <w:bookmarkEnd w:id="193"/>
    <w:bookmarkStart w:id="194" w:name="what-to-confirm-first"/>
    <w:p>
      <w:pPr>
        <w:pStyle w:val="Heading3"/>
      </w:pPr>
      <w:r>
        <w:t xml:space="preserve">What to confirm first</w:t>
      </w:r>
    </w:p>
    <w:p>
      <w:pPr>
        <w:pStyle w:val="FirstParagraph"/>
      </w:pPr>
      <w:r>
        <w:rPr>
          <w:bCs/>
          <w:b/>
        </w:rPr>
        <w:t xml:space="preserve">Does a Google ID token in</w:t>
      </w:r>
      <w:r>
        <w:rPr>
          <w:bCs/>
          <w:b/>
        </w:rPr>
        <w:t xml:space="preserve"> </w:t>
      </w:r>
      <w:r>
        <w:rPr>
          <w:rStyle w:val="VerbatimChar"/>
          <w:bCs/>
          <w:b/>
        </w:rPr>
        <w:t xml:space="preserve">X-Serverless-Authorization</w:t>
      </w:r>
      <w:r>
        <w:rPr>
          <w:bCs/>
          <w:b/>
        </w:rPr>
        <w:t xml:space="preserve"> </w:t>
      </w:r>
      <w:r>
        <w:rPr>
          <w:bCs/>
          <w:b/>
        </w:rPr>
        <w:t xml:space="preserve">survive the load balancer hop and satisfy Cloud Run IAM?</w:t>
      </w:r>
      <w:r>
        <w:t xml:space="preserve"> </w:t>
      </w:r>
      <w:r>
        <w:t xml:space="preserve">This is spike S1, arm 1, and it is now the primary path rather than a fallback.</w:t>
      </w:r>
    </w:p>
    <w:p>
      <w:pPr>
        <w:pStyle w:val="BodyText"/>
      </w:pPr>
      <w:r>
        <w:t xml:space="preserve">In a scratch project: Cloud Run service with</w:t>
      </w:r>
      <w:r>
        <w:t xml:space="preserve"> </w:t>
      </w:r>
      <w:r>
        <w:rPr>
          <w:rStyle w:val="VerbatimChar"/>
        </w:rPr>
        <w:t xml:space="preserve">ingress=internal-and-cloud-load-balancing</w:t>
      </w:r>
      <w:r>
        <w:t xml:space="preserve">, no IAP, no</w:t>
      </w:r>
      <w:r>
        <w:t xml:space="preserve"> </w:t>
      </w:r>
      <w:r>
        <w:rPr>
          <w:rStyle w:val="VerbatimChar"/>
        </w:rPr>
        <w:t xml:space="preserve">allUsers</w:t>
      </w:r>
      <w:r>
        <w:t xml:space="preserve">,</w:t>
      </w:r>
      <w:r>
        <w:t xml:space="preserve"> </w:t>
      </w:r>
      <w:r>
        <w:rPr>
          <w:rStyle w:val="VerbatimChar"/>
        </w:rPr>
        <w:t xml:space="preserve">roles/run.invoker</w:t>
      </w:r>
      <w:r>
        <w:t xml:space="preserve"> </w:t>
      </w:r>
      <w:r>
        <w:t xml:space="preserve">granted to one test service account. Front it with a regional internal Application Load Balancer. Call the load balancer with an ID token for that service account, audience set to the Cloud Run service URL, in</w:t>
      </w:r>
      <w:r>
        <w:t xml:space="preserve"> </w:t>
      </w:r>
      <w:r>
        <w:rPr>
          <w:rStyle w:val="VerbatimChar"/>
        </w:rPr>
        <w:t xml:space="preserve">X-Serverless-Authorization</w:t>
      </w:r>
      <w:r>
        <w:t xml:space="preserve">.</w:t>
      </w:r>
    </w:p>
    <w:p>
      <w:pPr>
        <w:pStyle w:val="BodyText"/>
      </w:pPr>
      <w:r>
        <w:rPr>
          <w:bCs/>
          <w:b/>
        </w:rPr>
        <w:t xml:space="preserve">Pass:</w:t>
      </w:r>
      <w:r>
        <w:t xml:space="preserve"> </w:t>
      </w:r>
      <w:r>
        <w:t xml:space="preserve">HTTP 200, and no</w:t>
      </w:r>
      <w:r>
        <w:t xml:space="preserve"> </w:t>
      </w:r>
      <w:r>
        <w:rPr>
          <w:rStyle w:val="VerbatimChar"/>
        </w:rPr>
        <w:t xml:space="preserve">allUsers</w:t>
      </w:r>
      <w:r>
        <w:t xml:space="preserve"> </w:t>
      </w:r>
      <w:r>
        <w:t xml:space="preserve">binding anywhere.</w:t>
      </w:r>
    </w:p>
    <w:p>
      <w:pPr>
        <w:pStyle w:val="BodyText"/>
      </w:pPr>
      <w:r>
        <w:rPr>
          <w:bCs/>
          <w:b/>
        </w:rPr>
        <w:t xml:space="preserve">If it fails,</w:t>
      </w:r>
      <w:r>
        <w:t xml:space="preserve"> </w:t>
      </w:r>
      <w:r>
        <w:t xml:space="preserve">fall back to IAP on the backend services with a dedicated OAuth client — the R11 design, retained in</w:t>
      </w:r>
      <w:r>
        <w:t xml:space="preserve"> </w:t>
      </w:r>
      <w:r>
        <w:rPr>
          <w:rStyle w:val="VerbatimChar"/>
        </w:rPr>
        <w:t xml:space="preserve">11</w:t>
      </w:r>
      <w:r>
        <w:t xml:space="preserve"> </w:t>
      </w:r>
      <w:r>
        <w:t xml:space="preserve">§7.7 as arm 2. It works but costs an OAuth client per service and IAP latency on every backend call.</w:t>
      </w:r>
    </w:p>
    <w:p>
      <w:pPr>
        <w:pStyle w:val="BodyText"/>
      </w:pPr>
      <w:r>
        <w:rPr>
          <w:bCs/>
          <w:b/>
        </w:rPr>
        <w:t xml:space="preserve">Separately, and more importantly:</w:t>
      </w:r>
      <w:r>
        <w:t xml:space="preserve"> </w:t>
      </w:r>
      <w:r>
        <w:t xml:space="preserve">confirm that IAP is supported on a backend service of a regional internal Application Load Balancer at all. The front door depends on it, it has been assumed since the first revision, and it has never been tested. That is arm 3.</w:t>
      </w:r>
    </w:p>
    <w:bookmarkEnd w:id="194"/>
    <w:bookmarkEnd w:id="195"/>
    <w:bookmarkStart w:id="196" w:name="check-it-worked-13"/>
    <w:p>
      <w:pPr>
        <w:pStyle w:val="Heading2"/>
      </w:pPr>
      <w:r>
        <w:t xml:space="preserve">20.8 Check it worked</w:t>
      </w:r>
    </w:p>
    <w:p>
      <w:pPr>
        <w:pStyle w:val="FirstParagraph"/>
      </w:pPr>
      <w:r>
        <w:t xml:space="preserve">From a ZPA-connected laptop, browse to</w:t>
      </w:r>
      <w:r>
        <w:t xml:space="preserve"> </w:t>
      </w:r>
      <w:r>
        <w:rPr>
          <w:rStyle w:val="VerbatimChar"/>
        </w:rPr>
        <w:t xml:space="preserve">https://aihub.aicoe-dev-int.colt.net</w:t>
      </w:r>
      <w:r>
        <w:t xml:space="preserve">. You should be redirected to Entra sign-in, then reach the web interface. If it hangs with no redirect, the network path is wrong. If it redirects but loops, the sign-in redirect is being sent through the ZPA tunnel when it needs to go directly.</w:t>
      </w:r>
    </w:p>
    <w:bookmarkEnd w:id="196"/>
    <w:bookmarkStart w:id="197" w:name="watch-out-certificates"/>
    <w:p>
      <w:pPr>
        <w:pStyle w:val="Heading2"/>
      </w:pPr>
      <w:r>
        <w:t xml:space="preserve">20.9 Watch out — certificates</w:t>
      </w:r>
    </w:p>
    <w:p>
      <w:pPr>
        <w:pStyle w:val="FirstParagraph"/>
      </w:pPr>
      <w:r>
        <w:t xml:space="preserve">The name</w:t>
      </w:r>
      <w:r>
        <w:t xml:space="preserve"> </w:t>
      </w:r>
      <w:r>
        <w:rPr>
          <w:rStyle w:val="VerbatimChar"/>
        </w:rPr>
        <w:t xml:space="preserve">aihub.aicoe-dev-int.colt.net</w:t>
      </w:r>
      <w:r>
        <w:t xml:space="preserve"> </w:t>
      </w:r>
      <w:r>
        <w:t xml:space="preserve">resolves only inside your network, but browsers still need to trust the certificate.</w:t>
      </w:r>
    </w:p>
    <w:p>
      <w:pPr>
        <w:numPr>
          <w:ilvl w:val="0"/>
          <w:numId w:val="1031"/>
        </w:numPr>
        <w:pStyle w:val="Compact"/>
      </w:pPr>
      <w:r>
        <w:rPr>
          <w:bCs/>
          <w:b/>
        </w:rPr>
        <w:t xml:space="preserve">Best option:</w:t>
      </w:r>
      <w:r>
        <w:t xml:space="preserve"> </w:t>
      </w:r>
      <w:r>
        <w:t xml:space="preserve">a publicly issued certificate for a privately resolved name. Validation must be by DNS record (the certificate authority cannot reach a private address to verify it over HTTP), so you need control of the public</w:t>
      </w:r>
      <w:r>
        <w:t xml:space="preserve"> </w:t>
      </w:r>
      <w:r>
        <w:rPr>
          <w:rStyle w:val="VerbatimChar"/>
        </w:rPr>
        <w:t xml:space="preserve">colt.net</w:t>
      </w:r>
      <w:r>
        <w:t xml:space="preserve"> </w:t>
      </w:r>
      <w:r>
        <w:t xml:space="preserve">zone. No trust store distribution needed.</w:t>
      </w:r>
    </w:p>
    <w:p>
      <w:pPr>
        <w:numPr>
          <w:ilvl w:val="0"/>
          <w:numId w:val="1031"/>
        </w:numPr>
        <w:pStyle w:val="Compact"/>
      </w:pPr>
      <w:r>
        <w:rPr>
          <w:bCs/>
          <w:b/>
        </w:rPr>
        <w:t xml:space="preserve">Alternative:</w:t>
      </w:r>
      <w:r>
        <w:t xml:space="preserve"> </w:t>
      </w:r>
      <w:r>
        <w:t xml:space="preserve">an internal Colt certificate authority. Then</w:t>
      </w:r>
      <w:r>
        <w:t xml:space="preserve"> </w:t>
      </w:r>
      <w:r>
        <w:rPr>
          <w:bCs/>
          <w:b/>
        </w:rPr>
        <w:t xml:space="preserve">every</w:t>
      </w:r>
      <w:r>
        <w:t xml:space="preserve"> </w:t>
      </w:r>
      <w:r>
        <w:t xml:space="preserve">container that calls the gateway needs that authority’s certificate installed, and you will debug the same opaque TLS failure in several images.</w:t>
      </w:r>
    </w:p>
    <w:p>
      <w:pPr>
        <w:pStyle w:val="FirstParagraph"/>
      </w:pPr>
      <w:r>
        <w:t xml:space="preserve">Whichever you choose: name an owner, automate renewal, and alert 30 days before expiry. An expired certificate here is a total outage, and it is the single most common self-inflicted failure in designs like this.</w:t>
      </w:r>
    </w:p>
    <w:bookmarkEnd w:id="197"/>
    <w:bookmarkStart w:id="198" w:name="watch-out-timeouts"/>
    <w:p>
      <w:pPr>
        <w:pStyle w:val="Heading2"/>
      </w:pPr>
      <w:r>
        <w:t xml:space="preserve">20.10 Watch out — timeouts</w:t>
      </w:r>
    </w:p>
    <w:p>
      <w:pPr>
        <w:pStyle w:val="FirstParagraph"/>
      </w:pPr>
      <w:r>
        <w:t xml:space="preserve">For serverless backends, the backend service timeout setting</w:t>
      </w:r>
      <w:r>
        <w:t xml:space="preserve"> </w:t>
      </w:r>
      <w:r>
        <w:rPr>
          <w:bCs/>
          <w:b/>
        </w:rPr>
        <w:t xml:space="preserve">does not apply</w:t>
      </w:r>
      <w:r>
        <w:t xml:space="preserve">. The effective limit is the Cloud Run request timeout you set in Part 19. Do not spend time tuning a load balancer timeout for those paths — it will have no effect.</w:t>
      </w:r>
    </w:p>
    <w:p>
      <w:r>
        <w:br w:type="page"/>
      </w:r>
    </w:p>
    <w:bookmarkEnd w:id="198"/>
    <w:bookmarkEnd w:id="199"/>
    <w:bookmarkStart w:id="209" w:name="X3098d2e0d715d0e483862c6d10c34d45c07ebf3"/>
    <w:p>
      <w:pPr>
        <w:pStyle w:val="Heading1"/>
      </w:pPr>
      <w:r>
        <w:t xml:space="preserve">Part 21 — Private Service Connect for Apigee, both directions</w:t>
      </w:r>
    </w:p>
    <w:bookmarkStart w:id="200" w:name="what-this-is-17"/>
    <w:p>
      <w:pPr>
        <w:pStyle w:val="Heading2"/>
      </w:pPr>
      <w:r>
        <w:t xml:space="preserve">21.1 What this is</w:t>
      </w:r>
    </w:p>
    <w:p>
      <w:pPr>
        <w:pStyle w:val="FirstParagraph"/>
      </w:pPr>
      <w:r>
        <w:t xml:space="preserve">Apigee runs in Google-managed infrastructure, not inside your network. Two separate connections are needed, and they are not symmetric.</w:t>
      </w:r>
    </w:p>
    <w:p>
      <w:pPr>
        <w:pStyle w:val="BodyText"/>
      </w:pPr>
      <w:r>
        <w:rPr>
          <w:bCs/>
          <w:b/>
        </w:rPr>
        <w:t xml:space="preserve">Northbound</w:t>
      </w:r>
      <w:r>
        <w:t xml:space="preserve"> </w:t>
      </w:r>
      <w:r>
        <w:t xml:space="preserve">is traffic going</w:t>
      </w:r>
      <w:r>
        <w:t xml:space="preserve"> </w:t>
      </w:r>
      <w:r>
        <w:rPr>
          <w:iCs/>
          <w:i/>
        </w:rPr>
        <w:t xml:space="preserve">to</w:t>
      </w:r>
      <w:r>
        <w:t xml:space="preserve"> </w:t>
      </w:r>
      <w:r>
        <w:t xml:space="preserve">Apigee — from your load balancer and from Cloud Run. Apigee publishes a service attachment, you connect to it.</w:t>
      </w:r>
      <w:r>
        <w:t xml:space="preserve"> </w:t>
      </w:r>
      <w:r>
        <w:rPr>
          <w:bCs/>
          <w:b/>
        </w:rPr>
        <w:t xml:space="preserve">Southbound</w:t>
      </w:r>
      <w:r>
        <w:t xml:space="preserve"> </w:t>
      </w:r>
      <w:r>
        <w:t xml:space="preserve">is Apigee reaching back</w:t>
      </w:r>
      <w:r>
        <w:t xml:space="preserve"> </w:t>
      </w:r>
      <w:r>
        <w:rPr>
          <w:iCs/>
          <w:i/>
        </w:rPr>
        <w:t xml:space="preserve">to</w:t>
      </w:r>
      <w:r>
        <w:t xml:space="preserve"> </w:t>
      </w:r>
      <w:r>
        <w:t xml:space="preserve">your services. There, you publish and Apigee connects.</w:t>
      </w:r>
    </w:p>
    <w:bookmarkEnd w:id="200"/>
    <w:bookmarkStart w:id="201" w:name="X25153640175548c48c7355d3ae0104eda1ccb88"/>
    <w:p>
      <w:pPr>
        <w:pStyle w:val="Heading2"/>
      </w:pPr>
      <w:r>
        <w:t xml:space="preserve">21.2 There is no load-balancer connection to Apigee</w:t>
      </w:r>
    </w:p>
    <w:p>
      <w:pPr>
        <w:pStyle w:val="FirstParagraph"/>
      </w:pPr>
      <w:r>
        <w:t xml:space="preserve">The AI Hub load balancer sends nothing to Apigee. Everything that talks to Apigee — the BFF for the user API, and the backend services for the AI gateway — does so from inside the network via the service endpoint, which is §21.3.</w:t>
      </w:r>
    </w:p>
    <w:bookmarkEnd w:id="201"/>
    <w:bookmarkStart w:id="204" w:name="Xe067fe7c5b80705f53732055ff92b61209706ec"/>
    <w:p>
      <w:pPr>
        <w:pStyle w:val="Heading2"/>
      </w:pPr>
      <w:r>
        <w:t xml:space="preserve">21.3 Do this — the service endpoint for Cloud Run</w:t>
      </w:r>
    </w:p>
    <w:p>
      <w:pPr>
        <w:pStyle w:val="FirstParagraph"/>
      </w:pPr>
      <w:r>
        <w:t xml:space="preserve">Cloud Run services call the AI gateway. They cannot use a load balancer backend, so they use Apigee’s</w:t>
      </w:r>
      <w:r>
        <w:t xml:space="preserve"> </w:t>
      </w:r>
      <w:r>
        <w:rPr>
          <w:bCs/>
          <w:b/>
        </w:rPr>
        <w:t xml:space="preserve">service endpoint</w:t>
      </w:r>
      <w:r>
        <w:t xml:space="preserve"> </w:t>
      </w:r>
      <w:r>
        <w:t xml:space="preserve">— the documented internal-routing option you selected in §14.3.</w:t>
      </w:r>
    </w:p>
    <w:p>
      <w:pPr>
        <w:pStyle w:val="BodyText"/>
      </w:pPr>
      <w:r>
        <w:rPr>
          <w:bCs/>
          <w:b/>
        </w:rPr>
        <w:t xml:space="preserve">Where:</w:t>
      </w:r>
      <w:r>
        <w:t xml:space="preserve"> </w:t>
      </w:r>
      <w:r>
        <w:t xml:space="preserve">the endpoint is created as part of Apigee’s internal PSC routing configuration rather than as a generic Private Service Connect endpoint you build yourself. In the Apigee admin section look for the instance’s endpoint or service-endpoint listing; if the console does not expose it, retrieve it from Cloud Shell:</w:t>
      </w:r>
    </w:p>
    <w:p>
      <w:pPr>
        <w:pStyle w:val="SourceCode"/>
      </w:pPr>
      <w:r>
        <w:rPr>
          <w:rStyle w:val="VerbatimChar"/>
        </w:rPr>
        <w:t xml:space="preserve">gcloud apigee instances list --organization=gclt-aicoe-dev-apigee</w:t>
      </w:r>
    </w:p>
    <w:p>
      <w:pPr>
        <w:pStyle w:val="FirstParagraph"/>
      </w:pPr>
      <w:r>
        <w:t>Record the endpoint address. This runbook assumes 192.168.6.146; use whatever address the endpoint actually has and update the DNS record in §6.9 to match.</w:t>
      </w:r>
      <w:r/>
      <w:r>
        <w:rPr>
          <w:rStyle w:val="VerbatimChar"/>
        </w:rPr>
      </w:r>
      <w:r/>
    </w:p>
    <w:bookmarkStart w:id="202" w:name="why-the-address-alone-is-not-enough"/>
    <w:p>
      <w:pPr>
        <w:pStyle w:val="Heading3"/>
      </w:pPr>
      <w:r>
        <w:t xml:space="preserve">Why the address alone is not enough</w:t>
      </w:r>
    </w:p>
    <w:p>
      <w:pPr>
        <w:pStyle w:val="FirstParagraph"/>
      </w:pPr>
      <w:r>
        <w:t xml:space="preserve">Apigee routes to an environment by</w:t>
      </w:r>
      <w:r>
        <w:t xml:space="preserve"> </w:t>
      </w:r>
      <w:r>
        <w:rPr>
          <w:bCs/>
          <w:b/>
        </w:rPr>
        <w:t xml:space="preserve">Host header</w:t>
      </w:r>
      <w:r>
        <w:t xml:space="preserve">, so a caller must send</w:t>
      </w:r>
      <w:r>
        <w:t xml:space="preserve"> </w:t>
      </w:r>
      <w:r>
        <w:rPr>
          <w:rStyle w:val="VerbatimChar"/>
        </w:rPr>
        <w:t xml:space="preserve">Host: llm.aicoe-dev-int.colt.net</w:t>
      </w:r>
      <w:r>
        <w:t xml:space="preserve">. Google’s own example calls the endpoint as:</w:t>
      </w:r>
    </w:p>
    <w:p>
      <w:pPr>
        <w:pStyle w:val="SourceCode"/>
      </w:pPr>
      <w:r>
        <w:rPr>
          <w:rStyle w:val="VerbatimChar"/>
        </w:rPr>
        <w:t xml:space="preserve">curl -i -k -H "Host: ENV_GROUP_HOSTNAME" https://ENDPOINT_IP/basepath</w:t>
      </w:r>
    </w:p>
    <w:p>
      <w:pPr>
        <w:pStyle w:val="FirstParagraph"/>
      </w:pPr>
      <w:r>
        <w:t xml:space="preserve">Note the</w:t>
      </w:r>
      <w:r>
        <w:t xml:space="preserve"> </w:t>
      </w:r>
      <w:r>
        <w:rPr>
          <w:rStyle w:val="VerbatimChar"/>
        </w:rPr>
        <w:t xml:space="preserve">-k</w:t>
      </w:r>
      <w:r>
        <w:t xml:space="preserve">, which disables certificate checking — necessary because the certificate is issued for the hostname, not the IP.</w:t>
      </w:r>
      <w:r>
        <w:t xml:space="preserve"> </w:t>
      </w:r>
      <w:r>
        <w:rPr>
          <w:bCs/>
          <w:b/>
        </w:rPr>
        <w:t xml:space="preserve">Do not build that into your services.</w:t>
      </w:r>
      <w:r>
        <w:t xml:space="preserve"> </w:t>
      </w:r>
      <w:r>
        <w:t xml:space="preserve">Instead rely on the private DNS record from §6.9 so callers use the hostname, the certificate matches, and TLS verification stays on. A service that has to disable certificate verification to reach your gateway is a service that will accept any certificate from anywhere.</w:t>
      </w:r>
    </w:p>
    <w:bookmarkEnd w:id="202"/>
    <w:bookmarkStart w:id="203" w:name="what-is-not-needed-here"/>
    <w:p>
      <w:pPr>
        <w:pStyle w:val="Heading3"/>
      </w:pPr>
      <w:r>
        <w:t xml:space="preserve">What is not needed here</w:t>
      </w:r>
    </w:p>
    <w:p>
      <w:pPr>
        <w:pStyle w:val="FirstParagraph"/>
      </w:pPr>
      <w:r>
        <w:t xml:space="preserve">Google’s northbound Private Service Connect documentation describes attaching a PSC network endpoint group to an</w:t>
      </w:r>
      <w:r>
        <w:t xml:space="preserve"> </w:t>
      </w:r>
      <w:r>
        <w:rPr>
          <w:bCs/>
          <w:b/>
        </w:rPr>
        <w:t xml:space="preserve">external</w:t>
      </w:r>
      <w:r>
        <w:t xml:space="preserve"> </w:t>
      </w:r>
      <w:r>
        <w:t xml:space="preserve">Application Load Balancer. That pattern exists for exposing Apigee to the internet. Because the BFF calls Apigee server-side from inside the network, you use the internal service endpoint instead and never need a PSC network endpoint group at all — which sidesteps the one networking question that has no documented answer.</w:t>
      </w:r>
    </w:p>
    <w:bookmarkEnd w:id="203"/>
    <w:bookmarkEnd w:id="204"/>
    <w:bookmarkStart w:id="205" w:name="Xdb230584e99ea2dad320e4783b349bec023c86c"/>
    <w:p>
      <w:pPr>
        <w:pStyle w:val="Heading2"/>
      </w:pPr>
      <w:r>
        <w:t xml:space="preserve">21.4 Do this — allow only your projects to connect</w:t>
      </w:r>
    </w:p>
    <w:p>
      <w:pPr>
        <w:pStyle w:val="FirstParagraph"/>
      </w:pPr>
      <w:r>
        <w:rPr>
          <w:bCs/>
          <w:b/>
        </w:rPr>
        <w:t xml:space="preserve">Where:</w:t>
      </w:r>
      <w:r>
        <w:t xml:space="preserve"> </w:t>
      </w:r>
      <w:r>
        <w:t xml:space="preserve">back in the Apigee instance settings, find the consumer accept list.</w:t>
      </w:r>
    </w:p>
    <w:p>
      <w:pPr>
        <w:pStyle w:val="BodyText"/>
      </w:pPr>
      <w:r>
        <w:t xml:space="preserve">Add</w:t>
      </w:r>
      <w:r>
        <w:t xml:space="preserve"> </w:t>
      </w:r>
      <w:r>
        <w:rPr>
          <w:bCs/>
          <w:b/>
        </w:rPr>
        <w:t xml:space="preserve">only</w:t>
      </w:r>
      <w:r>
        <w:t xml:space="preserve"> </w:t>
      </w:r>
      <w:r>
        <w:rPr>
          <w:rStyle w:val="VerbatimChar"/>
        </w:rPr>
        <w:t xml:space="preserve">gclt-aicoe-dev-network</w:t>
      </w:r>
      <w:r>
        <w:t xml:space="preserve">. The BFF and the backend services all reach Apigee from inside that network.</w:t>
      </w:r>
    </w:p>
    <w:p>
      <w:pPr>
        <w:pStyle w:val="BodyText"/>
      </w:pPr>
      <w:r>
        <w:rPr>
          <w:bCs/>
          <w:b/>
        </w:rPr>
        <w:t xml:space="preserve">Why this matters more than it looks.</w:t>
      </w:r>
      <w:r>
        <w:t xml:space="preserve"> </w:t>
      </w:r>
      <w:r>
        <w:t xml:space="preserve">If the accept list is permissive, any project in the organisation can create its own endpoint to your Apigee instance and call the AI gateway directly. This single field is the difference between a front door and an unlocked side door.</w:t>
      </w:r>
    </w:p>
    <w:p>
      <w:pPr>
        <w:pStyle w:val="BodyText"/>
      </w:pPr>
      <w:r>
        <w:rPr>
          <w:bCs/>
          <w:b/>
        </w:rPr>
        <w:t xml:space="preserve">Two documented behaviours to know.</w:t>
      </w:r>
      <w:r>
        <w:t xml:space="preserve"> </w:t>
      </w:r>
      <w:r>
        <w:t xml:space="preserve">The limit on Private Service Connect network endpoint group connections per project to an Apigee instance is 100. And removing a project from the accept list does</w:t>
      </w:r>
      <w:r>
        <w:t xml:space="preserve"> </w:t>
      </w:r>
      <w:r>
        <w:rPr>
          <w:bCs/>
          <w:b/>
        </w:rPr>
        <w:t xml:space="preserve">not</w:t>
      </w:r>
      <w:r>
        <w:t xml:space="preserve"> </w:t>
      </w:r>
      <w:r>
        <w:t xml:space="preserve">cut off connections that already exist — existing endpoint groups keep working, only new ones are rejected. To actually revoke access you must delete the existing connections in that project, or recreate the Apigee instance. Treat the accept list as an admission control, not a revocation mechanism.</w:t>
      </w:r>
    </w:p>
    <w:bookmarkEnd w:id="205"/>
    <w:bookmarkStart w:id="206" w:name="X9f268212c3f922f17d8bb4815644baf4a19ad63"/>
    <w:p>
      <w:pPr>
        <w:pStyle w:val="Heading2"/>
      </w:pPr>
      <w:r>
        <w:t xml:space="preserve">21.5 Do this — southbound, so Apigee can reach your backends</w:t>
      </w:r>
    </w:p>
    <w:p>
      <w:pPr>
        <w:pStyle w:val="FirstParagraph"/>
      </w:pPr>
      <w:r>
        <w:t xml:space="preserve">Publish the Backend load balancer so Apigee can connect to it.</w:t>
      </w:r>
    </w:p>
    <w:p>
      <w:pPr>
        <w:pStyle w:val="BodyText"/>
      </w:pPr>
      <w:r>
        <w:rPr>
          <w:bCs/>
          <w:b/>
        </w:rPr>
        <w:t xml:space="preserve">Where:</w:t>
      </w:r>
      <w:r>
        <w:t xml:space="preserve"> </w:t>
      </w:r>
      <w:r>
        <w:rPr>
          <w:rStyle w:val="VerbatimChar"/>
        </w:rPr>
        <w:t xml:space="preserve">gclt-aicoe-dev-network</w:t>
      </w:r>
      <w:r>
        <w:t xml:space="preserve"> </w:t>
      </w:r>
      <w:r>
        <w:t xml:space="preserve">→</w:t>
      </w:r>
      <w:r>
        <w:t xml:space="preserve"> </w:t>
      </w:r>
      <w:r>
        <w:rPr>
          <w:bCs/>
          <w:b/>
        </w:rPr>
        <w:t xml:space="preserve">Private Service Connect</w:t>
      </w:r>
      <w:r>
        <w:t xml:space="preserve"> </w:t>
      </w:r>
      <w:r>
        <w:t xml:space="preserve">→</w:t>
      </w:r>
      <w:r>
        <w:t xml:space="preserve"> </w:t>
      </w:r>
      <w:r>
        <w:rPr>
          <w:bCs/>
          <w:b/>
        </w:rPr>
        <w:t xml:space="preserve">Published services</w:t>
      </w:r>
      <w:r>
        <w:t xml:space="preserve"> </w:t>
      </w:r>
      <w:r>
        <w:t xml:space="preserve">→</w:t>
      </w:r>
      <w:r>
        <w:t xml:space="preserve"> </w:t>
      </w:r>
      <w:r>
        <w:rPr>
          <w:bCs/>
          <w:b/>
        </w:rPr>
        <w:t xml:space="preserve">PUBLISH SERVICE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Load balancer type</w:t>
            </w:r>
          </w:p>
        </w:tc>
        <w:tc>
          <w:tcPr/>
          <w:p>
            <w:pPr>
              <w:pStyle w:val="Compact"/>
              <w:jc w:val="left"/>
            </w:pPr>
            <w:r>
              <w:t xml:space="preserve">Internal Application Load Balancer</w:t>
            </w:r>
          </w:p>
        </w:tc>
      </w:tr>
      <w:tr>
        <w:tc>
          <w:tcPr/>
          <w:p>
            <w:pPr>
              <w:pStyle w:val="Compact"/>
              <w:jc w:val="left"/>
            </w:pPr>
            <w:r>
              <w:t xml:space="preserve">Load balancer</w:t>
            </w:r>
          </w:p>
        </w:tc>
        <w:tc>
          <w:tcPr/>
          <w:p>
            <w:pPr>
              <w:pStyle w:val="Compact"/>
              <w:jc w:val="left"/>
            </w:pPr>
            <w:r>
              <w:t>the Backend load balancer frontend at 192.168.6.145</w:t>
            </w:r>
            <w:r/>
            <w:r>
              <w:rPr>
                <w:rStyle w:val="VerbatimChar"/>
              </w:rPr>
            </w:r>
          </w:p>
        </w:tc>
      </w:tr>
      <w:tr>
        <w:tc>
          <w:tcPr/>
          <w:p>
            <w:pPr>
              <w:pStyle w:val="Compact"/>
              <w:jc w:val="left"/>
            </w:pPr>
            <w:r>
              <w:t xml:space="preserve">Service name</w:t>
            </w:r>
          </w:p>
        </w:tc>
        <w:tc>
          <w:tcPr/>
          <w:p>
            <w:pPr>
              <w:pStyle w:val="Compact"/>
              <w:jc w:val="left"/>
            </w:pPr>
            <w:r>
              <w:rPr>
                <w:rStyle w:val="VerbatimChar"/>
              </w:rPr>
              <w:t xml:space="preserve">sa-backends</w:t>
            </w:r>
          </w:p>
        </w:tc>
      </w:tr>
      <w:tr>
        <w:tc>
          <w:tcPr/>
          <w:p>
            <w:pPr>
              <w:pStyle w:val="Compact"/>
              <w:jc w:val="left"/>
            </w:pPr>
            <w:r>
              <w:t xml:space="preserve">Subnets for NAT</w:t>
            </w:r>
          </w:p>
        </w:tc>
        <w:tc>
          <w:tcPr/>
          <w:p>
            <w:pPr>
              <w:pStyle w:val="Compact"/>
              <w:jc w:val="left"/>
            </w:pPr>
            <w:r>
              <w:rPr>
                <w:rStyle w:val="VerbatimChar"/>
              </w:rPr>
              <w:t>gclt-aicoe-dev-pscnat-ew1 (192.168.6.128/28) — create it now if you skipped it in §6.3</w:t>
            </w:r>
            <w:r/>
            <w:r/>
            <w:r>
              <w:rPr>
                <w:rStyle w:val="VerbatimChar"/>
              </w:rPr>
            </w:r>
            <w:r/>
          </w:p>
        </w:tc>
      </w:tr>
      <w:tr>
        <w:tc>
          <w:tcPr/>
          <w:p>
            <w:pPr>
              <w:pStyle w:val="Compact"/>
              <w:jc w:val="left"/>
            </w:pPr>
            <w:r>
              <w:t xml:space="preserve">Accepted projects</w:t>
            </w:r>
          </w:p>
        </w:tc>
        <w:tc>
          <w:tcPr/>
          <w:p>
            <w:pPr>
              <w:pStyle w:val="Compact"/>
              <w:jc w:val="left"/>
            </w:pPr>
            <w:r>
              <w:rPr>
                <w:rStyle w:val="VerbatimChar"/>
              </w:rPr>
              <w:t xml:space="preserve">gclt-aicoe-dev-apigee</w:t>
            </w:r>
            <w:r>
              <w:t xml:space="preserve"> </w:t>
            </w:r>
            <w:r>
              <w:rPr>
                <w:bCs/>
                <w:b/>
              </w:rPr>
              <w:t xml:space="preserve">only</w:t>
            </w:r>
          </w:p>
        </w:tc>
      </w:tr>
    </w:tbl>
    <w:p>
      <w:pPr>
        <w:pStyle w:val="BodyText"/>
      </w:pPr>
      <w:r>
        <w:t xml:space="preserve">Copy the service attachment identifier, then create the matching</w:t>
      </w:r>
      <w:r>
        <w:t xml:space="preserve"> </w:t>
      </w:r>
      <w:r>
        <w:rPr>
          <w:bCs/>
          <w:b/>
        </w:rPr>
        <w:t xml:space="preserve">endpoint attachment</w:t>
      </w:r>
      <w:r>
        <w:t xml:space="preserve"> </w:t>
      </w:r>
      <w:r>
        <w:t xml:space="preserve">in Apigee. If the console does not expose it:</w:t>
      </w:r>
    </w:p>
    <w:p>
      <w:pPr>
        <w:pStyle w:val="SourceCode"/>
      </w:pPr>
      <w:r>
        <w:rPr>
          <w:rStyle w:val="VerbatimChar"/>
        </w:rPr>
        <w:t xml:space="preserve">gcloud apigee endpoint-attachments create backends-attachment \</w:t>
      </w:r>
      <w:r>
        <w:br/>
      </w:r>
      <w:r>
        <w:rPr>
          <w:rStyle w:val="VerbatimChar"/>
        </w:rPr>
        <w:t xml:space="preserve">  --location=europe-west1 \</w:t>
      </w:r>
      <w:r>
        <w:br/>
      </w:r>
      <w:r>
        <w:rPr>
          <w:rStyle w:val="VerbatimChar"/>
        </w:rPr>
        <w:t xml:space="preserve">  --service-attachment=&lt;SERVICE_ATTACHMENT_ID&gt; \</w:t>
      </w:r>
      <w:r>
        <w:br/>
      </w:r>
      <w:r>
        <w:rPr>
          <w:rStyle w:val="VerbatimChar"/>
        </w:rPr>
        <w:t xml:space="preserve">  --organization=gclt-aicoe-dev-apigee</w:t>
      </w:r>
    </w:p>
    <w:p>
      <w:pPr>
        <w:pStyle w:val="FirstParagraph"/>
      </w:pPr>
      <w:r>
        <w:t xml:space="preserve">It returns a</w:t>
      </w:r>
      <w:r>
        <w:t xml:space="preserve"> </w:t>
      </w:r>
      <w:r>
        <w:rPr>
          <w:bCs/>
          <w:b/>
        </w:rPr>
        <w:t xml:space="preserve">host</w:t>
      </w:r>
      <w:r>
        <w:t xml:space="preserve"> </w:t>
      </w:r>
      <w:r>
        <w:t xml:space="preserve">address. Use it as the target server for the</w:t>
      </w:r>
      <w:r>
        <w:t xml:space="preserve"> </w:t>
      </w:r>
      <w:r>
        <w:rPr>
          <w:rStyle w:val="VerbatimChar"/>
        </w:rPr>
        <w:t xml:space="preserve">int</w:t>
      </w:r>
      <w:r>
        <w:t xml:space="preserve"> </w:t>
      </w:r>
      <w:r>
        <w:t xml:space="preserve">environment in §22.3.</w:t>
      </w:r>
    </w:p>
    <w:p>
      <w:pPr>
        <w:pStyle w:val="BodyText"/>
      </w:pPr>
      <w:r>
        <w:rPr>
          <w:bCs/>
          <w:b/>
        </w:rPr>
        <w:t>Watch out. Every request Apigee sends arrives at the Backend load balancer with a source address from 192.168.6.128/28. That is what appears in the access logs and it identifies nothing useful — not which environment, not which proxy, not which user. Attribution has to come from the forwarded user context and the Apigee message identifier.</w:t>
      </w:r>
      <w:r/>
      <w:r/>
      <w:r/>
      <w:r>
        <w:rPr>
          <w:rStyle w:val="VerbatimChar"/>
        </w:rPr>
      </w:r>
      <w:r/>
    </w:p>
    <w:bookmarkEnd w:id="206"/>
    <w:bookmarkStart w:id="207" w:name="check-it-worked-14"/>
    <w:p>
      <w:pPr>
        <w:pStyle w:val="Heading2"/>
      </w:pPr>
      <w:r>
        <w:t xml:space="preserve">21.6 Check it worked</w:t>
      </w:r>
    </w:p>
    <w:p>
      <w:pPr>
        <w:pStyle w:val="FirstParagraph"/>
      </w:pPr>
      <w:r>
        <w:t xml:space="preserve">The endpoint shows status</w:t>
      </w:r>
      <w:r>
        <w:t xml:space="preserve"> </w:t>
      </w:r>
      <w:r>
        <w:rPr>
          <w:bCs/>
          <w:b/>
        </w:rPr>
        <w:t xml:space="preserve">Accepted</w:t>
      </w:r>
      <w:r>
        <w:t xml:space="preserve">. From a Cloud Run service, a request to</w:t>
      </w:r>
      <w:r>
        <w:t xml:space="preserve"> </w:t>
      </w:r>
      <w:r>
        <w:rPr>
          <w:rStyle w:val="VerbatimChar"/>
        </w:rPr>
        <w:t xml:space="preserve">https://llm.aicoe-dev-int.colt.net</w:t>
      </w:r>
      <w:r>
        <w:t xml:space="preserve"> </w:t>
      </w:r>
      <w:r>
        <w:t xml:space="preserve">should reach Apigee rather than time out.</w:t>
      </w:r>
    </w:p>
    <w:bookmarkEnd w:id="207"/>
    <w:bookmarkStart w:id="208" w:name="watch-out-20"/>
    <w:p>
      <w:pPr>
        <w:pStyle w:val="Heading2"/>
      </w:pPr>
      <w:r>
        <w:t xml:space="preserve">21.7 Watch out</w:t>
      </w:r>
    </w:p>
    <w:p>
      <w:pPr>
        <w:pStyle w:val="FirstParagraph"/>
      </w:pPr>
      <w:r>
        <w:t>Apigee routes by Host header, so a Cloud Run service must send Host: llm.aicoe-dev-int.colt.net when calling 192.168.6.146. Using the address alone reaches the instance but matches no environment group, and the request is rejected in a way that looks like a network fault.</w:t>
      </w:r>
      <w:r/>
      <w:r>
        <w:rPr>
          <w:bCs/>
          <w:b/>
        </w:rPr>
      </w:r>
      <w:r/>
      <w:r/>
      <w:r>
        <w:rPr>
          <w:rStyle w:val="VerbatimChar"/>
        </w:rPr>
      </w:r>
      <w:r/>
      <w:r/>
      <w:r/>
      <w:r>
        <w:rPr>
          <w:rStyle w:val="VerbatimChar"/>
        </w:rPr>
      </w:r>
      <w:r/>
    </w:p>
    <w:p>
      <w:r>
        <w:br w:type="page"/>
      </w:r>
    </w:p>
    <w:bookmarkEnd w:id="208"/>
    <w:bookmarkEnd w:id="209"/>
    <w:bookmarkStart w:id="226" w:name="part-22-apigee-configuration-and-proxies"/>
    <w:p>
      <w:pPr>
        <w:pStyle w:val="Heading1"/>
      </w:pPr>
      <w:r>
        <w:t xml:space="preserve">Part 22 — Apigee configuration and proxies</w:t>
      </w:r>
    </w:p>
    <w:bookmarkStart w:id="210" w:name="what-this-is-18"/>
    <w:p>
      <w:pPr>
        <w:pStyle w:val="Heading2"/>
      </w:pPr>
      <w:r>
        <w:t xml:space="preserve">22.1 What this is</w:t>
      </w:r>
    </w:p>
    <w:p>
      <w:pPr>
        <w:pStyle w:val="FirstParagraph"/>
      </w:pPr>
      <w:r>
        <w:t xml:space="preserve">Everything so far was plumbing. This part is where the gateway actually does its job: checking who is calling, enforcing limits, and passing a trustworthy identity to the backend.</w:t>
      </w:r>
    </w:p>
    <w:p>
      <w:pPr>
        <w:pStyle w:val="BodyText"/>
      </w:pPr>
      <w:r>
        <w:t xml:space="preserve">Apigee has its own console area. From the Google Cloud console, go to</w:t>
      </w:r>
      <w:r>
        <w:t xml:space="preserve"> </w:t>
      </w:r>
      <w:r>
        <w:rPr>
          <w:bCs/>
          <w:b/>
        </w:rPr>
        <w:t xml:space="preserve">Apigee</w:t>
      </w:r>
      <w:r>
        <w:t xml:space="preserve"> </w:t>
      </w:r>
      <w:r>
        <w:t xml:space="preserve">and you land in it. The pieces you configure: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Piece</w:t>
            </w:r>
          </w:p>
        </w:tc>
        <w:tc>
          <w:tcPr/>
          <w:p>
            <w:pPr>
              <w:pStyle w:val="Compact"/>
              <w:jc w:val="left"/>
            </w:pPr>
            <w:r>
              <w:t xml:space="preserve">What it is</w:t>
            </w:r>
          </w:p>
        </w:tc>
      </w:tr>
      <w:tr>
        <w:tc>
          <w:tcPr/>
          <w:p>
            <w:pPr>
              <w:pStyle w:val="Compact"/>
              <w:jc w:val="left"/>
            </w:pPr>
            <w:r>
              <w:rPr>
                <w:bCs/>
                <w:b/>
              </w:rPr>
              <w:t xml:space="preserve">Key value map</w:t>
            </w:r>
          </w:p>
        </w:tc>
        <w:tc>
          <w:tcPr/>
          <w:p>
            <w:pPr>
              <w:pStyle w:val="Compact"/>
              <w:jc w:val="left"/>
            </w:pPr>
            <w:r>
              <w:t xml:space="preserve">a small lookup table the proxy can read at runtime — group-to-business-unit mappings, allowed model names</w:t>
            </w:r>
          </w:p>
        </w:tc>
      </w:tr>
      <w:tr>
        <w:tc>
          <w:tcPr/>
          <w:p>
            <w:pPr>
              <w:pStyle w:val="Compact"/>
              <w:jc w:val="left"/>
            </w:pPr>
            <w:r>
              <w:rPr>
                <w:bCs/>
                <w:b/>
              </w:rPr>
              <w:t xml:space="preserve">Target server</w:t>
            </w:r>
          </w:p>
        </w:tc>
        <w:tc>
          <w:tcPr/>
          <w:p>
            <w:pPr>
              <w:pStyle w:val="Compact"/>
              <w:jc w:val="left"/>
            </w:pPr>
            <w:r>
              <w:t xml:space="preserve">a named destination, so the proxy refers to</w:t>
            </w:r>
            <w:r>
              <w:t xml:space="preserve"> </w:t>
            </w:r>
            <w:r>
              <w:t xml:space="preserve">“</w:t>
            </w:r>
            <w:r>
              <w:t xml:space="preserve">the backends</w:t>
            </w:r>
            <w:r>
              <w:t xml:space="preserve">”</w:t>
            </w:r>
            <w:r>
              <w:t xml:space="preserve"> </w:t>
            </w:r>
            <w:r>
              <w:t xml:space="preserve">rather than a hard-coded address</w:t>
            </w:r>
          </w:p>
        </w:tc>
      </w:tr>
      <w:tr>
        <w:tc>
          <w:tcPr/>
          <w:p>
            <w:pPr>
              <w:pStyle w:val="Compact"/>
              <w:jc w:val="left"/>
            </w:pPr>
            <w:r>
              <w:rPr>
                <w:bCs/>
                <w:b/>
              </w:rPr>
              <w:t xml:space="preserve">Keystore</w:t>
            </w:r>
          </w:p>
        </w:tc>
        <w:tc>
          <w:tcPr/>
          <w:p>
            <w:pPr>
              <w:pStyle w:val="Compact"/>
              <w:jc w:val="left"/>
            </w:pPr>
            <w:r>
              <w:t xml:space="preserve">where the private key for signing identity tokens lives</w:t>
            </w:r>
          </w:p>
        </w:tc>
      </w:tr>
      <w:tr>
        <w:tc>
          <w:tcPr/>
          <w:p>
            <w:pPr>
              <w:pStyle w:val="Compact"/>
              <w:jc w:val="left"/>
            </w:pPr>
            <w:r>
              <w:rPr>
                <w:bCs/>
                <w:b/>
              </w:rPr>
              <w:t xml:space="preserve">API product</w:t>
            </w:r>
          </w:p>
        </w:tc>
        <w:tc>
          <w:tcPr/>
          <w:p>
            <w:pPr>
              <w:pStyle w:val="Compact"/>
              <w:jc w:val="left"/>
            </w:pPr>
            <w:r>
              <w:t xml:space="preserve">a bundle of proxies with a quota attached. The unit your token limits are measured against</w:t>
            </w:r>
          </w:p>
        </w:tc>
      </w:tr>
      <w:tr>
        <w:tc>
          <w:tcPr/>
          <w:p>
            <w:pPr>
              <w:pStyle w:val="Compact"/>
              <w:jc w:val="left"/>
            </w:pPr>
            <w:r>
              <w:rPr>
                <w:bCs/>
                <w:b/>
              </w:rPr>
              <w:t xml:space="preserve">Developer app</w:t>
            </w:r>
          </w:p>
        </w:tc>
        <w:tc>
          <w:tcPr/>
          <w:p>
            <w:pPr>
              <w:pStyle w:val="Compact"/>
              <w:jc w:val="left"/>
            </w:pPr>
            <w:r>
              <w:t xml:space="preserve">a consumer, with credentials. One per calling service</w:t>
            </w:r>
          </w:p>
        </w:tc>
      </w:tr>
      <w:tr>
        <w:tc>
          <w:tcPr/>
          <w:p>
            <w:pPr>
              <w:pStyle w:val="Compact"/>
              <w:jc w:val="left"/>
            </w:pPr>
            <w:r>
              <w:rPr>
                <w:bCs/>
                <w:b/>
              </w:rPr>
              <w:t xml:space="preserve">Proxy</w:t>
            </w:r>
          </w:p>
        </w:tc>
        <w:tc>
          <w:tcPr/>
          <w:p>
            <w:pPr>
              <w:pStyle w:val="Compact"/>
              <w:jc w:val="left"/>
            </w:pPr>
            <w:r>
              <w:t xml:space="preserve">the actual request-handling logic</w:t>
            </w:r>
          </w:p>
        </w:tc>
      </w:tr>
    </w:tbl>
    <w:bookmarkEnd w:id="210"/>
    <w:bookmarkStart w:id="211" w:name="do-this-key-value-maps"/>
    <w:p>
      <w:pPr>
        <w:pStyle w:val="Heading2"/>
      </w:pPr>
      <w:r>
        <w:t xml:space="preserve">22.2 Do this — key value maps</w:t>
      </w:r>
    </w:p>
    <w:p>
      <w:pPr>
        <w:pStyle w:val="FirstParagraph"/>
      </w:pPr>
      <w:r>
        <w:rPr>
          <w:bCs/>
          <w:b/>
        </w:rPr>
        <w:t xml:space="preserve">Where:</w:t>
      </w:r>
      <w:r>
        <w:t xml:space="preserve"> </w:t>
      </w:r>
      <w:r>
        <w:t xml:space="preserve">Apigee →</w:t>
      </w:r>
      <w:r>
        <w:t xml:space="preserve"> </w:t>
      </w:r>
      <w:r>
        <w:rPr>
          <w:bCs/>
          <w:b/>
        </w:rPr>
        <w:t xml:space="preserve">Admin</w:t>
      </w:r>
      <w:r>
        <w:t xml:space="preserve"> </w:t>
      </w:r>
      <w:r>
        <w:t xml:space="preserve">→</w:t>
      </w:r>
      <w:r>
        <w:t xml:space="preserve"> </w:t>
      </w:r>
      <w:r>
        <w:rPr>
          <w:bCs/>
          <w:b/>
        </w:rPr>
        <w:t xml:space="preserve">Environments</w:t>
      </w:r>
      <w:r>
        <w:t xml:space="preserve"> </w:t>
      </w:r>
      <w:r>
        <w:t xml:space="preserve">→</w:t>
      </w:r>
      <w:r>
        <w:t xml:space="preserve"> </w:t>
      </w:r>
      <w:r>
        <w:rPr>
          <w:rStyle w:val="VerbatimChar"/>
        </w:rPr>
        <w:t xml:space="preserve">llm</w:t>
      </w:r>
      <w:r>
        <w:t xml:space="preserve"> </w:t>
      </w:r>
      <w:r>
        <w:t xml:space="preserve">→</w:t>
      </w:r>
      <w:r>
        <w:t xml:space="preserve"> </w:t>
      </w:r>
      <w:r>
        <w:rPr>
          <w:bCs/>
          <w:b/>
        </w:rPr>
        <w:t xml:space="preserve">Key value maps</w:t>
      </w:r>
      <w:r>
        <w:t xml:space="preserve"> </w:t>
      </w:r>
      <w:r>
        <w:t xml:space="preserve">→</w:t>
      </w:r>
      <w:r>
        <w:t xml:space="preserve"> </w:t>
      </w:r>
      <w:r>
        <w:rPr>
          <w:bCs/>
          <w:b/>
        </w:rPr>
        <w:t xml:space="preserve">+</w:t>
      </w:r>
      <w:r>
        <w:t xml:space="preser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Map name</w:t>
            </w:r>
          </w:p>
        </w:tc>
        <w:tc>
          <w:tcPr/>
          <w:p>
            <w:pPr>
              <w:pStyle w:val="Compact"/>
              <w:jc w:val="left"/>
            </w:pPr>
            <w:r>
              <w:t xml:space="preserve">Contents</w:t>
            </w:r>
          </w:p>
        </w:tc>
      </w:tr>
      <w:tr>
        <w:tc>
          <w:tcPr/>
          <w:p>
            <w:pPr>
              <w:pStyle w:val="Compact"/>
              <w:jc w:val="left"/>
            </w:pPr>
            <w:r>
              <w:rPr>
                <w:rStyle w:val="VerbatimChar"/>
              </w:rPr>
              <w:t xml:space="preserve">group-to-bu</w:t>
            </w:r>
          </w:p>
        </w:tc>
        <w:tc>
          <w:tcPr/>
          <w:p>
            <w:pPr>
              <w:pStyle w:val="Compact"/>
              <w:jc w:val="left"/>
            </w:pPr>
            <w:r>
              <w:t xml:space="preserve">one entry per Entra group object ID, value = the business unit name</w:t>
            </w:r>
          </w:p>
        </w:tc>
      </w:tr>
      <w:tr>
        <w:tc>
          <w:tcPr/>
          <w:p>
            <w:pPr>
              <w:pStyle w:val="Compact"/>
              <w:jc w:val="left"/>
            </w:pPr>
            <w:r>
              <w:rPr>
                <w:rStyle w:val="VerbatimChar"/>
              </w:rPr>
              <w:t xml:space="preserve">allowed-models</w:t>
            </w:r>
          </w:p>
        </w:tc>
        <w:tc>
          <w:tcPr/>
          <w:p>
            <w:pPr>
              <w:pStyle w:val="Compact"/>
              <w:jc w:val="left"/>
            </w:pPr>
            <w:r>
              <w:t xml:space="preserve">approved model names, so changing model is a config edit rather than a proxy redeploy</w:t>
            </w:r>
          </w:p>
        </w:tc>
      </w:tr>
      <w:tr>
        <w:tc>
          <w:tcPr/>
          <w:p>
            <w:pPr>
              <w:pStyle w:val="Compact"/>
              <w:jc w:val="left"/>
            </w:pPr>
            <w:r>
              <w:rPr>
                <w:rStyle w:val="VerbatimChar"/>
              </w:rPr>
              <w:t xml:space="preserve">bu-armor-template</w:t>
            </w:r>
          </w:p>
        </w:tc>
        <w:tc>
          <w:tcPr/>
          <w:p>
            <w:pPr>
              <w:pStyle w:val="Compact"/>
              <w:jc w:val="left"/>
            </w:pPr>
            <w:r>
              <w:t xml:space="preserve">business unit to Model Armor template name —</w:t>
            </w:r>
            <w:r>
              <w:t xml:space="preserve"> </w:t>
            </w:r>
            <w:r>
              <w:rPr>
                <w:rStyle w:val="VerbatimChar"/>
              </w:rPr>
              <w:t xml:space="preserve">aicoe-default</w:t>
            </w:r>
            <w:r>
              <w:t xml:space="preserve"> </w:t>
            </w:r>
            <w:r>
              <w:t xml:space="preserve">or</w:t>
            </w:r>
            <w:r>
              <w:t xml:space="preserve"> </w:t>
            </w:r>
            <w:r>
              <w:rPr>
                <w:rStyle w:val="VerbatimChar"/>
              </w:rPr>
              <w:t xml:space="preserve">aicoe-strict</w:t>
            </w:r>
          </w:p>
        </w:tc>
      </w:tr>
    </w:tbl>
    <w:p>
      <w:pPr>
        <w:pStyle w:val="BodyText"/>
      </w:pPr>
      <w:r>
        <w:t xml:space="preserve">In the</w:t>
      </w:r>
      <w:r>
        <w:t xml:space="preserve"> </w:t>
      </w:r>
      <w:r>
        <w:rPr>
          <w:rStyle w:val="VerbatimChar"/>
        </w:rPr>
        <w:t xml:space="preserve">int</w:t>
      </w:r>
      <w:r>
        <w:t xml:space="preserve"> </w:t>
      </w:r>
      <w:r>
        <w:t xml:space="preserve">environment create: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Map name</w:t>
            </w:r>
          </w:p>
        </w:tc>
        <w:tc>
          <w:tcPr/>
          <w:p>
            <w:pPr>
              <w:pStyle w:val="Compact"/>
              <w:jc w:val="left"/>
            </w:pPr>
            <w:r>
              <w:t xml:space="preserve">Contents</w:t>
            </w:r>
          </w:p>
        </w:tc>
      </w:tr>
      <w:tr>
        <w:tc>
          <w:tcPr/>
          <w:p>
            <w:pPr>
              <w:pStyle w:val="Compact"/>
              <w:jc w:val="left"/>
            </w:pPr>
            <w:r>
              <w:rPr>
                <w:rStyle w:val="VerbatimChar"/>
              </w:rPr>
              <w:t xml:space="preserve">backend-audiences</w:t>
            </w:r>
          </w:p>
        </w:tc>
        <w:tc>
          <w:tcPr/>
          <w:p>
            <w:pPr>
              <w:pStyle w:val="Compact"/>
              <w:jc w:val="left"/>
            </w:pPr>
            <w:r>
              <w:t xml:space="preserve">one entry per backend, value = the IAP OAuth client id its token must carry</w:t>
            </w:r>
          </w:p>
        </w:tc>
      </w:tr>
    </w:tbl>
    <w:bookmarkEnd w:id="211"/>
    <w:bookmarkStart w:id="212" w:name="do-this-target-server"/>
    <w:p>
      <w:pPr>
        <w:pStyle w:val="Heading2"/>
      </w:pPr>
      <w:r>
        <w:t xml:space="preserve">22.3 Do this — target server</w:t>
      </w:r>
    </w:p>
    <w:p>
      <w:pPr>
        <w:pStyle w:val="FirstParagraph"/>
      </w:pPr>
      <w:r>
        <w:rPr>
          <w:bCs/>
          <w:b/>
        </w:rPr>
        <w:t xml:space="preserve">Where:</w:t>
      </w:r>
      <w:r>
        <w:t xml:space="preserve"> </w:t>
      </w:r>
      <w:r>
        <w:t xml:space="preserve">same page,</w:t>
      </w:r>
      <w:r>
        <w:t xml:space="preserve"> </w:t>
      </w:r>
      <w:r>
        <w:rPr>
          <w:bCs/>
          <w:b/>
        </w:rPr>
        <w:t xml:space="preserve">Target servers</w:t>
      </w:r>
      <w:r>
        <w:t xml:space="preserve"> </w:t>
      </w:r>
      <w:r>
        <w:t xml:space="preserve">→</w:t>
      </w:r>
      <w:r>
        <w:t xml:space="preserve"> </w:t>
      </w:r>
      <w:r>
        <w:rPr>
          <w:bCs/>
          <w:b/>
        </w:rP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Environment</w:t>
            </w:r>
          </w:p>
        </w:tc>
        <w:tc>
          <w:tcPr/>
          <w:p>
            <w:pPr>
              <w:pStyle w:val="Compact"/>
              <w:jc w:val="left"/>
            </w:pPr>
            <w:r>
              <w:t xml:space="preserve">Name</w:t>
            </w:r>
          </w:p>
        </w:tc>
        <w:tc>
          <w:tcPr/>
          <w:p>
            <w:pPr>
              <w:pStyle w:val="Compact"/>
              <w:jc w:val="left"/>
            </w:pPr>
            <w:r>
              <w:t xml:space="preserve">Host</w:t>
            </w:r>
          </w:p>
        </w:tc>
        <w:tc>
          <w:tcPr/>
          <w:p>
            <w:pPr>
              <w:pStyle w:val="Compact"/>
              <w:jc w:val="left"/>
            </w:pPr>
            <w:r>
              <w:t xml:space="preserve">Port</w:t>
            </w:r>
          </w:p>
        </w:tc>
        <w:tc>
          <w:tcPr/>
          <w:p>
            <w:pPr>
              <w:pStyle w:val="Compact"/>
              <w:jc w:val="left"/>
            </w:pPr>
            <w:r>
              <w:t xml:space="preserve">TLS</w:t>
            </w:r>
          </w:p>
        </w:tc>
      </w:tr>
      <w:tr>
        <w:tc>
          <w:tcPr/>
          <w:p>
            <w:pPr>
              <w:pStyle w:val="Compact"/>
              <w:jc w:val="left"/>
            </w:pPr>
            <w:r>
              <w:rPr>
                <w:rStyle w:val="VerbatimChar"/>
              </w:rPr>
              <w:t xml:space="preserve">llm</w:t>
            </w:r>
          </w:p>
        </w:tc>
        <w:tc>
          <w:tcPr/>
          <w:p>
            <w:pPr>
              <w:pStyle w:val="Compact"/>
              <w:jc w:val="left"/>
            </w:pPr>
            <w:r>
              <w:rPr>
                <w:rStyle w:val="VerbatimChar"/>
              </w:rPr>
              <w:t xml:space="preserve">vertex</w:t>
            </w:r>
          </w:p>
        </w:tc>
        <w:tc>
          <w:tcPr/>
          <w:p>
            <w:pPr>
              <w:pStyle w:val="Compact"/>
              <w:jc w:val="left"/>
            </w:pPr>
            <w:r>
              <w:rPr>
                <w:rStyle w:val="VerbatimChar"/>
              </w:rPr>
              <w:t xml:space="preserve">europe-west1-aiplatform.googleapis.com</w:t>
            </w:r>
          </w:p>
        </w:tc>
        <w:tc>
          <w:tcPr/>
          <w:p>
            <w:pPr>
              <w:pStyle w:val="Compact"/>
              <w:jc w:val="left"/>
            </w:pPr>
            <w:r>
              <w:t xml:space="preserve">443</w:t>
            </w:r>
          </w:p>
        </w:tc>
        <w:tc>
          <w:tcPr/>
          <w:p>
            <w:pPr>
              <w:pStyle w:val="Compact"/>
              <w:jc w:val="left"/>
            </w:pPr>
            <w:r>
              <w:t xml:space="preserve">enabled</w:t>
            </w:r>
          </w:p>
        </w:tc>
      </w:tr>
      <w:tr>
        <w:tc>
          <w:tcPr/>
          <w:p>
            <w:pPr>
              <w:pStyle w:val="Compact"/>
              <w:jc w:val="left"/>
            </w:pPr>
            <w:r>
              <w:rPr>
                <w:rStyle w:val="VerbatimChar"/>
              </w:rPr>
              <w:t xml:space="preserve">int</w:t>
            </w:r>
          </w:p>
        </w:tc>
        <w:tc>
          <w:tcPr/>
          <w:p>
            <w:pPr>
              <w:pStyle w:val="Compact"/>
              <w:jc w:val="left"/>
            </w:pPr>
            <w:r>
              <w:rPr>
                <w:rStyle w:val="VerbatimChar"/>
              </w:rPr>
              <w:t xml:space="preserve">backends</w:t>
            </w:r>
          </w:p>
        </w:tc>
        <w:tc>
          <w:tcPr/>
          <w:p>
            <w:pPr>
              <w:pStyle w:val="Compact"/>
              <w:jc w:val="left"/>
            </w:pPr>
            <w:r>
              <w:t xml:space="preserve">the endpoint attachment host from §21.5</w:t>
            </w:r>
          </w:p>
        </w:tc>
        <w:tc>
          <w:tcPr/>
          <w:p>
            <w:pPr>
              <w:pStyle w:val="Compact"/>
              <w:jc w:val="left"/>
            </w:pPr>
            <w:r>
              <w:t xml:space="preserve">443</w:t>
            </w:r>
          </w:p>
        </w:tc>
        <w:tc>
          <w:tcPr/>
          <w:p>
            <w:pPr>
              <w:pStyle w:val="Compact"/>
              <w:jc w:val="left"/>
            </w:pPr>
            <w:r>
              <w:t xml:space="preserve">enabled</w:t>
            </w:r>
          </w:p>
        </w:tc>
      </w:tr>
    </w:tbl>
    <w:p>
      <w:pPr>
        <w:pStyle w:val="BodyText"/>
      </w:pPr>
      <w:r>
        <w:t xml:space="preserve">No truststore is needed. This is a public Google endpoint with a publicly trusted certificate.</w:t>
      </w:r>
    </w:p>
    <w:bookmarkEnd w:id="212"/>
    <w:bookmarkStart w:id="213" w:name="no-keystore-is-needed"/>
    <w:p>
      <w:pPr>
        <w:pStyle w:val="Heading2"/>
      </w:pPr>
      <w:r>
        <w:t xml:space="preserve">22.4 No keystore is needed</w:t>
      </w:r>
    </w:p>
    <w:p>
      <w:pPr>
        <w:pStyle w:val="FirstParagraph"/>
      </w:pPr>
      <w:r>
        <w:t xml:space="preserve">Apigee does not mint an identity token of its own. For the user API it</w:t>
      </w:r>
      <w:r>
        <w:t xml:space="preserve"> </w:t>
      </w:r>
      <w:r>
        <w:rPr>
          <w:bCs/>
          <w:b/>
        </w:rPr>
        <w:t xml:space="preserve">receives</w:t>
      </w:r>
      <w:r>
        <w:t xml:space="preserve"> </w:t>
      </w:r>
      <w:r>
        <w:t xml:space="preserve">the Entra access token the BFF forwards and verifies it against Entra’s published keys; for the AI gateway it receives forwarded user context. There is no private signing key to store, protect or rotate.</w:t>
      </w:r>
    </w:p>
    <w:bookmarkEnd w:id="213"/>
    <w:bookmarkStart w:id="214" w:name="do-this-api-products"/>
    <w:p>
      <w:pPr>
        <w:pStyle w:val="Heading2"/>
      </w:pPr>
      <w:r>
        <w:t xml:space="preserve">22.5 Do this — API products</w:t>
      </w:r>
    </w:p>
    <w:p>
      <w:pPr>
        <w:pStyle w:val="FirstParagraph"/>
      </w:pPr>
      <w:r>
        <w:rPr>
          <w:bCs/>
          <w:b/>
        </w:rPr>
        <w:t xml:space="preserve">Where:</w:t>
      </w:r>
      <w:r>
        <w:t xml:space="preserve"> </w:t>
      </w:r>
      <w:r>
        <w:t xml:space="preserve">Apigee →</w:t>
      </w:r>
      <w:r>
        <w:t xml:space="preserve"> </w:t>
      </w:r>
      <w:r>
        <w:rPr>
          <w:bCs/>
          <w:b/>
        </w:rPr>
        <w:t xml:space="preserve">Distribution</w:t>
      </w:r>
      <w:r>
        <w:t xml:space="preserve"> </w:t>
      </w:r>
      <w:r>
        <w:t xml:space="preserve">(or</w:t>
      </w:r>
      <w:r>
        <w:t xml:space="preserve"> </w:t>
      </w:r>
      <w:r>
        <w:rPr>
          <w:bCs/>
          <w:b/>
        </w:rPr>
        <w:t xml:space="preserve">Publish</w:t>
      </w:r>
      <w:r>
        <w:t xml:space="preserve">) →</w:t>
      </w:r>
      <w:r>
        <w:t xml:space="preserve"> </w:t>
      </w:r>
      <w:r>
        <w:rPr>
          <w:bCs/>
          <w:b/>
        </w:rPr>
        <w:t xml:space="preserve">API products</w:t>
      </w:r>
      <w:r>
        <w:t xml:space="preserve"> </w:t>
      </w:r>
      <w:r>
        <w:t xml:space="preserve">→</w:t>
      </w:r>
      <w:r>
        <w:t xml:space="preserve"> </w:t>
      </w:r>
      <w:r>
        <w:rPr>
          <w:bCs/>
          <w:b/>
        </w:rPr>
        <w:t xml:space="preserve">+ CREATE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Quota</w:t>
            </w:r>
          </w:p>
        </w:tc>
        <w:tc>
          <w:tcPr/>
          <w:p>
            <w:pPr>
              <w:pStyle w:val="Compact"/>
              <w:jc w:val="left"/>
            </w:pPr>
            <w:r>
              <w:t xml:space="preserve">Consumers</w:t>
            </w:r>
          </w:p>
        </w:tc>
      </w:tr>
      <w:tr>
        <w:tc>
          <w:tcPr/>
          <w:p>
            <w:pPr>
              <w:pStyle w:val="Compact"/>
              <w:jc w:val="left"/>
            </w:pPr>
            <w:r>
              <w:rPr>
                <w:rStyle w:val="VerbatimChar"/>
              </w:rPr>
              <w:t xml:space="preserve">aicoe-standard</w:t>
            </w:r>
          </w:p>
        </w:tc>
        <w:tc>
          <w:tcPr/>
          <w:p>
            <w:pPr>
              <w:pStyle w:val="Compact"/>
              <w:jc w:val="left"/>
            </w:pPr>
            <w:r>
              <w:rPr>
                <w:rStyle w:val="VerbatimChar"/>
              </w:rPr>
              <w:t xml:space="preserve">req_per_min</w:t>
            </w:r>
            <w:r>
              <w:t xml:space="preserve"> </w:t>
            </w:r>
            <w:r>
              <w:t xml:space="preserve">60,</w:t>
            </w:r>
            <w:r>
              <w:t xml:space="preserve"> </w:t>
            </w:r>
            <w:r>
              <w:rPr>
                <w:rStyle w:val="VerbatimChar"/>
              </w:rPr>
              <w:t xml:space="preserve">req_per_day</w:t>
            </w:r>
            <w:r>
              <w:t xml:space="preserve"> </w:t>
            </w:r>
            <w:r>
              <w:t xml:space="preserve">5000,</w:t>
            </w:r>
            <w:r>
              <w:t xml:space="preserve"> </w:t>
            </w:r>
            <w:r>
              <w:rPr>
                <w:rStyle w:val="VerbatimChar"/>
              </w:rPr>
              <w:t xml:space="preserve">llm_tokens_per_day</w:t>
            </w:r>
            <w:r>
              <w:t xml:space="preserve"> </w:t>
            </w:r>
            <w:r>
              <w:t xml:space="preserve">200000</w:t>
            </w:r>
          </w:p>
        </w:tc>
        <w:tc>
          <w:tcPr/>
          <w:p>
            <w:pPr>
              <w:pStyle w:val="Compact"/>
              <w:jc w:val="left"/>
            </w:pPr>
            <w:r>
              <w:t xml:space="preserve">the BFF, on behalf of standard users</w:t>
            </w:r>
          </w:p>
        </w:tc>
      </w:tr>
      <w:tr>
        <w:tc>
          <w:tcPr/>
          <w:p>
            <w:pPr>
              <w:pStyle w:val="Compact"/>
              <w:jc w:val="left"/>
            </w:pPr>
            <w:r>
              <w:rPr>
                <w:rStyle w:val="VerbatimChar"/>
              </w:rPr>
              <w:t xml:space="preserve">aicoe-power</w:t>
            </w:r>
          </w:p>
        </w:tc>
        <w:tc>
          <w:tcPr/>
          <w:p>
            <w:pPr>
              <w:pStyle w:val="Compact"/>
              <w:jc w:val="left"/>
            </w:pPr>
            <w:r>
              <w:rPr>
                <w:rStyle w:val="VerbatimChar"/>
              </w:rPr>
              <w:t xml:space="preserve">req_per_min</w:t>
            </w:r>
            <w:r>
              <w:t xml:space="preserve"> </w:t>
            </w:r>
            <w:r>
              <w:t xml:space="preserve">300,</w:t>
            </w:r>
            <w:r>
              <w:t xml:space="preserve"> </w:t>
            </w:r>
            <w:r>
              <w:rPr>
                <w:rStyle w:val="VerbatimChar"/>
              </w:rPr>
              <w:t xml:space="preserve">req_per_day</w:t>
            </w:r>
            <w:r>
              <w:t xml:space="preserve"> </w:t>
            </w:r>
            <w:r>
              <w:t xml:space="preserve">20000,</w:t>
            </w:r>
            <w:r>
              <w:t xml:space="preserve"> </w:t>
            </w:r>
            <w:r>
              <w:rPr>
                <w:rStyle w:val="VerbatimChar"/>
              </w:rPr>
              <w:t xml:space="preserve">llm_tokens_per_day</w:t>
            </w:r>
            <w:r>
              <w:t xml:space="preserve"> </w:t>
            </w:r>
            <w:r>
              <w:t xml:space="preserve">1000000</w:t>
            </w:r>
          </w:p>
        </w:tc>
        <w:tc>
          <w:tcPr/>
          <w:p>
            <w:pPr>
              <w:pStyle w:val="Compact"/>
              <w:jc w:val="left"/>
            </w:pPr>
            <w:r>
              <w:t xml:space="preserve">heavier users</w:t>
            </w:r>
          </w:p>
        </w:tc>
      </w:tr>
      <w:tr>
        <w:tc>
          <w:tcPr/>
          <w:p>
            <w:pPr>
              <w:pStyle w:val="Compact"/>
              <w:jc w:val="left"/>
            </w:pPr>
            <w:r>
              <w:rPr>
                <w:rStyle w:val="VerbatimChar"/>
              </w:rPr>
              <w:t xml:space="preserve">llm-translation-standard</w:t>
            </w:r>
          </w:p>
        </w:tc>
        <w:tc>
          <w:tcPr/>
          <w:p>
            <w:pPr>
              <w:pStyle w:val="Compact"/>
              <w:jc w:val="left"/>
            </w:pPr>
            <w:r>
              <w:t xml:space="preserve">e.g. 5,000,000 tokens per day</w:t>
            </w:r>
          </w:p>
        </w:tc>
        <w:tc>
          <w:tcPr/>
          <w:p>
            <w:pPr>
              <w:pStyle w:val="Compact"/>
              <w:jc w:val="left"/>
            </w:pPr>
            <w:r>
              <w:t xml:space="preserve">translation API and worker</w:t>
            </w:r>
          </w:p>
        </w:tc>
      </w:tr>
      <w:tr>
        <w:tc>
          <w:tcPr/>
          <w:p>
            <w:pPr>
              <w:pStyle w:val="Compact"/>
              <w:jc w:val="left"/>
            </w:pPr>
            <w:r>
              <w:rPr>
                <w:rStyle w:val="VerbatimChar"/>
              </w:rPr>
              <w:t xml:space="preserve">llm-sales-standard</w:t>
            </w:r>
          </w:p>
        </w:tc>
        <w:tc>
          <w:tcPr/>
          <w:p>
            <w:pPr>
              <w:pStyle w:val="Compact"/>
              <w:jc w:val="left"/>
            </w:pPr>
            <w:r>
              <w:t xml:space="preserve">e.g. 2,000,000 tokens per day</w:t>
            </w:r>
          </w:p>
        </w:tc>
        <w:tc>
          <w:tcPr/>
          <w:p>
            <w:pPr>
              <w:pStyle w:val="Compact"/>
              <w:jc w:val="left"/>
            </w:pPr>
            <w:r>
              <w:t xml:space="preserve">sales research</w:t>
            </w:r>
          </w:p>
        </w:tc>
      </w:tr>
      <w:tr>
        <w:tc>
          <w:tcPr/>
          <w:p>
            <w:pPr>
              <w:pStyle w:val="Compact"/>
              <w:jc w:val="left"/>
            </w:pPr>
            <w:r>
              <w:rPr>
                <w:rStyle w:val="VerbatimChar"/>
              </w:rPr>
              <w:t xml:space="preserve">llm-internal-low</w:t>
            </w:r>
          </w:p>
        </w:tc>
        <w:tc>
          <w:tcPr/>
          <w:p>
            <w:pPr>
              <w:pStyle w:val="Compact"/>
              <w:jc w:val="left"/>
            </w:pPr>
            <w:r>
              <w:t xml:space="preserve">e.g. 200,000 tokens per day</w:t>
            </w:r>
          </w:p>
        </w:tc>
        <w:tc>
          <w:tcPr/>
          <w:p>
            <w:pPr>
              <w:pStyle w:val="Compact"/>
              <w:jc w:val="left"/>
            </w:pPr>
            <w:r>
              <w:t xml:space="preserve">anything new</w:t>
            </w:r>
          </w:p>
        </w:tc>
      </w:tr>
    </w:tbl>
    <w:p>
      <w:pPr>
        <w:pStyle w:val="BodyText"/>
      </w:pPr>
      <w:r>
        <w:rPr>
          <w:bCs/>
          <w:b/>
        </w:rPr>
        <w:t xml:space="preserve">Why products and not just proxy settings:</w:t>
      </w:r>
      <w:r>
        <w:t xml:space="preserve"> </w:t>
      </w:r>
      <w:r>
        <w:t xml:space="preserve">the token-limit policies measure against a product. Modelling products as business-unit tiers means changing a limit is an edit in this screen, not a proxy redeploy.</w:t>
      </w:r>
    </w:p>
    <w:bookmarkEnd w:id="214"/>
    <w:bookmarkStart w:id="215" w:name="do-this-developer-apps"/>
    <w:p>
      <w:pPr>
        <w:pStyle w:val="Heading2"/>
      </w:pPr>
      <w:r>
        <w:t xml:space="preserve">22.6 Do this — developer apps</w:t>
      </w:r>
    </w:p>
    <w:p>
      <w:pPr>
        <w:pStyle w:val="FirstParagraph"/>
      </w:pPr>
      <w:r>
        <w:rPr>
          <w:bCs/>
          <w:b/>
        </w:rPr>
        <w:t xml:space="preserve">Where:</w:t>
      </w:r>
      <w:r>
        <w:t xml:space="preserve"> </w:t>
      </w:r>
      <w:r>
        <w:rPr>
          <w:bCs/>
          <w:b/>
        </w:rPr>
        <w:t xml:space="preserve">Distribution</w:t>
      </w:r>
      <w:r>
        <w:t xml:space="preserve"> </w:t>
      </w:r>
      <w:r>
        <w:t xml:space="preserve">→</w:t>
      </w:r>
      <w:r>
        <w:t xml:space="preserve"> </w:t>
      </w:r>
      <w:r>
        <w:rPr>
          <w:bCs/>
          <w:b/>
        </w:rPr>
        <w:t xml:space="preserve">Apps</w:t>
      </w:r>
      <w:r>
        <w:t xml:space="preserve"> </w:t>
      </w:r>
      <w:r>
        <w:t xml:space="preserve">→</w:t>
      </w:r>
      <w:r>
        <w:t xml:space="preserve"> </w:t>
      </w:r>
      <w:r>
        <w:rPr>
          <w:bCs/>
          <w:b/>
        </w:rPr>
        <w:t xml:space="preserve">+ CREATE</w:t>
      </w:r>
      <w:r>
        <w:t xml:space="preserve">.</w:t>
      </w:r>
    </w:p>
    <w:p>
      <w:pPr>
        <w:pStyle w:val="BodyText"/>
      </w:pPr>
      <w:r>
        <w:t xml:space="preserve">Create one app per calling service:</w:t>
      </w:r>
      <w:r>
        <w:t xml:space="preserve"> </w:t>
      </w:r>
      <w:r>
        <w:rPr>
          <w:rStyle w:val="VerbatimChar"/>
        </w:rPr>
        <w:t xml:space="preserve">aihub-bff</w:t>
      </w:r>
      <w:r>
        <w:t xml:space="preserve">,</w:t>
      </w:r>
      <w:r>
        <w:t xml:space="preserve"> </w:t>
      </w:r>
      <w:r>
        <w:rPr>
          <w:rStyle w:val="VerbatimChar"/>
        </w:rPr>
        <w:t xml:space="preserve">translation-api</w:t>
      </w:r>
      <w:r>
        <w:t xml:space="preserve">,</w:t>
      </w:r>
      <w:r>
        <w:t xml:space="preserve"> </w:t>
      </w:r>
      <w:r>
        <w:rPr>
          <w:rStyle w:val="VerbatimChar"/>
        </w:rPr>
        <w:t xml:space="preserve">translation-worker</w:t>
      </w:r>
      <w:r>
        <w:t xml:space="preserve">,</w:t>
      </w:r>
      <w:r>
        <w:t xml:space="preserve"> </w:t>
      </w:r>
      <w:r>
        <w:rPr>
          <w:rStyle w:val="VerbatimChar"/>
        </w:rPr>
        <w:t xml:space="preserve">sales-research</w:t>
      </w:r>
      <w:r>
        <w:t xml:space="preserve">. The BFF’s key lives in Secret Manager — under a browser-side design it would have had to ship to the browser, which is one more quiet benefit of the pattern. Attach the right product to each. Each app gets a key and secret — put them straight into Secret Manager (§11.2) and never anywhere else.</w:t>
      </w:r>
    </w:p>
    <w:bookmarkEnd w:id="215"/>
    <w:bookmarkStart w:id="217" w:name="the-user-api-proxy-deploy-to-int"/>
    <w:p>
      <w:pPr>
        <w:pStyle w:val="Heading2"/>
      </w:pPr>
      <w:r>
        <w:t xml:space="preserve">22.7 The user API proxy — deploy to</w:t>
      </w:r>
      <w:r>
        <w:t xml:space="preserve"> </w:t>
      </w:r>
      <w:r>
        <w:rPr>
          <w:rStyle w:val="VerbatimChar"/>
        </w:rPr>
        <w:t xml:space="preserve">int</w:t>
      </w:r>
    </w:p>
    <w:p>
      <w:pPr>
        <w:pStyle w:val="FirstParagraph"/>
      </w:pPr>
      <w:r>
        <w:t xml:space="preserve">Deploy with service account</w:t>
      </w:r>
      <w:r>
        <w:t xml:space="preserve"> </w:t>
      </w:r>
      <w:r>
        <w:rPr>
          <w:rStyle w:val="VerbatimChar"/>
        </w:rPr>
        <w:t xml:space="preserve">apigee-int-runtime</w:t>
      </w:r>
      <w:r>
        <w:t xml:space="preserve">. This proxy carries the per-user rate limiting, which is the reason Apigee is in the request path at all.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Policy</w:t>
            </w:r>
          </w:p>
        </w:tc>
        <w:tc>
          <w:tcPr/>
          <w:p>
            <w:pPr>
              <w:pStyle w:val="Compact"/>
              <w:jc w:val="left"/>
            </w:pPr>
            <w:r>
              <w:t xml:space="preserve">What it does</w:t>
            </w:r>
          </w:p>
        </w:tc>
      </w:tr>
      <w:tr>
        <w:tc>
          <w:tcPr/>
          <w:p>
            <w:pPr>
              <w:pStyle w:val="Compact"/>
              <w:jc w:val="left"/>
            </w:pPr>
            <w:r>
              <w:t xml:space="preserve">1</w:t>
            </w:r>
          </w:p>
        </w:tc>
        <w:tc>
          <w:tcPr/>
          <w:p>
            <w:pPr>
              <w:pStyle w:val="Compact"/>
              <w:jc w:val="left"/>
            </w:pPr>
            <w:r>
              <w:t xml:space="preserve">Spike Arrest on</w:t>
            </w:r>
            <w:r>
              <w:t xml:space="preserve"> </w:t>
            </w:r>
            <w:r>
              <w:rPr>
                <w:rStyle w:val="VerbatimChar"/>
              </w:rPr>
              <w:t xml:space="preserve">oid</w:t>
            </w:r>
          </w:p>
        </w:tc>
        <w:tc>
          <w:tcPr/>
          <w:p>
            <w:pPr>
              <w:pStyle w:val="Compact"/>
              <w:jc w:val="left"/>
            </w:pPr>
            <w:r>
              <w:t xml:space="preserve">Smooths one user’s bursts. First because it needs no credential and can shed load cheaply.</w:t>
            </w:r>
            <w:r>
              <w:t xml:space="preserve"> </w:t>
            </w:r>
            <w:r>
              <w:rPr>
                <w:rStyle w:val="VerbatimChar"/>
              </w:rPr>
              <w:t xml:space="preserve">UseEffectiveCount</w:t>
            </w:r>
            <w:r>
              <w:t xml:space="preserve"> </w:t>
            </w:r>
            <w:r>
              <w:t xml:space="preserve">must be</w:t>
            </w:r>
            <w:r>
              <w:t xml:space="preserve"> </w:t>
            </w:r>
            <w:r>
              <w:rPr>
                <w:rStyle w:val="VerbatimChar"/>
              </w:rPr>
              <w:t xml:space="preserve">true</w:t>
            </w:r>
          </w:p>
        </w:tc>
      </w:tr>
      <w:tr>
        <w:tc>
          <w:tcPr/>
          <w:p>
            <w:pPr>
              <w:pStyle w:val="Compact"/>
              <w:jc w:val="left"/>
            </w:pPr>
            <w:r>
              <w:t xml:space="preserve">2</w:t>
            </w:r>
          </w:p>
        </w:tc>
        <w:tc>
          <w:tcPr/>
          <w:p>
            <w:pPr>
              <w:pStyle w:val="Compact"/>
              <w:jc w:val="left"/>
            </w:pPr>
            <w:r>
              <w:t xml:space="preserve">Verify JWT</w:t>
            </w:r>
          </w:p>
        </w:tc>
        <w:tc>
          <w:tcPr/>
          <w:p>
            <w:pPr>
              <w:pStyle w:val="Compact"/>
              <w:jc w:val="left"/>
            </w:pPr>
            <w:r>
              <w:t xml:space="preserve">The Entra access token. JWKS from Entra’s metadata endpoint, issuer checked, audience pinned to</w:t>
            </w:r>
            <w:r>
              <w:t xml:space="preserve"> </w:t>
            </w:r>
            <w:r>
              <w:rPr>
                <w:rStyle w:val="VerbatimChar"/>
              </w:rPr>
              <w:t xml:space="preserve">api://aicoe-platform</w:t>
            </w:r>
          </w:p>
        </w:tc>
      </w:tr>
      <w:tr>
        <w:tc>
          <w:tcPr/>
          <w:p>
            <w:pPr>
              <w:pStyle w:val="Compact"/>
              <w:jc w:val="left"/>
            </w:pPr>
            <w:r>
              <w:t xml:space="preserve">3</w:t>
            </w:r>
          </w:p>
        </w:tc>
        <w:tc>
          <w:tcPr/>
          <w:p>
            <w:pPr>
              <w:pStyle w:val="Compact"/>
              <w:jc w:val="left"/>
            </w:pPr>
            <w:r>
              <w:t xml:space="preserve">Extract Variables</w:t>
            </w:r>
          </w:p>
        </w:tc>
        <w:tc>
          <w:tcPr/>
          <w:p>
            <w:pPr>
              <w:pStyle w:val="Compact"/>
              <w:jc w:val="left"/>
            </w:pPr>
            <w:r>
              <w:rPr>
                <w:rStyle w:val="VerbatimChar"/>
              </w:rPr>
              <w:t xml:space="preserve">oid</w:t>
            </w:r>
            <w:r>
              <w:t xml:space="preserve">,</w:t>
            </w:r>
            <w:r>
              <w:t xml:space="preserve"> </w:t>
            </w:r>
            <w:r>
              <w:rPr>
                <w:rStyle w:val="VerbatimChar"/>
              </w:rPr>
              <w:t xml:space="preserve">roles[]</w:t>
            </w:r>
            <w:r>
              <w:t xml:space="preserve">,</w:t>
            </w:r>
            <w:r>
              <w:t xml:space="preserve"> </w:t>
            </w:r>
            <w:r>
              <w:rPr>
                <w:rStyle w:val="VerbatimChar"/>
              </w:rPr>
              <w:t xml:space="preserve">preferred_username</w:t>
            </w:r>
            <w:r>
              <w:t xml:space="preserve">,</w:t>
            </w:r>
            <w:r>
              <w:t xml:space="preserve"> </w:t>
            </w:r>
            <w:r>
              <w:rPr>
                <w:rStyle w:val="VerbatimChar"/>
              </w:rPr>
              <w:t xml:space="preserve">department</w:t>
            </w:r>
          </w:p>
        </w:tc>
      </w:tr>
      <w:tr>
        <w:tc>
          <w:tcPr/>
          <w:p>
            <w:pPr>
              <w:pStyle w:val="Compact"/>
              <w:jc w:val="left"/>
            </w:pPr>
            <w:r>
              <w:t xml:space="preserve">4</w:t>
            </w:r>
          </w:p>
        </w:tc>
        <w:tc>
          <w:tcPr/>
          <w:p>
            <w:pPr>
              <w:pStyle w:val="Compact"/>
              <w:jc w:val="left"/>
            </w:pPr>
            <w:r>
              <w:t xml:space="preserve">Raise Fault 403</w:t>
            </w:r>
          </w:p>
        </w:tc>
        <w:tc>
          <w:tcPr/>
          <w:p>
            <w:pPr>
              <w:pStyle w:val="Compact"/>
              <w:jc w:val="left"/>
            </w:pPr>
            <w:r>
              <w:t xml:space="preserve">If the required App Role is absent.</w:t>
            </w:r>
            <w:r>
              <w:t xml:space="preserve"> </w:t>
            </w:r>
            <w:r>
              <w:rPr>
                <w:bCs/>
                <w:b/>
              </w:rPr>
              <w:t xml:space="preserve">The default flow denies</w:t>
            </w:r>
            <w:r>
              <w:t xml:space="preserve"> </w:t>
            </w:r>
            <w:r>
              <w:t xml:space="preserve">— an unlisted path is refused, not allowed</w:t>
            </w:r>
          </w:p>
        </w:tc>
      </w:tr>
      <w:tr>
        <w:tc>
          <w:tcPr/>
          <w:p>
            <w:pPr>
              <w:pStyle w:val="Compact"/>
              <w:jc w:val="left"/>
            </w:pPr>
            <w:r>
              <w:t xml:space="preserve">5</w:t>
            </w:r>
          </w:p>
        </w:tc>
        <w:tc>
          <w:tcPr/>
          <w:p>
            <w:pPr>
              <w:pStyle w:val="Compact"/>
              <w:jc w:val="left"/>
            </w:pPr>
            <w:r>
              <w:t xml:space="preserve">Verify API Key</w:t>
            </w:r>
          </w:p>
        </w:tc>
        <w:tc>
          <w:tcPr/>
          <w:p>
            <w:pPr>
              <w:pStyle w:val="Compact"/>
              <w:jc w:val="left"/>
            </w:pPr>
            <w:r>
              <w:t xml:space="preserve">Resolves the API Product, which the attribute-driven quota in §22.5 needs</w:t>
            </w:r>
          </w:p>
        </w:tc>
      </w:tr>
      <w:tr>
        <w:tc>
          <w:tcPr/>
          <w:p>
            <w:pPr>
              <w:pStyle w:val="Compact"/>
              <w:jc w:val="left"/>
            </w:pPr>
            <w:r>
              <w:t xml:space="preserve">6</w:t>
            </w:r>
          </w:p>
        </w:tc>
        <w:tc>
          <w:tcPr/>
          <w:p>
            <w:pPr>
              <w:pStyle w:val="Compact"/>
              <w:jc w:val="left"/>
            </w:pPr>
            <w:r>
              <w:t xml:space="preserve">Quota per minute on</w:t>
            </w:r>
            <w:r>
              <w:t xml:space="preserve"> </w:t>
            </w:r>
            <w:r>
              <w:rPr>
                <w:rStyle w:val="VerbatimChar"/>
              </w:rPr>
              <w:t xml:space="preserve">oid</w:t>
            </w:r>
          </w:p>
        </w:tc>
        <w:tc>
          <w:tcPr/>
          <w:p>
            <w:pPr>
              <w:pStyle w:val="Compact"/>
              <w:jc w:val="left"/>
            </w:pPr>
            <w:r>
              <w:rPr>
                <w:rStyle w:val="VerbatimChar"/>
              </w:rPr>
              <w:t xml:space="preserve">Distributed</w:t>
            </w:r>
            <w:r>
              <w:t xml:space="preserve"> </w:t>
            </w:r>
            <w:r>
              <w:t xml:space="preserve">and</w:t>
            </w:r>
            <w:r>
              <w:t xml:space="preserve"> </w:t>
            </w:r>
            <w:r>
              <w:rPr>
                <w:rStyle w:val="VerbatimChar"/>
              </w:rPr>
              <w:t xml:space="preserve">Synchronous</w:t>
            </w:r>
            <w:r>
              <w:t xml:space="preserve"> </w:t>
            </w:r>
            <w:r>
              <w:t xml:space="preserve">both</w:t>
            </w:r>
            <w:r>
              <w:t xml:space="preserve"> </w:t>
            </w:r>
            <w:r>
              <w:rPr>
                <w:rStyle w:val="VerbatimChar"/>
              </w:rPr>
              <w:t xml:space="preserve">true</w:t>
            </w:r>
          </w:p>
        </w:tc>
      </w:tr>
      <w:tr>
        <w:tc>
          <w:tcPr/>
          <w:p>
            <w:pPr>
              <w:pStyle w:val="Compact"/>
              <w:jc w:val="left"/>
            </w:pPr>
            <w:r>
              <w:t xml:space="preserve">7</w:t>
            </w:r>
          </w:p>
        </w:tc>
        <w:tc>
          <w:tcPr/>
          <w:p>
            <w:pPr>
              <w:pStyle w:val="Compact"/>
              <w:jc w:val="left"/>
            </w:pPr>
            <w:r>
              <w:t xml:space="preserve">Quota per day on</w:t>
            </w:r>
            <w:r>
              <w:t xml:space="preserve"> </w:t>
            </w:r>
            <w:r>
              <w:rPr>
                <w:rStyle w:val="VerbatimChar"/>
              </w:rPr>
              <w:t xml:space="preserve">oid</w:t>
            </w:r>
          </w:p>
        </w:tc>
        <w:tc>
          <w:tcPr/>
          <w:p>
            <w:pPr>
              <w:pStyle w:val="Compact"/>
              <w:jc w:val="left"/>
            </w:pPr>
            <w:r>
              <w:t xml:space="preserve">Limits read from API Product attributes, so a tier change is a console edit</w:t>
            </w:r>
          </w:p>
        </w:tc>
      </w:tr>
      <w:tr>
        <w:tc>
          <w:tcPr/>
          <w:p>
            <w:pPr>
              <w:pStyle w:val="Compact"/>
              <w:jc w:val="left"/>
            </w:pPr>
            <w:r>
              <w:t xml:space="preserve">8</w:t>
            </w:r>
          </w:p>
        </w:tc>
        <w:tc>
          <w:tcPr/>
          <w:p>
            <w:pPr>
              <w:pStyle w:val="Compact"/>
              <w:jc w:val="left"/>
            </w:pPr>
            <w:r>
              <w:t xml:space="preserve">Assign Message</w:t>
            </w:r>
          </w:p>
        </w:tc>
        <w:tc>
          <w:tcPr/>
          <w:p>
            <w:pPr>
              <w:pStyle w:val="Compact"/>
              <w:jc w:val="left"/>
            </w:pPr>
            <w:r>
              <w:t xml:space="preserve">Strip the client</w:t>
            </w:r>
            <w:r>
              <w:t xml:space="preserve"> </w:t>
            </w:r>
            <w:r>
              <w:rPr>
                <w:rStyle w:val="VerbatimChar"/>
              </w:rPr>
              <w:t xml:space="preserve">Authorization</w:t>
            </w:r>
            <w:r>
              <w:t xml:space="preserve"> </w:t>
            </w:r>
            <w:r>
              <w:t xml:space="preserve">header, strip any inbound</w:t>
            </w:r>
            <w:r>
              <w:t xml:space="preserve"> </w:t>
            </w:r>
            <w:r>
              <w:rPr>
                <w:rStyle w:val="VerbatimChar"/>
              </w:rPr>
              <w:t xml:space="preserve">x-colt-*</w:t>
            </w:r>
            <w:r>
              <w:t xml:space="preserve">, inject the verified user context</w:t>
            </w:r>
          </w:p>
        </w:tc>
      </w:tr>
      <w:tr>
        <w:tc>
          <w:tcPr/>
          <w:p>
            <w:pPr>
              <w:pStyle w:val="Compact"/>
              <w:jc w:val="left"/>
            </w:pPr>
            <w:r>
              <w:t xml:space="preserve">—</w:t>
            </w:r>
          </w:p>
        </w:tc>
        <w:tc>
          <w:tcPr/>
          <w:p>
            <w:pPr>
              <w:pStyle w:val="Compact"/>
              <w:jc w:val="left"/>
            </w:pPr>
            <w:r>
              <w:t xml:space="preserve">Target</w:t>
            </w:r>
          </w:p>
        </w:tc>
        <w:tc>
          <w:tcPr/>
          <w:p>
            <w:pPr>
              <w:pStyle w:val="Compact"/>
              <w:jc w:val="left"/>
            </w:pPr>
            <w:r>
              <w:rPr>
                <w:rStyle w:val="VerbatimChar"/>
              </w:rPr>
              <w:t xml:space="preserve">GoogleIDToken</w:t>
            </w:r>
            <w:r>
              <w:t xml:space="preserve"> </w:t>
            </w:r>
            <w:r>
              <w:t xml:space="preserve">with audience set to the</w:t>
            </w:r>
            <w:r>
              <w:t xml:space="preserve"> </w:t>
            </w:r>
            <w:r>
              <w:rPr>
                <w:bCs/>
                <w:b/>
              </w:rPr>
              <w:t xml:space="preserve">target Cloud Run service URL</w:t>
            </w:r>
            <w:r>
              <w:t xml:space="preserve">, sent in</w:t>
            </w:r>
            <w:r>
              <w:t xml:space="preserve"> </w:t>
            </w:r>
            <w:r>
              <w:rPr>
                <w:rStyle w:val="VerbatimChar"/>
                <w:bCs/>
                <w:b/>
              </w:rPr>
              <w:t xml:space="preserve">X-Serverless-Authorization</w:t>
            </w:r>
            <w:r>
              <w:t xml:space="preserve">. Set the header name explicitly. There is no IAP on this path, so that header is the caller’s to use — and it leaves</w:t>
            </w:r>
            <w:r>
              <w:t xml:space="preserve"> </w:t>
            </w:r>
            <w:r>
              <w:rPr>
                <w:rStyle w:val="VerbatimChar"/>
              </w:rPr>
              <w:t xml:space="preserve">Authorization</w:t>
            </w:r>
            <w:r>
              <w:t xml:space="preserve"> </w:t>
            </w:r>
            <w:r>
              <w:t xml:space="preserve">free</w:t>
            </w:r>
          </w:p>
        </w:tc>
      </w:tr>
      <w:tr>
        <w:tc>
          <w:tcPr/>
          <w:p>
            <w:pPr>
              <w:pStyle w:val="Compact"/>
              <w:jc w:val="left"/>
            </w:pPr>
            <w:r>
              <w:t xml:space="preserve">F</w:t>
            </w:r>
          </w:p>
        </w:tc>
        <w:tc>
          <w:tcPr/>
          <w:p>
            <w:pPr>
              <w:pStyle w:val="Compact"/>
              <w:jc w:val="left"/>
            </w:pPr>
            <w:r>
              <w:t xml:space="preserve">Fault Rule</w:t>
            </w:r>
          </w:p>
        </w:tc>
        <w:tc>
          <w:tcPr/>
          <w:p>
            <w:pPr>
              <w:pStyle w:val="Compact"/>
              <w:jc w:val="left"/>
            </w:pPr>
            <w:r>
              <w:t xml:space="preserve">Convert quota and spike-arrest faults to</w:t>
            </w:r>
            <w:r>
              <w:t xml:space="preserve"> </w:t>
            </w:r>
            <w:r>
              <w:rPr>
                <w:bCs/>
                <w:b/>
              </w:rPr>
              <w:t xml:space="preserve">429 with</w:t>
            </w:r>
            <w:r>
              <w:rPr>
                <w:bCs/>
                <w:b/>
              </w:rPr>
              <w:t xml:space="preserve"> </w:t>
            </w:r>
            <w:r>
              <w:rPr>
                <w:rStyle w:val="VerbatimChar"/>
                <w:bCs/>
                <w:b/>
              </w:rPr>
              <w:t xml:space="preserve">Retry-After</w:t>
            </w:r>
            <w:r>
              <w:t xml:space="preserve"> </w:t>
            </w:r>
            <w:r>
              <w:t xml:space="preserve">— see §22.11</w:t>
            </w:r>
          </w:p>
        </w:tc>
      </w:tr>
    </w:tbl>
    <w:p>
      <w:pPr>
        <w:pStyle w:val="BodyText"/>
      </w:pPr>
      <w:r>
        <w:t xml:space="preserve">Authorisation sits before quota deliberately: an unauthorised caller must never consume another user’s counter.</w:t>
      </w:r>
    </w:p>
    <w:p>
      <w:pPr>
        <w:pStyle w:val="BodyText"/>
      </w:pPr>
      <w:r>
        <w:rPr>
          <w:bCs/>
          <w:b/>
        </w:rPr>
        <w:t xml:space="preserve">Keep this proxy free of Extensible policies</w:t>
      </w:r>
      <w:r>
        <w:t xml:space="preserve"> </w:t>
      </w:r>
      <w:r>
        <w:t xml:space="preserve">— no JavaScript, no service callouts. One of them reclassifies the whole proxy to roughly five times the per-call rate and forces the environment up a tier.</w:t>
      </w:r>
    </w:p>
    <w:bookmarkStart w:id="216" w:name="path-to-role-mapping"/>
    <w:p>
      <w:pPr>
        <w:pStyle w:val="Heading3"/>
      </w:pPr>
      <w:r>
        <w:t xml:space="preserve">Path to role mapping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Path</w:t>
            </w:r>
          </w:p>
        </w:tc>
        <w:tc>
          <w:tcPr/>
          <w:p>
            <w:pPr>
              <w:pStyle w:val="Compact"/>
              <w:jc w:val="left"/>
            </w:pPr>
            <w:r>
              <w:t xml:space="preserve">Required App Role</w:t>
            </w:r>
          </w:p>
        </w:tc>
      </w:tr>
      <w:tr>
        <w:tc>
          <w:tcPr/>
          <w:p>
            <w:pPr>
              <w:pStyle w:val="Compact"/>
              <w:jc w:val="left"/>
            </w:pPr>
            <w:r>
              <w:rPr>
                <w:rStyle w:val="VerbatimChar"/>
              </w:rPr>
              <w:t xml:space="preserve">/api/translation/*</w:t>
            </w:r>
          </w:p>
        </w:tc>
        <w:tc>
          <w:tcPr/>
          <w:p>
            <w:pPr>
              <w:pStyle w:val="Compact"/>
              <w:jc w:val="left"/>
            </w:pPr>
            <w:r>
              <w:rPr>
                <w:rStyle w:val="VerbatimChar"/>
              </w:rPr>
              <w:t xml:space="preserve">Translation.User</w:t>
            </w:r>
          </w:p>
        </w:tc>
      </w:tr>
      <w:tr>
        <w:tc>
          <w:tcPr/>
          <w:p>
            <w:pPr>
              <w:pStyle w:val="Compact"/>
              <w:jc w:val="left"/>
            </w:pPr>
            <w:r>
              <w:rPr>
                <w:rStyle w:val="VerbatimChar"/>
              </w:rPr>
              <w:t xml:space="preserve">/api/sales/*</w:t>
            </w:r>
          </w:p>
        </w:tc>
        <w:tc>
          <w:tcPr/>
          <w:p>
            <w:pPr>
              <w:pStyle w:val="Compact"/>
              <w:jc w:val="left"/>
            </w:pPr>
            <w:r>
              <w:rPr>
                <w:rStyle w:val="VerbatimChar"/>
              </w:rPr>
              <w:t xml:space="preserve">SalesAgent.User</w:t>
            </w:r>
          </w:p>
        </w:tc>
      </w:tr>
      <w:tr>
        <w:tc>
          <w:tcPr/>
          <w:p>
            <w:pPr>
              <w:pStyle w:val="Compact"/>
              <w:jc w:val="left"/>
            </w:pPr>
            <w:r>
              <w:t xml:space="preserve">anything else</w:t>
            </w:r>
          </w:p>
        </w:tc>
        <w:tc>
          <w:tcPr/>
          <w:p>
            <w:pPr>
              <w:pStyle w:val="Compact"/>
              <w:jc w:val="left"/>
            </w:pPr>
            <w:r>
              <w:t xml:space="preserve">denied by the default flow</w:t>
            </w:r>
          </w:p>
        </w:tc>
      </w:tr>
    </w:tbl>
    <w:bookmarkEnd w:id="216"/>
    <w:bookmarkEnd w:id="217"/>
    <w:bookmarkStart w:id="218" w:name="the-ai-gateway-proxy-policy-order"/>
    <w:p>
      <w:pPr>
        <w:pStyle w:val="Heading2"/>
      </w:pPr>
      <w:r>
        <w:t xml:space="preserve">22.8 The AI gateway proxy — policy order</w:t>
      </w:r>
    </w:p>
    <w:p>
      <w:pPr>
        <w:pStyle w:val="FirstParagraph"/>
      </w:pPr>
      <w:r>
        <w:t xml:space="preserve">Deploy to environment</w:t>
      </w:r>
      <w:r>
        <w:t xml:space="preserve"> </w:t>
      </w:r>
      <w:r>
        <w:rPr>
          <w:rStyle w:val="VerbatimChar"/>
        </w:rPr>
        <w:t xml:space="preserve">llm</w:t>
      </w:r>
      <w:r>
        <w:t xml:space="preserve">, with service account</w:t>
      </w:r>
      <w:r>
        <w:t xml:space="preserve"> </w:t>
      </w:r>
      <w:r>
        <w:rPr>
          <w:rStyle w:val="VerbatimChar"/>
        </w:rPr>
        <w:t xml:space="preserve">apigee-llm-runtime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Policy</w:t>
            </w:r>
          </w:p>
        </w:tc>
        <w:tc>
          <w:tcPr/>
          <w:p>
            <w:pPr>
              <w:pStyle w:val="Compact"/>
              <w:jc w:val="left"/>
            </w:pPr>
            <w:r>
              <w:t xml:space="preserve">What it does</w:t>
            </w:r>
          </w:p>
        </w:tc>
      </w:tr>
      <w:tr>
        <w:tc>
          <w:tcPr/>
          <w:p>
            <w:pPr>
              <w:pStyle w:val="Compact"/>
              <w:jc w:val="left"/>
            </w:pPr>
            <w:r>
              <w:t xml:space="preserve">1</w:t>
            </w:r>
          </w:p>
        </w:tc>
        <w:tc>
          <w:tcPr/>
          <w:p>
            <w:pPr>
              <w:pStyle w:val="Compact"/>
              <w:jc w:val="left"/>
            </w:pPr>
            <w:r>
              <w:t xml:space="preserve">Spike Arrest</w:t>
            </w:r>
          </w:p>
        </w:tc>
        <w:tc>
          <w:tcPr/>
          <w:p>
            <w:pPr>
              <w:pStyle w:val="Compact"/>
              <w:jc w:val="left"/>
            </w:pPr>
            <w:r>
              <w:t xml:space="preserve">smooths sudden bursts before anything expensive runs. Correctly first: it needs no credential, so it can shed load before authentication costs anything</w:t>
            </w:r>
          </w:p>
        </w:tc>
      </w:tr>
      <w:tr>
        <w:tc>
          <w:tcPr/>
          <w:p>
            <w:pPr>
              <w:pStyle w:val="Compact"/>
              <w:jc w:val="left"/>
            </w:pPr>
            <w:r>
              <w:t xml:space="preserve">2</w:t>
            </w:r>
          </w:p>
        </w:tc>
        <w:tc>
          <w:tcPr/>
          <w:p>
            <w:pPr>
              <w:pStyle w:val="Compact"/>
              <w:jc w:val="left"/>
            </w:pPr>
            <w:r>
              <w:t xml:space="preserve">Verify JWT</w:t>
            </w:r>
          </w:p>
        </w:tc>
        <w:tc>
          <w:tcPr/>
          <w:p>
            <w:pPr>
              <w:pStyle w:val="Compact"/>
              <w:jc w:val="left"/>
            </w:pPr>
            <w:r>
              <w:t xml:space="preserve">validates the</w:t>
            </w:r>
            <w:r>
              <w:t xml:space="preserve"> </w:t>
            </w:r>
            <w:r>
              <w:rPr>
                <w:bCs/>
                <w:b/>
              </w:rPr>
              <w:t xml:space="preserve">caller’s</w:t>
            </w:r>
            <w:r>
              <w:t xml:space="preserve"> </w:t>
            </w:r>
            <w:r>
              <w:t xml:space="preserve">Google identity token, then checks the service account address against your permitted list</w:t>
            </w:r>
          </w:p>
        </w:tc>
      </w:tr>
      <w:tr>
        <w:tc>
          <w:tcPr/>
          <w:p>
            <w:pPr>
              <w:pStyle w:val="Compact"/>
              <w:jc w:val="left"/>
            </w:pPr>
            <w:r>
              <w:t xml:space="preserve">3</w:t>
            </w:r>
          </w:p>
        </w:tc>
        <w:tc>
          <w:tcPr/>
          <w:p>
            <w:pPr>
              <w:pStyle w:val="Compact"/>
              <w:jc w:val="left"/>
            </w:pPr>
            <w:r>
              <w:t xml:space="preserve">Verify API Key or OAuth</w:t>
            </w:r>
          </w:p>
        </w:tc>
        <w:tc>
          <w:tcPr/>
          <w:p>
            <w:pPr>
              <w:pStyle w:val="Compact"/>
              <w:jc w:val="left"/>
            </w:pPr>
            <w:r>
              <w:t xml:space="preserve">resolves which API product, which the token quota is measured against</w:t>
            </w:r>
          </w:p>
        </w:tc>
      </w:tr>
      <w:tr>
        <w:tc>
          <w:tcPr/>
          <w:p>
            <w:pPr>
              <w:pStyle w:val="Compact"/>
              <w:jc w:val="left"/>
            </w:pPr>
            <w:r>
              <w:t xml:space="preserve">4</w:t>
            </w:r>
          </w:p>
        </w:tc>
        <w:tc>
          <w:tcPr/>
          <w:p>
            <w:pPr>
              <w:pStyle w:val="Compact"/>
              <w:jc w:val="left"/>
            </w:pPr>
            <w:r>
              <w:t xml:space="preserve">Verify JWT</w:t>
            </w:r>
          </w:p>
        </w:tc>
        <w:tc>
          <w:tcPr/>
          <w:p>
            <w:pPr>
              <w:pStyle w:val="Compact"/>
              <w:jc w:val="left"/>
            </w:pPr>
            <w:r>
              <w:t xml:space="preserve">validates the</w:t>
            </w:r>
            <w:r>
              <w:t xml:space="preserve"> </w:t>
            </w:r>
            <w:r>
              <w:rPr>
                <w:bCs/>
                <w:b/>
              </w:rPr>
              <w:t xml:space="preserve">forwarded sign-in assertion</w:t>
            </w:r>
            <w:r>
              <w:t xml:space="preserve"> </w:t>
            </w:r>
            <w:r>
              <w:t xml:space="preserve">against Google’s IAP keys, extracts subject and groups</w:t>
            </w:r>
          </w:p>
        </w:tc>
      </w:tr>
      <w:tr>
        <w:tc>
          <w:tcPr/>
          <w:p>
            <w:pPr>
              <w:pStyle w:val="Compact"/>
              <w:jc w:val="left"/>
            </w:pPr>
            <w:r>
              <w:t xml:space="preserve">5</w:t>
            </w:r>
          </w:p>
        </w:tc>
        <w:tc>
          <w:tcPr/>
          <w:p>
            <w:pPr>
              <w:pStyle w:val="Compact"/>
              <w:jc w:val="left"/>
            </w:pPr>
            <w:r>
              <w:t xml:space="preserve">Key Value Map</w:t>
            </w:r>
          </w:p>
        </w:tc>
        <w:tc>
          <w:tcPr/>
          <w:p>
            <w:pPr>
              <w:pStyle w:val="Compact"/>
              <w:jc w:val="left"/>
            </w:pPr>
            <w:r>
              <w:t xml:space="preserve">maps group to business unit using</w:t>
            </w:r>
            <w:r>
              <w:t xml:space="preserve"> </w:t>
            </w:r>
            <w:r>
              <w:rPr>
                <w:rStyle w:val="VerbatimChar"/>
              </w:rPr>
              <w:t xml:space="preserve">group-to-bu</w:t>
            </w:r>
          </w:p>
        </w:tc>
      </w:tr>
      <w:tr>
        <w:tc>
          <w:tcPr/>
          <w:p>
            <w:pPr>
              <w:pStyle w:val="Compact"/>
              <w:jc w:val="left"/>
            </w:pPr>
            <w:r>
              <w:t xml:space="preserve">6</w:t>
            </w:r>
          </w:p>
        </w:tc>
        <w:tc>
          <w:tcPr/>
          <w:p>
            <w:pPr>
              <w:pStyle w:val="Compact"/>
              <w:jc w:val="left"/>
            </w:pPr>
            <w:r>
              <w:t xml:space="preserve">Prompt Token Limit</w:t>
            </w:r>
          </w:p>
        </w:tc>
        <w:tc>
          <w:tcPr/>
          <w:p>
            <w:pPr>
              <w:pStyle w:val="Compact"/>
              <w:jc w:val="left"/>
            </w:pPr>
            <w:r>
              <w:t xml:space="preserve">caps a single prompt, which bounds how far the next policy can be overshot</w:t>
            </w:r>
          </w:p>
        </w:tc>
      </w:tr>
      <w:tr>
        <w:tc>
          <w:tcPr/>
          <w:p>
            <w:pPr>
              <w:pStyle w:val="Compact"/>
              <w:jc w:val="left"/>
            </w:pPr>
            <w:r>
              <w:t xml:space="preserve">7</w:t>
            </w:r>
          </w:p>
        </w:tc>
        <w:tc>
          <w:tcPr/>
          <w:p>
            <w:pPr>
              <w:pStyle w:val="Compact"/>
              <w:jc w:val="left"/>
            </w:pPr>
            <w:r>
              <w:t xml:space="preserve">LLM Token Quota, enforce mode</w:t>
            </w:r>
          </w:p>
        </w:tc>
        <w:tc>
          <w:tcPr/>
          <w:p>
            <w:pPr>
              <w:pStyle w:val="Compact"/>
              <w:jc w:val="left"/>
            </w:pPr>
            <w:r>
              <w:t xml:space="preserve">rejects with 429 when the allowance is spent</w:t>
            </w:r>
          </w:p>
        </w:tc>
      </w:tr>
      <w:tr>
        <w:tc>
          <w:tcPr/>
          <w:p>
            <w:pPr>
              <w:pStyle w:val="Compact"/>
              <w:jc w:val="left"/>
            </w:pPr>
            <w:r>
              <w:t xml:space="preserve">8</w:t>
            </w:r>
          </w:p>
        </w:tc>
        <w:tc>
          <w:tcPr/>
          <w:p>
            <w:pPr>
              <w:pStyle w:val="Compact"/>
              <w:jc w:val="left"/>
            </w:pPr>
            <w:r>
              <w:t xml:space="preserve">Sanitize User Prompt</w:t>
            </w:r>
          </w:p>
        </w:tc>
        <w:tc>
          <w:tcPr/>
          <w:p>
            <w:pPr>
              <w:pStyle w:val="Compact"/>
              <w:jc w:val="left"/>
            </w:pPr>
            <w:r>
              <w:t xml:space="preserve">Model Armor, template chosen from</w:t>
            </w:r>
            <w:r>
              <w:t xml:space="preserve"> </w:t>
            </w:r>
            <w:r>
              <w:rPr>
                <w:rStyle w:val="VerbatimChar"/>
              </w:rPr>
              <w:t xml:space="preserve">bu-armor-template</w:t>
            </w:r>
            <w:r>
              <w:t xml:space="preserve">.</w:t>
            </w:r>
            <w:r>
              <w:t xml:space="preserve"> </w:t>
            </w:r>
            <w:r>
              <w:rPr>
                <w:bCs/>
                <w:b/>
              </w:rPr>
              <w:t xml:space="preserve">Check the result for</w:t>
            </w:r>
            <w:r>
              <w:rPr>
                <w:bCs/>
                <w:b/>
              </w:rPr>
              <w:t xml:space="preserve"> </w:t>
            </w:r>
            <w:r>
              <w:rPr>
                <w:rStyle w:val="VerbatimChar"/>
                <w:bCs/>
                <w:b/>
              </w:rPr>
              <w:t xml:space="preserve">EXECUTION_SKIPPED</w:t>
            </w:r>
            <w:r>
              <w:rPr>
                <w:bCs/>
                <w:b/>
              </w:rPr>
              <w:t xml:space="preserve">, not just for a match</w:t>
            </w:r>
            <w:r>
              <w:t xml:space="preserve"> </w:t>
            </w:r>
            <w:r>
              <w:t xml:space="preserve">— see §17.4</w:t>
            </w:r>
          </w:p>
        </w:tc>
      </w:tr>
      <w:tr>
        <w:tc>
          <w:tcPr/>
          <w:p>
            <w:pPr>
              <w:pStyle w:val="Compact"/>
              <w:jc w:val="left"/>
            </w:pPr>
            <w:r>
              <w:t xml:space="preserve">9</w:t>
            </w:r>
          </w:p>
        </w:tc>
        <w:tc>
          <w:tcPr/>
          <w:p>
            <w:pPr>
              <w:pStyle w:val="Compact"/>
              <w:jc w:val="left"/>
            </w:pPr>
            <w:r>
              <w:t xml:space="preserve">Assign Message</w:t>
            </w:r>
          </w:p>
        </w:tc>
        <w:tc>
          <w:tcPr/>
          <w:p>
            <w:pPr>
              <w:pStyle w:val="Compact"/>
              <w:jc w:val="left"/>
            </w:pPr>
            <w:r>
              <w:rPr>
                <w:bCs/>
                <w:b/>
              </w:rPr>
              <w:t xml:space="preserve">forces</w:t>
            </w:r>
            <w:r>
              <w:rPr>
                <w:bCs/>
                <w:b/>
              </w:rPr>
              <w:t xml:space="preserve"> </w:t>
            </w:r>
            <w:r>
              <w:rPr>
                <w:rStyle w:val="VerbatimChar"/>
                <w:bCs/>
                <w:b/>
              </w:rPr>
              <w:t xml:space="preserve">safetySettings</w:t>
            </w:r>
            <w:r>
              <w:t xml:space="preserve"> </w:t>
            </w:r>
            <w:r>
              <w:t xml:space="preserve">onto the request body so the caller cannot weaken them</w:t>
            </w:r>
          </w:p>
        </w:tc>
      </w:tr>
      <w:tr>
        <w:tc>
          <w:tcPr/>
          <w:p>
            <w:pPr>
              <w:pStyle w:val="Compact"/>
              <w:jc w:val="left"/>
            </w:pPr>
            <w:r>
              <w:t xml:space="preserve">10</w:t>
            </w:r>
          </w:p>
        </w:tc>
        <w:tc>
          <w:tcPr/>
          <w:p>
            <w:pPr>
              <w:pStyle w:val="Compact"/>
              <w:jc w:val="left"/>
            </w:pPr>
            <w:r>
              <w:t xml:space="preserve">Key Value Map</w:t>
            </w:r>
          </w:p>
        </w:tc>
        <w:tc>
          <w:tcPr/>
          <w:p>
            <w:pPr>
              <w:pStyle w:val="Compact"/>
              <w:jc w:val="left"/>
            </w:pPr>
            <w:r>
              <w:t xml:space="preserve">picks the model from</w:t>
            </w:r>
            <w:r>
              <w:t xml:space="preserve"> </w:t>
            </w:r>
            <w:r>
              <w:rPr>
                <w:rStyle w:val="VerbatimChar"/>
              </w:rPr>
              <w:t xml:space="preserve">allowed-models</w:t>
            </w:r>
            <w:r>
              <w:t xml:space="preserve"> </w:t>
            </w:r>
            <w:r>
              <w:t xml:space="preserve">and sets the target</w:t>
            </w:r>
          </w:p>
        </w:tc>
      </w:tr>
      <w:tr>
        <w:tc>
          <w:tcPr/>
          <w:p>
            <w:pPr>
              <w:pStyle w:val="Compact"/>
              <w:jc w:val="left"/>
            </w:pPr>
            <w:r>
              <w:t xml:space="preserve">—</w:t>
            </w:r>
          </w:p>
        </w:tc>
        <w:tc>
          <w:tcPr/>
          <w:p>
            <w:pPr>
              <w:pStyle w:val="Compact"/>
              <w:jc w:val="left"/>
            </w:pPr>
            <w:r>
              <w:t xml:space="preserve">target</w:t>
            </w:r>
          </w:p>
        </w:tc>
        <w:tc>
          <w:tcPr/>
          <w:p>
            <w:pPr>
              <w:pStyle w:val="Compact"/>
              <w:jc w:val="left"/>
            </w:pPr>
            <w:r>
              <w:t xml:space="preserve">Vertex AI, authenticating as</w:t>
            </w:r>
            <w:r>
              <w:t xml:space="preserve"> </w:t>
            </w:r>
            <w:r>
              <w:rPr>
                <w:rStyle w:val="VerbatimChar"/>
              </w:rPr>
              <w:t xml:space="preserve">apigee-llm-runtime</w:t>
            </w:r>
          </w:p>
        </w:tc>
      </w:tr>
      <w:tr>
        <w:tc>
          <w:tcPr/>
          <w:p>
            <w:pPr>
              <w:pStyle w:val="Compact"/>
              <w:jc w:val="left"/>
            </w:pPr>
            <w:r>
              <w:t xml:space="preserve">11</w:t>
            </w:r>
          </w:p>
        </w:tc>
        <w:tc>
          <w:tcPr/>
          <w:p>
            <w:pPr>
              <w:pStyle w:val="Compact"/>
              <w:jc w:val="left"/>
            </w:pPr>
            <w:r>
              <w:t xml:space="preserve">Sanitize Model Response</w:t>
            </w:r>
          </w:p>
        </w:tc>
        <w:tc>
          <w:tcPr/>
          <w:p>
            <w:pPr>
              <w:pStyle w:val="Compact"/>
              <w:jc w:val="left"/>
            </w:pPr>
            <w:r>
              <w:t xml:space="preserve">Model Armor on the way back, streaming included</w:t>
            </w:r>
          </w:p>
        </w:tc>
      </w:tr>
      <w:tr>
        <w:tc>
          <w:tcPr/>
          <w:p>
            <w:pPr>
              <w:pStyle w:val="Compact"/>
              <w:jc w:val="left"/>
            </w:pPr>
            <w:r>
              <w:t xml:space="preserve">12</w:t>
            </w:r>
          </w:p>
        </w:tc>
        <w:tc>
          <w:tcPr/>
          <w:p>
            <w:pPr>
              <w:pStyle w:val="Compact"/>
              <w:jc w:val="left"/>
            </w:pPr>
            <w:r>
              <w:t xml:space="preserve">LLM Token Quota, count mode</w:t>
            </w:r>
          </w:p>
        </w:tc>
        <w:tc>
          <w:tcPr/>
          <w:p>
            <w:pPr>
              <w:pStyle w:val="Compact"/>
              <w:jc w:val="left"/>
            </w:pPr>
            <w:r>
              <w:t xml:space="preserve">records what was actually consumed</w:t>
            </w:r>
          </w:p>
        </w:tc>
      </w:tr>
      <w:tr>
        <w:tc>
          <w:tcPr/>
          <w:p>
            <w:pPr>
              <w:pStyle w:val="Compact"/>
              <w:jc w:val="left"/>
            </w:pPr>
            <w:r>
              <w:t xml:space="preserve">13</w:t>
            </w:r>
          </w:p>
        </w:tc>
        <w:tc>
          <w:tcPr/>
          <w:p>
            <w:pPr>
              <w:pStyle w:val="Compact"/>
              <w:jc w:val="left"/>
            </w:pPr>
            <w:r>
              <w:t xml:space="preserve">Statistics Collector</w:t>
            </w:r>
          </w:p>
        </w:tc>
        <w:tc>
          <w:tcPr/>
          <w:p>
            <w:pPr>
              <w:pStyle w:val="Compact"/>
              <w:jc w:val="left"/>
            </w:pPr>
            <w:r>
              <w:t xml:space="preserve">tokens by subject, business unit and product</w:t>
            </w:r>
          </w:p>
        </w:tc>
      </w:tr>
      <w:tr>
        <w:tc>
          <w:tcPr/>
          <w:p>
            <w:pPr>
              <w:pStyle w:val="Compact"/>
              <w:jc w:val="left"/>
            </w:pPr>
            <w:r>
              <w:t xml:space="preserve">14</w:t>
            </w:r>
          </w:p>
        </w:tc>
        <w:tc>
          <w:tcPr/>
          <w:p>
            <w:pPr>
              <w:pStyle w:val="Compact"/>
              <w:jc w:val="left"/>
            </w:pPr>
            <w:r>
              <w:t xml:space="preserve">Message Logging</w:t>
            </w:r>
          </w:p>
        </w:tc>
        <w:tc>
          <w:tcPr/>
          <w:p>
            <w:pPr>
              <w:pStyle w:val="Compact"/>
              <w:jc w:val="left"/>
            </w:pPr>
            <w:r>
              <w:rPr>
                <w:bCs/>
                <w:b/>
              </w:rPr>
              <w:t xml:space="preserve">metadata only</w:t>
            </w:r>
            <w:r>
              <w:t xml:space="preserve"> </w:t>
            </w:r>
            <w:r>
              <w:t xml:space="preserve">unless prompt logging is signed off</w:t>
            </w:r>
          </w:p>
        </w:tc>
      </w:tr>
    </w:tbl>
    <w:p>
      <w:pPr>
        <w:pStyle w:val="BodyText"/>
      </w:pPr>
      <w:r>
        <w:t xml:space="preserve">This ordering matches Google’s documented guidance — spike arrest first because it requires no credential, then credential verification, then quota enforcement keyed on the verified identity.</w:t>
      </w:r>
    </w:p>
    <w:p>
      <w:pPr>
        <w:pStyle w:val="BodyText"/>
      </w:pPr>
      <w:r>
        <w:t xml:space="preserve">The four token and rate policies each have a distinct documented purpose, and the docs are explicit that they are not substitutes:</w:t>
      </w:r>
      <w:r>
        <w:t xml:space="preserve"> </w:t>
      </w:r>
      <w:r>
        <w:rPr>
          <w:rStyle w:val="VerbatimChar"/>
        </w:rPr>
        <w:t xml:space="preserve">SpikeArrest</w:t>
      </w:r>
      <w:r>
        <w:t xml:space="preserve"> </w:t>
      </w:r>
      <w:r>
        <w:t xml:space="preserve">protects the backend from traffic spikes;</w:t>
      </w:r>
      <w:r>
        <w:t xml:space="preserve"> </w:t>
      </w:r>
      <w:r>
        <w:rPr>
          <w:rStyle w:val="VerbatimChar"/>
        </w:rPr>
        <w:t xml:space="preserve">Quota</w:t>
      </w:r>
      <w:r>
        <w:t xml:space="preserve"> </w:t>
      </w:r>
      <w:r>
        <w:t xml:space="preserve">limits calls per consumer over longer intervals where accurate counting matters;</w:t>
      </w:r>
      <w:r>
        <w:t xml:space="preserve"> </w:t>
      </w:r>
      <w:r>
        <w:rPr>
          <w:rStyle w:val="VerbatimChar"/>
        </w:rPr>
        <w:t xml:space="preserve">LLMTokenQuota</w:t>
      </w:r>
      <w:r>
        <w:t xml:space="preserve"> </w:t>
      </w:r>
      <w:r>
        <w:t xml:space="preserve">manages total token consumption per API product for cost control; and</w:t>
      </w:r>
      <w:r>
        <w:t xml:space="preserve"> </w:t>
      </w:r>
      <w:r>
        <w:rPr>
          <w:rStyle w:val="VerbatimChar"/>
        </w:rPr>
        <w:t xml:space="preserve">PromptTokenLimit</w:t>
      </w:r>
      <w:r>
        <w:t xml:space="preserve"> </w:t>
      </w:r>
      <w:r>
        <w:t xml:space="preserve">protects against token abuse, oversized prompts and denial of service by throttling on prompt size — described as the spike-arrest equivalent for tokens. Notably</w:t>
      </w:r>
      <w:r>
        <w:t xml:space="preserve"> </w:t>
      </w:r>
      <w:r>
        <w:rPr>
          <w:rStyle w:val="VerbatimChar"/>
        </w:rPr>
        <w:t xml:space="preserve">PromptTokenLimit</w:t>
      </w:r>
      <w:r>
        <w:t xml:space="preserve"> </w:t>
      </w:r>
      <w:r>
        <w:t xml:space="preserve">enforces a rate but does</w:t>
      </w:r>
      <w:r>
        <w:t xml:space="preserve"> </w:t>
      </w:r>
      <w:r>
        <w:rPr>
          <w:bCs/>
          <w:b/>
        </w:rPr>
        <w:t xml:space="preserve">not</w:t>
      </w:r>
      <w:r>
        <w:t xml:space="preserve"> </w:t>
      </w:r>
      <w:r>
        <w:t xml:space="preserve">keep a persistent long-term count, so it cannot substitute for</w:t>
      </w:r>
      <w:r>
        <w:t xml:space="preserve"> </w:t>
      </w:r>
      <w:r>
        <w:rPr>
          <w:rStyle w:val="VerbatimChar"/>
        </w:rPr>
        <w:t xml:space="preserve">LLMTokenQuota</w:t>
      </w:r>
      <w:r>
        <w:t xml:space="preserve"> </w:t>
      </w:r>
      <w:r>
        <w:t xml:space="preserve">in billing or budget terms.</w:t>
      </w:r>
    </w:p>
    <w:p>
      <w:pPr>
        <w:pStyle w:val="BodyText"/>
      </w:pPr>
      <w:r>
        <w:t xml:space="preserve">Semantic caching is left out of the first build. It saves money but introduces a cross-business-unit leakage risk that needs its own testing — add it later, with the cache key including the business unit, and prove §22.9’s last test before enabling it.</w:t>
      </w:r>
    </w:p>
    <w:bookmarkEnd w:id="218"/>
    <w:bookmarkStart w:id="219" w:name="X7586ea53660931935e03b62c42a8f3396a64d96"/>
    <w:p>
      <w:pPr>
        <w:pStyle w:val="Heading2"/>
      </w:pPr>
      <w:r>
        <w:t xml:space="preserve">22.9 Four things that must be tested, not assumed</w:t>
      </w:r>
    </w:p>
    <w:p>
      <w:pPr>
        <w:pStyle w:val="FirstParagraph"/>
      </w:pPr>
      <w:r>
        <w:t xml:space="preserve">Every control above fails</w:t>
      </w:r>
      <w:r>
        <w:t xml:space="preserve"> </w:t>
      </w:r>
      <w:r>
        <w:rPr>
          <w:bCs/>
          <w:b/>
        </w:rPr>
        <w:t xml:space="preserve">open</w:t>
      </w:r>
      <w:r>
        <w:t xml:space="preserve"> </w:t>
      </w:r>
      <w:r>
        <w:t xml:space="preserve">if it is written slightly wrong. Test each deliberately: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Test</w:t>
            </w:r>
          </w:p>
        </w:tc>
        <w:tc>
          <w:tcPr/>
          <w:p>
            <w:pPr>
              <w:pStyle w:val="Compact"/>
              <w:jc w:val="left"/>
            </w:pPr>
            <w:r>
              <w:t xml:space="preserve">Expected</w:t>
            </w:r>
          </w:p>
        </w:tc>
      </w:tr>
      <w:tr>
        <w:tc>
          <w:tcPr/>
          <w:p>
            <w:pPr>
              <w:pStyle w:val="Compact"/>
              <w:jc w:val="left"/>
            </w:pPr>
            <w:r>
              <w:t xml:space="preserve">Call with no</w:t>
            </w:r>
            <w:r>
              <w:t xml:space="preserve"> </w:t>
            </w:r>
            <w:r>
              <w:rPr>
                <w:rStyle w:val="VerbatimChar"/>
              </w:rPr>
              <w:t xml:space="preserve">groups</w:t>
            </w:r>
            <w:r>
              <w:t xml:space="preserve"> </w:t>
            </w:r>
            <w:r>
              <w:t xml:space="preserve">claim in the forwarded assertion</w:t>
            </w:r>
          </w:p>
        </w:tc>
        <w:tc>
          <w:tcPr/>
          <w:p>
            <w:pPr>
              <w:pStyle w:val="Compact"/>
              <w:jc w:val="left"/>
            </w:pPr>
            <w:r>
              <w:t xml:space="preserve">denied</w:t>
            </w:r>
          </w:p>
        </w:tc>
      </w:tr>
      <w:tr>
        <w:tc>
          <w:tcPr/>
          <w:p>
            <w:pPr>
              <w:pStyle w:val="Compact"/>
              <w:jc w:val="left"/>
            </w:pPr>
            <w:r>
              <w:t xml:space="preserve">Call with a forged</w:t>
            </w:r>
            <w:r>
              <w:t xml:space="preserve"> </w:t>
            </w:r>
            <w:r>
              <w:rPr>
                <w:rStyle w:val="VerbatimChar"/>
              </w:rPr>
              <w:t xml:space="preserve">x-colt-business-unit</w:t>
            </w:r>
            <w:r>
              <w:t xml:space="preserve"> </w:t>
            </w:r>
            <w:r>
              <w:t xml:space="preserve">header</w:t>
            </w:r>
          </w:p>
        </w:tc>
        <w:tc>
          <w:tcPr/>
          <w:p>
            <w:pPr>
              <w:pStyle w:val="Compact"/>
              <w:jc w:val="left"/>
            </w:pPr>
            <w:r>
              <w:t xml:space="preserve">header ignored, business unit taken from the verified assertion</w:t>
            </w:r>
          </w:p>
        </w:tc>
      </w:tr>
      <w:tr>
        <w:tc>
          <w:tcPr/>
          <w:p>
            <w:pPr>
              <w:pStyle w:val="Compact"/>
              <w:jc w:val="left"/>
            </w:pPr>
            <w:r>
              <w:t xml:space="preserve">Call with a valid Google token from a service account not on the permitted list</w:t>
            </w:r>
          </w:p>
        </w:tc>
        <w:tc>
          <w:tcPr/>
          <w:p>
            <w:pPr>
              <w:pStyle w:val="Compact"/>
              <w:jc w:val="left"/>
            </w:pPr>
            <w:r>
              <w:t xml:space="preserve">denied</w:t>
            </w:r>
          </w:p>
        </w:tc>
      </w:tr>
      <w:tr>
        <w:tc>
          <w:tcPr/>
          <w:p>
            <w:pPr>
              <w:pStyle w:val="Compact"/>
              <w:jc w:val="left"/>
            </w:pPr>
            <w:r>
              <w:t xml:space="preserve">Call with</w:t>
            </w:r>
            <w:r>
              <w:t xml:space="preserve"> </w:t>
            </w:r>
            <w:r>
              <w:rPr>
                <w:rStyle w:val="VerbatimChar"/>
              </w:rPr>
              <w:t xml:space="preserve">safetySettings</w:t>
            </w:r>
            <w:r>
              <w:t xml:space="preserve"> </w:t>
            </w:r>
            <w:r>
              <w:t xml:space="preserve">set to permissive in the request body</w:t>
            </w:r>
          </w:p>
        </w:tc>
        <w:tc>
          <w:tcPr/>
          <w:p>
            <w:pPr>
              <w:pStyle w:val="Compact"/>
              <w:jc w:val="left"/>
            </w:pPr>
            <w:r>
              <w:t xml:space="preserve">overwritten by the gateway, not honoured</w:t>
            </w:r>
          </w:p>
        </w:tc>
      </w:tr>
      <w:tr>
        <w:tc>
          <w:tcPr/>
          <w:p>
            <w:pPr>
              <w:pStyle w:val="Compact"/>
              <w:jc w:val="left"/>
            </w:pPr>
            <w:r>
              <w:t xml:space="preserve">Send a prompt-injection style instruction</w:t>
            </w:r>
          </w:p>
        </w:tc>
        <w:tc>
          <w:tcPr/>
          <w:p>
            <w:pPr>
              <w:pStyle w:val="Compact"/>
              <w:jc w:val="left"/>
            </w:pPr>
            <w:r>
              <w:t xml:space="preserve">blocked by Model Armor</w:t>
            </w:r>
          </w:p>
        </w:tc>
      </w:tr>
      <w:tr>
        <w:tc>
          <w:tcPr/>
          <w:p>
            <w:pPr>
              <w:pStyle w:val="Compact"/>
              <w:jc w:val="left"/>
            </w:pPr>
            <w:r>
              <w:t xml:space="preserve">Send a prompt containing an obvious personal identifier</w:t>
            </w:r>
          </w:p>
        </w:tc>
        <w:tc>
          <w:tcPr/>
          <w:p>
            <w:pPr>
              <w:pStyle w:val="Compact"/>
              <w:jc w:val="left"/>
            </w:pPr>
            <w:r>
              <w:t xml:space="preserve">blocked or redacted per the business unit’s template</w:t>
            </w:r>
          </w:p>
        </w:tc>
      </w:tr>
      <w:tr>
        <w:tc>
          <w:tcPr/>
          <w:p>
            <w:pPr>
              <w:pStyle w:val="Compact"/>
              <w:jc w:val="left"/>
            </w:pPr>
            <w:r>
              <w:t xml:space="preserve">Send a prompt over 10,000 tokens</w:t>
            </w:r>
          </w:p>
        </w:tc>
        <w:tc>
          <w:tcPr/>
          <w:p>
            <w:pPr>
              <w:pStyle w:val="Compact"/>
              <w:jc w:val="left"/>
            </w:pPr>
            <w:r>
              <w:t xml:space="preserve">filter returns</w:t>
            </w:r>
            <w:r>
              <w:t xml:space="preserve"> </w:t>
            </w:r>
            <w:r>
              <w:rPr>
                <w:rStyle w:val="VerbatimChar"/>
              </w:rPr>
              <w:t xml:space="preserve">EXECUTION_SKIPPED</w:t>
            </w:r>
            <w:r>
              <w:t xml:space="preserve"> </w:t>
            </w:r>
            <w:r>
              <w:t xml:space="preserve">and the proxy applies your documented §17.4 handling, not a silent pass</w:t>
            </w:r>
          </w:p>
        </w:tc>
      </w:tr>
      <w:tr>
        <w:tc>
          <w:tcPr/>
          <w:p>
            <w:pPr>
              <w:pStyle w:val="Compact"/>
              <w:jc w:val="left"/>
            </w:pPr>
            <w:r>
              <w:t xml:space="preserve">Exhaust the LLM token quota</w:t>
            </w:r>
          </w:p>
        </w:tc>
        <w:tc>
          <w:tcPr/>
          <w:p>
            <w:pPr>
              <w:pStyle w:val="Compact"/>
              <w:jc w:val="left"/>
            </w:pPr>
            <w:r>
              <w:t xml:space="preserve">429 with a retry hint, not 200</w:t>
            </w:r>
          </w:p>
        </w:tc>
      </w:tr>
      <w:tr>
        <w:tc>
          <w:tcPr/>
          <w:p>
            <w:pPr>
              <w:pStyle w:val="Compact"/>
              <w:jc w:val="left"/>
            </w:pPr>
            <w:r>
              <w:t xml:space="preserve">Exhaust a classic</w:t>
            </w:r>
            <w:r>
              <w:t xml:space="preserve"> </w:t>
            </w:r>
            <w:r>
              <w:rPr>
                <w:rStyle w:val="VerbatimChar"/>
              </w:rPr>
              <w:t xml:space="preserve">Quota</w:t>
            </w:r>
            <w:r>
              <w:t xml:space="preserve"> </w:t>
            </w:r>
            <w:r>
              <w:t xml:space="preserve">or trip</w:t>
            </w:r>
            <w:r>
              <w:t xml:space="preserve"> </w:t>
            </w:r>
            <w:r>
              <w:rPr>
                <w:rStyle w:val="VerbatimChar"/>
              </w:rPr>
              <w:t xml:space="preserve">SpikeArrest</w:t>
            </w:r>
          </w:p>
        </w:tc>
        <w:tc>
          <w:tcPr/>
          <w:p>
            <w:pPr>
              <w:pStyle w:val="Compact"/>
              <w:jc w:val="left"/>
            </w:pPr>
            <w:r>
              <w:rPr>
                <w:bCs/>
                <w:b/>
              </w:rPr>
              <w:t xml:space="preserve">429, not the default 500</w:t>
            </w:r>
            <w:r>
              <w:t xml:space="preserve"> </w:t>
            </w:r>
            <w:r>
              <w:t xml:space="preserve">— see §22.11. This test fails against a default configuration, which is the point of running it</w:t>
            </w:r>
          </w:p>
        </w:tc>
      </w:tr>
      <w:tr>
        <w:tc>
          <w:tcPr/>
          <w:p>
            <w:pPr>
              <w:pStyle w:val="Compact"/>
              <w:jc w:val="left"/>
            </w:pPr>
            <w:r>
              <w:rPr>
                <w:iCs/>
                <w:i/>
              </w:rPr>
              <w:t xml:space="preserve">(only if you enable caching later)</w:t>
            </w:r>
            <w:r>
              <w:t xml:space="preserve"> </w:t>
            </w:r>
            <w:r>
              <w:t xml:space="preserve">Finance prompt then equivalent Legal prompt</w:t>
            </w:r>
          </w:p>
        </w:tc>
        <w:tc>
          <w:tcPr/>
          <w:p>
            <w:pPr>
              <w:pStyle w:val="Compact"/>
              <w:jc w:val="left"/>
            </w:pPr>
            <w:r>
              <w:t xml:space="preserve">cache</w:t>
            </w:r>
            <w:r>
              <w:t xml:space="preserve"> </w:t>
            </w:r>
            <w:r>
              <w:rPr>
                <w:bCs/>
                <w:b/>
              </w:rPr>
              <w:t xml:space="preserve">miss</w:t>
            </w:r>
          </w:p>
        </w:tc>
      </w:tr>
    </w:tbl>
    <w:p>
      <w:pPr>
        <w:pStyle w:val="BodyText"/>
      </w:pPr>
      <w:r>
        <w:t xml:space="preserve">The last one is the cross-tenant leak test. Semantic caching matches on meaning, so an unscoped cache will happily return one business unit’s answer to another.</w:t>
      </w:r>
    </w:p>
    <w:bookmarkEnd w:id="219"/>
    <w:bookmarkStart w:id="220" w:name="watch-out-the-deployment-gap"/>
    <w:p>
      <w:pPr>
        <w:pStyle w:val="Heading2"/>
      </w:pPr>
      <w:r>
        <w:t xml:space="preserve">22.10 Watch out — the deployment gap</w:t>
      </w:r>
    </w:p>
    <w:p>
      <w:pPr>
        <w:pStyle w:val="FirstParagraph"/>
      </w:pPr>
      <w:r>
        <w:t xml:space="preserve">Proxies have no equivalent of Binary Authorization. Nothing cryptographically prevents someone editing a proxy in the console and deploying it. Since this proxy now carries your only model-usage controls, that matters. Compensate with process:</w:t>
      </w:r>
    </w:p>
    <w:p>
      <w:pPr>
        <w:numPr>
          <w:ilvl w:val="0"/>
          <w:numId w:val="1032"/>
        </w:numPr>
        <w:pStyle w:val="Compact"/>
      </w:pPr>
      <w:r>
        <w:t xml:space="preserve">Proxy bundles live in Git. The console is read-only for humans.</w:t>
      </w:r>
    </w:p>
    <w:p>
      <w:pPr>
        <w:numPr>
          <w:ilvl w:val="0"/>
          <w:numId w:val="1032"/>
        </w:numPr>
        <w:pStyle w:val="Compact"/>
      </w:pPr>
      <w:r>
        <w:t xml:space="preserve">Only the pipeline service account holds the deploy role.</w:t>
      </w:r>
    </w:p>
    <w:p>
      <w:pPr>
        <w:numPr>
          <w:ilvl w:val="0"/>
          <w:numId w:val="1032"/>
        </w:numPr>
        <w:pStyle w:val="Compact"/>
      </w:pPr>
      <w:r>
        <w:t xml:space="preserve">Part 23 alerts on deployment by anyone else.</w:t>
      </w:r>
    </w:p>
    <w:p>
      <w:pPr>
        <w:numPr>
          <w:ilvl w:val="0"/>
          <w:numId w:val="1032"/>
        </w:numPr>
        <w:pStyle w:val="Compact"/>
      </w:pPr>
      <w:r>
        <w:t xml:space="preserve">The tests in §22.9 run in the pipeline, not by hand.</w:t>
      </w:r>
    </w:p>
    <w:bookmarkEnd w:id="220"/>
    <w:bookmarkStart w:id="221" w:name="X034e779970fe20d3b9945a22f878b76f0b7f871"/>
    <w:p>
      <w:pPr>
        <w:pStyle w:val="Heading2"/>
      </w:pPr>
      <w:r>
        <w:t xml:space="preserve">22.11 Watch out — two rate-limiting behaviours that are not what you would guess</w:t>
      </w:r>
    </w:p>
    <w:p>
      <w:pPr>
        <w:pStyle w:val="FirstParagraph"/>
      </w:pPr>
      <w:r>
        <w:rPr>
          <w:bCs/>
          <w:b/>
        </w:rPr>
        <w:t xml:space="preserve">Spike arrest is per message processor unless one element is set.</w:t>
      </w:r>
      <w:r>
        <w:t xml:space="preserve"> </w:t>
      </w:r>
      <w:r>
        <w:t xml:space="preserve">Apigee’s documentation is explicit: request counts are not synchronised across message processors unless</w:t>
      </w:r>
      <w:r>
        <w:t xml:space="preserve"> </w:t>
      </w:r>
      <w:r>
        <w:rPr>
          <w:rStyle w:val="VerbatimChar"/>
        </w:rPr>
        <w:t xml:space="preserve">UseEffectiveCount</w:t>
      </w:r>
      <w:r>
        <w:t xml:space="preserve"> </w:t>
      </w:r>
      <w:r>
        <w:t xml:space="preserve">is enabled, and with several processors each throttles independently — so you multiply your configured rate by the processor count to get the real arrest rate.</w:t>
      </w:r>
    </w:p>
    <w:p>
      <w:pPr>
        <w:pStyle w:val="BodyText"/>
      </w:pPr>
      <w:r>
        <w:t xml:space="preserve">The saving grace is that</w:t>
      </w:r>
      <w:r>
        <w:t xml:space="preserve"> </w:t>
      </w:r>
      <w:r>
        <w:rPr>
          <w:bCs/>
          <w:b/>
        </w:rPr>
        <w:t xml:space="preserve">the default policy template ships with</w:t>
      </w:r>
      <w:r>
        <w:rPr>
          <w:bCs/>
          <w:b/>
        </w:rPr>
        <w:t xml:space="preserve"> </w:t>
      </w:r>
      <w:r>
        <w:rPr>
          <w:rStyle w:val="VerbatimChar"/>
          <w:bCs/>
          <w:b/>
        </w:rPr>
        <w:t xml:space="preserve">UseEffectiveCount</w:t>
      </w:r>
      <w:r>
        <w:rPr>
          <w:bCs/>
          <w:b/>
        </w:rPr>
        <w:t xml:space="preserve"> </w:t>
      </w:r>
      <w:r>
        <w:rPr>
          <w:bCs/>
          <w:b/>
        </w:rPr>
        <w:t xml:space="preserve">set to</w:t>
      </w:r>
      <w:r>
        <w:rPr>
          <w:bCs/>
          <w:b/>
        </w:rPr>
        <w:t xml:space="preserve"> </w:t>
      </w:r>
      <w:r>
        <w:rPr>
          <w:rStyle w:val="VerbatimChar"/>
          <w:bCs/>
          <w:b/>
        </w:rPr>
        <w:t xml:space="preserve">true</w:t>
      </w:r>
      <w:r>
        <w:t xml:space="preserve">. So this bites you only if someone removes it or writes the policy from scratch. Check the element is present and true, and add a pipeline check that fails the build if it is missing.</w:t>
      </w:r>
    </w:p>
    <w:p>
      <w:pPr>
        <w:pStyle w:val="BodyText"/>
      </w:pPr>
      <w:r>
        <w:rPr>
          <w:bCs/>
          <w:b/>
        </w:rPr>
        <w:t xml:space="preserve">The default status code for exceeding a limit is 500, not 429.</w:t>
      </w:r>
      <w:r>
        <w:t xml:space="preserve"> </w:t>
      </w:r>
      <w:r>
        <w:t xml:space="preserve">For</w:t>
      </w:r>
      <w:r>
        <w:t xml:space="preserve"> </w:t>
      </w:r>
      <w:r>
        <w:rPr>
          <w:rStyle w:val="VerbatimChar"/>
        </w:rPr>
        <w:t xml:space="preserve">Quota</w:t>
      </w:r>
      <w:r>
        <w:t xml:space="preserve"> </w:t>
      </w:r>
      <w:r>
        <w:t xml:space="preserve">and</w:t>
      </w:r>
      <w:r>
        <w:t xml:space="preserve"> </w:t>
      </w:r>
      <w:r>
        <w:rPr>
          <w:rStyle w:val="VerbatimChar"/>
        </w:rPr>
        <w:t xml:space="preserve">SpikeArrest</w:t>
      </w:r>
      <w:r>
        <w:t xml:space="preserve"> </w:t>
      </w:r>
      <w:r>
        <w:t xml:space="preserve">the documented default is a generic 500 Internal Server Error. It can be changed to 429 with an organisation-level property (</w:t>
      </w:r>
      <w:r>
        <w:rPr>
          <w:rStyle w:val="VerbatimChar"/>
        </w:rPr>
        <w:t xml:space="preserve">features.isHTTPStatusTooManyRequestEnabled</w:t>
      </w:r>
      <w:r>
        <w:t xml:space="preserve">), which on some plans requires a support request.</w:t>
      </w:r>
    </w:p>
    <w:p>
      <w:pPr>
        <w:pStyle w:val="BodyText"/>
      </w:pPr>
      <w:r>
        <w:t xml:space="preserve">This matters more than it sounds. A 500 tells a client</w:t>
      </w:r>
      <w:r>
        <w:t xml:space="preserve"> </w:t>
      </w:r>
      <w:r>
        <w:t xml:space="preserve">“</w:t>
      </w:r>
      <w:r>
        <w:t xml:space="preserve">the server broke</w:t>
      </w:r>
      <w:r>
        <w:t xml:space="preserve">”</w:t>
      </w:r>
      <w:r>
        <w:t xml:space="preserve"> </w:t>
      </w:r>
      <w:r>
        <w:t xml:space="preserve">— so a well-behaved caller retries immediately, which is exactly wrong when the cause is a rate limit. A 429 with</w:t>
      </w:r>
      <w:r>
        <w:t xml:space="preserve"> </w:t>
      </w:r>
      <w:r>
        <w:rPr>
          <w:rStyle w:val="VerbatimChar"/>
        </w:rPr>
        <w:t xml:space="preserve">Retry-After</w:t>
      </w:r>
      <w:r>
        <w:t xml:space="preserve"> </w:t>
      </w:r>
      <w:r>
        <w:t xml:space="preserve">tells it to back off. Your async worker and any agent will behave badly against the default.</w:t>
      </w:r>
    </w:p>
    <w:p>
      <w:pPr>
        <w:pStyle w:val="BodyText"/>
      </w:pPr>
      <w:r>
        <w:rPr>
          <w:bCs/>
          <w:b/>
        </w:rPr>
        <w:t xml:space="preserve">So do one of two things, and test it:</w:t>
      </w:r>
      <w:r>
        <w:t xml:space="preserve"> </w:t>
      </w:r>
      <w:r>
        <w:t xml:space="preserve">get the organisation property enabled, or add a FaultRule to the proxy that catches the quota and spike-arrest faults and returns 429 with a</w:t>
      </w:r>
      <w:r>
        <w:t xml:space="preserve"> </w:t>
      </w:r>
      <w:r>
        <w:rPr>
          <w:rStyle w:val="VerbatimChar"/>
        </w:rPr>
        <w:t xml:space="preserve">Retry-After</w:t>
      </w:r>
      <w:r>
        <w:t xml:space="preserve"> </w:t>
      </w:r>
      <w:r>
        <w:t xml:space="preserve">header. The FaultRule approach is under your control and does not depend on a support ticket, so prefer it.</w:t>
      </w:r>
    </w:p>
    <w:p>
      <w:pPr>
        <w:pStyle w:val="BodyText"/>
      </w:pPr>
      <w:r>
        <w:t xml:space="preserve">Note that</w:t>
      </w:r>
      <w:r>
        <w:t xml:space="preserve"> </w:t>
      </w:r>
      <w:r>
        <w:rPr>
          <w:rStyle w:val="VerbatimChar"/>
        </w:rPr>
        <w:t xml:space="preserve">LLMTokenQuota</w:t>
      </w:r>
      <w:r>
        <w:t xml:space="preserve"> </w:t>
      </w:r>
      <w:r>
        <w:t xml:space="preserve">does return 429 when its allowance is exhausted, so the AI token limits and the classic request limits behave differently by default. Do not assume one from the other.</w:t>
      </w:r>
    </w:p>
    <w:bookmarkEnd w:id="221"/>
    <w:bookmarkStart w:id="224" w:name="backup-and-restore-what-belongs-in-git"/>
    <w:p>
      <w:pPr>
        <w:pStyle w:val="Heading2"/>
      </w:pPr>
      <w:r>
        <w:t xml:space="preserve">22.13 Backup and restore — what belongs in Git</w:t>
      </w:r>
    </w:p>
    <w:p>
      <w:pPr>
        <w:pStyle w:val="FirstParagraph"/>
      </w:pPr>
      <w:r>
        <w:rPr>
          <w:bCs/>
          <w:b/>
        </w:rPr>
        <w:t xml:space="preserve">Short answer: yes, Apigee runtime configuration belongs in Git — but not the secrets inside it.</w:t>
      </w:r>
    </w:p>
    <w:p>
      <w:pPr>
        <w:pStyle w:val="BodyText"/>
      </w:pPr>
      <w:r>
        <w:t xml:space="preserve">The reasoning is not really about disaster recovery. Apigee is a managed service and Google is not going to lose your organisation. The reasons are:</w:t>
      </w:r>
    </w:p>
    <w:p>
      <w:pPr>
        <w:numPr>
          <w:ilvl w:val="0"/>
          <w:numId w:val="1033"/>
        </w:numPr>
        <w:pStyle w:val="Compact"/>
      </w:pPr>
      <w:r>
        <w:rPr>
          <w:bCs/>
          <w:b/>
        </w:rPr>
        <w:t xml:space="preserve">There is no Binary Authorization for proxies.</w:t>
      </w:r>
      <w:r>
        <w:t xml:space="preserve"> </w:t>
      </w:r>
      <w:r>
        <w:t xml:space="preserve">Container images are cryptographically attested; proxy bundles are not. Git</w:t>
      </w:r>
      <w:r>
        <w:t xml:space="preserve"> </w:t>
      </w:r>
      <w:r>
        <w:rPr>
          <w:iCs/>
          <w:i/>
        </w:rPr>
        <w:t xml:space="preserve">is</w:t>
      </w:r>
      <w:r>
        <w:t xml:space="preserve"> </w:t>
      </w:r>
      <w:r>
        <w:t xml:space="preserve">the control — it provides the review, the history and the</w:t>
      </w:r>
      <w:r>
        <w:t xml:space="preserve"> </w:t>
      </w:r>
      <w:r>
        <w:t xml:space="preserve">“</w:t>
      </w:r>
      <w:r>
        <w:t xml:space="preserve">who changed this</w:t>
      </w:r>
      <w:r>
        <w:t xml:space="preserve">”</w:t>
      </w:r>
      <w:r>
        <w:t xml:space="preserve"> </w:t>
      </w:r>
      <w:r>
        <w:t xml:space="preserve">that attestation gives you for containers.</w:t>
      </w:r>
    </w:p>
    <w:p>
      <w:pPr>
        <w:numPr>
          <w:ilvl w:val="0"/>
          <w:numId w:val="1033"/>
        </w:numPr>
        <w:pStyle w:val="Compact"/>
      </w:pPr>
      <w:r>
        <w:rPr>
          <w:bCs/>
          <w:b/>
        </w:rPr>
        <w:t xml:space="preserve">A quota is a financial control.</w:t>
      </w:r>
      <w:r>
        <w:t xml:space="preserve"> </w:t>
      </w:r>
      <w:r>
        <w:t xml:space="preserve">Someone raising</w:t>
      </w:r>
      <w:r>
        <w:t xml:space="preserve"> </w:t>
      </w:r>
      <w:r>
        <w:rPr>
          <w:rStyle w:val="VerbatimChar"/>
        </w:rPr>
        <w:t xml:space="preserve">llm_tokens_per_day</w:t>
      </w:r>
      <w:r>
        <w:t xml:space="preserve"> </w:t>
      </w:r>
      <w:r>
        <w:t xml:space="preserve">from 200,000 to 2,000,000 in the console is a cost decision with no review trail unless the product definition is in version control.</w:t>
      </w:r>
    </w:p>
    <w:p>
      <w:pPr>
        <w:numPr>
          <w:ilvl w:val="0"/>
          <w:numId w:val="1033"/>
        </w:numPr>
        <w:pStyle w:val="Compact"/>
      </w:pPr>
      <w:r>
        <w:rPr>
          <w:bCs/>
          <w:b/>
        </w:rPr>
        <w:t xml:space="preserve">Rebuilding from memory is worse than it sounds.</w:t>
      </w:r>
      <w:r>
        <w:t xml:space="preserve"> </w:t>
      </w:r>
      <w:r>
        <w:t xml:space="preserve">Key value maps, target servers, product attributes and app-to-product bindings are individually trivial and collectively impossible to reconstruct accurately.</w:t>
      </w:r>
    </w:p>
    <w:bookmarkStart w:id="222" w:name="what-goes-in-git"/>
    <w:p>
      <w:pPr>
        <w:pStyle w:val="Heading3"/>
      </w:pPr>
      <w:r>
        <w:t xml:space="preserve">What goes in Git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In Git?</w:t>
            </w:r>
          </w:p>
        </w:tc>
        <w:tc>
          <w:tcPr/>
          <w:p>
            <w:pPr>
              <w:pStyle w:val="Compact"/>
              <w:jc w:val="left"/>
            </w:pPr>
            <w:r>
              <w:t xml:space="preserve">Notes</w:t>
            </w:r>
          </w:p>
        </w:tc>
      </w:tr>
      <w:tr>
        <w:tc>
          <w:tcPr/>
          <w:p>
            <w:pPr>
              <w:pStyle w:val="Compact"/>
              <w:jc w:val="left"/>
            </w:pPr>
            <w:r>
              <w:t xml:space="preserve">Proxy bundles</w:t>
            </w:r>
          </w:p>
        </w:tc>
        <w:tc>
          <w:tcPr/>
          <w:p>
            <w:pPr>
              <w:pStyle w:val="Compact"/>
              <w:jc w:val="left"/>
            </w:pPr>
            <w:r>
              <w:rPr>
                <w:bCs/>
                <w:b/>
              </w:rPr>
              <w:t xml:space="preserve">Yes</w:t>
            </w:r>
          </w:p>
        </w:tc>
        <w:tc>
          <w:tcPr/>
          <w:p>
            <w:pPr>
              <w:pStyle w:val="Compact"/>
              <w:jc w:val="left"/>
            </w:pPr>
            <w:r>
              <w:t xml:space="preserve">They are code. Console editing disabled for humans</w:t>
            </w:r>
          </w:p>
        </w:tc>
      </w:tr>
      <w:tr>
        <w:tc>
          <w:tcPr/>
          <w:p>
            <w:pPr>
              <w:pStyle w:val="Compact"/>
              <w:jc w:val="left"/>
            </w:pPr>
            <w:r>
              <w:t xml:space="preserve">API products, including quota attributes</w:t>
            </w:r>
          </w:p>
        </w:tc>
        <w:tc>
          <w:tcPr/>
          <w:p>
            <w:pPr>
              <w:pStyle w:val="Compact"/>
              <w:jc w:val="left"/>
            </w:pPr>
            <w:r>
              <w:rPr>
                <w:bCs/>
                <w:b/>
              </w:rPr>
              <w:t xml:space="preserve">Yes</w:t>
            </w:r>
          </w:p>
        </w:tc>
        <w:tc>
          <w:tcPr/>
          <w:p>
            <w:pPr>
              <w:pStyle w:val="Compact"/>
              <w:jc w:val="left"/>
            </w:pPr>
            <w:r>
              <w:t xml:space="preserve">This is where the tier definitions live</w:t>
            </w:r>
          </w:p>
        </w:tc>
      </w:tr>
      <w:tr>
        <w:tc>
          <w:tcPr/>
          <w:p>
            <w:pPr>
              <w:pStyle w:val="Compact"/>
              <w:jc w:val="left"/>
            </w:pPr>
            <w:r>
              <w:t xml:space="preserve">Developer apps, the definitions</w:t>
            </w:r>
          </w:p>
        </w:tc>
        <w:tc>
          <w:tcPr/>
          <w:p>
            <w:pPr>
              <w:pStyle w:val="Compact"/>
              <w:jc w:val="left"/>
            </w:pPr>
            <w:r>
              <w:rPr>
                <w:bCs/>
                <w:b/>
              </w:rPr>
              <w:t xml:space="preserve">Yes</w:t>
            </w:r>
          </w:p>
        </w:tc>
        <w:tc>
          <w:tcPr/>
          <w:p>
            <w:pPr>
              <w:pStyle w:val="Compact"/>
              <w:jc w:val="left"/>
            </w:pPr>
            <w:r>
              <w:t xml:space="preserve">The app-to-product bindings</w:t>
            </w:r>
          </w:p>
        </w:tc>
      </w:tr>
      <w:tr>
        <w:tc>
          <w:tcPr/>
          <w:p>
            <w:pPr>
              <w:pStyle w:val="Compact"/>
              <w:jc w:val="left"/>
            </w:pPr>
            <w:r>
              <w:t xml:space="preserve">Key value maps, structure and non-secret values</w:t>
            </w:r>
          </w:p>
        </w:tc>
        <w:tc>
          <w:tcPr/>
          <w:p>
            <w:pPr>
              <w:pStyle w:val="Compact"/>
              <w:jc w:val="left"/>
            </w:pPr>
            <w:r>
              <w:rPr>
                <w:bCs/>
                <w:b/>
              </w:rPr>
              <w:t xml:space="preserve">Yes</w:t>
            </w:r>
          </w:p>
        </w:tc>
        <w:tc>
          <w:tcPr/>
          <w:p>
            <w:pPr>
              <w:pStyle w:val="Compact"/>
            </w:pPr>
          </w:p>
        </w:tc>
      </w:tr>
      <w:tr>
        <w:tc>
          <w:tcPr/>
          <w:p>
            <w:pPr>
              <w:pStyle w:val="Compact"/>
              <w:jc w:val="left"/>
            </w:pPr>
            <w:r>
              <w:t xml:space="preserve">Target servers</w:t>
            </w:r>
          </w:p>
        </w:tc>
        <w:tc>
          <w:tcPr/>
          <w:p>
            <w:pPr>
              <w:pStyle w:val="Compact"/>
              <w:jc w:val="left"/>
            </w:pPr>
            <w:r>
              <w:rPr>
                <w:bCs/>
                <w:b/>
              </w:rPr>
              <w:t xml:space="preserve">Yes</w:t>
            </w:r>
          </w:p>
        </w:tc>
        <w:tc>
          <w:tcPr/>
          <w:p>
            <w:pPr>
              <w:pStyle w:val="Compact"/>
            </w:pPr>
          </w:p>
        </w:tc>
      </w:tr>
      <w:tr>
        <w:tc>
          <w:tcPr/>
          <w:p>
            <w:pPr>
              <w:pStyle w:val="Compact"/>
              <w:jc w:val="left"/>
            </w:pPr>
            <w:r>
              <w:t xml:space="preserve">Environment and envgroup configuration</w:t>
            </w:r>
          </w:p>
        </w:tc>
        <w:tc>
          <w:tcPr/>
          <w:p>
            <w:pPr>
              <w:pStyle w:val="Compact"/>
              <w:jc w:val="left"/>
            </w:pPr>
            <w:r>
              <w:rPr>
                <w:bCs/>
                <w:b/>
              </w:rPr>
              <w:t xml:space="preserve">Yes</w:t>
            </w:r>
          </w:p>
        </w:tc>
        <w:tc>
          <w:tcPr/>
          <w:p>
            <w:pPr>
              <w:pStyle w:val="Compact"/>
            </w:pPr>
          </w:p>
        </w:tc>
      </w:tr>
      <w:tr>
        <w:tc>
          <w:tcPr/>
          <w:p>
            <w:pPr>
              <w:pStyle w:val="Compact"/>
              <w:jc w:val="left"/>
            </w:pPr>
            <w:r>
              <w:t xml:space="preserve">Keystore and truststore</w:t>
            </w:r>
            <w:r>
              <w:t xml:space="preserve"> </w:t>
            </w:r>
            <w:r>
              <w:rPr>
                <w:bCs/>
                <w:b/>
              </w:rPr>
              <w:t xml:space="preserve">configuration</w:t>
            </w:r>
          </w:p>
        </w:tc>
        <w:tc>
          <w:tcPr/>
          <w:p>
            <w:pPr>
              <w:pStyle w:val="Compact"/>
              <w:jc w:val="left"/>
            </w:pPr>
            <w:r>
              <w:rPr>
                <w:bCs/>
                <w:b/>
              </w:rPr>
              <w:t xml:space="preserve">Yes</w:t>
            </w:r>
          </w:p>
        </w:tc>
        <w:tc>
          <w:tcPr/>
          <w:p>
            <w:pPr>
              <w:pStyle w:val="Compact"/>
              <w:jc w:val="left"/>
            </w:pPr>
            <w:r>
              <w:t xml:space="preserve">The shape, not the contents</w:t>
            </w:r>
          </w:p>
        </w:tc>
      </w:tr>
      <w:tr>
        <w:tc>
          <w:tcPr/>
          <w:p>
            <w:pPr>
              <w:pStyle w:val="Compact"/>
              <w:jc w:val="left"/>
            </w:pPr>
            <w:r>
              <w:rPr>
                <w:bCs/>
                <w:b/>
              </w:rPr>
              <w:t xml:space="preserve">App credentials</w:t>
            </w:r>
            <w:r>
              <w:t xml:space="preserve"> </w:t>
            </w:r>
            <w:r>
              <w:t xml:space="preserve">— keys and secrets</w:t>
            </w:r>
          </w:p>
        </w:tc>
        <w:tc>
          <w:tcPr/>
          <w:p>
            <w:pPr>
              <w:pStyle w:val="Compact"/>
              <w:jc w:val="left"/>
            </w:pPr>
            <w:r>
              <w:rPr>
                <w:bCs/>
                <w:b/>
              </w:rPr>
              <w:t xml:space="preserve">No</w:t>
            </w:r>
          </w:p>
        </w:tc>
        <w:tc>
          <w:tcPr/>
          <w:p>
            <w:pPr>
              <w:pStyle w:val="Compact"/>
              <w:jc w:val="left"/>
            </w:pPr>
            <w:r>
              <w:t xml:space="preserve">Secret Manager. Git holds a reference, never a value</w:t>
            </w:r>
          </w:p>
        </w:tc>
      </w:tr>
      <w:tr>
        <w:tc>
          <w:tcPr/>
          <w:p>
            <w:pPr>
              <w:pStyle w:val="Compact"/>
              <w:jc w:val="left"/>
            </w:pPr>
            <w:r>
              <w:rPr>
                <w:bCs/>
                <w:b/>
              </w:rPr>
              <w:t xml:space="preserve">Encrypted KVM values</w:t>
            </w:r>
          </w:p>
        </w:tc>
        <w:tc>
          <w:tcPr/>
          <w:p>
            <w:pPr>
              <w:pStyle w:val="Compact"/>
              <w:jc w:val="left"/>
            </w:pPr>
            <w:r>
              <w:rPr>
                <w:bCs/>
                <w:b/>
              </w:rPr>
              <w:t xml:space="preserve">No</w:t>
            </w:r>
          </w:p>
        </w:tc>
        <w:tc>
          <w:tcPr/>
          <w:p>
            <w:pPr>
              <w:pStyle w:val="Compact"/>
              <w:jc w:val="left"/>
            </w:pPr>
            <w:r>
              <w:t xml:space="preserve">Same</w:t>
            </w:r>
          </w:p>
        </w:tc>
      </w:tr>
      <w:tr>
        <w:tc>
          <w:tcPr/>
          <w:p>
            <w:pPr>
              <w:pStyle w:val="Compact"/>
              <w:jc w:val="left"/>
            </w:pPr>
            <w:r>
              <w:rPr>
                <w:bCs/>
                <w:b/>
              </w:rPr>
              <w:t xml:space="preserve">Private key material</w:t>
            </w:r>
            <w:r>
              <w:t xml:space="preserve"> </w:t>
            </w:r>
            <w:r>
              <w:t xml:space="preserve">in keystores</w:t>
            </w:r>
          </w:p>
        </w:tc>
        <w:tc>
          <w:tcPr/>
          <w:p>
            <w:pPr>
              <w:pStyle w:val="Compact"/>
              <w:jc w:val="left"/>
            </w:pPr>
            <w:r>
              <w:rPr>
                <w:bCs/>
                <w:b/>
              </w:rPr>
              <w:t xml:space="preserve">No</w:t>
            </w:r>
          </w:p>
        </w:tc>
        <w:tc>
          <w:tcPr/>
          <w:p>
            <w:pPr>
              <w:pStyle w:val="Compact"/>
              <w:jc w:val="left"/>
            </w:pPr>
            <w:r>
              <w:t xml:space="preserve">Same</w:t>
            </w:r>
          </w:p>
        </w:tc>
      </w:tr>
    </w:tbl>
    <w:bookmarkEnd w:id="222"/>
    <w:bookmarkStart w:id="223" w:name="how"/>
    <w:p>
      <w:pPr>
        <w:pStyle w:val="Heading3"/>
      </w:pPr>
      <w:r>
        <w:t xml:space="preserve">How</w:t>
      </w:r>
    </w:p>
    <w:p>
      <w:pPr>
        <w:pStyle w:val="FirstParagraph"/>
      </w:pPr>
      <w:r>
        <w:t xml:space="preserve">Export declaratively with</w:t>
      </w:r>
      <w:r>
        <w:t xml:space="preserve"> </w:t>
      </w:r>
      <w:r>
        <w:rPr>
          <w:rStyle w:val="VerbatimChar"/>
        </w:rPr>
        <w:t xml:space="preserve">apigeecli</w:t>
      </w:r>
      <w:r>
        <w:t xml:space="preserve"> </w:t>
      </w:r>
      <w:r>
        <w:t xml:space="preserve">or the Apigee Maven plugin, commit the output, and have the pipeline apply it — the same pipeline and the same service account that deploys proxies (§22.10). Treat a console change as drift: something to detect and reconcile, not a legitimate way to work.</w:t>
      </w:r>
    </w:p>
    <w:p>
      <w:pPr>
        <w:pStyle w:val="BodyText"/>
      </w:pPr>
      <w:r>
        <w:rPr>
          <w:bCs/>
          <w:b/>
        </w:rPr>
        <w:t xml:space="preserve">Two things to schedule rather than assume:</w:t>
      </w:r>
      <w:r>
        <w:t xml:space="preserve"> </w:t>
      </w:r>
      <w:r>
        <w:t xml:space="preserve">an export job that runs even if nobody has changed anything, so drift surfaces; and a restore rehearsal into a scratch organisation at least once, because a backup nobody has restored is a hypothesis.</w:t>
      </w:r>
    </w:p>
    <w:bookmarkEnd w:id="223"/>
    <w:bookmarkEnd w:id="224"/>
    <w:bookmarkStart w:id="225" w:name="X1504e585a3129e2a3a3b5c51edeea4809d931cb"/>
    <w:p>
      <w:pPr>
        <w:pStyle w:val="Heading2"/>
      </w:pPr>
      <w:r>
        <w:t xml:space="preserve">22.12 Two more documented constraints worth designing around</w:t>
      </w:r>
    </w:p>
    <w:p>
      <w:pPr>
        <w:pStyle w:val="FirstParagraph"/>
      </w:pPr>
      <w:r>
        <w:rPr>
          <w:bCs/>
          <w:b/>
        </w:rPr>
        <w:t xml:space="preserve">Quota counters are per proxy, not per product.</w:t>
      </w:r>
      <w:r>
        <w:t xml:space="preserve"> </w:t>
      </w:r>
      <w:r>
        <w:t xml:space="preserve">Apigee’s documentation states that quotas apply to individual API proxies and are not distributed among them — three proxies in one API product do not share a single counter, even with identical policy configuration. Today the AI gateway is one proxy, so this is invisible. If you ever split it, the token budget silently triples.</w:t>
      </w:r>
    </w:p>
    <w:p>
      <w:pPr>
        <w:pStyle w:val="BodyText"/>
      </w:pPr>
      <w:r>
        <w:rPr>
          <w:bCs/>
          <w:b/>
        </w:rPr>
        <w:t xml:space="preserve">The</w:t>
      </w:r>
      <w:r>
        <w:rPr>
          <w:bCs/>
          <w:b/>
        </w:rPr>
        <w:t xml:space="preserve"> </w:t>
      </w:r>
      <w:r>
        <w:rPr>
          <w:rStyle w:val="VerbatimChar"/>
          <w:bCs/>
          <w:b/>
        </w:rPr>
        <w:t xml:space="preserve">second</w:t>
      </w:r>
      <w:r>
        <w:rPr>
          <w:bCs/>
          <w:b/>
        </w:rPr>
        <w:t xml:space="preserve"> </w:t>
      </w:r>
      <w:r>
        <w:rPr>
          <w:bCs/>
          <w:b/>
        </w:rPr>
        <w:t xml:space="preserve">time unit only works for non-distributed counters.</w:t>
      </w:r>
      <w:r>
        <w:t xml:space="preserve"> </w:t>
      </w:r>
      <w:r>
        <w:t xml:space="preserve">For anything sub-minute, Apigee’s own guidance is to use</w:t>
      </w:r>
      <w:r>
        <w:t xml:space="preserve"> </w:t>
      </w:r>
      <w:r>
        <w:rPr>
          <w:rStyle w:val="VerbatimChar"/>
        </w:rPr>
        <w:t xml:space="preserve">SpikeArrest</w:t>
      </w:r>
      <w:r>
        <w:t xml:space="preserve"> </w:t>
      </w:r>
      <w:r>
        <w:t xml:space="preserve">rather than a</w:t>
      </w:r>
      <w:r>
        <w:t xml:space="preserve"> </w:t>
      </w:r>
      <w:r>
        <w:rPr>
          <w:rStyle w:val="VerbatimChar"/>
        </w:rPr>
        <w:t xml:space="preserve">Quota</w:t>
      </w:r>
      <w:r>
        <w:t xml:space="preserve"> </w:t>
      </w:r>
      <w:r>
        <w:t xml:space="preserve">with a per-second interval.</w:t>
      </w:r>
    </w:p>
    <w:p>
      <w:r>
        <w:br w:type="page"/>
      </w:r>
    </w:p>
    <w:bookmarkEnd w:id="225"/>
    <w:bookmarkEnd w:id="226"/>
    <w:bookmarkStart w:id="232" w:name="part-23-monitoring-and-alerts"/>
    <w:p>
      <w:pPr>
        <w:pStyle w:val="Heading1"/>
      </w:pPr>
      <w:r>
        <w:t xml:space="preserve">Part 23 — Monitoring and alerts</w:t>
      </w:r>
    </w:p>
    <w:bookmarkStart w:id="227" w:name="what-this-is-19"/>
    <w:p>
      <w:pPr>
        <w:pStyle w:val="Heading2"/>
      </w:pPr>
      <w:r>
        <w:t xml:space="preserve">23.1 What this is</w:t>
      </w:r>
    </w:p>
    <w:p>
      <w:pPr>
        <w:pStyle w:val="FirstParagraph"/>
      </w:pPr>
      <w:r>
        <w:t xml:space="preserve">Alerts based on log entries. A</w:t>
      </w:r>
      <w:r>
        <w:t xml:space="preserve"> </w:t>
      </w:r>
      <w:r>
        <w:rPr>
          <w:bCs/>
          <w:b/>
        </w:rPr>
        <w:t xml:space="preserve">log-based metric</w:t>
      </w:r>
      <w:r>
        <w:t xml:space="preserve"> </w:t>
      </w:r>
      <w:r>
        <w:t xml:space="preserve">counts matching entries; an</w:t>
      </w:r>
      <w:r>
        <w:t xml:space="preserve"> </w:t>
      </w:r>
      <w:r>
        <w:rPr>
          <w:bCs/>
          <w:b/>
        </w:rPr>
        <w:t xml:space="preserve">alerting policy</w:t>
      </w:r>
      <w:r>
        <w:t xml:space="preserve"> </w:t>
      </w:r>
      <w:r>
        <w:t xml:space="preserve">notifies you when the count crosses a threshold.</w:t>
      </w:r>
    </w:p>
    <w:bookmarkEnd w:id="227"/>
    <w:bookmarkStart w:id="228" w:name="do-this-create-the-metrics"/>
    <w:p>
      <w:pPr>
        <w:pStyle w:val="Heading2"/>
      </w:pPr>
      <w:r>
        <w:t xml:space="preserve">23.2 Do this — create the metrics</w:t>
      </w:r>
    </w:p>
    <w:p>
      <w:pPr>
        <w:pStyle w:val="FirstParagraph"/>
      </w:pPr>
      <w:r>
        <w:rPr>
          <w:bCs/>
          <w:b/>
        </w:rPr>
        <w:t xml:space="preserve">Where:</w:t>
      </w:r>
      <w:r>
        <w:t xml:space="preserve"> </w:t>
      </w:r>
      <w:r>
        <w:rPr>
          <w:rStyle w:val="VerbatimChar"/>
        </w:rPr>
        <w:t xml:space="preserve">gclt-aicoe-dev-auditlogs</w:t>
      </w:r>
      <w:r>
        <w:t xml:space="preserve"> </w:t>
      </w:r>
      <w:r>
        <w:t xml:space="preserve">→</w:t>
      </w:r>
      <w:r>
        <w:t xml:space="preserve"> </w:t>
      </w:r>
      <w:r>
        <w:rPr>
          <w:bCs/>
          <w:b/>
        </w:rPr>
        <w:t xml:space="preserve">Logging</w:t>
      </w:r>
      <w:r>
        <w:t xml:space="preserve"> </w:t>
      </w:r>
      <w:r>
        <w:t xml:space="preserve">→</w:t>
      </w:r>
      <w:r>
        <w:t xml:space="preserve"> </w:t>
      </w:r>
      <w:r>
        <w:rPr>
          <w:bCs/>
          <w:b/>
        </w:rPr>
        <w:t xml:space="preserve">Log-based Metrics</w:t>
      </w:r>
      <w:r>
        <w:t xml:space="preserve"> </w:t>
      </w:r>
      <w:r>
        <w:t xml:space="preserve">→</w:t>
      </w:r>
      <w:r>
        <w:t xml:space="preserve"> </w:t>
      </w:r>
      <w:r>
        <w:rPr>
          <w:bCs/>
          <w:b/>
        </w:rPr>
        <w:t xml:space="preserve">CREATE METRIC</w:t>
      </w:r>
      <w:r>
        <w:t xml:space="preserve">. Type</w:t>
      </w:r>
      <w:r>
        <w:t xml:space="preserve"> </w:t>
      </w:r>
      <w:r>
        <w:rPr>
          <w:bCs/>
          <w:b/>
        </w:rPr>
        <w:t xml:space="preserve">Counter</w:t>
      </w:r>
      <w:r>
        <w:t xml:space="preserve"> </w:t>
      </w:r>
      <w:r>
        <w:t xml:space="preserve">for each.</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 name</w:t>
            </w:r>
          </w:p>
        </w:tc>
        <w:tc>
          <w:tcPr/>
          <w:p>
            <w:pPr>
              <w:pStyle w:val="Compact"/>
              <w:jc w:val="left"/>
            </w:pPr>
            <w:r>
              <w:t xml:space="preserve">Filter</w:t>
            </w:r>
          </w:p>
        </w:tc>
      </w:tr>
      <w:tr>
        <w:tc>
          <w:tcPr/>
          <w:p>
            <w:pPr>
              <w:pStyle w:val="Compact"/>
              <w:jc w:val="left"/>
            </w:pPr>
            <w:r>
              <w:rPr>
                <w:rStyle w:val="VerbatimChar"/>
              </w:rPr>
              <w:t xml:space="preserve">breakglass-used</w:t>
            </w:r>
          </w:p>
        </w:tc>
        <w:tc>
          <w:tcPr/>
          <w:p>
            <w:pPr>
              <w:pStyle w:val="Compact"/>
              <w:jc w:val="left"/>
            </w:pPr>
            <w:r>
              <w:rPr>
                <w:rStyle w:val="VerbatimChar"/>
              </w:rPr>
              <w:t xml:space="preserve">protoPayload.authenticationInfo.principalEmail="llm-breakglass@gclt-aicoe-dev-llm.iam.gserviceaccount.com"</w:t>
            </w:r>
          </w:p>
        </w:tc>
      </w:tr>
      <w:tr>
        <w:tc>
          <w:tcPr/>
          <w:p>
            <w:pPr>
              <w:pStyle w:val="Compact"/>
              <w:jc w:val="left"/>
            </w:pPr>
            <w:r>
              <w:rPr>
                <w:rStyle w:val="VerbatimChar"/>
              </w:rPr>
              <w:t xml:space="preserve">apigee-deploy-by-human</w:t>
            </w:r>
          </w:p>
        </w:tc>
        <w:tc>
          <w:tcPr/>
          <w:p>
            <w:pPr>
              <w:pStyle w:val="Compact"/>
              <w:jc w:val="left"/>
            </w:pPr>
            <w:r>
              <w:rPr>
                <w:rStyle w:val="VerbatimChar"/>
              </w:rPr>
              <w:t xml:space="preserve">protoPayload.serviceName="apigee.googleapis.com" AND protoPayload.methodName:"deploy" AND NOT protoPayload.authenticationInfo.principalEmail:"tf-deployer"</w:t>
            </w:r>
          </w:p>
        </w:tc>
      </w:tr>
      <w:tr>
        <w:tc>
          <w:tcPr/>
          <w:p>
            <w:pPr>
              <w:pStyle w:val="Compact"/>
              <w:jc w:val="left"/>
            </w:pPr>
            <w:r>
              <w:rPr>
                <w:rStyle w:val="VerbatimChar"/>
              </w:rPr>
              <w:t xml:space="preserve">iap-denied</w:t>
            </w:r>
          </w:p>
        </w:tc>
        <w:tc>
          <w:tcPr/>
          <w:p>
            <w:pPr>
              <w:pStyle w:val="Compact"/>
              <w:jc w:val="left"/>
            </w:pPr>
            <w:r>
              <w:rPr>
                <w:rStyle w:val="VerbatimChar"/>
              </w:rPr>
              <w:t xml:space="preserve">protoPayload.serviceName="iap.googleapis.com" AND protoPayload.status.code!=0</w:t>
            </w:r>
          </w:p>
        </w:tc>
      </w:tr>
      <w:tr>
        <w:tc>
          <w:tcPr/>
          <w:p>
            <w:pPr>
              <w:pStyle w:val="Compact"/>
              <w:jc w:val="left"/>
            </w:pPr>
            <w:r>
              <w:rPr>
                <w:rStyle w:val="VerbatimChar"/>
              </w:rPr>
              <w:t xml:space="preserve">zpa-range-denied</w:t>
            </w:r>
          </w:p>
        </w:tc>
        <w:tc>
          <w:tcPr/>
          <w:p>
            <w:pPr>
              <w:pStyle w:val="Compact"/>
              <w:jc w:val="left"/>
            </w:pPr>
            <w:r>
              <w:rPr>
                <w:rStyle w:val="VerbatimChar"/>
              </w:rPr>
              <w:t xml:space="preserve">jsonPayload.connection.src_ip:"10.100.209." AND jsonPayload.disposition="DENIED"</w:t>
            </w:r>
          </w:p>
        </w:tc>
      </w:tr>
      <w:tr>
        <w:tc>
          <w:tcPr/>
          <w:p>
            <w:pPr>
              <w:pStyle w:val="Compact"/>
              <w:jc w:val="left"/>
            </w:pPr>
            <w:r>
              <w:rPr>
                <w:rStyle w:val="VerbatimChar"/>
              </w:rPr>
              <w:t xml:space="preserve">sa-key-attempt</w:t>
            </w:r>
          </w:p>
        </w:tc>
        <w:tc>
          <w:tcPr/>
          <w:p>
            <w:pPr>
              <w:pStyle w:val="Compact"/>
              <w:jc w:val="left"/>
            </w:pPr>
            <w:r>
              <w:rPr>
                <w:rStyle w:val="VerbatimChar"/>
              </w:rPr>
              <w:t xml:space="preserve">protoPayload.methodName="google.iam.admin.v1.CreateServiceAccountKey"</w:t>
            </w:r>
          </w:p>
        </w:tc>
      </w:tr>
      <w:tr>
        <w:tc>
          <w:tcPr/>
          <w:p>
            <w:pPr>
              <w:pStyle w:val="Compact"/>
              <w:jc w:val="left"/>
            </w:pPr>
            <w:r>
              <w:rPr>
                <w:rStyle w:val="VerbatimChar"/>
              </w:rPr>
              <w:t xml:space="preserve">vector-index-change</w:t>
            </w:r>
          </w:p>
        </w:tc>
        <w:tc>
          <w:tcPr/>
          <w:p>
            <w:pPr>
              <w:pStyle w:val="Compact"/>
              <w:jc w:val="left"/>
            </w:pPr>
            <w:r>
              <w:rPr>
                <w:rStyle w:val="VerbatimChar"/>
              </w:rPr>
              <w:t xml:space="preserve">protoPayload.methodName:("DeployIndex" OR "UndeployIndex")</w:t>
            </w:r>
          </w:p>
        </w:tc>
      </w:tr>
      <w:tr>
        <w:tc>
          <w:tcPr/>
          <w:p>
            <w:pPr>
              <w:pStyle w:val="Compact"/>
              <w:jc w:val="left"/>
            </w:pPr>
            <w:r>
              <w:rPr>
                <w:rStyle w:val="VerbatimChar"/>
              </w:rPr>
              <w:t xml:space="preserve">audit-config-change</w:t>
            </w:r>
          </w:p>
        </w:tc>
        <w:tc>
          <w:tcPr/>
          <w:p>
            <w:pPr>
              <w:pStyle w:val="Compact"/>
              <w:jc w:val="left"/>
            </w:pPr>
            <w:r>
              <w:rPr>
                <w:rStyle w:val="VerbatimChar"/>
              </w:rPr>
              <w:t xml:space="preserve">protoPayload.methodName:"SetIamPolicy" AND protoPayload.serviceData.policyDelta.auditConfigDeltas:*</w:t>
            </w:r>
          </w:p>
        </w:tc>
      </w:tr>
      <w:tr>
        <w:tc>
          <w:tcPr/>
          <w:p>
            <w:pPr>
              <w:pStyle w:val="Compact"/>
              <w:jc w:val="left"/>
            </w:pPr>
            <w:r>
              <w:rPr>
                <w:rStyle w:val="VerbatimChar"/>
              </w:rPr>
              <w:t xml:space="preserve">rate-limit-429</w:t>
            </w:r>
          </w:p>
        </w:tc>
        <w:tc>
          <w:tcPr/>
          <w:p>
            <w:pPr>
              <w:pStyle w:val="Compact"/>
              <w:jc w:val="left"/>
            </w:pPr>
            <w:r>
              <w:rPr>
                <w:rStyle w:val="VerbatimChar"/>
              </w:rPr>
              <w:t xml:space="preserve">resource.type="apigee.googleapis.com/Environment" AND httpRequest.status=429</w:t>
            </w:r>
          </w:p>
        </w:tc>
      </w:tr>
    </w:tbl>
    <w:bookmarkEnd w:id="228"/>
    <w:bookmarkStart w:id="229" w:name="do-this-create-the-alerting-policies"/>
    <w:p>
      <w:pPr>
        <w:pStyle w:val="Heading2"/>
      </w:pPr>
      <w:r>
        <w:t xml:space="preserve">23.3 Do this — create the alerting policies</w:t>
      </w:r>
    </w:p>
    <w:p>
      <w:pPr>
        <w:pStyle w:val="FirstParagraph"/>
      </w:pPr>
      <w:r>
        <w:rPr>
          <w:bCs/>
          <w:b/>
        </w:rPr>
        <w:t xml:space="preserve">Where:</w:t>
      </w:r>
      <w:r>
        <w:t xml:space="preserve"> </w:t>
      </w:r>
      <w:r>
        <w:rPr>
          <w:bCs/>
          <w:b/>
        </w:rPr>
        <w:t xml:space="preserve">Monitoring</w:t>
      </w:r>
      <w:r>
        <w:t xml:space="preserve"> </w:t>
      </w:r>
      <w:r>
        <w:t xml:space="preserve">→</w:t>
      </w:r>
      <w:r>
        <w:t xml:space="preserve"> </w:t>
      </w:r>
      <w:r>
        <w:rPr>
          <w:bCs/>
          <w:b/>
        </w:rPr>
        <w:t xml:space="preserve">Alerting</w:t>
      </w:r>
      <w:r>
        <w:t xml:space="preserve"> </w:t>
      </w:r>
      <w:r>
        <w:t xml:space="preserve">→</w:t>
      </w:r>
      <w:r>
        <w:t xml:space="preserve"> </w:t>
      </w:r>
      <w:r>
        <w:rPr>
          <w:bCs/>
          <w:b/>
        </w:rPr>
        <w:t xml:space="preserve">CREATE POLICY</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Alert</w:t>
            </w:r>
          </w:p>
        </w:tc>
        <w:tc>
          <w:tcPr/>
          <w:p>
            <w:pPr>
              <w:pStyle w:val="Compact"/>
              <w:jc w:val="left"/>
            </w:pPr>
            <w:r>
              <w:t xml:space="preserve">Condition</w:t>
            </w:r>
          </w:p>
        </w:tc>
        <w:tc>
          <w:tcPr/>
          <w:p>
            <w:pPr>
              <w:pStyle w:val="Compact"/>
              <w:jc w:val="left"/>
            </w:pPr>
            <w:r>
              <w:t xml:space="preserve">Urgency</w:t>
            </w:r>
          </w:p>
        </w:tc>
      </w:tr>
      <w:tr>
        <w:tc>
          <w:tcPr/>
          <w:p>
            <w:pPr>
              <w:pStyle w:val="Compact"/>
              <w:jc w:val="left"/>
            </w:pPr>
            <w:r>
              <w:t xml:space="preserve">Break-glass used</w:t>
            </w:r>
          </w:p>
        </w:tc>
        <w:tc>
          <w:tcPr/>
          <w:p>
            <w:pPr>
              <w:pStyle w:val="Compact"/>
              <w:jc w:val="left"/>
            </w:pPr>
            <w:r>
              <w:t xml:space="preserve">any occurrence</w:t>
            </w:r>
          </w:p>
        </w:tc>
        <w:tc>
          <w:tcPr/>
          <w:p>
            <w:pPr>
              <w:pStyle w:val="Compact"/>
              <w:jc w:val="left"/>
            </w:pPr>
            <w:r>
              <w:t xml:space="preserve">immediate</w:t>
            </w:r>
          </w:p>
        </w:tc>
      </w:tr>
      <w:tr>
        <w:tc>
          <w:tcPr/>
          <w:p>
            <w:pPr>
              <w:pStyle w:val="Compact"/>
              <w:jc w:val="left"/>
            </w:pPr>
            <w:r>
              <w:t xml:space="preserve">Apigee deployed by a human</w:t>
            </w:r>
          </w:p>
        </w:tc>
        <w:tc>
          <w:tcPr/>
          <w:p>
            <w:pPr>
              <w:pStyle w:val="Compact"/>
              <w:jc w:val="left"/>
            </w:pPr>
            <w:r>
              <w:t xml:space="preserve">any occurrence</w:t>
            </w:r>
          </w:p>
        </w:tc>
        <w:tc>
          <w:tcPr/>
          <w:p>
            <w:pPr>
              <w:pStyle w:val="Compact"/>
              <w:jc w:val="left"/>
            </w:pPr>
            <w:r>
              <w:t xml:space="preserve">immediate</w:t>
            </w:r>
          </w:p>
        </w:tc>
      </w:tr>
      <w:tr>
        <w:tc>
          <w:tcPr/>
          <w:p>
            <w:pPr>
              <w:pStyle w:val="Compact"/>
              <w:jc w:val="left"/>
            </w:pPr>
            <w:r>
              <w:t xml:space="preserve">Service account key attempted</w:t>
            </w:r>
          </w:p>
        </w:tc>
        <w:tc>
          <w:tcPr/>
          <w:p>
            <w:pPr>
              <w:pStyle w:val="Compact"/>
              <w:jc w:val="left"/>
            </w:pPr>
            <w:r>
              <w:t xml:space="preserve">any occurrence</w:t>
            </w:r>
          </w:p>
        </w:tc>
        <w:tc>
          <w:tcPr/>
          <w:p>
            <w:pPr>
              <w:pStyle w:val="Compact"/>
              <w:jc w:val="left"/>
            </w:pPr>
            <w:r>
              <w:t xml:space="preserve">immediate</w:t>
            </w:r>
          </w:p>
        </w:tc>
      </w:tr>
      <w:tr>
        <w:tc>
          <w:tcPr/>
          <w:p>
            <w:pPr>
              <w:pStyle w:val="Compact"/>
              <w:jc w:val="left"/>
            </w:pPr>
            <w:r>
              <w:t xml:space="preserve">Audit config changed</w:t>
            </w:r>
          </w:p>
        </w:tc>
        <w:tc>
          <w:tcPr/>
          <w:p>
            <w:pPr>
              <w:pStyle w:val="Compact"/>
              <w:jc w:val="left"/>
            </w:pPr>
            <w:r>
              <w:t xml:space="preserve">any occurrence</w:t>
            </w:r>
          </w:p>
        </w:tc>
        <w:tc>
          <w:tcPr/>
          <w:p>
            <w:pPr>
              <w:pStyle w:val="Compact"/>
              <w:jc w:val="left"/>
            </w:pPr>
            <w:r>
              <w:t xml:space="preserve">immediate — this is how an attacker goes quiet</w:t>
            </w:r>
          </w:p>
        </w:tc>
      </w:tr>
      <w:tr>
        <w:tc>
          <w:tcPr/>
          <w:p>
            <w:pPr>
              <w:pStyle w:val="Compact"/>
              <w:jc w:val="left"/>
            </w:pPr>
            <w:r>
              <w:t xml:space="preserve">ZPA range denied</w:t>
            </w:r>
          </w:p>
        </w:tc>
        <w:tc>
          <w:tcPr/>
          <w:p>
            <w:pPr>
              <w:pStyle w:val="Compact"/>
              <w:jc w:val="left"/>
            </w:pPr>
            <w:r>
              <w:t xml:space="preserve">more than 5 in 5 minutes</w:t>
            </w:r>
          </w:p>
        </w:tc>
        <w:tc>
          <w:tcPr/>
          <w:p>
            <w:pPr>
              <w:pStyle w:val="Compact"/>
              <w:jc w:val="left"/>
            </w:pPr>
            <w:r>
              <w:t xml:space="preserve">high — usually means the connector addresses changed</w:t>
            </w:r>
          </w:p>
        </w:tc>
      </w:tr>
      <w:tr>
        <w:tc>
          <w:tcPr/>
          <w:p>
            <w:pPr>
              <w:pStyle w:val="Compact"/>
              <w:jc w:val="left"/>
            </w:pPr>
            <w:r>
              <w:t xml:space="preserve">Vector index changed</w:t>
            </w:r>
          </w:p>
        </w:tc>
        <w:tc>
          <w:tcPr/>
          <w:p>
            <w:pPr>
              <w:pStyle w:val="Compact"/>
              <w:jc w:val="left"/>
            </w:pPr>
            <w:r>
              <w:t xml:space="preserve">any occurrence</w:t>
            </w:r>
          </w:p>
        </w:tc>
        <w:tc>
          <w:tcPr/>
          <w:p>
            <w:pPr>
              <w:pStyle w:val="Compact"/>
              <w:jc w:val="left"/>
            </w:pPr>
            <w:r>
              <w:t xml:space="preserve">medium</w:t>
            </w:r>
          </w:p>
        </w:tc>
      </w:tr>
      <w:tr>
        <w:tc>
          <w:tcPr/>
          <w:p>
            <w:pPr>
              <w:pStyle w:val="Compact"/>
              <w:jc w:val="left"/>
            </w:pPr>
            <w:r>
              <w:t xml:space="preserve">429 rate</w:t>
            </w:r>
          </w:p>
        </w:tc>
        <w:tc>
          <w:tcPr/>
          <w:p>
            <w:pPr>
              <w:pStyle w:val="Compact"/>
              <w:jc w:val="left"/>
            </w:pPr>
            <w:r>
              <w:t xml:space="preserve">sustained increase per business unit</w:t>
            </w:r>
          </w:p>
        </w:tc>
        <w:tc>
          <w:tcPr/>
          <w:p>
            <w:pPr>
              <w:pStyle w:val="Compact"/>
              <w:jc w:val="left"/>
            </w:pPr>
            <w:r>
              <w:t xml:space="preserve">medium</w:t>
            </w:r>
          </w:p>
        </w:tc>
      </w:tr>
      <w:tr>
        <w:tc>
          <w:tcPr/>
          <w:p>
            <w:pPr>
              <w:pStyle w:val="Compact"/>
              <w:jc w:val="left"/>
            </w:pPr>
            <w:r>
              <w:t xml:space="preserve">Certificate expiry</w:t>
            </w:r>
          </w:p>
        </w:tc>
        <w:tc>
          <w:tcPr/>
          <w:p>
            <w:pPr>
              <w:pStyle w:val="Compact"/>
              <w:jc w:val="left"/>
            </w:pPr>
            <w:r>
              <w:t xml:space="preserve">30 days before</w:t>
            </w:r>
          </w:p>
        </w:tc>
        <w:tc>
          <w:tcPr/>
          <w:p>
            <w:pPr>
              <w:pStyle w:val="Compact"/>
              <w:jc w:val="left"/>
            </w:pPr>
            <w:r>
              <w:t xml:space="preserve">high</w:t>
            </w:r>
          </w:p>
        </w:tc>
      </w:tr>
    </w:tbl>
    <w:p>
      <w:pPr>
        <w:pStyle w:val="BodyText"/>
      </w:pPr>
      <w:r>
        <w:t xml:space="preserve">Set a notification channel — email at minimum, ideally the team’s chat.</w:t>
      </w:r>
    </w:p>
    <w:bookmarkEnd w:id="229"/>
    <w:bookmarkStart w:id="230" w:name="do-this-a-synthetic-check"/>
    <w:p>
      <w:pPr>
        <w:pStyle w:val="Heading2"/>
      </w:pPr>
      <w:r>
        <w:t xml:space="preserve">23.4 Do this — a synthetic check</w:t>
      </w:r>
    </w:p>
    <w:p>
      <w:pPr>
        <w:pStyle w:val="FirstParagraph"/>
      </w:pPr>
      <w:r>
        <w:rPr>
          <w:bCs/>
          <w:b/>
        </w:rPr>
        <w:t xml:space="preserve">Where:</w:t>
      </w:r>
      <w:r>
        <w:t xml:space="preserve"> </w:t>
      </w:r>
      <w:r>
        <w:rPr>
          <w:bCs/>
          <w:b/>
        </w:rPr>
        <w:t xml:space="preserve">Monitoring</w:t>
      </w:r>
      <w:r>
        <w:t xml:space="preserve"> </w:t>
      </w:r>
      <w:r>
        <w:t xml:space="preserve">→</w:t>
      </w:r>
      <w:r>
        <w:t xml:space="preserve"> </w:t>
      </w:r>
      <w:r>
        <w:rPr>
          <w:bCs/>
          <w:b/>
        </w:rPr>
        <w:t xml:space="preserve">Uptime checks</w:t>
      </w:r>
      <w:r>
        <w:t xml:space="preserve">.</w:t>
      </w:r>
    </w:p>
    <w:p>
      <w:pPr>
        <w:pStyle w:val="BodyText"/>
      </w:pPr>
      <w:r>
        <w:t xml:space="preserve">An internal address cannot be checked from Google’s public probes. Instead, schedule a small job that calls the health endpoint through the full path — ZPA to load balancer to gateway to service — and alert if it fails. Testing the whole chain is the point; testing Cloud Run directly proves nothing about the parts in between.</w:t>
      </w:r>
    </w:p>
    <w:bookmarkEnd w:id="230"/>
    <w:bookmarkStart w:id="231" w:name="watch-out-21"/>
    <w:p>
      <w:pPr>
        <w:pStyle w:val="Heading2"/>
      </w:pPr>
      <w:r>
        <w:t xml:space="preserve">23.5 Watch out</w:t>
      </w:r>
    </w:p>
    <w:p>
      <w:pPr>
        <w:pStyle w:val="FirstParagraph"/>
      </w:pPr>
      <w:r>
        <w:t xml:space="preserve">An alert nobody reads is worse than no alert, because it creates false confidence. Pick a real destination and agree who acts on each one.</w:t>
      </w:r>
    </w:p>
    <w:p>
      <w:r>
        <w:br w:type="page"/>
      </w:r>
    </w:p>
    <w:bookmarkEnd w:id="231"/>
    <w:bookmarkEnd w:id="232"/>
    <w:bookmarkStart w:id="238" w:name="part-24-end-to-end-verification"/>
    <w:p>
      <w:pPr>
        <w:pStyle w:val="Heading1"/>
      </w:pPr>
      <w:r>
        <w:t xml:space="preserve">Part 24 — End-to-end verification</w:t>
      </w:r>
    </w:p>
    <w:p>
      <w:pPr>
        <w:pStyle w:val="FirstParagraph"/>
      </w:pPr>
      <w:r>
        <w:t xml:space="preserve">Work down the list. Each step assumes the previous one passed.</w:t>
      </w:r>
    </w:p>
    <w:bookmarkStart w:id="233" w:name="network"/>
    <w:p>
      <w:pPr>
        <w:pStyle w:val="Heading2"/>
      </w:pPr>
      <w:r>
        <w:t xml:space="preserve">24.1 Network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w:t>
            </w:r>
          </w:p>
        </w:tc>
      </w:tr>
      <w:tr>
        <w:tc>
          <w:tcPr/>
          <w:p>
            <w:pPr>
              <w:pStyle w:val="Compact"/>
              <w:jc w:val="left"/>
            </w:pPr>
            <w:r>
              <w:t xml:space="preserve">1</w:t>
            </w:r>
          </w:p>
        </w:tc>
        <w:tc>
          <w:tcPr/>
          <w:p>
            <w:pPr>
              <w:pStyle w:val="Compact"/>
              <w:jc w:val="left"/>
            </w:pPr>
            <w:r>
              <w:t xml:space="preserve">From a ZPA-connected laptop:</w:t>
            </w:r>
            <w:r>
              <w:t xml:space="preserve"> </w:t>
            </w:r>
            <w:r>
              <w:rPr>
                <w:rStyle w:val="VerbatimChar"/>
              </w:rPr>
              <w:t xml:space="preserve">nc -zv 10.110.73.20 443</w:t>
            </w:r>
          </w:p>
        </w:tc>
        <w:tc>
          <w:tcPr/>
          <w:p>
            <w:pPr>
              <w:pStyle w:val="Compact"/>
              <w:jc w:val="left"/>
            </w:pPr>
            <w:r>
              <w:t xml:space="preserve">connects</w:t>
            </w:r>
          </w:p>
        </w:tc>
      </w:tr>
      <w:tr>
        <w:tc>
          <w:tcPr/>
          <w:p>
            <w:pPr>
              <w:pStyle w:val="Compact"/>
              <w:jc w:val="left"/>
            </w:pPr>
            <w:r>
              <w:t xml:space="preserve">2</w:t>
            </w:r>
          </w:p>
        </w:tc>
        <w:tc>
          <w:tcPr/>
          <w:p>
            <w:pPr>
              <w:pStyle w:val="Compact"/>
              <w:jc w:val="left"/>
            </w:pPr>
            <w:r>
              <w:t xml:space="preserve">From a Cloud Run service, resolve</w:t>
            </w:r>
            <w:r>
              <w:t xml:space="preserve"> </w:t>
            </w:r>
            <w:r>
              <w:rPr>
                <w:rStyle w:val="VerbatimChar"/>
              </w:rPr>
              <w:t xml:space="preserve">storage.googleapis.com</w:t>
            </w:r>
          </w:p>
        </w:tc>
        <w:tc>
          <w:tcPr/>
          <w:p>
            <w:pPr>
              <w:pStyle w:val="Compact"/>
              <w:jc w:val="left"/>
            </w:pPr>
            <w:r>
              <w:t>answers 192.168.6.164</w:t>
            </w:r>
            <w:r/>
            <w:r>
              <w:rPr>
                <w:rStyle w:val="VerbatimChar"/>
              </w:rPr>
            </w:r>
          </w:p>
        </w:tc>
      </w:tr>
      <w:tr>
        <w:tc>
          <w:tcPr/>
          <w:p>
            <w:pPr>
              <w:pStyle w:val="Compact"/>
              <w:jc w:val="left"/>
            </w:pPr>
            <w:r>
              <w:t xml:space="preserve">3</w:t>
            </w:r>
          </w:p>
        </w:tc>
        <w:tc>
          <w:tcPr/>
          <w:p>
            <w:pPr>
              <w:pStyle w:val="Compact"/>
              <w:jc w:val="left"/>
            </w:pPr>
            <w:r>
              <w:t xml:space="preserve">From a Cloud Run service, reach any public internet address</w:t>
            </w:r>
          </w:p>
        </w:tc>
        <w:tc>
          <w:tcPr/>
          <w:p>
            <w:pPr>
              <w:pStyle w:val="Compact"/>
              <w:jc w:val="left"/>
            </w:pPr>
            <w:r>
              <w:rPr>
                <w:bCs/>
                <w:b/>
              </w:rPr>
              <w:t xml:space="preserve">fails</w:t>
            </w:r>
            <w:r>
              <w:t xml:space="preserve"> </w:t>
            </w:r>
            <w:r>
              <w:t xml:space="preserve">— egress deny is working</w:t>
            </w:r>
          </w:p>
        </w:tc>
      </w:tr>
      <w:tr>
        <w:tc>
          <w:tcPr/>
          <w:p>
            <w:pPr>
              <w:pStyle w:val="Compact"/>
              <w:jc w:val="left"/>
            </w:pPr>
            <w:r>
              <w:t xml:space="preserve">4</w:t>
            </w:r>
          </w:p>
        </w:tc>
        <w:tc>
          <w:tcPr/>
          <w:p>
            <w:pPr>
              <w:pStyle w:val="Compact"/>
              <w:jc w:val="left"/>
            </w:pPr>
            <w:r>
              <w:t xml:space="preserve">Check the Cloud Run subnet address usage during a deployment</w:t>
            </w:r>
          </w:p>
        </w:tc>
        <w:tc>
          <w:tcPr/>
          <w:p>
            <w:pPr>
              <w:pStyle w:val="Compact"/>
              <w:jc w:val="left"/>
            </w:pPr>
            <w:r>
              <w:t>stays well under 508</w:t>
            </w:r>
          </w:p>
        </w:tc>
      </w:tr>
    </w:tbl>
    <w:bookmarkEnd w:id="233"/>
    <w:bookmarkStart w:id="234" w:name="identity"/>
    <w:p>
      <w:pPr>
        <w:pStyle w:val="Heading2"/>
      </w:pPr>
      <w:r>
        <w:t xml:space="preserve">24.2 Identity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w:t>
            </w:r>
          </w:p>
        </w:tc>
      </w:tr>
      <w:tr>
        <w:tc>
          <w:tcPr/>
          <w:p>
            <w:pPr>
              <w:pStyle w:val="Compact"/>
              <w:jc w:val="left"/>
            </w:pPr>
            <w:r>
              <w:t xml:space="preserve">5</w:t>
            </w:r>
          </w:p>
        </w:tc>
        <w:tc>
          <w:tcPr/>
          <w:p>
            <w:pPr>
              <w:pStyle w:val="Compact"/>
              <w:jc w:val="left"/>
            </w:pPr>
            <w:r>
              <w:t xml:space="preserve">Browse to</w:t>
            </w:r>
            <w:r>
              <w:t xml:space="preserve"> </w:t>
            </w:r>
            <w:r>
              <w:rPr>
                <w:rStyle w:val="VerbatimChar"/>
              </w:rPr>
              <w:t xml:space="preserve">https://aihub.aicoe-dev-int.colt.net</w:t>
            </w:r>
          </w:p>
        </w:tc>
        <w:tc>
          <w:tcPr/>
          <w:p>
            <w:pPr>
              <w:pStyle w:val="Compact"/>
              <w:jc w:val="left"/>
            </w:pPr>
            <w:r>
              <w:t xml:space="preserve">redirected to Entra, one interactive login, then the interface loads</w:t>
            </w:r>
          </w:p>
        </w:tc>
      </w:tr>
      <w:tr>
        <w:tc>
          <w:tcPr/>
          <w:p>
            <w:pPr>
              <w:pStyle w:val="Compact"/>
              <w:jc w:val="left"/>
            </w:pPr>
            <w:r>
              <w:t xml:space="preserve">5b</w:t>
            </w:r>
          </w:p>
        </w:tc>
        <w:tc>
          <w:tcPr/>
          <w:p>
            <w:pPr>
              <w:pStyle w:val="Compact"/>
              <w:jc w:val="left"/>
            </w:pPr>
            <w:r>
              <w:t xml:space="preserve">Count credential prompts during a full session including a token refresh</w:t>
            </w:r>
          </w:p>
        </w:tc>
        <w:tc>
          <w:tcPr/>
          <w:p>
            <w:pPr>
              <w:pStyle w:val="Compact"/>
              <w:jc w:val="left"/>
            </w:pPr>
            <w:r>
              <w:rPr>
                <w:bCs/>
                <w:b/>
              </w:rPr>
              <w:t xml:space="preserve">exactly one</w:t>
            </w:r>
          </w:p>
        </w:tc>
      </w:tr>
      <w:tr>
        <w:tc>
          <w:tcPr/>
          <w:p>
            <w:pPr>
              <w:pStyle w:val="Compact"/>
              <w:jc w:val="left"/>
            </w:pPr>
            <w:r>
              <w:t xml:space="preserve">5c</w:t>
            </w:r>
          </w:p>
        </w:tc>
        <w:tc>
          <w:tcPr/>
          <w:p>
            <w:pPr>
              <w:pStyle w:val="Compact"/>
              <w:jc w:val="left"/>
            </w:pPr>
            <w:r>
              <w:t xml:space="preserve">Inspect browser storage and cookies</w:t>
            </w:r>
          </w:p>
        </w:tc>
        <w:tc>
          <w:tcPr/>
          <w:p>
            <w:pPr>
              <w:pStyle w:val="Compact"/>
              <w:jc w:val="left"/>
            </w:pPr>
            <w:r>
              <w:t xml:space="preserve">one opaque</w:t>
            </w:r>
            <w:r>
              <w:t xml:space="preserve"> </w:t>
            </w:r>
            <w:r>
              <w:rPr>
                <w:rStyle w:val="VerbatimChar"/>
              </w:rPr>
              <w:t xml:space="preserve">__Host-</w:t>
            </w:r>
            <w:r>
              <w:t xml:space="preserve"> </w:t>
            </w:r>
            <w:r>
              <w:t xml:space="preserve">cookie.</w:t>
            </w:r>
            <w:r>
              <w:t xml:space="preserve"> </w:t>
            </w:r>
            <w:r>
              <w:rPr>
                <w:bCs/>
                <w:b/>
              </w:rPr>
              <w:t xml:space="preserve">No token anywhere</w:t>
            </w:r>
          </w:p>
        </w:tc>
      </w:tr>
      <w:tr>
        <w:tc>
          <w:tcPr/>
          <w:p>
            <w:pPr>
              <w:pStyle w:val="Compact"/>
              <w:jc w:val="left"/>
            </w:pPr>
            <w:r>
              <w:t xml:space="preserve">5d</w:t>
            </w:r>
          </w:p>
        </w:tc>
        <w:tc>
          <w:tcPr/>
          <w:p>
            <w:pPr>
              <w:pStyle w:val="Compact"/>
              <w:jc w:val="left"/>
            </w:pPr>
            <w:r>
              <w:t xml:space="preserve">Attempt a state-changing request without the CSRF token</w:t>
            </w:r>
          </w:p>
        </w:tc>
        <w:tc>
          <w:tcPr/>
          <w:p>
            <w:pPr>
              <w:pStyle w:val="Compact"/>
              <w:jc w:val="left"/>
            </w:pPr>
            <w:r>
              <w:t xml:space="preserve">rejected</w:t>
            </w:r>
          </w:p>
        </w:tc>
      </w:tr>
      <w:tr>
        <w:tc>
          <w:tcPr/>
          <w:p>
            <w:pPr>
              <w:pStyle w:val="Compact"/>
              <w:jc w:val="left"/>
            </w:pPr>
            <w:r>
              <w:t xml:space="preserve">6</w:t>
            </w:r>
          </w:p>
        </w:tc>
        <w:tc>
          <w:tcPr/>
          <w:p>
            <w:pPr>
              <w:pStyle w:val="Compact"/>
              <w:jc w:val="left"/>
            </w:pPr>
            <w:r>
              <w:t xml:space="preserve">Sign in as a user in none of the three groups</w:t>
            </w:r>
          </w:p>
        </w:tc>
        <w:tc>
          <w:tcPr/>
          <w:p>
            <w:pPr>
              <w:pStyle w:val="Compact"/>
              <w:jc w:val="left"/>
            </w:pPr>
            <w:r>
              <w:t xml:space="preserve">denied by IAP</w:t>
            </w:r>
          </w:p>
        </w:tc>
      </w:tr>
      <w:tr>
        <w:tc>
          <w:tcPr/>
          <w:p>
            <w:pPr>
              <w:pStyle w:val="Compact"/>
              <w:jc w:val="left"/>
            </w:pPr>
            <w:r>
              <w:t xml:space="preserve">7</w:t>
            </w:r>
          </w:p>
        </w:tc>
        <w:tc>
          <w:tcPr/>
          <w:p>
            <w:pPr>
              <w:pStyle w:val="Compact"/>
              <w:jc w:val="left"/>
            </w:pPr>
            <w:r>
              <w:t xml:space="preserve">Inspect what reaches Apigee</w:t>
            </w:r>
          </w:p>
        </w:tc>
        <w:tc>
          <w:tcPr/>
          <w:p>
            <w:pPr>
              <w:pStyle w:val="Compact"/>
              <w:jc w:val="left"/>
            </w:pPr>
            <w:r>
              <w:t xml:space="preserve">Entra access token with</w:t>
            </w:r>
            <w:r>
              <w:t xml:space="preserve"> </w:t>
            </w:r>
            <w:r>
              <w:rPr>
                <w:rStyle w:val="VerbatimChar"/>
              </w:rPr>
              <w:t xml:space="preserve">roles[]</w:t>
            </w:r>
            <w:r>
              <w:t xml:space="preserve"> </w:t>
            </w:r>
            <w:r>
              <w:t xml:space="preserve">and</w:t>
            </w:r>
            <w:r>
              <w:t xml:space="preserve"> </w:t>
            </w:r>
            <w:r>
              <w:rPr>
                <w:rStyle w:val="VerbatimChar"/>
              </w:rPr>
              <w:t xml:space="preserve">oid</w:t>
            </w:r>
            <w:r>
              <w:t xml:space="preserve">, forwarded by the BFF</w:t>
            </w:r>
          </w:p>
        </w:tc>
      </w:tr>
      <w:tr>
        <w:tc>
          <w:tcPr/>
          <w:p>
            <w:pPr>
              <w:pStyle w:val="Compact"/>
              <w:jc w:val="left"/>
            </w:pPr>
            <w:r>
              <w:t xml:space="preserve">8</w:t>
            </w:r>
          </w:p>
        </w:tc>
        <w:tc>
          <w:tcPr/>
          <w:p>
            <w:pPr>
              <w:pStyle w:val="Compact"/>
              <w:jc w:val="left"/>
            </w:pPr>
            <w:r>
              <w:t xml:space="preserve">Sign in as a translation-only user, call</w:t>
            </w:r>
            <w:r>
              <w:t xml:space="preserve"> </w:t>
            </w:r>
            <w:r>
              <w:rPr>
                <w:rStyle w:val="VerbatimChar"/>
              </w:rPr>
              <w:t xml:space="preserve">/api/sales/*</w:t>
            </w:r>
          </w:p>
        </w:tc>
        <w:tc>
          <w:tcPr/>
          <w:p>
            <w:pPr>
              <w:pStyle w:val="Compact"/>
              <w:jc w:val="left"/>
            </w:pPr>
            <w:r>
              <w:t xml:space="preserve">403 from Apigee on the missing App Role</w:t>
            </w:r>
          </w:p>
        </w:tc>
      </w:tr>
    </w:tbl>
    <w:bookmarkEnd w:id="234"/>
    <w:bookmarkStart w:id="235" w:name="gateway"/>
    <w:p>
      <w:pPr>
        <w:pStyle w:val="Heading2"/>
      </w:pPr>
      <w:r>
        <w:t xml:space="preserve">24.3 Gateway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w:t>
            </w:r>
          </w:p>
        </w:tc>
      </w:tr>
      <w:tr>
        <w:tc>
          <w:tcPr/>
          <w:p>
            <w:pPr>
              <w:pStyle w:val="Compact"/>
              <w:jc w:val="left"/>
            </w:pPr>
            <w:r>
              <w:t xml:space="preserve">9</w:t>
            </w:r>
          </w:p>
        </w:tc>
        <w:tc>
          <w:tcPr/>
          <w:p>
            <w:pPr>
              <w:pStyle w:val="Compact"/>
              <w:jc w:val="left"/>
            </w:pPr>
            <w:r>
              <w:t xml:space="preserve">Call an API path with a forged business unit header</w:t>
            </w:r>
          </w:p>
        </w:tc>
        <w:tc>
          <w:tcPr/>
          <w:p>
            <w:pPr>
              <w:pStyle w:val="Compact"/>
              <w:jc w:val="left"/>
            </w:pPr>
            <w:r>
              <w:t xml:space="preserve">header ignored, unit taken from the assertion</w:t>
            </w:r>
          </w:p>
        </w:tc>
      </w:tr>
      <w:tr>
        <w:tc>
          <w:tcPr/>
          <w:p>
            <w:pPr>
              <w:pStyle w:val="Compact"/>
              <w:jc w:val="left"/>
            </w:pPr>
            <w:r>
              <w:t xml:space="preserve">10</w:t>
            </w:r>
          </w:p>
        </w:tc>
        <w:tc>
          <w:tcPr/>
          <w:p>
            <w:pPr>
              <w:pStyle w:val="Compact"/>
              <w:jc w:val="left"/>
            </w:pPr>
            <w:r>
              <w:t xml:space="preserve">Call the AI gateway from a service account not on the permitted list</w:t>
            </w:r>
          </w:p>
        </w:tc>
        <w:tc>
          <w:tcPr/>
          <w:p>
            <w:pPr>
              <w:pStyle w:val="Compact"/>
              <w:jc w:val="left"/>
            </w:pPr>
            <w:r>
              <w:t xml:space="preserve">rejected</w:t>
            </w:r>
          </w:p>
        </w:tc>
      </w:tr>
      <w:tr>
        <w:tc>
          <w:tcPr/>
          <w:p>
            <w:pPr>
              <w:pStyle w:val="Compact"/>
              <w:jc w:val="left"/>
            </w:pPr>
            <w:r>
              <w:t xml:space="preserve">11</w:t>
            </w:r>
          </w:p>
        </w:tc>
        <w:tc>
          <w:tcPr/>
          <w:p>
            <w:pPr>
              <w:pStyle w:val="Compact"/>
              <w:jc w:val="left"/>
            </w:pPr>
            <w:r>
              <w:t xml:space="preserve">Exhaust the LLM token quota</w:t>
            </w:r>
          </w:p>
        </w:tc>
        <w:tc>
          <w:tcPr/>
          <w:p>
            <w:pPr>
              <w:pStyle w:val="Compact"/>
              <w:jc w:val="left"/>
            </w:pPr>
            <w:r>
              <w:t xml:space="preserve">429 with a retry hint</w:t>
            </w:r>
          </w:p>
        </w:tc>
      </w:tr>
      <w:tr>
        <w:tc>
          <w:tcPr/>
          <w:p>
            <w:pPr>
              <w:pStyle w:val="Compact"/>
              <w:jc w:val="left"/>
            </w:pPr>
            <w:r>
              <w:t xml:space="preserve">11b</w:t>
            </w:r>
          </w:p>
        </w:tc>
        <w:tc>
          <w:tcPr/>
          <w:p>
            <w:pPr>
              <w:pStyle w:val="Compact"/>
              <w:jc w:val="left"/>
            </w:pPr>
            <w:r>
              <w:t xml:space="preserve">Trip SpikeArrest</w:t>
            </w:r>
          </w:p>
        </w:tc>
        <w:tc>
          <w:tcPr/>
          <w:p>
            <w:pPr>
              <w:pStyle w:val="Compact"/>
              <w:jc w:val="left"/>
            </w:pPr>
            <w:r>
              <w:t xml:space="preserve">429, not 500 — see §22.11</w:t>
            </w:r>
          </w:p>
        </w:tc>
      </w:tr>
      <w:tr>
        <w:tc>
          <w:tcPr/>
          <w:p>
            <w:pPr>
              <w:pStyle w:val="Compact"/>
              <w:jc w:val="left"/>
            </w:pPr>
            <w:r>
              <w:t xml:space="preserve">12</w:t>
            </w:r>
          </w:p>
        </w:tc>
        <w:tc>
          <w:tcPr/>
          <w:p>
            <w:pPr>
              <w:pStyle w:val="Compact"/>
              <w:jc w:val="left"/>
            </w:pPr>
            <w:r>
              <w:t xml:space="preserve">Two different users behind the same ZPA connector</w:t>
            </w:r>
          </w:p>
        </w:tc>
        <w:tc>
          <w:tcPr/>
          <w:p>
            <w:pPr>
              <w:pStyle w:val="Compact"/>
              <w:jc w:val="left"/>
            </w:pPr>
            <w:r>
              <w:t xml:space="preserve">independent quota counters</w:t>
            </w:r>
          </w:p>
        </w:tc>
      </w:tr>
    </w:tbl>
    <w:bookmarkEnd w:id="235"/>
    <w:bookmarkStart w:id="236" w:name="ai"/>
    <w:p>
      <w:pPr>
        <w:pStyle w:val="Heading2"/>
      </w:pPr>
      <w:r>
        <w:t xml:space="preserve">24.4 AI</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w:t>
            </w:r>
          </w:p>
        </w:tc>
      </w:tr>
      <w:tr>
        <w:tc>
          <w:tcPr/>
          <w:p>
            <w:pPr>
              <w:pStyle w:val="Compact"/>
              <w:jc w:val="left"/>
            </w:pPr>
            <w:r>
              <w:t xml:space="preserve">13</w:t>
            </w:r>
          </w:p>
        </w:tc>
        <w:tc>
          <w:tcPr/>
          <w:p>
            <w:pPr>
              <w:pStyle w:val="Compact"/>
              <w:jc w:val="left"/>
            </w:pPr>
            <w:r>
              <w:t xml:space="preserve">A prompt-injection style prompt</w:t>
            </w:r>
          </w:p>
        </w:tc>
        <w:tc>
          <w:tcPr/>
          <w:p>
            <w:pPr>
              <w:pStyle w:val="Compact"/>
              <w:jc w:val="left"/>
            </w:pPr>
            <w:r>
              <w:t xml:space="preserve">blocked by Model Armor</w:t>
            </w:r>
          </w:p>
        </w:tc>
      </w:tr>
      <w:tr>
        <w:tc>
          <w:tcPr/>
          <w:p>
            <w:pPr>
              <w:pStyle w:val="Compact"/>
              <w:jc w:val="left"/>
            </w:pPr>
            <w:r>
              <w:t xml:space="preserve">13b</w:t>
            </w:r>
          </w:p>
        </w:tc>
        <w:tc>
          <w:tcPr/>
          <w:p>
            <w:pPr>
              <w:pStyle w:val="Compact"/>
              <w:jc w:val="left"/>
            </w:pPr>
            <w:r>
              <w:t xml:space="preserve">A prompt containing a personal identifier</w:t>
            </w:r>
          </w:p>
        </w:tc>
        <w:tc>
          <w:tcPr/>
          <w:p>
            <w:pPr>
              <w:pStyle w:val="Compact"/>
              <w:jc w:val="left"/>
            </w:pPr>
            <w:r>
              <w:t xml:space="preserve">blocked or redacted per the business unit’s template</w:t>
            </w:r>
          </w:p>
        </w:tc>
      </w:tr>
      <w:tr>
        <w:tc>
          <w:tcPr/>
          <w:p>
            <w:pPr>
              <w:pStyle w:val="Compact"/>
              <w:jc w:val="left"/>
            </w:pPr>
            <w:r>
              <w:t xml:space="preserve">14</w:t>
            </w:r>
          </w:p>
        </w:tc>
        <w:tc>
          <w:tcPr/>
          <w:p>
            <w:pPr>
              <w:pStyle w:val="Compact"/>
              <w:jc w:val="left"/>
            </w:pPr>
            <w:r>
              <w:t xml:space="preserve">Call Vertex AI directly using a workload service account</w:t>
            </w:r>
          </w:p>
        </w:tc>
        <w:tc>
          <w:tcPr/>
          <w:p>
            <w:pPr>
              <w:pStyle w:val="Compact"/>
              <w:jc w:val="left"/>
            </w:pPr>
            <w:r>
              <w:rPr>
                <w:bCs/>
                <w:b/>
              </w:rPr>
              <w:t xml:space="preserve">denied</w:t>
            </w:r>
            <w:r>
              <w:t xml:space="preserve"> </w:t>
            </w:r>
            <w:r>
              <w:t xml:space="preserve">— this is the test that proves the gateway is mandatory</w:t>
            </w:r>
          </w:p>
        </w:tc>
      </w:tr>
      <w:tr>
        <w:tc>
          <w:tcPr/>
          <w:p>
            <w:pPr>
              <w:pStyle w:val="Compact"/>
              <w:jc w:val="left"/>
            </w:pPr>
            <w:r>
              <w:t xml:space="preserve">14b</w:t>
            </w:r>
          </w:p>
        </w:tc>
        <w:tc>
          <w:tcPr/>
          <w:p>
            <w:pPr>
              <w:pStyle w:val="Compact"/>
              <w:jc w:val="left"/>
            </w:pPr>
            <w:r>
              <w:t xml:space="preserve">Call the Backend load balancer with no token</w:t>
            </w:r>
          </w:p>
        </w:tc>
        <w:tc>
          <w:tcPr/>
          <w:p>
            <w:pPr>
              <w:pStyle w:val="Compact"/>
              <w:jc w:val="left"/>
            </w:pPr>
            <w:r>
              <w:t xml:space="preserve">401 or 403 from Cloud Run</w:t>
            </w:r>
          </w:p>
        </w:tc>
      </w:tr>
      <w:tr>
        <w:tc>
          <w:tcPr/>
          <w:p>
            <w:pPr>
              <w:pStyle w:val="Compact"/>
              <w:jc w:val="left"/>
            </w:pPr>
            <w:r>
              <w:t xml:space="preserve">14c</w:t>
            </w:r>
          </w:p>
        </w:tc>
        <w:tc>
          <w:tcPr/>
          <w:p>
            <w:pPr>
              <w:pStyle w:val="Compact"/>
              <w:jc w:val="left"/>
            </w:pPr>
            <w:r>
              <w:t xml:space="preserve">Call it with a token from a service account other than</w:t>
            </w:r>
            <w:r>
              <w:t xml:space="preserve"> </w:t>
            </w:r>
            <w:r>
              <w:rPr>
                <w:rStyle w:val="VerbatimChar"/>
              </w:rPr>
              <w:t xml:space="preserve">apigee-int-runtime</w:t>
            </w:r>
          </w:p>
        </w:tc>
        <w:tc>
          <w:tcPr/>
          <w:p>
            <w:pPr>
              <w:pStyle w:val="Compact"/>
              <w:jc w:val="left"/>
            </w:pPr>
            <w:r>
              <w:t xml:space="preserve">denied — proves</w:t>
            </w:r>
            <w:r>
              <w:t xml:space="preserve"> </w:t>
            </w:r>
            <w:r>
              <w:rPr>
                <w:rStyle w:val="VerbatimChar"/>
              </w:rPr>
              <w:t xml:space="preserve">run.invoker</w:t>
            </w:r>
            <w:r>
              <w:t xml:space="preserve"> </w:t>
            </w:r>
            <w:r>
              <w:t xml:space="preserve">scoping works</w:t>
            </w:r>
          </w:p>
        </w:tc>
      </w:tr>
      <w:tr>
        <w:tc>
          <w:tcPr/>
          <w:p>
            <w:pPr>
              <w:pStyle w:val="Compact"/>
              <w:jc w:val="left"/>
            </w:pPr>
            <w:r>
              <w:t xml:space="preserve">14d</w:t>
            </w:r>
          </w:p>
        </w:tc>
        <w:tc>
          <w:tcPr/>
          <w:p>
            <w:pPr>
              <w:pStyle w:val="Compact"/>
              <w:jc w:val="left"/>
            </w:pPr>
            <w:r>
              <w:t xml:space="preserve">Call a backend Cloud Run service’s</w:t>
            </w:r>
            <w:r>
              <w:t xml:space="preserve"> </w:t>
            </w:r>
            <w:r>
              <w:rPr>
                <w:rStyle w:val="VerbatimChar"/>
              </w:rPr>
              <w:t xml:space="preserve">run.app</w:t>
            </w:r>
            <w:r>
              <w:t xml:space="preserve"> </w:t>
            </w:r>
            <w:r>
              <w:t xml:space="preserve">URL directly</w:t>
            </w:r>
          </w:p>
        </w:tc>
        <w:tc>
          <w:tcPr/>
          <w:p>
            <w:pPr>
              <w:pStyle w:val="Compact"/>
              <w:jc w:val="left"/>
            </w:pPr>
            <w:r>
              <w:t xml:space="preserve">denied by the ingress setting</w:t>
            </w:r>
          </w:p>
        </w:tc>
      </w:tr>
      <w:tr>
        <w:tc>
          <w:tcPr/>
          <w:p>
            <w:pPr>
              <w:pStyle w:val="Compact"/>
              <w:jc w:val="left"/>
            </w:pPr>
            <w:r>
              <w:t xml:space="preserve">14e</w:t>
            </w:r>
          </w:p>
        </w:tc>
        <w:tc>
          <w:tcPr/>
          <w:p>
            <w:pPr>
              <w:pStyle w:val="Compact"/>
              <w:jc w:val="left"/>
            </w:pPr>
            <w:r>
              <w:t xml:space="preserve">Confirm no</w:t>
            </w:r>
            <w:r>
              <w:t xml:space="preserve"> </w:t>
            </w:r>
            <w:r>
              <w:rPr>
                <w:rStyle w:val="VerbatimChar"/>
              </w:rPr>
              <w:t xml:space="preserve">allUsers</w:t>
            </w:r>
            <w:r>
              <w:t xml:space="preserve"> </w:t>
            </w:r>
            <w:r>
              <w:t xml:space="preserve">or</w:t>
            </w:r>
            <w:r>
              <w:t xml:space="preserve"> </w:t>
            </w:r>
            <w:r>
              <w:rPr>
                <w:rStyle w:val="VerbatimChar"/>
              </w:rPr>
              <w:t xml:space="preserve">allAuthenticatedUsers</w:t>
            </w:r>
            <w:r>
              <w:t xml:space="preserve"> </w:t>
            </w:r>
            <w:r>
              <w:t xml:space="preserve">binding exists on any Cloud Run service</w:t>
            </w:r>
          </w:p>
        </w:tc>
        <w:tc>
          <w:tcPr/>
          <w:p>
            <w:pPr>
              <w:pStyle w:val="Compact"/>
              <w:jc w:val="left"/>
            </w:pPr>
            <w:r>
              <w:t xml:space="preserve">none found</w:t>
            </w:r>
          </w:p>
        </w:tc>
      </w:tr>
      <w:tr>
        <w:tc>
          <w:tcPr/>
          <w:p>
            <w:pPr>
              <w:pStyle w:val="Compact"/>
              <w:jc w:val="left"/>
            </w:pPr>
            <w:r>
              <w:t xml:space="preserve">15</w:t>
            </w:r>
          </w:p>
        </w:tc>
        <w:tc>
          <w:tcPr/>
          <w:p>
            <w:pPr>
              <w:pStyle w:val="Compact"/>
              <w:jc w:val="left"/>
            </w:pPr>
            <w:r>
              <w:t xml:space="preserve">Long streaming response</w:t>
            </w:r>
          </w:p>
        </w:tc>
        <w:tc>
          <w:tcPr/>
          <w:p>
            <w:pPr>
              <w:pStyle w:val="Compact"/>
              <w:jc w:val="left"/>
            </w:pPr>
            <w:r>
              <w:t xml:space="preserve">arrives in pieces, not one block at the end</w:t>
            </w:r>
          </w:p>
        </w:tc>
      </w:tr>
    </w:tbl>
    <w:bookmarkEnd w:id="236"/>
    <w:bookmarkStart w:id="237" w:name="data-and-platform"/>
    <w:p>
      <w:pPr>
        <w:pStyle w:val="Heading2"/>
      </w:pPr>
      <w:r>
        <w:t xml:space="preserve">24.5 Data and platform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Test</w:t>
            </w:r>
          </w:p>
        </w:tc>
        <w:tc>
          <w:tcPr/>
          <w:p>
            <w:pPr>
              <w:pStyle w:val="Compact"/>
              <w:jc w:val="left"/>
            </w:pPr>
            <w:r>
              <w:t xml:space="preserve">Expected</w:t>
            </w:r>
          </w:p>
        </w:tc>
      </w:tr>
      <w:tr>
        <w:tc>
          <w:tcPr/>
          <w:p>
            <w:pPr>
              <w:pStyle w:val="Compact"/>
              <w:jc w:val="left"/>
            </w:pPr>
            <w:r>
              <w:t xml:space="preserve">17</w:t>
            </w:r>
          </w:p>
        </w:tc>
        <w:tc>
          <w:tcPr/>
          <w:p>
            <w:pPr>
              <w:pStyle w:val="Compact"/>
              <w:jc w:val="left"/>
            </w:pPr>
            <w:r>
              <w:t xml:space="preserve">Query the business index as one unit</w:t>
            </w:r>
          </w:p>
        </w:tc>
        <w:tc>
          <w:tcPr/>
          <w:p>
            <w:pPr>
              <w:pStyle w:val="Compact"/>
              <w:jc w:val="left"/>
            </w:pPr>
            <w:r>
              <w:t xml:space="preserve">no results from another unit</w:t>
            </w:r>
          </w:p>
        </w:tc>
      </w:tr>
      <w:tr>
        <w:tc>
          <w:tcPr/>
          <w:p>
            <w:pPr>
              <w:pStyle w:val="Compact"/>
              <w:jc w:val="left"/>
            </w:pPr>
            <w:r>
              <w:t xml:space="preserve">18</w:t>
            </w:r>
          </w:p>
        </w:tc>
        <w:tc>
          <w:tcPr/>
          <w:p>
            <w:pPr>
              <w:pStyle w:val="Compact"/>
              <w:jc w:val="left"/>
            </w:pPr>
            <w:r>
              <w:t xml:space="preserve">Deploy an unsigned container image</w:t>
            </w:r>
          </w:p>
        </w:tc>
        <w:tc>
          <w:tcPr/>
          <w:p>
            <w:pPr>
              <w:pStyle w:val="Compact"/>
              <w:jc w:val="left"/>
            </w:pPr>
            <w:r>
              <w:t xml:space="preserve">refused by Binary Authorization</w:t>
            </w:r>
          </w:p>
        </w:tc>
      </w:tr>
      <w:tr>
        <w:tc>
          <w:tcPr/>
          <w:p>
            <w:pPr>
              <w:pStyle w:val="Compact"/>
              <w:jc w:val="left"/>
            </w:pPr>
            <w:r>
              <w:t xml:space="preserve">19</w:t>
            </w:r>
          </w:p>
        </w:tc>
        <w:tc>
          <w:tcPr/>
          <w:p>
            <w:pPr>
              <w:pStyle w:val="Compact"/>
              <w:jc w:val="left"/>
            </w:pPr>
            <w:r>
              <w:t xml:space="preserve">Attempt to create a service account key</w:t>
            </w:r>
          </w:p>
        </w:tc>
        <w:tc>
          <w:tcPr/>
          <w:p>
            <w:pPr>
              <w:pStyle w:val="Compact"/>
              <w:jc w:val="left"/>
            </w:pPr>
            <w:r>
              <w:t xml:space="preserve">refused by policy</w:t>
            </w:r>
          </w:p>
        </w:tc>
      </w:tr>
      <w:tr>
        <w:tc>
          <w:tcPr/>
          <w:p>
            <w:pPr>
              <w:pStyle w:val="Compact"/>
              <w:jc w:val="left"/>
            </w:pPr>
            <w:r>
              <w:t xml:space="preserve">20</w:t>
            </w:r>
          </w:p>
        </w:tc>
        <w:tc>
          <w:tcPr/>
          <w:p>
            <w:pPr>
              <w:pStyle w:val="Compact"/>
              <w:jc w:val="left"/>
            </w:pPr>
            <w:r>
              <w:t xml:space="preserve">Check the central log bucket</w:t>
            </w:r>
          </w:p>
        </w:tc>
        <w:tc>
          <w:tcPr/>
          <w:p>
            <w:pPr>
              <w:pStyle w:val="Compact"/>
              <w:jc w:val="left"/>
            </w:pPr>
            <w:r>
              <w:t xml:space="preserve">entries from all nine projects, 400-day retention</w:t>
            </w:r>
          </w:p>
        </w:tc>
      </w:tr>
      <w:tr>
        <w:tc>
          <w:tcPr/>
          <w:p>
            <w:pPr>
              <w:pStyle w:val="Compact"/>
              <w:jc w:val="left"/>
            </w:pPr>
            <w:r>
              <w:t xml:space="preserve">21</w:t>
            </w:r>
          </w:p>
        </w:tc>
        <w:tc>
          <w:tcPr/>
          <w:p>
            <w:pPr>
              <w:pStyle w:val="Compact"/>
              <w:jc w:val="left"/>
            </w:pPr>
            <w:r>
              <w:t xml:space="preserve">Trace one user request end to end in the logs</w:t>
            </w:r>
          </w:p>
        </w:tc>
        <w:tc>
          <w:tcPr/>
          <w:p>
            <w:pPr>
              <w:pStyle w:val="Compact"/>
              <w:jc w:val="left"/>
            </w:pPr>
            <w:r>
              <w:t xml:space="preserve">attributable to the person, not just to a service account</w:t>
            </w:r>
          </w:p>
        </w:tc>
      </w:tr>
    </w:tbl>
    <w:p>
      <w:pPr>
        <w:pStyle w:val="BodyText"/>
      </w:pPr>
      <w:r>
        <w:t xml:space="preserve">Test 14 is the one to run first when anyone asks whether the AI governance actually works. Test 21 is the one that proves the business-unit cost attribution is real rather than aspirational.</w:t>
      </w:r>
    </w:p>
    <w:p>
      <w:r>
        <w:br w:type="page"/>
      </w:r>
    </w:p>
    <w:bookmarkEnd w:id="237"/>
    <w:bookmarkEnd w:id="238"/>
    <w:bookmarkStart w:id="246" w:name="X15eda7758613f6944619ce4174d373de2862efc"/>
    <w:p>
      <w:pPr>
        <w:pStyle w:val="Heading1"/>
      </w:pPr>
      <w:r>
        <w:t xml:space="preserve">Part 25 — Infrastructure as code: layering and apply order</w:t>
      </w:r>
    </w:p>
    <w:bookmarkStart w:id="239" w:name="X0178bccde4807ddafc56dfc0329c2f4e7f30a6d"/>
    <w:p>
      <w:pPr>
        <w:pStyle w:val="Heading2"/>
      </w:pPr>
      <w:r>
        <w:t xml:space="preserve">25.1 Why this part exists in a console runbook</w:t>
      </w:r>
    </w:p>
    <w:p>
      <w:pPr>
        <w:pStyle w:val="FirstParagraph"/>
      </w:pPr>
      <w:r>
        <w:t xml:space="preserve">You have just built the platform by clicking. That is the right way to do it once — you learn what each resource actually is, and you discover the ordering problems while you can still fix them cheaply.</w:t>
      </w:r>
    </w:p>
    <w:p>
      <w:pPr>
        <w:pStyle w:val="BodyText"/>
      </w:pPr>
      <w:r>
        <w:t xml:space="preserve">It is not how you maintain it. Everything in Parts 1 to 24 should end up in Terraform, and this part records the shape so the migration is a translation rather than a redesign.</w:t>
      </w:r>
    </w:p>
    <w:bookmarkEnd w:id="239"/>
    <w:bookmarkStart w:id="240" w:name="three-layers"/>
    <w:p>
      <w:pPr>
        <w:pStyle w:val="Heading2"/>
      </w:pPr>
      <w:r>
        <w:t xml:space="preserve">25.2 Three layers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Layer</w:t>
            </w:r>
          </w:p>
        </w:tc>
        <w:tc>
          <w:tcPr/>
          <w:p>
            <w:pPr>
              <w:pStyle w:val="Compact"/>
              <w:jc w:val="left"/>
            </w:pPr>
            <w:r>
              <w:t xml:space="preserve">Contains</w:t>
            </w:r>
          </w:p>
        </w:tc>
        <w:tc>
          <w:tcPr/>
          <w:p>
            <w:pPr>
              <w:pStyle w:val="Compact"/>
              <w:jc w:val="left"/>
            </w:pPr>
            <w:r>
              <w:t xml:space="preserve">Changes</w:t>
            </w:r>
          </w:p>
        </w:tc>
        <w:tc>
          <w:tcPr/>
          <w:p>
            <w:pPr>
              <w:pStyle w:val="Compact"/>
              <w:jc w:val="left"/>
            </w:pPr>
            <w:r>
              <w:t xml:space="preserve">Blast radius</w:t>
            </w:r>
          </w:p>
        </w:tc>
      </w:tr>
      <w:tr>
        <w:tc>
          <w:tcPr/>
          <w:p>
            <w:pPr>
              <w:pStyle w:val="Compact"/>
              <w:jc w:val="left"/>
            </w:pPr>
            <w:r>
              <w:rPr>
                <w:bCs/>
                <w:b/>
              </w:rPr>
              <w:t xml:space="preserve">static</w:t>
            </w:r>
          </w:p>
        </w:tc>
        <w:tc>
          <w:tcPr/>
          <w:p>
            <w:pPr>
              <w:pStyle w:val="Compact"/>
              <w:jc w:val="left"/>
            </w:pPr>
            <w:r>
              <w:t xml:space="preserve">Enabled APIs, forced service agents, service accounts, project IAM, KMS rings and keys, Artifact Registry, Secret Manager containers, Binary Authorization attestor and policy, log buckets, sinks, audit config, WIF bindings, Firestore database,</w:t>
            </w:r>
            <w:r>
              <w:t xml:space="preserve"> </w:t>
            </w:r>
            <w:r>
              <w:rPr>
                <w:bCs/>
                <w:b/>
              </w:rPr>
              <w:t xml:space="preserve">Apigee organisation, instance, environments and envgroups</w:t>
            </w:r>
          </w:p>
        </w:tc>
        <w:tc>
          <w:tcPr/>
          <w:p>
            <w:pPr>
              <w:pStyle w:val="Compact"/>
              <w:jc w:val="left"/>
            </w:pPr>
            <w:r>
              <w:t xml:space="preserve">Rarely</w:t>
            </w:r>
          </w:p>
        </w:tc>
        <w:tc>
          <w:tcPr/>
          <w:p>
            <w:pPr>
              <w:pStyle w:val="Compact"/>
              <w:jc w:val="left"/>
            </w:pPr>
            <w:r>
              <w:t xml:space="preserve">Highest. A wrong apply can orphan keys or break every pipeline</w:t>
            </w:r>
          </w:p>
        </w:tc>
      </w:tr>
      <w:tr>
        <w:tc>
          <w:tcPr/>
          <w:p>
            <w:pPr>
              <w:pStyle w:val="Compact"/>
              <w:jc w:val="left"/>
            </w:pPr>
            <w:r>
              <w:rPr>
                <w:bCs/>
                <w:b/>
              </w:rPr>
              <w:t xml:space="preserve">network</w:t>
            </w:r>
          </w:p>
        </w:tc>
        <w:tc>
          <w:tcPr/>
          <w:p>
            <w:pPr>
              <w:pStyle w:val="Compact"/>
              <w:jc w:val="left"/>
            </w:pPr>
            <w:r>
              <w:t xml:space="preserve">VPC, subnets, firewall rules, private DNS zones and records, PSC endpoints, PSC service attachments, Shared VPC host enablement and service-project attachments</w:t>
            </w:r>
          </w:p>
        </w:tc>
        <w:tc>
          <w:tcPr/>
          <w:p>
            <w:pPr>
              <w:pStyle w:val="Compact"/>
              <w:jc w:val="left"/>
            </w:pPr>
            <w:r>
              <w:t xml:space="preserve">Occasionally</w:t>
            </w:r>
          </w:p>
        </w:tc>
        <w:tc>
          <w:tcPr/>
          <w:p>
            <w:pPr>
              <w:pStyle w:val="Compact"/>
              <w:jc w:val="left"/>
            </w:pPr>
            <w:r>
              <w:t xml:space="preserve">High. Host-project changes affect every service project</w:t>
            </w:r>
          </w:p>
        </w:tc>
      </w:tr>
      <w:tr>
        <w:tc>
          <w:tcPr/>
          <w:p>
            <w:pPr>
              <w:pStyle w:val="Compact"/>
              <w:jc w:val="left"/>
            </w:pPr>
            <w:r>
              <w:rPr>
                <w:bCs/>
                <w:b/>
              </w:rPr>
              <w:t xml:space="preserve">infra</w:t>
            </w:r>
          </w:p>
        </w:tc>
        <w:tc>
          <w:tcPr/>
          <w:p>
            <w:pPr>
              <w:pStyle w:val="Compact"/>
              <w:jc w:val="left"/>
            </w:pPr>
            <w:r>
              <w:t xml:space="preserve">Cloud Run services, backend services, serverless NEGs, URL maps, target proxies, forwarding rules, IAP configuration, Cloud Tasks queues, BigQuery datasets, GCS buckets, Vector Search, Apigee endpoint attachments, target servers, KVMs</w:t>
            </w:r>
          </w:p>
        </w:tc>
        <w:tc>
          <w:tcPr/>
          <w:p>
            <w:pPr>
              <w:pStyle w:val="Compact"/>
              <w:jc w:val="left"/>
            </w:pPr>
            <w:r>
              <w:t xml:space="preserve">Frequently</w:t>
            </w:r>
          </w:p>
        </w:tc>
        <w:tc>
          <w:tcPr/>
          <w:p>
            <w:pPr>
              <w:pStyle w:val="Compact"/>
              <w:jc w:val="left"/>
            </w:pPr>
            <w:r>
              <w:t xml:space="preserve">Lowest. Normal delivery cadence</w:t>
            </w:r>
          </w:p>
        </w:tc>
      </w:tr>
    </w:tbl>
    <w:p>
      <w:pPr>
        <w:pStyle w:val="BodyText"/>
      </w:pPr>
      <w:r>
        <w:t xml:space="preserve">Apigee’s organisation and instance sit in</w:t>
      </w:r>
      <w:r>
        <w:t xml:space="preserve"> </w:t>
      </w:r>
      <w:r>
        <w:rPr>
          <w:bCs/>
          <w:b/>
        </w:rPr>
        <w:t xml:space="preserve">static</w:t>
      </w:r>
      <w:r>
        <w:t xml:space="preserve"> </w:t>
      </w:r>
      <w:r>
        <w:t xml:space="preserve">deliberately: provisioning takes 30 to 60 minutes, several settings are immutable, and everything else depends on them. Proxy bundles and API products are</w:t>
      </w:r>
      <w:r>
        <w:t xml:space="preserve"> </w:t>
      </w:r>
      <w:r>
        <w:rPr>
          <w:bCs/>
          <w:b/>
        </w:rPr>
        <w:t xml:space="preserve">not</w:t>
      </w:r>
      <w:r>
        <w:t xml:space="preserve"> </w:t>
      </w:r>
      <w:r>
        <w:t xml:space="preserve">Terraform at all — they go through the pipeline in §22.13.</w:t>
      </w:r>
    </w:p>
    <w:bookmarkEnd w:id="240"/>
    <w:bookmarkStart w:id="241" w:name="Xfcb4612a6c21c35f280b3ae35d304766a74f8b4"/>
    <w:p>
      <w:pPr>
        <w:pStyle w:val="Heading2"/>
      </w:pPr>
      <w:r>
        <w:t xml:space="preserve">25.3 The dependency that breaks the simple model</w:t>
      </w:r>
    </w:p>
    <w:p>
      <w:pPr>
        <w:pStyle w:val="FirstParagraph"/>
      </w:pPr>
      <w:r>
        <w:t xml:space="preserve">A serverless network endpoint group must live in the same project as the Cloud Run service it points at. So backend services are created in</w:t>
      </w:r>
      <w:r>
        <w:t xml:space="preserve"> </w:t>
      </w:r>
      <w:r>
        <w:rPr>
          <w:rStyle w:val="VerbatimChar"/>
        </w:rPr>
        <w:t xml:space="preserve">gclt-aicoe-dev-aihub-ui</w:t>
      </w:r>
      <w:r>
        <w:t xml:space="preserve"> </w:t>
      </w:r>
      <w:r>
        <w:t xml:space="preserve">and</w:t>
      </w:r>
      <w:r>
        <w:t xml:space="preserve"> </w:t>
      </w:r>
      <w:r>
        <w:rPr>
          <w:rStyle w:val="VerbatimChar"/>
        </w:rPr>
        <w:t xml:space="preserve">gclt-aicoe-dev-st</w:t>
      </w:r>
      <w:r>
        <w:t xml:space="preserve">, while the URL map that references them lives in</w:t>
      </w:r>
      <w:r>
        <w:t xml:space="preserve"> </w:t>
      </w:r>
      <w:r>
        <w:rPr>
          <w:rStyle w:val="VerbatimChar"/>
        </w:rPr>
        <w:t xml:space="preserve">gclt-aicoe-dev-ingress</w:t>
      </w:r>
      <w:r>
        <w:t xml:space="preserve">.</w:t>
      </w:r>
    </w:p>
    <w:p>
      <w:pPr>
        <w:pStyle w:val="BodyText"/>
      </w:pPr>
      <w:r>
        <w:rPr>
          <w:bCs/>
          <w:b/>
        </w:rPr>
        <w:t xml:space="preserve">That means</w:t>
      </w:r>
      <w:r>
        <w:rPr>
          <w:bCs/>
          <w:b/>
        </w:rPr>
        <w:t xml:space="preserve"> </w:t>
      </w:r>
      <w:r>
        <w:rPr>
          <w:rStyle w:val="VerbatimChar"/>
          <w:bCs/>
          <w:b/>
        </w:rPr>
        <w:t xml:space="preserve">infra/ingress</w:t>
      </w:r>
      <w:r>
        <w:rPr>
          <w:bCs/>
          <w:b/>
        </w:rPr>
        <w:t xml:space="preserve"> </w:t>
      </w:r>
      <w:r>
        <w:rPr>
          <w:bCs/>
          <w:b/>
        </w:rPr>
        <w:t xml:space="preserve">depends on outputs from two other projects’ infra applies.</w:t>
      </w:r>
      <w:r>
        <w:t xml:space="preserve"> </w:t>
      </w:r>
      <w:r>
        <w:t xml:space="preserve">It is the one place the layering is not a clean per-project pipeline, and it has to be encoded in CI rather than left to whoever runs the apply.</w:t>
      </w:r>
    </w:p>
    <w:p>
      <w:pPr>
        <w:pStyle w:val="SourceCode"/>
      </w:pPr>
      <w:r>
        <w:rPr>
          <w:rStyle w:val="VerbatimChar"/>
        </w:rPr>
        <w:t xml:space="preserve">graph TB</w:t>
      </w:r>
      <w:r>
        <w:br/>
      </w:r>
      <w:r>
        <w:rPr>
          <w:rStyle w:val="VerbatimChar"/>
        </w:rPr>
        <w:t xml:space="preserve">  S1["static/sharedwif"]</w:t>
      </w:r>
      <w:r>
        <w:br/>
      </w:r>
      <w:r>
        <w:rPr>
          <w:rStyle w:val="VerbatimChar"/>
        </w:rPr>
        <w:t xml:space="preserve">  S2["static/auditlogs"]</w:t>
      </w:r>
      <w:r>
        <w:br/>
      </w:r>
      <w:r>
        <w:rPr>
          <w:rStyle w:val="VerbatimChar"/>
        </w:rPr>
        <w:t xml:space="preserve">  S3["static/network"]</w:t>
      </w:r>
      <w:r>
        <w:br/>
      </w:r>
      <w:r>
        <w:rPr>
          <w:rStyle w:val="VerbatimChar"/>
        </w:rPr>
        <w:t xml:space="preserve">  N1["network/network-base&lt;br/&gt;VPC · subnets · firewall · DNS"]</w:t>
      </w:r>
      <w:r>
        <w:br/>
      </w:r>
      <w:r>
        <w:rPr>
          <w:rStyle w:val="VerbatimChar"/>
        </w:rPr>
        <w:t xml:space="preserve">  S4["static/apigee&lt;br/&gt;org · instance · environments&lt;br/&gt;SLOW: 30-60 min"]</w:t>
      </w:r>
      <w:r>
        <w:br/>
      </w:r>
      <w:r>
        <w:rPr>
          <w:rStyle w:val="VerbatimChar"/>
        </w:rPr>
        <w:t xml:space="preserve">  S5["static/llm"]</w:t>
      </w:r>
      <w:r>
        <w:br/>
      </w:r>
      <w:r>
        <w:rPr>
          <w:rStyle w:val="VerbatimChar"/>
        </w:rPr>
        <w:t xml:space="preserve">  S6["static/ingress"]</w:t>
      </w:r>
      <w:r>
        <w:br/>
      </w:r>
      <w:r>
        <w:rPr>
          <w:rStyle w:val="VerbatimChar"/>
        </w:rPr>
        <w:t xml:space="preserve">  S7["static/aihub-ui"]</w:t>
      </w:r>
      <w:r>
        <w:br/>
      </w:r>
      <w:r>
        <w:rPr>
          <w:rStyle w:val="VerbatimChar"/>
        </w:rPr>
        <w:t xml:space="preserve">  S8["static/st"]</w:t>
      </w:r>
      <w:r>
        <w:br/>
      </w:r>
      <w:r>
        <w:rPr>
          <w:rStyle w:val="VerbatimChar"/>
        </w:rPr>
        <w:t xml:space="preserve">  N2["network/network-psc&lt;br/&gt;PSC endpoints · service attachments"]</w:t>
      </w:r>
      <w:r>
        <w:br/>
      </w:r>
      <w:r>
        <w:rPr>
          <w:rStyle w:val="VerbatimChar"/>
        </w:rPr>
        <w:t xml:space="preserve">  I1["infra/aihub-ui&lt;br/&gt;BFF · backend service · NEG"]</w:t>
      </w:r>
      <w:r>
        <w:br/>
      </w:r>
      <w:r>
        <w:rPr>
          <w:rStyle w:val="VerbatimChar"/>
        </w:rPr>
        <w:t xml:space="preserve">  I2["infra/st&lt;br/&gt;Cloud Run · backend services · NEGs&lt;br/&gt;IAP direct on services · data"]</w:t>
      </w:r>
      <w:r>
        <w:br/>
      </w:r>
      <w:r>
        <w:rPr>
          <w:rStyle w:val="VerbatimChar"/>
        </w:rPr>
        <w:t xml:space="preserve">  I3["infra/ingress&lt;br/&gt;addresses · forwarding rules&lt;br/&gt;URL maps referencing I1 and I2"]</w:t>
      </w:r>
      <w:r>
        <w:br/>
      </w:r>
      <w:r>
        <w:rPr>
          <w:rStyle w:val="VerbatimChar"/>
        </w:rPr>
        <w:t xml:space="preserve">  I4["infra/apigee&lt;br/&gt;endpoint attachment · target servers · KVMs"]</w:t>
      </w:r>
      <w:r>
        <w:br/>
      </w:r>
      <w:r>
        <w:rPr>
          <w:rStyle w:val="VerbatimChar"/>
        </w:rPr>
        <w:t xml:space="preserve">  P["proxy pipeline — NOT Terraform"]</w:t>
      </w:r>
      <w:r>
        <w:br/>
      </w:r>
      <w:r>
        <w:br/>
      </w:r>
      <w:r>
        <w:rPr>
          <w:rStyle w:val="VerbatimChar"/>
        </w:rPr>
        <w:t xml:space="preserve">  S1 --&gt; S3 --&gt; N1</w:t>
      </w:r>
      <w:r>
        <w:br/>
      </w:r>
      <w:r>
        <w:rPr>
          <w:rStyle w:val="VerbatimChar"/>
        </w:rPr>
        <w:t xml:space="preserve">  S2 --&gt; S3</w:t>
      </w:r>
      <w:r>
        <w:br/>
      </w:r>
      <w:r>
        <w:rPr>
          <w:rStyle w:val="VerbatimChar"/>
        </w:rPr>
        <w:t xml:space="preserve">  N1 --&gt; S4</w:t>
      </w:r>
      <w:r>
        <w:br/>
      </w:r>
      <w:r>
        <w:rPr>
          <w:rStyle w:val="VerbatimChar"/>
        </w:rPr>
        <w:t xml:space="preserve">  N1 --&gt; S6</w:t>
      </w:r>
      <w:r>
        <w:br/>
      </w:r>
      <w:r>
        <w:rPr>
          <w:rStyle w:val="VerbatimChar"/>
        </w:rPr>
        <w:t xml:space="preserve">  N1 --&gt; S7</w:t>
      </w:r>
      <w:r>
        <w:br/>
      </w:r>
      <w:r>
        <w:rPr>
          <w:rStyle w:val="VerbatimChar"/>
        </w:rPr>
        <w:t xml:space="preserve">  N1 --&gt; S8</w:t>
      </w:r>
      <w:r>
        <w:br/>
      </w:r>
      <w:r>
        <w:rPr>
          <w:rStyle w:val="VerbatimChar"/>
        </w:rPr>
        <w:t xml:space="preserve">  S4 --&gt; N2</w:t>
      </w:r>
      <w:r>
        <w:br/>
      </w:r>
      <w:r>
        <w:rPr>
          <w:rStyle w:val="VerbatimChar"/>
        </w:rPr>
        <w:t xml:space="preserve">  S5 --&gt; I4</w:t>
      </w:r>
      <w:r>
        <w:br/>
      </w:r>
      <w:r>
        <w:rPr>
          <w:rStyle w:val="VerbatimChar"/>
        </w:rPr>
        <w:t xml:space="preserve">  S7 --&gt; I1</w:t>
      </w:r>
      <w:r>
        <w:br/>
      </w:r>
      <w:r>
        <w:rPr>
          <w:rStyle w:val="VerbatimChar"/>
        </w:rPr>
        <w:t xml:space="preserve">  S8 --&gt; I2</w:t>
      </w:r>
      <w:r>
        <w:br/>
      </w:r>
      <w:r>
        <w:rPr>
          <w:rStyle w:val="VerbatimChar"/>
        </w:rPr>
        <w:t xml:space="preserve">  N2 --&gt; I1</w:t>
      </w:r>
      <w:r>
        <w:br/>
      </w:r>
      <w:r>
        <w:rPr>
          <w:rStyle w:val="VerbatimChar"/>
        </w:rPr>
        <w:t xml:space="preserve">  N2 --&gt; I2</w:t>
      </w:r>
      <w:r>
        <w:br/>
      </w:r>
      <w:r>
        <w:rPr>
          <w:rStyle w:val="VerbatimChar"/>
        </w:rPr>
        <w:t xml:space="preserve">  I1 --&gt;|"backend service self-links"| I3</w:t>
      </w:r>
      <w:r>
        <w:br/>
      </w:r>
      <w:r>
        <w:rPr>
          <w:rStyle w:val="VerbatimChar"/>
        </w:rPr>
        <w:t xml:space="preserve">  I2 --&gt;|"backend service self-links"| I3</w:t>
      </w:r>
      <w:r>
        <w:br/>
      </w:r>
      <w:r>
        <w:rPr>
          <w:rStyle w:val="VerbatimChar"/>
        </w:rPr>
        <w:t xml:space="preserve">  S6 --&gt; I3</w:t>
      </w:r>
      <w:r>
        <w:br/>
      </w:r>
      <w:r>
        <w:rPr>
          <w:rStyle w:val="VerbatimChar"/>
        </w:rPr>
        <w:t xml:space="preserve">  I3 --&gt;|"PSC service attachment"| I4</w:t>
      </w:r>
      <w:r>
        <w:br/>
      </w:r>
      <w:r>
        <w:rPr>
          <w:rStyle w:val="VerbatimChar"/>
        </w:rPr>
        <w:t xml:space="preserve">  S4 --&gt; I4</w:t>
      </w:r>
      <w:r>
        <w:br/>
      </w:r>
      <w:r>
        <w:rPr>
          <w:rStyle w:val="VerbatimChar"/>
        </w:rPr>
        <w:t xml:space="preserve">  I4 --&gt; P</w:t>
      </w:r>
    </w:p>
    <w:bookmarkEnd w:id="241"/>
    <w:bookmarkStart w:id="242" w:name="apply-order-for-a-green-field-build"/>
    <w:p>
      <w:pPr>
        <w:pStyle w:val="Heading2"/>
      </w:pPr>
      <w:r>
        <w:t xml:space="preserve">25.4 Apply order for a green-field build</w:t>
      </w:r>
    </w:p>
    <w:p>
      <w:pPr>
        <w:pStyle w:val="SourceCode"/>
      </w:pPr>
      <w:r>
        <w:rPr>
          <w:rStyle w:val="VerbatimChar"/>
        </w:rPr>
        <w:t xml:space="preserve">1  static/sharedwif       WIF pool and providers</w:t>
      </w:r>
      <w:r>
        <w:br/>
      </w:r>
      <w:r>
        <w:rPr>
          <w:rStyle w:val="VerbatimChar"/>
        </w:rPr>
        <w:t xml:space="preserve">2  static/auditlogs       KMS logs key, 400-day bucket, folder sinks, audit config</w:t>
      </w:r>
      <w:r>
        <w:br/>
      </w:r>
      <w:r>
        <w:rPr>
          <w:rStyle w:val="VerbatimChar"/>
        </w:rPr>
        <w:t xml:space="preserve">3  static/network         APIs, service agents</w:t>
      </w:r>
      <w:r>
        <w:br/>
      </w:r>
      <w:r>
        <w:rPr>
          <w:rStyle w:val="VerbatimChar"/>
        </w:rPr>
        <w:t xml:space="preserve">4  network/network-base   VPC, subnets, firewall, DNS, Shared VPC attachments</w:t>
      </w:r>
      <w:r>
        <w:br/>
      </w:r>
      <w:r>
        <w:rPr>
          <w:rStyle w:val="VerbatimChar"/>
        </w:rPr>
        <w:t xml:space="preserve">5  static/apigee          P4SA, KMS, org, instance, environments   (30-60 min)</w:t>
      </w:r>
      <w:r>
        <w:br/>
      </w:r>
      <w:r>
        <w:rPr>
          <w:rStyle w:val="VerbatimChar"/>
        </w:rPr>
        <w:t xml:space="preserve">6  static/llm             Model Armor templates</w:t>
      </w:r>
      <w:r>
        <w:br/>
      </w:r>
      <w:r>
        <w:rPr>
          <w:rStyle w:val="VerbatimChar"/>
        </w:rPr>
        <w:t xml:space="preserve">7  static/ingress         APIs, service accounts</w:t>
      </w:r>
      <w:r>
        <w:br/>
      </w:r>
      <w:r>
        <w:rPr>
          <w:rStyle w:val="VerbatimChar"/>
        </w:rPr>
        <w:t xml:space="preserve">8  static/aihub-ui        APIs, service account, Artifact Registry, KMS, Firestore, BinAuthz</w:t>
      </w:r>
      <w:r>
        <w:br/>
      </w:r>
      <w:r>
        <w:rPr>
          <w:rStyle w:val="VerbatimChar"/>
        </w:rPr>
        <w:t xml:space="preserve">9  static/st              APIs, per-service accounts, Artifact Registry, KMS, BinAuthz</w:t>
      </w:r>
      <w:r>
        <w:br/>
      </w:r>
      <w:r>
        <w:rPr>
          <w:rStyle w:val="VerbatimChar"/>
        </w:rPr>
        <w:t xml:space="preserve">10 network/network-psc    PSC endpoints, including the one to Apigee from step 5</w:t>
      </w:r>
      <w:r>
        <w:br/>
      </w:r>
      <w:r>
        <w:rPr>
          <w:rStyle w:val="VerbatimChar"/>
        </w:rPr>
        <w:t xml:space="preserve">11 infra/aihub-ui         BFF, backend service, serverless NEG</w:t>
      </w:r>
      <w:r>
        <w:br/>
      </w:r>
      <w:r>
        <w:rPr>
          <w:rStyle w:val="VerbatimChar"/>
        </w:rPr>
        <w:t xml:space="preserve">12 infra/st               Cloud Run services with IAP enabled directly, backend services, NEGs, data</w:t>
      </w:r>
      <w:r>
        <w:br/>
      </w:r>
      <w:r>
        <w:rPr>
          <w:rStyle w:val="VerbatimChar"/>
        </w:rPr>
        <w:t xml:space="preserve">13 infra/ingress          addresses, forwarding rules, URL maps referencing 11 and 12, PSC service attachment</w:t>
      </w:r>
      <w:r>
        <w:br/>
      </w:r>
      <w:r>
        <w:rPr>
          <w:rStyle w:val="VerbatimChar"/>
        </w:rPr>
        <w:t xml:space="preserve">14 infra/apigee           endpoint attachment, target servers, KVMs</w:t>
      </w:r>
      <w:r>
        <w:br/>
      </w:r>
      <w:r>
        <w:rPr>
          <w:rStyle w:val="VerbatimChar"/>
        </w:rPr>
        <w:t xml:space="preserve">15 proxy pipeline         deploy proxies and products  (not Terraform)</w:t>
      </w:r>
    </w:p>
    <w:p>
      <w:pPr>
        <w:pStyle w:val="FirstParagraph"/>
      </w:pPr>
      <w:r>
        <w:rPr>
          <w:bCs/>
          <w:b/>
        </w:rPr>
        <w:t xml:space="preserve">Why the network layer splits.</w:t>
      </w:r>
      <w:r>
        <w:t xml:space="preserve"> </w:t>
      </w:r>
      <w:r>
        <w:t xml:space="preserve">Step 10 needs the Apigee service endpoint, which does not exist until step 5. Splitting into</w:t>
      </w:r>
      <w:r>
        <w:t xml:space="preserve"> </w:t>
      </w:r>
      <w:r>
        <w:rPr>
          <w:rStyle w:val="VerbatimChar"/>
        </w:rPr>
        <w:t xml:space="preserve">network-base</w:t>
      </w:r>
      <w:r>
        <w:t xml:space="preserve"> </w:t>
      </w:r>
      <w:r>
        <w:t xml:space="preserve">and</w:t>
      </w:r>
      <w:r>
        <w:t xml:space="preserve"> </w:t>
      </w:r>
      <w:r>
        <w:rPr>
          <w:rStyle w:val="VerbatimChar"/>
        </w:rPr>
        <w:t xml:space="preserve">network-psc</w:t>
      </w:r>
      <w:r>
        <w:t xml:space="preserve"> </w:t>
      </w:r>
      <w:r>
        <w:t xml:space="preserve">is cleaner than documenting a two-pass apply over one stack, and it makes the dependency visible in the pipeline rather than tribal.</w:t>
      </w:r>
    </w:p>
    <w:bookmarkEnd w:id="242"/>
    <w:bookmarkStart w:id="243" w:name="state-layout"/>
    <w:p>
      <w:pPr>
        <w:pStyle w:val="Heading2"/>
      </w:pPr>
      <w:r>
        <w:t xml:space="preserve">25.5 State layout</w:t>
      </w:r>
    </w:p>
    <w:p>
      <w:pPr>
        <w:pStyle w:val="FirstParagraph"/>
      </w:pPr>
      <w:r>
        <w:t xml:space="preserve">One state file per project per layer, single bucket, prefix per stack:</w:t>
      </w:r>
    </w:p>
    <w:p>
      <w:pPr>
        <w:pStyle w:val="SourceCode"/>
      </w:pPr>
      <w:r>
        <w:rPr>
          <w:rStyle w:val="VerbatimChar"/>
        </w:rPr>
        <w:t xml:space="preserve">gs://gclt-aicoe-dev-tfstate/</w:t>
      </w:r>
      <w:r>
        <w:br/>
      </w:r>
      <w:r>
        <w:rPr>
          <w:rStyle w:val="VerbatimChar"/>
        </w:rPr>
        <w:t xml:space="preserve">  static/{sharedwif,auditlogs,network,apigee,llm,ingress,aihub-ui,st}/</w:t>
      </w:r>
      <w:r>
        <w:br/>
      </w:r>
      <w:r>
        <w:rPr>
          <w:rStyle w:val="VerbatimChar"/>
        </w:rPr>
        <w:t xml:space="preserve">  network/{network-base,network-psc}/</w:t>
      </w:r>
      <w:r>
        <w:br/>
      </w:r>
      <w:r>
        <w:rPr>
          <w:rStyle w:val="VerbatimChar"/>
        </w:rPr>
        <w:t xml:space="preserve">  infra/{aihub-ui,st,ingress,apigee}/</w:t>
      </w:r>
    </w:p>
    <w:p>
      <w:pPr>
        <w:pStyle w:val="FirstParagraph"/>
      </w:pPr>
      <w:r>
        <w:t xml:space="preserve">CMEK, versioning on, uniform bucket-level access, public access prevention enforced. Each Terraform service account reads only the prefixes it needs —</w:t>
      </w:r>
      <w:r>
        <w:t xml:space="preserve"> </w:t>
      </w:r>
      <w:r>
        <w:rPr>
          <w:rStyle w:val="VerbatimChar"/>
        </w:rPr>
        <w:t xml:space="preserve">infra/ingress</w:t>
      </w:r>
      <w:r>
        <w:t xml:space="preserve"> </w:t>
      </w:r>
      <w:r>
        <w:t xml:space="preserve">needs read on</w:t>
      </w:r>
      <w:r>
        <w:t xml:space="preserve"> </w:t>
      </w:r>
      <w:r>
        <w:rPr>
          <w:rStyle w:val="VerbatimChar"/>
        </w:rPr>
        <w:t xml:space="preserve">infra/st</w:t>
      </w:r>
      <w:r>
        <w:t xml:space="preserve"> </w:t>
      </w:r>
      <w:r>
        <w:t xml:space="preserve">and</w:t>
      </w:r>
      <w:r>
        <w:t xml:space="preserve"> </w:t>
      </w:r>
      <w:r>
        <w:rPr>
          <w:rStyle w:val="VerbatimChar"/>
        </w:rPr>
        <w:t xml:space="preserve">infra/aihub-ui</w:t>
      </w:r>
      <w:r>
        <w:t xml:space="preserve"> </w:t>
      </w:r>
      <w:r>
        <w:t xml:space="preserve">for the cross-project outputs, and nothing else does.</w:t>
      </w:r>
    </w:p>
    <w:bookmarkEnd w:id="243"/>
    <w:bookmarkStart w:id="244" w:name="X176bfbad74023f388b8896b06ce1ae61d26050f"/>
    <w:p>
      <w:pPr>
        <w:pStyle w:val="Heading2"/>
      </w:pPr>
      <w:r>
        <w:t xml:space="preserve">25.6 Three failure patterns the layering exists to prevent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Where it bites</w:t>
            </w:r>
          </w:p>
        </w:tc>
        <w:tc>
          <w:tcPr/>
          <w:p>
            <w:pPr>
              <w:pStyle w:val="Compact"/>
              <w:jc w:val="left"/>
            </w:pPr>
            <w:r>
              <w:t xml:space="preserve">Fix</w:t>
            </w:r>
          </w:p>
        </w:tc>
      </w:tr>
      <w:tr>
        <w:tc>
          <w:tcPr/>
          <w:p>
            <w:pPr>
              <w:pStyle w:val="Compact"/>
              <w:jc w:val="left"/>
            </w:pPr>
            <w:r>
              <w:rPr>
                <w:bCs/>
                <w:b/>
              </w:rPr>
              <w:t xml:space="preserve">Service agents are created lazily.</w:t>
            </w:r>
            <w:r>
              <w:t xml:space="preserve"> </w:t>
            </w:r>
            <w:r>
              <w:rPr>
                <w:rStyle w:val="VerbatimChar"/>
              </w:rPr>
              <w:t xml:space="preserve">gcp-sa-apigee</w:t>
            </w:r>
            <w:r>
              <w:t xml:space="preserve">,</w:t>
            </w:r>
            <w:r>
              <w:t xml:space="preserve"> </w:t>
            </w:r>
            <w:r>
              <w:rPr>
                <w:rStyle w:val="VerbatimChar"/>
              </w:rPr>
              <w:t xml:space="preserve">gcp-sa-logging</w:t>
            </w:r>
            <w:r>
              <w:t xml:space="preserve">,</w:t>
            </w:r>
            <w:r>
              <w:t xml:space="preserve"> </w:t>
            </w:r>
            <w:r>
              <w:rPr>
                <w:rStyle w:val="VerbatimChar"/>
              </w:rPr>
              <w:t xml:space="preserve">gcp-sa-iap</w:t>
            </w:r>
            <w:r>
              <w:t xml:space="preserve">,</w:t>
            </w:r>
            <w:r>
              <w:t xml:space="preserve"> </w:t>
            </w:r>
            <w:r>
              <w:rPr>
                <w:rStyle w:val="VerbatimChar"/>
              </w:rPr>
              <w:t xml:space="preserve">gcp-sa-artifactregistry</w:t>
            </w:r>
            <w:r>
              <w:t xml:space="preserve"> </w:t>
            </w:r>
            <w:r>
              <w:t xml:space="preserve">do not exist until first use, so a KMS or IAM binding referencing them fails on a fresh project</w:t>
            </w:r>
          </w:p>
        </w:tc>
        <w:tc>
          <w:tcPr/>
          <w:p>
            <w:pPr>
              <w:pStyle w:val="Compact"/>
              <w:jc w:val="left"/>
            </w:pPr>
            <w:r>
              <w:t xml:space="preserve">static, first apply</w:t>
            </w:r>
          </w:p>
        </w:tc>
        <w:tc>
          <w:tcPr/>
          <w:p>
            <w:pPr>
              <w:pStyle w:val="Compact"/>
              <w:jc w:val="left"/>
            </w:pPr>
            <w:r>
              <w:t xml:space="preserve">Force them explicitly before any binding — this is Part 3. Do not rely on a second apply succeeding</w:t>
            </w:r>
          </w:p>
        </w:tc>
      </w:tr>
      <w:tr>
        <w:tc>
          <w:tcPr/>
          <w:p>
            <w:pPr>
              <w:pStyle w:val="Compact"/>
              <w:jc w:val="left"/>
            </w:pPr>
            <w:r>
              <w:rPr>
                <w:bCs/>
                <w:b/>
              </w:rPr>
              <w:t xml:space="preserve">KMS binding must precede the protected resource.</w:t>
            </w:r>
            <w:r>
              <w:t xml:space="preserve"> </w:t>
            </w:r>
            <w:r>
              <w:t xml:space="preserve">An Apigee organisation, a CMEK log bucket or a CMEK Firestore database all fail if the agent lacks encrypter/decrypter at creation</w:t>
            </w:r>
          </w:p>
        </w:tc>
        <w:tc>
          <w:tcPr/>
          <w:p>
            <w:pPr>
              <w:pStyle w:val="Compact"/>
              <w:jc w:val="left"/>
            </w:pPr>
            <w:r>
              <w:t xml:space="preserve">static</w:t>
            </w:r>
          </w:p>
        </w:tc>
        <w:tc>
          <w:tcPr/>
          <w:p>
            <w:pPr>
              <w:pStyle w:val="Compact"/>
              <w:jc w:val="left"/>
            </w:pPr>
            <w:r>
              <w:t xml:space="preserve">Explicit</w:t>
            </w:r>
            <w:r>
              <w:t xml:space="preserve"> </w:t>
            </w:r>
            <w:r>
              <w:rPr>
                <w:rStyle w:val="VerbatimChar"/>
              </w:rPr>
              <w:t xml:space="preserve">depends_on</w:t>
            </w:r>
            <w:r>
              <w:t xml:space="preserve"> </w:t>
            </w:r>
            <w:r>
              <w:t xml:space="preserve">from the resource to the IAM member, not just to the key</w:t>
            </w:r>
          </w:p>
        </w:tc>
      </w:tr>
      <w:tr>
        <w:tc>
          <w:tcPr/>
          <w:p>
            <w:pPr>
              <w:pStyle w:val="Compact"/>
              <w:jc w:val="left"/>
            </w:pPr>
            <w:r>
              <w:rPr>
                <w:bCs/>
                <w:b/>
              </w:rPr>
              <w:t xml:space="preserve">Sink writer identity does not exist until the sink does</w:t>
            </w:r>
            <w:r>
              <w:t xml:space="preserve">, so granting it on the destination in the same apply fails</w:t>
            </w:r>
          </w:p>
        </w:tc>
        <w:tc>
          <w:tcPr/>
          <w:p>
            <w:pPr>
              <w:pStyle w:val="Compact"/>
              <w:jc w:val="left"/>
            </w:pPr>
            <w:r>
              <w:t xml:space="preserve">static/auditlogs</w:t>
            </w:r>
          </w:p>
        </w:tc>
        <w:tc>
          <w:tcPr/>
          <w:p>
            <w:pPr>
              <w:pStyle w:val="Compact"/>
              <w:jc w:val="left"/>
            </w:pPr>
            <w:r>
              <w:t xml:space="preserve">Two-stage: create the sink, then grant on</w:t>
            </w:r>
            <w:r>
              <w:t xml:space="preserve"> </w:t>
            </w:r>
            <w:r>
              <w:rPr>
                <w:rStyle w:val="VerbatimChar"/>
              </w:rPr>
              <w:t xml:space="preserve">writer_identity</w:t>
            </w:r>
            <w:r>
              <w:t xml:space="preserve"> </w:t>
            </w:r>
            <w:r>
              <w:t xml:space="preserve">with an explicit dependency</w:t>
            </w:r>
          </w:p>
        </w:tc>
      </w:tr>
    </w:tbl>
    <w:bookmarkEnd w:id="244"/>
    <w:bookmarkStart w:id="245" w:name="pipeline"/>
    <w:p>
      <w:pPr>
        <w:pStyle w:val="Heading2"/>
      </w:pPr>
      <w:r>
        <w:t xml:space="preserve">25.7 Pipeline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Trigger</w:t>
            </w:r>
          </w:p>
        </w:tc>
        <w:tc>
          <w:tcPr/>
          <w:p>
            <w:pPr>
              <w:pStyle w:val="Compact"/>
              <w:jc w:val="left"/>
            </w:pPr>
            <w:r>
              <w:t xml:space="preserve">Action</w:t>
            </w:r>
          </w:p>
        </w:tc>
      </w:tr>
      <w:tr>
        <w:tc>
          <w:tcPr/>
          <w:p>
            <w:pPr>
              <w:pStyle w:val="Compact"/>
              <w:jc w:val="left"/>
            </w:pPr>
            <w:r>
              <w:t xml:space="preserve">validate</w:t>
            </w:r>
          </w:p>
        </w:tc>
        <w:tc>
          <w:tcPr/>
          <w:p>
            <w:pPr>
              <w:pStyle w:val="Compact"/>
              <w:jc w:val="left"/>
            </w:pPr>
            <w:r>
              <w:t xml:space="preserve">every merge request</w:t>
            </w:r>
          </w:p>
        </w:tc>
        <w:tc>
          <w:tcPr/>
          <w:p>
            <w:pPr>
              <w:pStyle w:val="Compact"/>
              <w:jc w:val="left"/>
            </w:pPr>
            <w:r>
              <w:rPr>
                <w:rStyle w:val="VerbatimChar"/>
              </w:rPr>
              <w:t xml:space="preserve">fmt</w:t>
            </w:r>
            <w:r>
              <w:t xml:space="preserve">,</w:t>
            </w:r>
            <w:r>
              <w:t xml:space="preserve"> </w:t>
            </w:r>
            <w:r>
              <w:rPr>
                <w:rStyle w:val="VerbatimChar"/>
              </w:rPr>
              <w:t xml:space="preserve">validate</w:t>
            </w:r>
            <w:r>
              <w:t xml:space="preserve">,</w:t>
            </w:r>
            <w:r>
              <w:t xml:space="preserve"> </w:t>
            </w:r>
            <w:r>
              <w:rPr>
                <w:rStyle w:val="VerbatimChar"/>
              </w:rPr>
              <w:t xml:space="preserve">tflint</w:t>
            </w:r>
            <w:r>
              <w:t xml:space="preserve">, policy checks</w:t>
            </w:r>
          </w:p>
        </w:tc>
      </w:tr>
      <w:tr>
        <w:tc>
          <w:tcPr/>
          <w:p>
            <w:pPr>
              <w:pStyle w:val="Compact"/>
              <w:jc w:val="left"/>
            </w:pPr>
            <w:r>
              <w:t xml:space="preserve">plan</w:t>
            </w:r>
          </w:p>
        </w:tc>
        <w:tc>
          <w:tcPr/>
          <w:p>
            <w:pPr>
              <w:pStyle w:val="Compact"/>
              <w:jc w:val="left"/>
            </w:pPr>
            <w:r>
              <w:t xml:space="preserve">every merge request</w:t>
            </w:r>
          </w:p>
        </w:tc>
        <w:tc>
          <w:tcPr/>
          <w:p>
            <w:pPr>
              <w:pStyle w:val="Compact"/>
              <w:jc w:val="left"/>
            </w:pPr>
            <w:r>
              <w:rPr>
                <w:rStyle w:val="VerbatimChar"/>
              </w:rPr>
              <w:t xml:space="preserve">plan</w:t>
            </w:r>
            <w:r>
              <w:t xml:space="preserve"> </w:t>
            </w:r>
            <w:r>
              <w:t xml:space="preserve">per changed stack, posted to the request.</w:t>
            </w:r>
            <w:r>
              <w:t xml:space="preserve"> </w:t>
            </w:r>
            <w:r>
              <w:rPr>
                <w:bCs/>
                <w:b/>
              </w:rPr>
              <w:t xml:space="preserve">Currently missing from the estate and the biggest CI gap</w:t>
            </w:r>
          </w:p>
        </w:tc>
      </w:tr>
      <w:tr>
        <w:tc>
          <w:tcPr/>
          <w:p>
            <w:pPr>
              <w:pStyle w:val="Compact"/>
              <w:jc w:val="left"/>
            </w:pPr>
            <w:r>
              <w:t xml:space="preserve">apply</w:t>
            </w:r>
          </w:p>
        </w:tc>
        <w:tc>
          <w:tcPr/>
          <w:p>
            <w:pPr>
              <w:pStyle w:val="Compact"/>
              <w:jc w:val="left"/>
            </w:pPr>
            <w:r>
              <w:t xml:space="preserve">merge to a protected branch</w:t>
            </w:r>
          </w:p>
        </w:tc>
        <w:tc>
          <w:tcPr/>
          <w:p>
            <w:pPr>
              <w:pStyle w:val="Compact"/>
              <w:jc w:val="left"/>
            </w:pPr>
            <w:r>
              <w:t xml:space="preserve">layer order: static, then network, then infra</w:t>
            </w:r>
          </w:p>
        </w:tc>
      </w:tr>
      <w:tr>
        <w:tc>
          <w:tcPr/>
          <w:p>
            <w:pPr>
              <w:pStyle w:val="Compact"/>
              <w:jc w:val="left"/>
            </w:pPr>
            <w:r>
              <w:t xml:space="preserve">cross-project apply</w:t>
            </w:r>
          </w:p>
        </w:tc>
        <w:tc>
          <w:tcPr/>
          <w:p>
            <w:pPr>
              <w:pStyle w:val="Compact"/>
              <w:jc w:val="left"/>
            </w:pPr>
            <w:r>
              <w:t xml:space="preserve">changes touching</w:t>
            </w:r>
            <w:r>
              <w:t xml:space="preserve"> </w:t>
            </w:r>
            <w:r>
              <w:rPr>
                <w:rStyle w:val="VerbatimChar"/>
              </w:rPr>
              <w:t xml:space="preserve">infra/st</w:t>
            </w:r>
            <w:r>
              <w:t xml:space="preserve">,</w:t>
            </w:r>
            <w:r>
              <w:t xml:space="preserve"> </w:t>
            </w:r>
            <w:r>
              <w:rPr>
                <w:rStyle w:val="VerbatimChar"/>
              </w:rPr>
              <w:t xml:space="preserve">infra/aihub-ui</w:t>
            </w:r>
            <w:r>
              <w:t xml:space="preserve"> </w:t>
            </w:r>
            <w:r>
              <w:t xml:space="preserve">or</w:t>
            </w:r>
            <w:r>
              <w:t xml:space="preserve"> </w:t>
            </w:r>
            <w:r>
              <w:rPr>
                <w:rStyle w:val="VerbatimChar"/>
              </w:rPr>
              <w:t xml:space="preserve">infra/ingress</w:t>
            </w:r>
          </w:p>
        </w:tc>
        <w:tc>
          <w:tcPr/>
          <w:p>
            <w:pPr>
              <w:pStyle w:val="Compact"/>
              <w:jc w:val="left"/>
            </w:pPr>
            <w:r>
              <w:t xml:space="preserve">Backend projects before</w:t>
            </w:r>
            <w:r>
              <w:t xml:space="preserve"> </w:t>
            </w:r>
            <w:r>
              <w:rPr>
                <w:rStyle w:val="VerbatimChar"/>
              </w:rPr>
              <w:t xml:space="preserve">infra/ingress</w:t>
            </w:r>
            <w:r>
              <w:t xml:space="preserve">. Encode it — do not leave it to the engineer</w:t>
            </w:r>
          </w:p>
        </w:tc>
      </w:tr>
    </w:tbl>
    <w:p>
      <w:pPr>
        <w:pStyle w:val="BodyText"/>
      </w:pPr>
      <w:r>
        <w:t xml:space="preserve">Identity is GitLab OIDC to the</w:t>
      </w:r>
      <w:r>
        <w:t xml:space="preserve"> </w:t>
      </w:r>
      <w:r>
        <w:rPr>
          <w:rStyle w:val="VerbatimChar"/>
        </w:rPr>
        <w:t xml:space="preserve">aicoe-sharedwif</w:t>
      </w:r>
      <w:r>
        <w:t xml:space="preserve"> </w:t>
      </w:r>
      <w:r>
        <w:t xml:space="preserve">pool, impersonating one Terraform service account per project per layer. Because that pool serves dev and prod, the provider’s attribute condition binding</w:t>
      </w:r>
      <w:r>
        <w:t xml:space="preserve"> </w:t>
      </w:r>
      <w:r>
        <w:rPr>
          <w:rStyle w:val="VerbatimChar"/>
        </w:rPr>
        <w:t xml:space="preserve">project_path</w:t>
      </w:r>
      <w:r>
        <w:t xml:space="preserve">,</w:t>
      </w:r>
      <w:r>
        <w:t xml:space="preserve"> </w:t>
      </w:r>
      <w:r>
        <w:rPr>
          <w:rStyle w:val="VerbatimChar"/>
        </w:rPr>
        <w:t xml:space="preserve">ref_protected</w:t>
      </w:r>
      <w:r>
        <w:t xml:space="preserve"> </w:t>
      </w:r>
      <w:r>
        <w:t xml:space="preserve">and</w:t>
      </w:r>
      <w:r>
        <w:t xml:space="preserve"> </w:t>
      </w:r>
      <w:r>
        <w:rPr>
          <w:rStyle w:val="VerbatimChar"/>
        </w:rPr>
        <w:t xml:space="preserve">environment</w:t>
      </w:r>
      <w:r>
        <w:t xml:space="preserve"> </w:t>
      </w:r>
      <w:r>
        <w:t xml:space="preserve">is the only separation between them.</w:t>
      </w:r>
    </w:p>
    <w:p>
      <w:r>
        <w:br w:type="page"/>
      </w:r>
    </w:p>
    <w:bookmarkEnd w:id="245"/>
    <w:bookmarkEnd w:id="246"/>
    <w:bookmarkStart w:id="247" w:name="appendix-a-what-the-console-cannot-do"/>
    <w:p>
      <w:pPr>
        <w:pStyle w:val="Heading1"/>
      </w:pPr>
      <w:r>
        <w:t xml:space="preserve">Appendix A — What the console cannot do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Why</w:t>
            </w:r>
          </w:p>
        </w:tc>
        <w:tc>
          <w:tcPr/>
          <w:p>
            <w:pPr>
              <w:pStyle w:val="Compact"/>
              <w:jc w:val="left"/>
            </w:pPr>
            <w:r>
              <w:t xml:space="preserve">Where it appears</w:t>
            </w:r>
          </w:p>
        </w:tc>
      </w:tr>
      <w:tr>
        <w:tc>
          <w:tcPr/>
          <w:p>
            <w:pPr>
              <w:pStyle w:val="Compact"/>
              <w:jc w:val="left"/>
            </w:pPr>
            <w:r>
              <w:t xml:space="preserve">Force a service agent into existence</w:t>
            </w:r>
          </w:p>
        </w:tc>
        <w:tc>
          <w:tcPr/>
          <w:p>
            <w:pPr>
              <w:pStyle w:val="Compact"/>
              <w:jc w:val="left"/>
            </w:pPr>
            <w:r>
              <w:t xml:space="preserve">no console equivalent</w:t>
            </w:r>
          </w:p>
        </w:tc>
        <w:tc>
          <w:tcPr/>
          <w:p>
            <w:pPr>
              <w:pStyle w:val="Compact"/>
              <w:jc w:val="left"/>
            </w:pPr>
            <w:r>
              <w:t xml:space="preserve">Part 3</w:t>
            </w:r>
          </w:p>
        </w:tc>
      </w:tr>
      <w:tr>
        <w:tc>
          <w:tcPr/>
          <w:p>
            <w:pPr>
              <w:pStyle w:val="Compact"/>
              <w:jc w:val="left"/>
            </w:pPr>
            <w:r>
              <w:t xml:space="preserve">Cross-project backend service in a URL map</w:t>
            </w:r>
          </w:p>
        </w:tc>
        <w:tc>
          <w:tcPr/>
          <w:p>
            <w:pPr>
              <w:pStyle w:val="Compact"/>
              <w:jc w:val="left"/>
            </w:pPr>
            <w:r>
              <w:t xml:space="preserve">picker may not list other projects</w:t>
            </w:r>
          </w:p>
        </w:tc>
        <w:tc>
          <w:tcPr/>
          <w:p>
            <w:pPr>
              <w:pStyle w:val="Compact"/>
              <w:jc w:val="left"/>
            </w:pPr>
            <w:r>
              <w:t xml:space="preserve">§20.6</w:t>
            </w:r>
          </w:p>
        </w:tc>
      </w:tr>
      <w:tr>
        <w:tc>
          <w:tcPr/>
          <w:p>
            <w:pPr>
              <w:pStyle w:val="Compact"/>
              <w:jc w:val="left"/>
            </w:pPr>
            <w:r>
              <w:t xml:space="preserve">Attribute conditions on some IAM bindings</w:t>
            </w:r>
          </w:p>
        </w:tc>
        <w:tc>
          <w:tcPr/>
          <w:p>
            <w:pPr>
              <w:pStyle w:val="Compact"/>
              <w:jc w:val="left"/>
            </w:pPr>
            <w:r>
              <w:t xml:space="preserve">expression editor is limited</w:t>
            </w:r>
          </w:p>
        </w:tc>
        <w:tc>
          <w:tcPr/>
          <w:p>
            <w:pPr>
              <w:pStyle w:val="Compact"/>
              <w:jc w:val="left"/>
            </w:pPr>
            <w:r>
              <w:t xml:space="preserve">Part 12</w:t>
            </w:r>
          </w:p>
        </w:tc>
      </w:tr>
    </w:tbl>
    <w:p>
      <w:pPr>
        <w:pStyle w:val="BodyText"/>
      </w:pPr>
      <w:r>
        <w:t xml:space="preserve">Everything else in this runbook is achievable by clicking. Where you do drop into Cloud Shell, the command is given in full.</w:t>
      </w:r>
    </w:p>
    <w:bookmarkEnd w:id="247"/>
    <w:bookmarkStart w:id="248" w:name="X1fc0f17242ae3647abddaf70885408ba42b0752"/>
    <w:p>
      <w:pPr>
        <w:pStyle w:val="Heading1"/>
      </w:pPr>
      <w:r>
        <w:t xml:space="preserve">Appendix B — Common errors and what they mean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Message</w:t>
            </w:r>
          </w:p>
        </w:tc>
        <w:tc>
          <w:tcPr/>
          <w:p>
            <w:pPr>
              <w:pStyle w:val="Compact"/>
              <w:jc w:val="left"/>
            </w:pPr>
            <w:r>
              <w:t xml:space="preserve">What is actually wrong</w:t>
            </w:r>
          </w:p>
        </w:tc>
        <w:tc>
          <w:tcPr/>
          <w:p>
            <w:pPr>
              <w:pStyle w:val="Compact"/>
              <w:jc w:val="left"/>
            </w:pPr>
            <w:r>
              <w:t xml:space="preserve">Fix</w:t>
            </w:r>
          </w:p>
        </w:tc>
      </w:tr>
      <w:tr>
        <w:tc>
          <w:tcPr/>
          <w:p>
            <w:pPr>
              <w:pStyle w:val="Compact"/>
              <w:jc w:val="left"/>
            </w:pPr>
            <w:r>
              <w:t xml:space="preserve">“</w:t>
            </w:r>
            <w:r>
              <w:t xml:space="preserve">Service account does not exist</w:t>
            </w:r>
            <w:r>
              <w:t xml:space="preserve">”</w:t>
            </w:r>
            <w:r>
              <w:t xml:space="preserve"> </w:t>
            </w:r>
            <w:r>
              <w:t xml:space="preserve">when granting on a key</w:t>
            </w:r>
          </w:p>
        </w:tc>
        <w:tc>
          <w:tcPr/>
          <w:p>
            <w:pPr>
              <w:pStyle w:val="Compact"/>
              <w:jc w:val="left"/>
            </w:pPr>
            <w:r>
              <w:t xml:space="preserve">the service agent has not been created yet</w:t>
            </w:r>
          </w:p>
        </w:tc>
        <w:tc>
          <w:tcPr/>
          <w:p>
            <w:pPr>
              <w:pStyle w:val="Compact"/>
              <w:jc w:val="left"/>
            </w:pPr>
            <w:r>
              <w:t xml:space="preserve">Part 3</w:t>
            </w:r>
          </w:p>
        </w:tc>
      </w:tr>
      <w:tr>
        <w:tc>
          <w:tcPr/>
          <w:p>
            <w:pPr>
              <w:pStyle w:val="Compact"/>
              <w:jc w:val="left"/>
            </w:pPr>
            <w:r>
              <w:t xml:space="preserve">Apigee provisioning fails partway through</w:t>
            </w:r>
          </w:p>
        </w:tc>
        <w:tc>
          <w:tcPr/>
          <w:p>
            <w:pPr>
              <w:pStyle w:val="Compact"/>
              <w:jc w:val="left"/>
            </w:pPr>
            <w:r>
              <w:t xml:space="preserve">the service agent cannot use the encryption key</w:t>
            </w:r>
          </w:p>
        </w:tc>
        <w:tc>
          <w:tcPr/>
          <w:p>
            <w:pPr>
              <w:pStyle w:val="Compact"/>
              <w:jc w:val="left"/>
            </w:pPr>
            <w:r>
              <w:t xml:space="preserve">check the Part 4 grant, then start again — a partly created organisation must be deleted</w:t>
            </w:r>
          </w:p>
        </w:tc>
      </w:tr>
      <w:tr>
        <w:tc>
          <w:tcPr/>
          <w:p>
            <w:pPr>
              <w:pStyle w:val="Compact"/>
              <w:jc w:val="left"/>
            </w:pPr>
            <w:r>
              <w:t xml:space="preserve">“</w:t>
            </w:r>
            <w:r>
              <w:t xml:space="preserve">Invalid IP CIDR range</w:t>
            </w:r>
            <w:r>
              <w:t xml:space="preserve">”</w:t>
            </w:r>
          </w:p>
        </w:tc>
        <w:tc>
          <w:tcPr/>
          <w:p>
            <w:pPr>
              <w:pStyle w:val="Compact"/>
              <w:jc w:val="left"/>
            </w:pPr>
            <w:r>
              <w:t xml:space="preserve">the range is not on a valid boundary, or overlaps an existing subnet</w:t>
            </w:r>
          </w:p>
        </w:tc>
        <w:tc>
          <w:tcPr/>
          <w:p>
            <w:pPr>
              <w:pStyle w:val="Compact"/>
              <w:jc w:val="left"/>
            </w:pPr>
            <w:r>
              <w:t xml:space="preserve">check §0.5</w:t>
            </w:r>
          </w:p>
        </w:tc>
      </w:tr>
      <w:tr>
        <w:tc>
          <w:tcPr/>
          <w:p>
            <w:pPr>
              <w:pStyle w:val="Compact"/>
              <w:jc w:val="left"/>
            </w:pPr>
            <w:r>
              <w:t xml:space="preserve">Cloud Run deployment refused with a policy message</w:t>
            </w:r>
          </w:p>
        </w:tc>
        <w:tc>
          <w:tcPr/>
          <w:p>
            <w:pPr>
              <w:pStyle w:val="Compact"/>
              <w:jc w:val="left"/>
            </w:pPr>
            <w:r>
              <w:t xml:space="preserve">Binary Authorization, working correctly</w:t>
            </w:r>
          </w:p>
        </w:tc>
        <w:tc>
          <w:tcPr/>
          <w:p>
            <w:pPr>
              <w:pStyle w:val="Compact"/>
              <w:jc w:val="left"/>
            </w:pPr>
            <w:r>
              <w:t xml:space="preserve">sign the image</w:t>
            </w:r>
          </w:p>
        </w:tc>
      </w:tr>
      <w:tr>
        <w:tc>
          <w:tcPr/>
          <w:p>
            <w:pPr>
              <w:pStyle w:val="Compact"/>
              <w:jc w:val="left"/>
            </w:pPr>
            <w:r>
              <w:t xml:space="preserve">“</w:t>
            </w:r>
            <w:r>
              <w:t xml:space="preserve">The resource is not in the same region</w:t>
            </w:r>
            <w:r>
              <w:t xml:space="preserve">”</w:t>
            </w:r>
          </w:p>
        </w:tc>
        <w:tc>
          <w:tcPr/>
          <w:p>
            <w:pPr>
              <w:pStyle w:val="Compact"/>
              <w:jc w:val="left"/>
            </w:pPr>
            <w:r>
              <w:t xml:space="preserve">a key in one region, a resource in another</w:t>
            </w:r>
          </w:p>
        </w:tc>
        <w:tc>
          <w:tcPr/>
          <w:p>
            <w:pPr>
              <w:pStyle w:val="Compact"/>
              <w:jc w:val="left"/>
            </w:pPr>
            <w:r>
              <w:t xml:space="preserve">keys and resources must share a region</w:t>
            </w:r>
          </w:p>
        </w:tc>
      </w:tr>
      <w:tr>
        <w:tc>
          <w:tcPr/>
          <w:p>
            <w:pPr>
              <w:pStyle w:val="Compact"/>
              <w:jc w:val="left"/>
            </w:pPr>
            <w:r>
              <w:t xml:space="preserve">Load balancer created but nothing responds</w:t>
            </w:r>
          </w:p>
        </w:tc>
        <w:tc>
          <w:tcPr/>
          <w:p>
            <w:pPr>
              <w:pStyle w:val="Compact"/>
              <w:jc w:val="left"/>
            </w:pPr>
            <w:r>
              <w:t xml:space="preserve">for internal load balancers, the client must be inside the network or routed to it</w:t>
            </w:r>
          </w:p>
        </w:tc>
        <w:tc>
          <w:tcPr/>
          <w:p>
            <w:pPr>
              <w:pStyle w:val="Compact"/>
              <w:jc w:val="left"/>
            </w:pPr>
            <w:r>
              <w:t xml:space="preserve">check you are on the ZPA path</w:t>
            </w:r>
          </w:p>
        </w:tc>
      </w:tr>
      <w:tr>
        <w:tc>
          <w:tcPr/>
          <w:p>
            <w:pPr>
              <w:pStyle w:val="Compact"/>
              <w:jc w:val="left"/>
            </w:pPr>
            <w:r>
              <w:t xml:space="preserve">Google API calls hang from Cloud Run</w:t>
            </w:r>
          </w:p>
        </w:tc>
        <w:tc>
          <w:tcPr/>
          <w:p>
            <w:pPr>
              <w:pStyle w:val="Compact"/>
              <w:jc w:val="left"/>
            </w:pPr>
            <w:r>
              <w:t xml:space="preserve">the DNS zone points at an endpoint that does not exist yet</w:t>
            </w:r>
          </w:p>
        </w:tc>
        <w:tc>
          <w:tcPr/>
          <w:p>
            <w:pPr>
              <w:pStyle w:val="Compact"/>
              <w:jc w:val="left"/>
            </w:pPr>
            <w:r>
              <w:t xml:space="preserve">finish Part 8</w:t>
            </w:r>
          </w:p>
        </w:tc>
      </w:tr>
      <w:tr>
        <w:tc>
          <w:tcPr/>
          <w:p>
            <w:pPr>
              <w:pStyle w:val="Compact"/>
              <w:jc w:val="left"/>
            </w:pPr>
            <w:r>
              <w:t xml:space="preserve">BigQuery rejects a dataset name</w:t>
            </w:r>
          </w:p>
        </w:tc>
        <w:tc>
          <w:tcPr/>
          <w:p>
            <w:pPr>
              <w:pStyle w:val="Compact"/>
              <w:jc w:val="left"/>
            </w:pPr>
            <w:r>
              <w:t xml:space="preserve">hyphens are not allowed</w:t>
            </w:r>
          </w:p>
        </w:tc>
        <w:tc>
          <w:tcPr/>
          <w:p>
            <w:pPr>
              <w:pStyle w:val="Compact"/>
              <w:jc w:val="left"/>
            </w:pPr>
            <w:r>
              <w:t xml:space="preserve">use underscores</w:t>
            </w:r>
          </w:p>
        </w:tc>
      </w:tr>
      <w:tr>
        <w:tc>
          <w:tcPr/>
          <w:p>
            <w:pPr>
              <w:pStyle w:val="Compact"/>
              <w:jc w:val="left"/>
            </w:pPr>
            <w:r>
              <w:t xml:space="preserve">“</w:t>
            </w:r>
            <w:r>
              <w:t xml:space="preserve">allUsers is not allowed</w:t>
            </w:r>
            <w:r>
              <w:t xml:space="preserve">”</w:t>
            </w:r>
          </w:p>
        </w:tc>
        <w:tc>
          <w:tcPr/>
          <w:p>
            <w:pPr>
              <w:pStyle w:val="Compact"/>
              <w:jc w:val="left"/>
            </w:pPr>
            <w:r>
              <w:t xml:space="preserve">domain-restricted sharing, working correctly</w:t>
            </w:r>
          </w:p>
        </w:tc>
        <w:tc>
          <w:tcPr/>
          <w:p>
            <w:pPr>
              <w:pStyle w:val="Compact"/>
              <w:jc w:val="left"/>
            </w:pPr>
            <w:r>
              <w:t xml:space="preserve">do not remove the policy — this is why Part 20 uses IAP instead</w:t>
            </w:r>
          </w:p>
        </w:tc>
      </w:tr>
      <w:tr>
        <w:tc>
          <w:tcPr/>
          <w:p>
            <w:pPr>
              <w:pStyle w:val="Compact"/>
              <w:jc w:val="left"/>
            </w:pPr>
            <w:r>
              <w:t xml:space="preserve">Sign-in loops without completing</w:t>
            </w:r>
          </w:p>
        </w:tc>
        <w:tc>
          <w:tcPr/>
          <w:p>
            <w:pPr>
              <w:pStyle w:val="Compact"/>
              <w:jc w:val="left"/>
            </w:pPr>
            <w:r>
              <w:t xml:space="preserve">the Entra redirect is being sent through the ZPA tunnel</w:t>
            </w:r>
          </w:p>
        </w:tc>
        <w:tc>
          <w:tcPr/>
          <w:p>
            <w:pPr>
              <w:pStyle w:val="Compact"/>
              <w:jc w:val="left"/>
            </w:pPr>
            <w:r>
              <w:t xml:space="preserve">it must bypass the tunnel</w:t>
            </w:r>
          </w:p>
        </w:tc>
      </w:tr>
      <w:tr>
        <w:tc>
          <w:tcPr/>
          <w:p>
            <w:pPr>
              <w:pStyle w:val="Compact"/>
              <w:jc w:val="left"/>
            </w:pPr>
            <w:r>
              <w:t xml:space="preserve">Everything is correct but the page 404s</w:t>
            </w:r>
          </w:p>
        </w:tc>
        <w:tc>
          <w:tcPr/>
          <w:p>
            <w:pPr>
              <w:pStyle w:val="Compact"/>
              <w:jc w:val="left"/>
            </w:pPr>
            <w:r>
              <w:t xml:space="preserve">check the project selector at the top-left</w:t>
            </w:r>
          </w:p>
        </w:tc>
        <w:tc>
          <w:tcPr/>
          <w:p>
            <w:pPr>
              <w:pStyle w:val="Compact"/>
              <w:jc w:val="left"/>
            </w:pPr>
            <w:r>
              <w:t xml:space="preserve">more common than you would think</w:t>
            </w:r>
          </w:p>
        </w:tc>
      </w:tr>
    </w:tbl>
    <w:bookmarkEnd w:id="248"/>
    <w:sectPr>
      <w:headerReference r:id="rId9" w:type="default"/>
      <w:footerReference r:id="rId10" w:type="default"/>
      <w:footerReference w:type="first" r:id="rId11"/>
      <w:footerReference w:type="even" r:id="rId12"/>
      <w:pgSz w:h="16838" w:orient="portrait" w:w="11906"/>
      <w:pgMar w:bottom="1100" w:footer="708" w:gutter="0" w:header="708" w:left="1200" w:right="1100" w:top="110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5"/>
        <w:szCs w:val="15"/>
      </w:rPr>
      <w:t xml:space="preserve">Revision R13   ·   page </w:t>
    </w:r>
    <w:r>
      <w:rPr>
        <w:color w:val="808080"/>
        <w:sz w:val="15"/>
        <w:szCs w:val="15"/>
      </w:rPr>
      <w:fldChar w:fldCharType="begin"/>
      <w:instrText xml:space="preserve">PAGE</w:instrText>
      <w:fldChar w:fldCharType="separate"/>
      <w:fldChar w:fldCharType="end"/>
    </w:r>
    <w:r>
      <w:rPr>
        <w:color w:val="808080"/>
        <w:sz w:val="15"/>
        <w:szCs w:val="15"/>
      </w:rPr>
      <w:t xml:space="preserve"> of </w:t>
    </w:r>
    <w:r>
      <w:rPr>
        <w:color w:val="808080"/>
        <w:sz w:val="15"/>
        <w:szCs w:val="15"/>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808080"/>
        <w:sz w:val="15"/>
        <w:szCs w:val="15"/>
      </w:rPr>
      <w:t xml:space="preserve">AI CoE Dev Platform — Implementation Runbook</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2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27">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after="120" w:line="264"/>
      </w:pPr>
    </w:pPrDefault>
  </w:docDefaults>
  <w:style w:styleId="Title" w:type="paragraph">
    <w:name w:val="Title"/>
    <w:basedOn w:val="Normal"/>
    <w:next w:val="Normal"/>
    <w:qFormat/>
    <w:rPr>
      <w:rFonts w:ascii="Calibri Light" w:cs="Calibri Light" w:eastAsia="Calibri Light" w:hAnsi="Calibri Light"/>
      <w:b/>
      <w:bCs/>
      <w:color w:val="1F3864"/>
      <w:sz w:val="60"/>
      <w:szCs w:val="60"/>
    </w:rPr>
  </w:style>
  <w:style w:styleId="Heading1" w:type="paragraph">
    <w:name w:val="Heading 1"/>
    <w:basedOn w:val="Normal"/>
    <w:next w:val="Normal"/>
    <w:qFormat/>
    <w:pPr>
      <w:pBdr>
        <w:bottom w:color="8EAADB" w:space="6" w:sz="6" w:val="single"/>
      </w:pBdr>
      <w:spacing w:after="160" w:before="400"/>
    </w:pPr>
    <w:rPr>
      <w:rFonts w:ascii="Calibri Light" w:cs="Calibri Light" w:eastAsia="Calibri Light" w:hAnsi="Calibri Light"/>
      <w:b/>
      <w:bCs/>
      <w:color w:val="1F3864"/>
      <w:sz w:val="30"/>
      <w:szCs w:val="30"/>
    </w:rPr>
  </w:style>
  <w:style w:styleId="Heading2" w:type="paragraph">
    <w:name w:val="Heading 2"/>
    <w:basedOn w:val="Normal"/>
    <w:next w:val="Normal"/>
    <w:qFormat/>
    <w:pPr>
      <w:spacing w:after="120" w:before="280"/>
    </w:pPr>
    <w:rPr>
      <w:rFonts w:ascii="Calibri Light" w:cs="Calibri Light" w:eastAsia="Calibri Light" w:hAnsi="Calibri Light"/>
      <w:b/>
      <w:bCs/>
      <w:color w:val="2E5496"/>
      <w:sz w:val="25"/>
      <w:szCs w:val="25"/>
    </w:rPr>
  </w:style>
  <w:style w:styleId="Heading3" w:type="paragraph">
    <w:name w:val="Heading 3"/>
    <w:basedOn w:val="Normal"/>
    <w:next w:val="Normal"/>
    <w:qFormat/>
    <w:pPr>
      <w:spacing w:after="90" w:before="200"/>
    </w:pPr>
    <w:rPr>
      <w:rFonts w:ascii="Calibri Light" w:cs="Calibri Light" w:eastAsia="Calibri Light" w:hAnsi="Calibri Light"/>
      <w:b/>
      <w:bCs/>
      <w:color w:val="44546A"/>
      <w:sz w:val="22"/>
      <w:szCs w:val="22"/>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SourceCode" w:type="paragraph">
    <w:name w:val="Source Code"/>
    <w:basedOn w:val="Normal"/>
    <w:qFormat/>
    <w:pPr>
      <w:shd w:fill="F4F4F4" w:val="clear"/>
      <w:spacing w:after="40" w:before="40"/>
      <w:ind w:left="220"/>
    </w:pPr>
    <w:rPr>
      <w:rFonts w:ascii="Consolas" w:cs="Consolas" w:eastAsia="Consolas" w:hAnsi="Consolas"/>
      <w:sz w:val="16"/>
      <w:szCs w:val="16"/>
    </w:rPr>
  </w:style>
  <w:style w:styleId="VerbatimChar" w:type="paragraph">
    <w:name w:val="Verbatim Char"/>
    <w:basedOn w:val="Normal"/>
    <w:rPr>
      <w:rFonts w:ascii="Consolas" w:cs="Consolas" w:eastAsia="Consolas" w:hAnsi="Consolas"/>
      <w:color w:val="A31515"/>
      <w:sz w:val="17"/>
      <w:szCs w:val="17"/>
    </w:rPr>
  </w:style>
  <w:style w:styleId="Compact" w:type="paragraph">
    <w:name w:val="Compact"/>
    <w:basedOn w:val="Normal"/>
    <w:pPr>
      <w:spacing w:after="60"/>
    </w:pPr>
  </w:style>
  <w:style w:styleId="BlockText" w:type="paragraph">
    <w:name w:val="Block Text"/>
    <w:basedOn w:val="Normal"/>
    <w:pPr>
      <w:pBdr>
        <w:left w:color="8EAADB" w:space="10" w:sz="12" w:val="single"/>
      </w:pBdr>
      <w:spacing w:after="120" w:before="120"/>
      <w:ind w:left="340"/>
    </w:pPr>
    <w:rPr>
      <w:i/>
      <w:iCs/>
      <w:color w:val="44546A"/>
    </w:rPr>
  </w:style>
  <w:style w:styleId="Table" w:type="table">
    <w:name w:val="Table"/>
    <w:tblPr>
      <w:tblBorders>
        <w:top w:color="B4C6E7" w:space="0" w:sz="4" w:val="single"/>
        <w:left w:color="B4C6E7" w:space="0" w:sz="4" w:val="single"/>
        <w:bottom w:color="B4C6E7" w:space="0" w:sz="4" w:val="single"/>
        <w:right w:color="B4C6E7" w:space="0" w:sz="4" w:val="single"/>
        <w:insideH w:color="D9E2F3" w:space="0" w:sz="4" w:val="single"/>
        <w:insideV w:color="D9E2F3" w:space="0" w:sz="4" w:val="single"/>
      </w:tblBorders>
      <w:tblCellMar>
        <w:top w:type="dxa" w:w="70"/>
        <w:left w:type="dxa" w:w="100"/>
        <w:bottom w:type="dxa" w:w="70"/>
        <w:right w:type="dxa" w:w="100"/>
      </w:tblCellMar>
    </w:tblPr>
    <w:tblStylePr w:type="firstRow">
      <w:rPr>
        <w:b/>
        <w:color w:val="FFFFFF"/>
      </w:rPr>
      <w:tcPr>
        <w:shd w:color="auto" w:fill="2E5496" w:val="clear"/>
      </w:tcPr>
    </w:tblStylePr>
    <w:tblStylePr w:type="band2Horz">
      <w:tcPr>
        <w:shd w:color="auto" w:fill="F2F6FC"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CoE Dev Platform</dc:title>
  <dc:creator>Prodapt · Colt Technology Services · AI Centre of Excellence</dc:creator>
  <dc:language>en-GB</dc:language>
  <cp:keywords/>
  <dcterms:created xsi:type="dcterms:W3CDTF">2026-08-07T11:48:57Z</dcterms:created>
  <dcterms:modified xsi:type="dcterms:W3CDTF">2026-08-07T11:48:57Z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Revision R12</vt:lpwstr>
  </property>
  <property fmtid="{D5CDD505-2E9C-101B-9397-08002B2CF9AE}" pid="3" name="subtitle">
    <vt:lpwstr>Implementation Runbook — Google Cloud Console</vt:lpwstr>
  </property>
  <property fmtid="{D5CDD505-2E9C-101B-9397-08002B2CF9AE}" pid="4" name="toc-title">
    <vt:lpwstr>Contents (in Word: right-click this list and choose Update Field to populate it)</vt:lpwstr>
  </property>
</Properties>
</file>