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bc6dbbbef027037b1afefa2a1e313b8f7f2642f"/>
    <w:p>
      <w:pPr>
        <w:pStyle w:val="Heading1"/>
      </w:pPr>
      <w:r>
        <w:t xml:space="preserve">Low Level Design — AICOE GCP Infrastructure</w:t>
      </w:r>
    </w:p>
    <w:p>
      <w:pPr>
        <w:pStyle w:val="FirstParagraph"/>
      </w:pPr>
      <w:r>
        <w:rPr>
          <w:b/>
          <w:bCs/>
        </w:rPr>
        <w:t xml:space="preserve">Version 2.0.2 · Colt AI Centre of Excellence · Google Cloud Platform</w:t>
      </w:r>
      <w:r>
        <w:br/>
      </w:r>
      <w:r>
        <w:rPr>
          <w:b/>
          <w:bCs/>
        </w:rPr>
        <w:t xml:space="preserve">Environments covered: Sandbox and Development</w:t>
      </w:r>
    </w:p>
    <w:tbl>
      <w:tblPr>
        <w:tblStyle w:val="TableGrid"/>
        <w:tblW w:type="auto" w:w="0"/>
        <w:jc w:val="start"/>
        <w:tblLook w:firstRow="0" w:lastRow="0" w:firstColumn="0" w:lastColumn="0" w:noHBand="0" w:noVBand="0" w:val="0000"/>
      </w:tblPr>
      <w:tblGrid>
        <w:gridCol w:w="3960"/>
        <w:gridCol w:w="3960"/>
      </w:tblGrid>
      <w:tr>
        <w:tc>
          <w:tcPr/>
          <w:p>
            <w:pPr>
              <w:pStyle w:val="Compact"/>
              <w:jc w:val="left"/>
            </w:pPr>
            <w:r>
              <w:rPr>
                <w:b/>
                <w:bCs/>
              </w:rPr>
              <w:t xml:space="preserve">Classification</w:t>
            </w:r>
          </w:p>
        </w:tc>
        <w:tc>
          <w:tcPr/>
          <w:p>
            <w:pPr>
              <w:pStyle w:val="Compact"/>
              <w:jc w:val="left"/>
            </w:pPr>
            <w:r>
              <w:rPr>
                <w:b/>
                <w:bCs/>
              </w:rPr>
              <w:t xml:space="preserve">Internal — Restricted</w:t>
            </w:r>
          </w:p>
        </w:tc>
      </w:tr>
      <w:tr>
        <w:tc>
          <w:tcPr/>
          <w:p>
            <w:pPr>
              <w:pStyle w:val="Compact"/>
              <w:jc w:val="left"/>
            </w:pPr>
            <w:r>
              <w:t xml:space="preserve">Version</w:t>
            </w:r>
          </w:p>
        </w:tc>
        <w:tc>
          <w:tcPr/>
          <w:p>
            <w:pPr>
              <w:pStyle w:val="Compact"/>
              <w:jc w:val="left"/>
            </w:pPr>
            <w:r>
              <w:t xml:space="preserve">2.0.2</w:t>
            </w:r>
          </w:p>
        </w:tc>
      </w:tr>
      <w:tr>
        <w:tc>
          <w:tcPr/>
          <w:p>
            <w:pPr>
              <w:pStyle w:val="Compact"/>
              <w:jc w:val="left"/>
            </w:pPr>
            <w:r>
              <w:t xml:space="preserve">Status</w:t>
            </w:r>
          </w:p>
        </w:tc>
        <w:tc>
          <w:tcPr/>
          <w:p>
            <w:pPr>
              <w:pStyle w:val="Compact"/>
              <w:jc w:val="left"/>
            </w:pPr>
            <w:r>
              <w:t xml:space="preserve">Draft</w:t>
            </w:r>
          </w:p>
        </w:tc>
      </w:tr>
      <w:tr>
        <w:tc>
          <w:tcPr/>
          <w:p>
            <w:pPr>
              <w:pStyle w:val="Compact"/>
              <w:jc w:val="left"/>
            </w:pPr>
            <w:r>
              <w:t xml:space="preserve">Last Updated</w:t>
            </w:r>
          </w:p>
        </w:tc>
        <w:tc>
          <w:tcPr/>
          <w:p>
            <w:pPr>
              <w:pStyle w:val="Compact"/>
              <w:jc w:val="left"/>
            </w:pPr>
            <w:r>
              <w:t xml:space="preserve">August 2026</w:t>
            </w:r>
          </w:p>
        </w:tc>
      </w:tr>
      <w:tr>
        <w:tc>
          <w:tcPr/>
          <w:p>
            <w:pPr>
              <w:pStyle w:val="Compact"/>
              <w:jc w:val="left"/>
            </w:pPr>
            <w:r>
              <w:t xml:space="preserve">Owner</w:t>
            </w:r>
          </w:p>
        </w:tc>
        <w:tc>
          <w:tcPr/>
          <w:p>
            <w:pPr>
              <w:pStyle w:val="Compact"/>
              <w:jc w:val="left"/>
            </w:pPr>
            <w:r>
              <w:t xml:space="preserve">AICOE Cloud Platform Team</w:t>
            </w:r>
          </w:p>
        </w:tc>
      </w:tr>
    </w:tbl>
    <w:p>
      <w:r>
        <w:pict>
          <v:rect style="width:0;height:1.5pt" o:hralign="center" o:hrstd="t" o:hr="t"/>
        </w:pict>
      </w:r>
    </w:p>
    <w:bookmarkEnd w:id="20"/>
    <w:bookmarkStart w:id="25" w:name="document-control"/>
    <w:p>
      <w:pPr>
        <w:pStyle w:val="Heading1"/>
      </w:pPr>
      <w:r>
        <w:t xml:space="preserve">1. Document Control</w:t>
      </w:r>
    </w:p>
    <w:bookmarkStart w:id="21" w:name="purpose"/>
    <w:p>
      <w:pPr>
        <w:pStyle w:val="Heading2"/>
      </w:pPr>
      <w:r>
        <w:t xml:space="preserve">1.1 Purpose</w:t>
      </w:r>
    </w:p>
    <w:p>
      <w:pPr>
        <w:pStyle w:val="FirstParagraph"/>
      </w:pPr>
      <w:r>
        <w:t xml:space="preserve">This Low Level Design describes the target-state build of the Colt AI Centre of Excellence platform on Google Cloud across two environments.</w:t>
      </w:r>
    </w:p>
    <w:p>
      <w:pPr>
        <w:pStyle w:val="BodyText"/>
      </w:pPr>
      <w:r>
        <w:rPr>
          <w:b/>
          <w:bCs/>
        </w:rPr>
        <w:t xml:space="preserve">Sandbox</w:t>
      </w:r>
      <w:r>
        <w:t xml:space="preserve"> </w:t>
      </w:r>
      <w:r>
        <w:t xml:space="preserve">(</w:t>
      </w:r>
      <w:r>
        <w:rPr>
          <w:rStyle w:val="VerbatimChar"/>
        </w:rPr>
        <w:t xml:space="preserve">aicoesandox</w:t>
      </w:r>
      <w:r>
        <w:t xml:space="preserve">) is a single, self-contained project and VPC addressed from</w:t>
      </w:r>
      <w:r>
        <w:t xml:space="preserve"> </w:t>
      </w:r>
      <w:r>
        <w:rPr>
          <w:rStyle w:val="VerbatimChar"/>
        </w:rPr>
        <w:t xml:space="preserve">192.168.1.0/24</w:t>
      </w:r>
      <w:r>
        <w:t xml:space="preserve">, with</w:t>
      </w:r>
      <w:r>
        <w:t xml:space="preserve"> </w:t>
      </w:r>
      <w:r>
        <w:rPr>
          <w:rStyle w:val="VerbatimChar"/>
        </w:rPr>
        <w:t xml:space="preserve">192.168.2.0/24</w:t>
      </w:r>
      <w:r>
        <w:t xml:space="preserve"> </w:t>
      </w:r>
      <w:r>
        <w:t xml:space="preserve">held alongside it for Private Service Connect. It is the environment in which the AI CoE developer team tests and experiments: it carries a Vertex AI Workbench instance for interactive work, Cloud Run services for the translation and sales-agent use cases behind two internal load balancers, and deterministic outbound egress through Cloud NAT.</w:t>
      </w:r>
    </w:p>
    <w:p>
      <w:pPr>
        <w:pStyle w:val="BodyText"/>
      </w:pPr>
      <w:r>
        <w:rPr>
          <w:b/>
          <w:bCs/>
        </w:rPr>
        <w:t xml:space="preserve">Development</w:t>
      </w:r>
      <w:r>
        <w:t xml:space="preserve"> </w:t>
      </w:r>
      <w:r>
        <w:t xml:space="preserve">is the platform environment: eight Google Cloud projects — seven of its own plus the shared seed project — under a single Shared VPC, an Apigee organisation acting as both API gateway and AI gateway, a Cloud Run Backend-for-Frontend as the single user entry point behind Identity-Aware Proxy, and Vertex AI reachable only through a metered, screened gateway path. Production is not built by this document; it repeats the Development design with different address ranges.</w:t>
      </w:r>
    </w:p>
    <w:p>
      <w:pPr>
        <w:pStyle w:val="BodyText"/>
      </w:pPr>
      <w:r>
        <w:t xml:space="preserve">The document is written to be buildable. Every value in it — project identifier, subnet range, service account, policy name, quota figure — is either a decision recorded by the design authority or is explicitly marked as allocated by a Google service at provisioning time.</w:t>
      </w:r>
    </w:p>
    <w:bookmarkEnd w:id="21"/>
    <w:bookmarkStart w:id="22" w:name="revision-history"/>
    <w:p>
      <w:pPr>
        <w:pStyle w:val="Heading2"/>
      </w:pPr>
      <w:r>
        <w:t xml:space="preserve">1.2 Revision history</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Rev</w:t>
            </w:r>
          </w:p>
        </w:tc>
        <w:tc>
          <w:tcPr>
            <w:shd w:val="clear" w:color="auto" w:fill="1F3864"/>
          </w:tcPr>
          <w:p>
            <w:pPr>
              <w:pStyle w:val="Compact"/>
              <w:jc w:val="left"/>
            </w:pPr>
            <w:r>
              <w:rPr>
                <w:b/>
                <w:color w:val="FFFFFF"/>
              </w:rPr>
              <w:t xml:space="preserve">Date</w:t>
            </w:r>
          </w:p>
        </w:tc>
        <w:tc>
          <w:tcPr>
            <w:shd w:val="clear" w:color="auto" w:fill="1F3864"/>
          </w:tcPr>
          <w:p>
            <w:pPr>
              <w:pStyle w:val="Compact"/>
              <w:jc w:val="left"/>
            </w:pPr>
            <w:r>
              <w:rPr>
                <w:b/>
                <w:color w:val="FFFFFF"/>
              </w:rPr>
              <w:t xml:space="preserve">Change</w:t>
            </w:r>
          </w:p>
        </w:tc>
        <w:tc>
          <w:tcPr>
            <w:shd w:val="clear" w:color="auto" w:fill="1F3864"/>
          </w:tcPr>
          <w:p>
            <w:pPr>
              <w:pStyle w:val="Compact"/>
              <w:jc w:val="left"/>
            </w:pPr>
            <w:r>
              <w:rPr>
                <w:b/>
                <w:color w:val="FFFFFF"/>
              </w:rPr>
              <w:t xml:space="preserve">Author</w:t>
            </w:r>
          </w:p>
        </w:tc>
      </w:tr>
      <w:tr>
        <w:tc>
          <w:tcPr/>
          <w:p>
            <w:pPr>
              <w:pStyle w:val="Compact"/>
              <w:jc w:val="left"/>
            </w:pPr>
            <w:r>
              <w:t xml:space="preserve">2.0.1</w:t>
            </w:r>
          </w:p>
        </w:tc>
        <w:tc>
          <w:tcPr/>
          <w:p>
            <w:pPr>
              <w:pStyle w:val="Compact"/>
              <w:jc w:val="left"/>
            </w:pPr>
            <w:r>
              <w:t xml:space="preserve">—</w:t>
            </w:r>
          </w:p>
        </w:tc>
        <w:tc>
          <w:tcPr/>
          <w:p>
            <w:pPr>
              <w:pStyle w:val="Compact"/>
              <w:jc w:val="left"/>
            </w:pPr>
            <w:r>
              <w:t xml:space="preserve">Previous baseline, superseded by this revision</w:t>
            </w:r>
          </w:p>
        </w:tc>
        <w:tc>
          <w:tcPr/>
          <w:p>
            <w:pPr>
              <w:pStyle w:val="Compact"/>
              <w:jc w:val="left"/>
            </w:pPr>
            <w:r>
              <w:t xml:space="preserve">AI CoE Platform Team</w:t>
            </w:r>
          </w:p>
        </w:tc>
      </w:tr>
      <w:tr>
        <w:tc>
          <w:tcPr/>
          <w:p>
            <w:pPr>
              <w:pStyle w:val="Compact"/>
              <w:jc w:val="left"/>
            </w:pPr>
            <w:r>
              <w:t xml:space="preserve">2.0.2</w:t>
            </w:r>
          </w:p>
        </w:tc>
        <w:tc>
          <w:tcPr/>
          <w:p>
            <w:pPr>
              <w:pStyle w:val="Compact"/>
              <w:jc w:val="left"/>
            </w:pPr>
            <w:r>
              <w:t xml:space="preserve">10 Aug 2026</w:t>
            </w:r>
          </w:p>
        </w:tc>
        <w:tc>
          <w:tcPr/>
          <w:p>
            <w:pPr>
              <w:pStyle w:val="Compact"/>
              <w:jc w:val="left"/>
            </w:pPr>
            <w:r>
              <w:t xml:space="preserve">Consolidated baseline covering Sandbox and Development, with all security content brought under a single parent section. Development re-addressed onto</w:t>
            </w:r>
            <w:r>
              <w:t xml:space="preserve"> </w:t>
            </w:r>
            <w:r>
              <w:rPr>
                <w:rStyle w:val="VerbatimChar"/>
              </w:rPr>
              <w:t xml:space="preserve">192.168.4.0/22</w:t>
            </w:r>
            <w:r>
              <w:t xml:space="preserve">, and Sandbox recorded as</w:t>
            </w:r>
            <w:r>
              <w:t xml:space="preserve"> </w:t>
            </w:r>
            <w:r>
              <w:rPr>
                <w:rStyle w:val="VerbatimChar"/>
              </w:rPr>
              <w:t xml:space="preserve">192.168.1.0/24</w:t>
            </w:r>
            <w:r>
              <w:t xml:space="preserve"> </w:t>
            </w:r>
            <w:r>
              <w:t xml:space="preserve">with</w:t>
            </w:r>
            <w:r>
              <w:t xml:space="preserve"> </w:t>
            </w:r>
            <w:r>
              <w:rPr>
                <w:rStyle w:val="VerbatimChar"/>
              </w:rPr>
              <w:t xml:space="preserve">192.168.2.0/24</w:t>
            </w:r>
            <w:r>
              <w:t xml:space="preserve"> </w:t>
            </w:r>
            <w:r>
              <w:t xml:space="preserve">held for Private Service Connect — raising the Cloud Run instance ceiling from 31 to 127 as a consequence of the larger workload subnet. Within Development,</w:t>
            </w:r>
            <w:r>
              <w:t xml:space="preserve"> </w:t>
            </w:r>
            <w:r>
              <w:rPr>
                <w:rStyle w:val="VerbatimChar"/>
              </w:rPr>
              <w:t xml:space="preserve">192.168.6.64/26</w:t>
            </w:r>
            <w:r>
              <w:t xml:space="preserve"> </w:t>
            </w:r>
            <w:r>
              <w:t xml:space="preserve">is held in reserve for the proxy-only subnet’s mandatory role-swap, placing the PSC NAT, internal-VIP and global-PSC blocks at</w:t>
            </w:r>
            <w:r>
              <w:t xml:space="preserve"> </w:t>
            </w:r>
            <w:r>
              <w:rPr>
                <w:rStyle w:val="VerbatimChar"/>
              </w:rPr>
              <w:t xml:space="preserve">192.168.6.128/28</w:t>
            </w:r>
            <w:r>
              <w:t xml:space="preserve">,</w:t>
            </w:r>
            <w:r>
              <w:t xml:space="preserve"> </w:t>
            </w:r>
            <w:r>
              <w:rPr>
                <w:rStyle w:val="VerbatimChar"/>
              </w:rPr>
              <w:t xml:space="preserve">192.168.6.144/28</w:t>
            </w:r>
            <w:r>
              <w:t xml:space="preserve"> </w:t>
            </w:r>
            <w:r>
              <w:t xml:space="preserve">and</w:t>
            </w:r>
            <w:r>
              <w:t xml:space="preserve"> </w:t>
            </w:r>
            <w:r>
              <w:rPr>
                <w:rStyle w:val="VerbatimChar"/>
              </w:rPr>
              <w:t xml:space="preserve">192.168.6.160/28</w:t>
            </w:r>
            <w:r>
              <w:t xml:space="preserve"> </w:t>
            </w:r>
            <w:r>
              <w:t xml:space="preserve">accordingly. The instance-budget note that described the Cloud Run workload subnet as expandable in place is corrected: a new use case is given its own subnet carved from</w:t>
            </w:r>
            <w:r>
              <w:t xml:space="preserve"> </w:t>
            </w:r>
            <w:r>
              <w:rPr>
                <w:rStyle w:val="VerbatimChar"/>
              </w:rPr>
              <w:t xml:space="preserve">192.168.7.0/24</w:t>
            </w:r>
            <w:r>
              <w:t xml:space="preserve">. High level architecture diagrams added for Development and Sandbox, each split across two parts for legibility, replacing the diagram source listings that previously appeared in</w:t>
            </w:r>
            <w:r>
              <w:t xml:space="preserve"> </w:t>
            </w:r>
            <w:r>
              <w:rPr>
                <w:b/>
                <w:bCs/>
              </w:rPr>
              <w:t xml:space="preserve">Platform topology</w:t>
            </w:r>
            <w:r>
              <w:t xml:space="preserve">. Every diagram carrying an address was re-labelled onto this addressing plan, and the session cookie name in the sign-in sequence was corrected to</w:t>
            </w:r>
            <w:r>
              <w:t xml:space="preserve"> </w:t>
            </w:r>
            <w:r>
              <w:rPr>
                <w:rStyle w:val="VerbatimChar"/>
              </w:rPr>
              <w:t xml:space="preserve">__Host-AISESSION</w:t>
            </w:r>
          </w:p>
        </w:tc>
        <w:tc>
          <w:tcPr/>
          <w:p>
            <w:pPr>
              <w:pStyle w:val="Compact"/>
              <w:jc w:val="left"/>
            </w:pPr>
            <w:r>
              <w:t xml:space="preserve">AI CoE Platform Team</w:t>
            </w:r>
          </w:p>
        </w:tc>
      </w:tr>
    </w:tbl>
    <w:bookmarkEnd w:id="22"/>
    <w:bookmarkStart w:id="23" w:name="review-and-approvals"/>
    <w:p>
      <w:pPr>
        <w:pStyle w:val="Heading2"/>
      </w:pPr>
      <w:r>
        <w:t xml:space="preserve">1.3 Review and approvals</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Team</w:t>
            </w:r>
          </w:p>
        </w:tc>
        <w:tc>
          <w:tcPr>
            <w:shd w:val="clear" w:color="auto" w:fill="1F3864"/>
          </w:tcPr>
          <w:p>
            <w:pPr>
              <w:pStyle w:val="Compact"/>
              <w:jc w:val="left"/>
            </w:pPr>
            <w:r>
              <w:rPr>
                <w:b/>
                <w:color w:val="FFFFFF"/>
              </w:rPr>
              <w:t xml:space="preserve">Name</w:t>
            </w:r>
          </w:p>
        </w:tc>
        <w:tc>
          <w:tcPr>
            <w:shd w:val="clear" w:color="auto" w:fill="1F3864"/>
          </w:tcPr>
          <w:p>
            <w:pPr>
              <w:pStyle w:val="Compact"/>
              <w:jc w:val="left"/>
            </w:pPr>
            <w:r>
              <w:rPr>
                <w:b/>
                <w:color w:val="FFFFFF"/>
              </w:rPr>
              <w:t xml:space="preserve">Responsibility</w:t>
            </w:r>
          </w:p>
        </w:tc>
        <w:tc>
          <w:tcPr>
            <w:shd w:val="clear" w:color="auto" w:fill="1F3864"/>
          </w:tcPr>
          <w:p>
            <w:pPr>
              <w:pStyle w:val="Compact"/>
              <w:jc w:val="left"/>
            </w:pPr>
            <w:r>
              <w:rPr>
                <w:b/>
                <w:color w:val="FFFFFF"/>
              </w:rPr>
              <w:t xml:space="preserve">Status</w:t>
            </w:r>
          </w:p>
        </w:tc>
        <w:tc>
          <w:tcPr>
            <w:shd w:val="clear" w:color="auto" w:fill="1F3864"/>
          </w:tcPr>
          <w:p>
            <w:pPr>
              <w:pStyle w:val="Compact"/>
              <w:jc w:val="left"/>
            </w:pPr>
            <w:r>
              <w:rPr>
                <w:b/>
                <w:color w:val="FFFFFF"/>
              </w:rPr>
              <w:t xml:space="preserve">Date</w:t>
            </w:r>
          </w:p>
        </w:tc>
      </w:tr>
      <w:tr>
        <w:tc>
          <w:tcPr/>
          <w:p>
            <w:pPr>
              <w:pStyle w:val="Compact"/>
              <w:jc w:val="left"/>
            </w:pPr>
            <w:r>
              <w:t xml:space="preserve">AICOE Platform Team</w:t>
            </w:r>
          </w:p>
        </w:tc>
        <w:tc>
          <w:tcPr/>
          <w:p>
            <w:pPr>
              <w:pStyle w:val="Compact"/>
              <w:jc w:val="left"/>
            </w:pPr>
            <w:r>
              <w:rPr>
                <w:i/>
                <w:iCs/>
              </w:rPr>
              <w:t xml:space="preserve">TBC</w:t>
            </w:r>
          </w:p>
        </w:tc>
        <w:tc>
          <w:tcPr/>
          <w:p>
            <w:pPr>
              <w:pStyle w:val="Compact"/>
              <w:jc w:val="left"/>
            </w:pPr>
            <w:r>
              <w:t xml:space="preserve">Design authority for this document — owner of every value recorded in it, covering infrastructure, DevOps and Terraform delivery</w:t>
            </w:r>
          </w:p>
        </w:tc>
        <w:tc>
          <w:tcPr/>
          <w:p>
            <w:pPr>
              <w:pStyle w:val="Compact"/>
              <w:jc w:val="left"/>
            </w:pPr>
            <w:r>
              <w:t xml:space="preserve">Pending</w:t>
            </w:r>
          </w:p>
        </w:tc>
        <w:tc>
          <w:tcPr/>
          <w:p>
            <w:pPr>
              <w:pStyle w:val="Compact"/>
            </w:pPr>
          </w:p>
        </w:tc>
      </w:tr>
      <w:tr>
        <w:tc>
          <w:tcPr/>
          <w:p>
            <w:pPr>
              <w:pStyle w:val="Compact"/>
              <w:jc w:val="left"/>
            </w:pPr>
            <w:r>
              <w:t xml:space="preserve">Colt Cloud CoE</w:t>
            </w:r>
          </w:p>
        </w:tc>
        <w:tc>
          <w:tcPr/>
          <w:p>
            <w:pPr>
              <w:pStyle w:val="Compact"/>
              <w:jc w:val="left"/>
            </w:pPr>
            <w:r>
              <w:t xml:space="preserve">Naveen Raman</w:t>
            </w:r>
          </w:p>
        </w:tc>
        <w:tc>
          <w:tcPr/>
          <w:p>
            <w:pPr>
              <w:pStyle w:val="Compact"/>
              <w:jc w:val="left"/>
            </w:pPr>
            <w:r>
              <w:t xml:space="preserve">Organisation policy, folder and project provisioning, billing, IPAM, subnet and firewall baseline, ZPA connector configuration</w:t>
            </w:r>
          </w:p>
        </w:tc>
        <w:tc>
          <w:tcPr/>
          <w:p>
            <w:pPr>
              <w:pStyle w:val="Compact"/>
              <w:jc w:val="left"/>
            </w:pPr>
            <w:r>
              <w:t xml:space="preserve">Pending</w:t>
            </w:r>
          </w:p>
        </w:tc>
        <w:tc>
          <w:tcPr/>
          <w:p>
            <w:pPr>
              <w:pStyle w:val="Compact"/>
            </w:pPr>
          </w:p>
        </w:tc>
      </w:tr>
      <w:tr>
        <w:tc>
          <w:tcPr/>
          <w:p>
            <w:pPr>
              <w:pStyle w:val="Compact"/>
              <w:jc w:val="left"/>
            </w:pPr>
            <w:r>
              <w:t xml:space="preserve">Colt CSOC</w:t>
            </w:r>
          </w:p>
        </w:tc>
        <w:tc>
          <w:tcPr/>
          <w:p>
            <w:pPr>
              <w:pStyle w:val="Compact"/>
              <w:jc w:val="left"/>
            </w:pPr>
            <w:r>
              <w:rPr>
                <w:i/>
                <w:iCs/>
              </w:rPr>
              <w:t xml:space="preserve">TBC</w:t>
            </w:r>
          </w:p>
        </w:tc>
        <w:tc>
          <w:tcPr/>
          <w:p>
            <w:pPr>
              <w:pStyle w:val="Compact"/>
              <w:jc w:val="left"/>
            </w:pPr>
            <w:r>
              <w:t xml:space="preserve">Firewall opening for</w:t>
            </w:r>
            <w:r>
              <w:t xml:space="preserve"> </w:t>
            </w:r>
            <w:r>
              <w:rPr>
                <w:rStyle w:val="VerbatimChar"/>
              </w:rPr>
              <w:t xml:space="preserve">10.110.73.20</w:t>
            </w:r>
            <w:r>
              <w:t xml:space="preserve">, SIEM onboarding, pre-go-live security assessment</w:t>
            </w:r>
          </w:p>
        </w:tc>
        <w:tc>
          <w:tcPr/>
          <w:p>
            <w:pPr>
              <w:pStyle w:val="Compact"/>
              <w:jc w:val="left"/>
            </w:pPr>
            <w:r>
              <w:t xml:space="preserve">Pending</w:t>
            </w:r>
          </w:p>
        </w:tc>
        <w:tc>
          <w:tcPr/>
          <w:p>
            <w:pPr>
              <w:pStyle w:val="Compact"/>
            </w:pPr>
          </w:p>
        </w:tc>
      </w:tr>
      <w:tr>
        <w:tc>
          <w:tcPr/>
          <w:p>
            <w:pPr>
              <w:pStyle w:val="Compact"/>
              <w:jc w:val="left"/>
            </w:pPr>
            <w:r>
              <w:t xml:space="preserve">PM Team</w:t>
            </w:r>
          </w:p>
        </w:tc>
        <w:tc>
          <w:tcPr/>
          <w:p>
            <w:pPr>
              <w:pStyle w:val="Compact"/>
              <w:jc w:val="left"/>
            </w:pPr>
            <w:r>
              <w:t xml:space="preserve">Alejandro Bottaniz, Yogesh Gupta</w:t>
            </w:r>
          </w:p>
        </w:tc>
        <w:tc>
          <w:tcPr/>
          <w:p>
            <w:pPr>
              <w:pStyle w:val="Compact"/>
              <w:jc w:val="left"/>
            </w:pPr>
            <w:r>
              <w:t xml:space="preserve">Design sign-off, CAB submission, change record ownership and closure, change window communication and Service Management update</w:t>
            </w:r>
          </w:p>
        </w:tc>
        <w:tc>
          <w:tcPr/>
          <w:p>
            <w:pPr>
              <w:pStyle w:val="Compact"/>
              <w:jc w:val="left"/>
            </w:pPr>
            <w:r>
              <w:t xml:space="preserve">Pending</w:t>
            </w:r>
          </w:p>
        </w:tc>
        <w:tc>
          <w:tcPr/>
          <w:p>
            <w:pPr>
              <w:pStyle w:val="Compact"/>
            </w:pPr>
          </w:p>
        </w:tc>
      </w:tr>
    </w:tbl>
    <w:bookmarkEnd w:id="23"/>
    <w:bookmarkStart w:id="24" w:name="abbreviations-terms-and-definitions"/>
    <w:p>
      <w:pPr>
        <w:pStyle w:val="Heading2"/>
      </w:pPr>
      <w:r>
        <w:t xml:space="preserve">1.4 Abbreviations, terms and definitions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Term</w:t>
            </w:r>
          </w:p>
        </w:tc>
        <w:tc>
          <w:tcPr>
            <w:shd w:val="clear" w:color="auto" w:fill="1F3864"/>
          </w:tcPr>
          <w:p>
            <w:pPr>
              <w:pStyle w:val="Compact"/>
              <w:jc w:val="left"/>
            </w:pPr>
            <w:r>
              <w:rPr>
                <w:b/>
                <w:color w:val="FFFFFF"/>
              </w:rPr>
              <w:t xml:space="preserve">Definition</w:t>
            </w:r>
          </w:p>
        </w:tc>
      </w:tr>
      <w:tr>
        <w:tc>
          <w:tcPr/>
          <w:p>
            <w:pPr>
              <w:pStyle w:val="Compact"/>
              <w:jc w:val="left"/>
            </w:pPr>
            <w:r>
              <w:rPr>
                <w:b/>
                <w:bCs/>
              </w:rPr>
              <w:t xml:space="preserve">ADC</w:t>
            </w:r>
          </w:p>
        </w:tc>
        <w:tc>
          <w:tcPr/>
          <w:p>
            <w:pPr>
              <w:pStyle w:val="Compact"/>
              <w:jc w:val="left"/>
            </w:pPr>
            <w:r>
              <w:t xml:space="preserve">Application Default Credentials — the credential chain a Google client library resolves automatically</w:t>
            </w:r>
          </w:p>
        </w:tc>
      </w:tr>
      <w:tr>
        <w:tc>
          <w:tcPr/>
          <w:p>
            <w:pPr>
              <w:pStyle w:val="Compact"/>
              <w:jc w:val="left"/>
            </w:pPr>
            <w:r>
              <w:rPr>
                <w:b/>
                <w:bCs/>
              </w:rPr>
              <w:t xml:space="preserve">AI Hub</w:t>
            </w:r>
          </w:p>
        </w:tc>
        <w:tc>
          <w:tcPr/>
          <w:p>
            <w:pPr>
              <w:pStyle w:val="Compact"/>
              <w:jc w:val="left"/>
            </w:pPr>
            <w:r>
              <w:t xml:space="preserve">The single user-facing entry point of the Development platform: a Cloud Run service hosting the single-page application and the Backend-for-Frontend.</w:t>
            </w:r>
            <w:r>
              <w:t xml:space="preserve"> </w:t>
            </w:r>
            <w:r>
              <w:rPr>
                <w:b/>
                <w:bCs/>
              </w:rPr>
              <w:t xml:space="preserve">Development only — there is no AI Hub in Sandbox</w:t>
            </w:r>
          </w:p>
        </w:tc>
      </w:tr>
      <w:tr>
        <w:tc>
          <w:tcPr/>
          <w:p>
            <w:pPr>
              <w:pStyle w:val="Compact"/>
              <w:jc w:val="left"/>
            </w:pPr>
            <w:r>
              <w:rPr>
                <w:b/>
                <w:bCs/>
              </w:rPr>
              <w:t xml:space="preserve">AICOE</w:t>
            </w:r>
          </w:p>
        </w:tc>
        <w:tc>
          <w:tcPr/>
          <w:p>
            <w:pPr>
              <w:pStyle w:val="Compact"/>
              <w:jc w:val="left"/>
            </w:pPr>
            <w:r>
              <w:t xml:space="preserve">AI Centre of Excellence — the owning organisational unit and the Google Cloud folder under which every project in this design sits</w:t>
            </w:r>
          </w:p>
        </w:tc>
      </w:tr>
      <w:tr>
        <w:tc>
          <w:tcPr/>
          <w:p>
            <w:pPr>
              <w:pStyle w:val="Compact"/>
              <w:jc w:val="left"/>
            </w:pPr>
            <w:r>
              <w:rPr>
                <w:b/>
                <w:bCs/>
              </w:rPr>
              <w:t xml:space="preserve">ALB</w:t>
            </w:r>
          </w:p>
        </w:tc>
        <w:tc>
          <w:tcPr/>
          <w:p>
            <w:pPr>
              <w:pStyle w:val="Compact"/>
              <w:jc w:val="left"/>
            </w:pPr>
            <w:r>
              <w:t xml:space="preserve">Application Load Balancer</w:t>
            </w:r>
          </w:p>
        </w:tc>
      </w:tr>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Apigee environment</w:t>
            </w:r>
          </w:p>
        </w:tc>
        <w:tc>
          <w:tcPr/>
          <w:p>
            <w:pPr>
              <w:pStyle w:val="Compact"/>
              <w:jc w:val="left"/>
            </w:pPr>
            <w:r>
              <w:t xml:space="preserve">A deployment target within an Apigee organisation. The Development platform has</w:t>
            </w:r>
            <w:r>
              <w:t xml:space="preserve"> </w:t>
            </w:r>
            <w:r>
              <w:rPr>
                <w:rStyle w:val="VerbatimChar"/>
              </w:rPr>
              <w:t xml:space="preserve">int</w:t>
            </w:r>
            <w:r>
              <w:t xml:space="preserve"> </w:t>
            </w:r>
            <w:r>
              <w:t xml:space="preserve">(user API) and</w:t>
            </w:r>
            <w:r>
              <w:t xml:space="preserve"> </w:t>
            </w:r>
            <w:r>
              <w:rPr>
                <w:rStyle w:val="VerbatimChar"/>
              </w:rPr>
              <w:t xml:space="preserve">llm</w:t>
            </w:r>
            <w:r>
              <w:t xml:space="preserve"> </w:t>
            </w:r>
            <w:r>
              <w:t xml:space="preserve">(AI gateway)</w:t>
            </w:r>
          </w:p>
        </w:tc>
      </w:tr>
      <w:tr>
        <w:tc>
          <w:tcPr/>
          <w:p>
            <w:pPr>
              <w:pStyle w:val="Compact"/>
              <w:jc w:val="left"/>
            </w:pPr>
            <w:r>
              <w:rPr>
                <w:b/>
                <w:bCs/>
              </w:rPr>
              <w:t xml:space="preserve">Apigee environment group</w:t>
            </w:r>
          </w:p>
        </w:tc>
        <w:tc>
          <w:tcPr/>
          <w:p>
            <w:pPr>
              <w:pStyle w:val="Compact"/>
              <w:jc w:val="left"/>
            </w:pPr>
            <w:r>
              <w:t xml:space="preserve">A mapping of hostnames to environments. Apigee selects the environment from the request’s</w:t>
            </w:r>
            <w:r>
              <w:t xml:space="preserve"> </w:t>
            </w:r>
            <w:r>
              <w:rPr>
                <w:rStyle w:val="VerbatimChar"/>
              </w:rPr>
              <w:t xml:space="preserve">Host</w:t>
            </w:r>
            <w:r>
              <w:t xml:space="preserve"> </w:t>
            </w:r>
            <w:r>
              <w:t xml:space="preserve">header</w:t>
            </w:r>
          </w:p>
        </w:tc>
      </w:tr>
      <w:tr>
        <w:tc>
          <w:tcPr/>
          <w:p>
            <w:pPr>
              <w:pStyle w:val="Compact"/>
              <w:jc w:val="left"/>
            </w:pPr>
            <w:r>
              <w:rPr>
                <w:b/>
                <w:bCs/>
              </w:rPr>
              <w:t xml:space="preserve">Apigee organisation</w:t>
            </w:r>
          </w:p>
        </w:tc>
        <w:tc>
          <w:tcPr/>
          <w:p>
            <w:pPr>
              <w:pStyle w:val="Compact"/>
              <w:jc w:val="left"/>
            </w:pPr>
            <w:r>
              <w:t xml:space="preserve">The top-level Apigee container. One per Google Cloud project, permanent, cannot be renamed or moved</w:t>
            </w:r>
          </w:p>
        </w:tc>
      </w:tr>
      <w:tr>
        <w:tc>
          <w:tcPr/>
          <w:p>
            <w:pPr>
              <w:pStyle w:val="Compact"/>
              <w:jc w:val="left"/>
            </w:pPr>
            <w:r>
              <w:rPr>
                <w:b/>
                <w:bCs/>
              </w:rPr>
              <w:t xml:space="preserve">App Role</w:t>
            </w:r>
          </w:p>
        </w:tc>
        <w:tc>
          <w:tcPr/>
          <w:p>
            <w:pPr>
              <w:pStyle w:val="Compact"/>
              <w:jc w:val="left"/>
            </w:pPr>
            <w:r>
              <w:t xml:space="preserve">An entitlement defined on an Entra ID application registration and assigned to users or groups. Emitted as a</w:t>
            </w:r>
            <w:r>
              <w:t xml:space="preserve"> </w:t>
            </w:r>
            <w:r>
              <w:rPr>
                <w:rStyle w:val="VerbatimChar"/>
              </w:rPr>
              <w:t xml:space="preserve">roles[]</w:t>
            </w:r>
            <w:r>
              <w:t xml:space="preserve"> </w:t>
            </w:r>
            <w:r>
              <w:t xml:space="preserve">array in the token</w:t>
            </w:r>
          </w:p>
        </w:tc>
      </w:tr>
      <w:tr>
        <w:tc>
          <w:tcPr/>
          <w:p>
            <w:pPr>
              <w:pStyle w:val="Compact"/>
              <w:jc w:val="left"/>
            </w:pPr>
            <w:r>
              <w:rPr>
                <w:b/>
                <w:bCs/>
              </w:rPr>
              <w:t xml:space="preserve">Attestation</w:t>
            </w:r>
          </w:p>
        </w:tc>
        <w:tc>
          <w:tcPr/>
          <w:p>
            <w:pPr>
              <w:pStyle w:val="Compact"/>
              <w:jc w:val="left"/>
            </w:pPr>
            <w:r>
              <w:t xml:space="preserve">A cryptographic signature over a container image digest, verified by Binary Authorization before the image may run</w:t>
            </w:r>
          </w:p>
        </w:tc>
      </w:tr>
      <w:tr>
        <w:tc>
          <w:tcPr/>
          <w:p>
            <w:pPr>
              <w:pStyle w:val="Compact"/>
              <w:jc w:val="left"/>
            </w:pPr>
            <w:r>
              <w:rPr>
                <w:b/>
                <w:bCs/>
              </w:rPr>
              <w:t xml:space="preserve">BFF</w:t>
            </w:r>
          </w:p>
        </w:tc>
        <w:tc>
          <w:tcPr/>
          <w:p>
            <w:pPr>
              <w:pStyle w:val="Compact"/>
              <w:jc w:val="left"/>
            </w:pPr>
            <w:r>
              <w:t xml:space="preserve">Backend-for-Frontend — a server-side component that owns the OAuth client, so the browser holds only an opaque session cookie</w:t>
            </w:r>
          </w:p>
        </w:tc>
      </w:tr>
      <w:tr>
        <w:tc>
          <w:tcPr/>
          <w:p>
            <w:pPr>
              <w:pStyle w:val="Compact"/>
              <w:jc w:val="left"/>
            </w:pPr>
            <w:r>
              <w:rPr>
                <w:b/>
                <w:bCs/>
              </w:rPr>
              <w:t xml:space="preserve">Binary Authorization</w:t>
            </w:r>
          </w:p>
        </w:tc>
        <w:tc>
          <w:tcPr/>
          <w:p>
            <w:pPr>
              <w:pStyle w:val="Compact"/>
              <w:jc w:val="left"/>
            </w:pPr>
            <w:r>
              <w:t xml:space="preserve">A Google Cloud deploy-time control that refuses container images lacking a valid attestation</w:t>
            </w:r>
          </w:p>
        </w:tc>
      </w:tr>
      <w:tr>
        <w:tc>
          <w:tcPr/>
          <w:p>
            <w:pPr>
              <w:pStyle w:val="Compact"/>
              <w:jc w:val="left"/>
            </w:pPr>
            <w:r>
              <w:rPr>
                <w:b/>
                <w:bCs/>
              </w:rPr>
              <w:t xml:space="preserve">BM25</w:t>
            </w:r>
          </w:p>
        </w:tc>
        <w:tc>
          <w:tcPr/>
          <w:p>
            <w:pPr>
              <w:pStyle w:val="Compact"/>
              <w:jc w:val="left"/>
            </w:pPr>
            <w:r>
              <w:t xml:space="preserve">A lexical relevance ranking function used alongside vector similarity in hybrid retrieval</w:t>
            </w:r>
          </w:p>
        </w:tc>
      </w:tr>
      <w:tr>
        <w:tc>
          <w:tcPr/>
          <w:p>
            <w:pPr>
              <w:pStyle w:val="Compact"/>
              <w:jc w:val="left"/>
            </w:pPr>
            <w:r>
              <w:rPr>
                <w:b/>
                <w:bCs/>
              </w:rPr>
              <w:t xml:space="preserve">BR-nn</w:t>
            </w:r>
          </w:p>
        </w:tc>
        <w:tc>
          <w:tcPr/>
          <w:p>
            <w:pPr>
              <w:pStyle w:val="Compact"/>
              <w:jc w:val="left"/>
            </w:pPr>
            <w:r>
              <w:t xml:space="preserve">Business requirement identifier, defined in</w:t>
            </w:r>
            <w:r>
              <w:t xml:space="preserve"> </w:t>
            </w:r>
            <w:r>
              <w:rPr>
                <w:b/>
                <w:bCs/>
              </w:rPr>
              <w:t xml:space="preserve">Requirements</w:t>
            </w:r>
          </w:p>
        </w:tc>
      </w:tr>
      <w:tr>
        <w:tc>
          <w:tcPr/>
          <w:p>
            <w:pPr>
              <w:pStyle w:val="Compact"/>
              <w:jc w:val="left"/>
            </w:pPr>
            <w:r>
              <w:rPr>
                <w:b/>
                <w:bCs/>
              </w:rPr>
              <w:t xml:space="preserve">BU</w:t>
            </w:r>
          </w:p>
        </w:tc>
        <w:tc>
          <w:tcPr/>
          <w:p>
            <w:pPr>
              <w:pStyle w:val="Compact"/>
              <w:jc w:val="left"/>
            </w:pPr>
            <w:r>
              <w:t xml:space="preserve">Business Unit — the tenancy dimension used for cost attribution and Vector Search isolation</w:t>
            </w:r>
          </w:p>
        </w:tc>
      </w:tr>
      <w:tr>
        <w:tc>
          <w:tcPr/>
          <w:p>
            <w:pPr>
              <w:pStyle w:val="Compact"/>
              <w:jc w:val="left"/>
            </w:pPr>
            <w:r>
              <w:rPr>
                <w:b/>
                <w:bCs/>
              </w:rPr>
              <w:t xml:space="preserve">CAB</w:t>
            </w:r>
          </w:p>
        </w:tc>
        <w:tc>
          <w:tcPr/>
          <w:p>
            <w:pPr>
              <w:pStyle w:val="Compact"/>
              <w:jc w:val="left"/>
            </w:pPr>
            <w:r>
              <w:t xml:space="preserve">Change Advisory Board — the Colt governance forum that approves the change record and the build window</w:t>
            </w:r>
          </w:p>
        </w:tc>
      </w:tr>
      <w:tr>
        <w:tc>
          <w:tcPr/>
          <w:p>
            <w:pPr>
              <w:pStyle w:val="Compact"/>
              <w:jc w:val="left"/>
            </w:pPr>
            <w:r>
              <w:rPr>
                <w:b/>
                <w:bCs/>
              </w:rPr>
              <w:t xml:space="preserve">CAF</w:t>
            </w:r>
          </w:p>
        </w:tc>
        <w:tc>
          <w:tcPr/>
          <w:p>
            <w:pPr>
              <w:pStyle w:val="Compact"/>
              <w:jc w:val="left"/>
            </w:pPr>
            <w:r>
              <w:t xml:space="preserve">Cloud Adoption Framework — the Colt-adopted structure for cloud governance, referenced by the compliance requirements</w:t>
            </w:r>
          </w:p>
        </w:tc>
      </w:tr>
      <w:tr>
        <w:tc>
          <w:tcPr/>
          <w:p>
            <w:pPr>
              <w:pStyle w:val="Compact"/>
              <w:jc w:val="left"/>
            </w:pPr>
            <w:r>
              <w:rPr>
                <w:b/>
                <w:bCs/>
              </w:rPr>
              <w:t xml:space="preserve">CDN</w:t>
            </w:r>
          </w:p>
        </w:tc>
        <w:tc>
          <w:tcPr/>
          <w:p>
            <w:pPr>
              <w:pStyle w:val="Compact"/>
              <w:jc w:val="left"/>
            </w:pPr>
            <w:r>
              <w:t xml:space="preserve">Content Delivery Network</w:t>
            </w:r>
          </w:p>
        </w:tc>
      </w:tr>
      <w:tr>
        <w:tc>
          <w:tcPr/>
          <w:p>
            <w:pPr>
              <w:pStyle w:val="Compact"/>
              <w:jc w:val="left"/>
            </w:pPr>
            <w:r>
              <w:rPr>
                <w:b/>
                <w:bCs/>
              </w:rPr>
              <w:t xml:space="preserve">CI/CD</w:t>
            </w:r>
          </w:p>
        </w:tc>
        <w:tc>
          <w:tcPr/>
          <w:p>
            <w:pPr>
              <w:pStyle w:val="Compact"/>
              <w:jc w:val="left"/>
            </w:pPr>
            <w:r>
              <w:t xml:space="preserve">Continuous Integration / Continuous Delivery</w:t>
            </w:r>
          </w:p>
        </w:tc>
      </w:tr>
      <w:tr>
        <w:tc>
          <w:tcPr/>
          <w:p>
            <w:pPr>
              <w:pStyle w:val="Compact"/>
              <w:jc w:val="left"/>
            </w:pPr>
            <w:r>
              <w:rPr>
                <w:b/>
                <w:bCs/>
              </w:rPr>
              <w:t xml:space="preserve">CIDR</w:t>
            </w:r>
          </w:p>
        </w:tc>
        <w:tc>
          <w:tcPr/>
          <w:p>
            <w:pPr>
              <w:pStyle w:val="Compact"/>
              <w:jc w:val="left"/>
            </w:pPr>
            <w:r>
              <w:t xml:space="preserve">Classless Inter-Domain Routing — the address-range notation used throughout this document</w:t>
            </w:r>
          </w:p>
        </w:tc>
      </w:tr>
      <w:tr>
        <w:tc>
          <w:tcPr/>
          <w:p>
            <w:pPr>
              <w:pStyle w:val="Compact"/>
              <w:jc w:val="left"/>
            </w:pPr>
            <w:r>
              <w:rPr>
                <w:b/>
                <w:bCs/>
              </w:rPr>
              <w:t xml:space="preserve">CIS</w:t>
            </w:r>
          </w:p>
        </w:tc>
        <w:tc>
          <w:tcPr/>
          <w:p>
            <w:pPr>
              <w:pStyle w:val="Compact"/>
              <w:jc w:val="left"/>
            </w:pPr>
            <w:r>
              <w:t xml:space="preserve">Center for Internet Security — source of the GCP Foundation Benchmark</w:t>
            </w:r>
          </w:p>
        </w:tc>
      </w:tr>
      <w:tr>
        <w:tc>
          <w:tcPr/>
          <w:p>
            <w:pPr>
              <w:pStyle w:val="Compact"/>
              <w:jc w:val="left"/>
            </w:pPr>
            <w:r>
              <w:rPr>
                <w:b/>
                <w:bCs/>
              </w:rPr>
              <w:t xml:space="preserve">CMEK</w:t>
            </w:r>
          </w:p>
        </w:tc>
        <w:tc>
          <w:tcPr/>
          <w:p>
            <w:pPr>
              <w:pStyle w:val="Compact"/>
              <w:jc w:val="left"/>
            </w:pPr>
            <w:r>
              <w:t xml:space="preserve">Customer-Managed Encryption Key — a Cloud KMS key owned by Colt, used to encrypt a Google-managed resource</w:t>
            </w:r>
          </w:p>
        </w:tc>
      </w:tr>
      <w:tr>
        <w:tc>
          <w:tcPr/>
          <w:p>
            <w:pPr>
              <w:pStyle w:val="Compact"/>
              <w:jc w:val="left"/>
            </w:pPr>
            <w:r>
              <w:rPr>
                <w:b/>
                <w:bCs/>
              </w:rPr>
              <w:t xml:space="preserve">CoE</w:t>
            </w:r>
          </w:p>
        </w:tc>
        <w:tc>
          <w:tcPr/>
          <w:p>
            <w:pPr>
              <w:pStyle w:val="Compact"/>
              <w:jc w:val="left"/>
            </w:pPr>
            <w:r>
              <w:t xml:space="preserve">Centre of Excellence. The Colt Cloud CoE owns the enterprise cloud controls, organisation policy and project provisioning</w:t>
            </w:r>
          </w:p>
        </w:tc>
      </w:tr>
      <w:tr>
        <w:tc>
          <w:tcPr/>
          <w:p>
            <w:pPr>
              <w:pStyle w:val="Compact"/>
              <w:jc w:val="left"/>
            </w:pPr>
            <w:r>
              <w:rPr>
                <w:b/>
                <w:bCs/>
              </w:rPr>
              <w:t xml:space="preserve">Confidential client</w:t>
            </w:r>
          </w:p>
        </w:tc>
        <w:tc>
          <w:tcPr/>
          <w:p>
            <w:pPr>
              <w:pStyle w:val="Compact"/>
              <w:jc w:val="left"/>
            </w:pPr>
            <w:r>
              <w:t xml:space="preserve">An OAuth client that can hold a secret because it runs on a server. The Backend-for-Frontend is one; a browser single-page application is not</w:t>
            </w:r>
          </w:p>
        </w:tc>
      </w:tr>
      <w:tr>
        <w:tc>
          <w:tcPr/>
          <w:p>
            <w:pPr>
              <w:pStyle w:val="Compact"/>
              <w:jc w:val="left"/>
            </w:pPr>
            <w:r>
              <w:rPr>
                <w:b/>
                <w:bCs/>
              </w:rPr>
              <w:t xml:space="preserve">CR-nn</w:t>
            </w:r>
          </w:p>
        </w:tc>
        <w:tc>
          <w:tcPr/>
          <w:p>
            <w:pPr>
              <w:pStyle w:val="Compact"/>
              <w:jc w:val="left"/>
            </w:pPr>
            <w:r>
              <w:t xml:space="preserve">Compliance requirement identifier, defined in</w:t>
            </w:r>
            <w:r>
              <w:t xml:space="preserve"> </w:t>
            </w:r>
            <w:r>
              <w:rPr>
                <w:b/>
                <w:bCs/>
              </w:rPr>
              <w:t xml:space="preserve">Requirements</w:t>
            </w:r>
          </w:p>
        </w:tc>
      </w:tr>
      <w:tr>
        <w:tc>
          <w:tcPr/>
          <w:p>
            <w:pPr>
              <w:pStyle w:val="Compact"/>
              <w:jc w:val="left"/>
            </w:pPr>
            <w:r>
              <w:rPr>
                <w:b/>
                <w:bCs/>
              </w:rPr>
              <w:t xml:space="preserve">CRL</w:t>
            </w:r>
          </w:p>
        </w:tc>
        <w:tc>
          <w:tcPr/>
          <w:p>
            <w:pPr>
              <w:pStyle w:val="Compact"/>
              <w:jc w:val="left"/>
            </w:pPr>
            <w:r>
              <w:t xml:space="preserve">Certificate Revocation List</w:t>
            </w:r>
          </w:p>
        </w:tc>
      </w:tr>
      <w:tr>
        <w:tc>
          <w:tcPr/>
          <w:p>
            <w:pPr>
              <w:pStyle w:val="Compact"/>
              <w:jc w:val="left"/>
            </w:pPr>
            <w:r>
              <w:rPr>
                <w:b/>
                <w:bCs/>
              </w:rPr>
              <w:t xml:space="preserve">CSF</w:t>
            </w:r>
          </w:p>
        </w:tc>
        <w:tc>
          <w:tcPr/>
          <w:p>
            <w:pPr>
              <w:pStyle w:val="Compact"/>
              <w:jc w:val="left"/>
            </w:pPr>
            <w:r>
              <w:t xml:space="preserve">Cybersecurity Framework — NIST CSF 2.0</w:t>
            </w:r>
          </w:p>
        </w:tc>
      </w:tr>
      <w:tr>
        <w:tc>
          <w:tcPr/>
          <w:p>
            <w:pPr>
              <w:pStyle w:val="Compact"/>
              <w:jc w:val="left"/>
            </w:pPr>
            <w:r>
              <w:rPr>
                <w:b/>
                <w:bCs/>
              </w:rPr>
              <w:t xml:space="preserve">CSIRT</w:t>
            </w:r>
          </w:p>
        </w:tc>
        <w:tc>
          <w:tcPr/>
          <w:p>
            <w:pPr>
              <w:pStyle w:val="Compact"/>
              <w:jc w:val="left"/>
            </w:pPr>
            <w:r>
              <w:t xml:space="preserve">Computer Security Incident Response Team — the responder group engaged by the kill-switch and incident procedures</w:t>
            </w:r>
          </w:p>
        </w:tc>
      </w:tr>
      <w:tr>
        <w:tc>
          <w:tcPr/>
          <w:p>
            <w:pPr>
              <w:pStyle w:val="Compact"/>
              <w:jc w:val="left"/>
            </w:pPr>
            <w:r>
              <w:rPr>
                <w:b/>
                <w:bCs/>
              </w:rPr>
              <w:t xml:space="preserve">CSOC</w:t>
            </w:r>
          </w:p>
        </w:tc>
        <w:tc>
          <w:tcPr/>
          <w:p>
            <w:pPr>
              <w:pStyle w:val="Compact"/>
              <w:jc w:val="left"/>
            </w:pPr>
            <w:r>
              <w:t xml:space="preserve">Colt Security Operations Centre — owns firewall openings on the Colt corporate network, SIEM onboarding and alert response</w:t>
            </w:r>
          </w:p>
        </w:tc>
      </w:tr>
      <w:tr>
        <w:tc>
          <w:tcPr/>
          <w:p>
            <w:pPr>
              <w:pStyle w:val="Compact"/>
              <w:jc w:val="left"/>
            </w:pPr>
            <w:r>
              <w:rPr>
                <w:b/>
                <w:bCs/>
              </w:rPr>
              <w:t xml:space="preserve">CSR</w:t>
            </w:r>
          </w:p>
        </w:tc>
        <w:tc>
          <w:tcPr/>
          <w:p>
            <w:pPr>
              <w:pStyle w:val="Compact"/>
              <w:jc w:val="left"/>
            </w:pPr>
            <w:r>
              <w:t xml:space="preserve">Certificate Signing Request</w:t>
            </w:r>
          </w:p>
        </w:tc>
      </w:tr>
      <w:tr>
        <w:tc>
          <w:tcPr/>
          <w:p>
            <w:pPr>
              <w:pStyle w:val="Compact"/>
              <w:jc w:val="left"/>
            </w:pPr>
            <w:r>
              <w:rPr>
                <w:b/>
                <w:bCs/>
              </w:rPr>
              <w:t xml:space="preserve">CSRF</w:t>
            </w:r>
          </w:p>
        </w:tc>
        <w:tc>
          <w:tcPr/>
          <w:p>
            <w:pPr>
              <w:pStyle w:val="Compact"/>
              <w:jc w:val="left"/>
            </w:pPr>
            <w:r>
              <w:t xml:space="preserve">Cross-Site Request Forgery — an attack in which a third-party site causes the browser to send an authenticated request. Relevant because the Development session is cookie-borne</w:t>
            </w:r>
          </w:p>
        </w:tc>
      </w:tr>
      <w:tr>
        <w:tc>
          <w:tcPr/>
          <w:p>
            <w:pPr>
              <w:pStyle w:val="Compact"/>
              <w:jc w:val="left"/>
            </w:pPr>
            <w:r>
              <w:rPr>
                <w:b/>
                <w:bCs/>
              </w:rPr>
              <w:t xml:space="preserve">DAST</w:t>
            </w:r>
          </w:p>
        </w:tc>
        <w:tc>
          <w:tcPr/>
          <w:p>
            <w:pPr>
              <w:pStyle w:val="Compact"/>
              <w:jc w:val="left"/>
            </w:pPr>
            <w:r>
              <w:t xml:space="preserve">Dynamic Application Security Testing — scanning a running application</w:t>
            </w:r>
          </w:p>
        </w:tc>
      </w:tr>
      <w:tr>
        <w:tc>
          <w:tcPr/>
          <w:p>
            <w:pPr>
              <w:pStyle w:val="Compact"/>
              <w:jc w:val="left"/>
            </w:pPr>
            <w:r>
              <w:rPr>
                <w:b/>
                <w:bCs/>
              </w:rPr>
              <w:t xml:space="preserve">DEK</w:t>
            </w:r>
          </w:p>
        </w:tc>
        <w:tc>
          <w:tcPr/>
          <w:p>
            <w:pPr>
              <w:pStyle w:val="Compact"/>
              <w:jc w:val="left"/>
            </w:pPr>
            <w:r>
              <w:t xml:space="preserve">Data Encryption Key — a symmetric key that encrypts data and is itself wrapped by a KMS key</w:t>
            </w:r>
          </w:p>
        </w:tc>
      </w:tr>
      <w:tr>
        <w:tc>
          <w:tcPr/>
          <w:p>
            <w:pPr>
              <w:pStyle w:val="Compact"/>
              <w:jc w:val="left"/>
            </w:pPr>
            <w:r>
              <w:rPr>
                <w:b/>
                <w:bCs/>
              </w:rPr>
              <w:t xml:space="preserve">DLP / SDP</w:t>
            </w:r>
          </w:p>
        </w:tc>
        <w:tc>
          <w:tcPr/>
          <w:p>
            <w:pPr>
              <w:pStyle w:val="Compact"/>
              <w:jc w:val="left"/>
            </w:pPr>
            <w:r>
              <w:t xml:space="preserve">Sensitive Data Protection (formerly Cloud DLP) — inspection and de-identification of personal data</w:t>
            </w:r>
          </w:p>
        </w:tc>
      </w:tr>
      <w:tr>
        <w:tc>
          <w:tcPr/>
          <w:p>
            <w:pPr>
              <w:pStyle w:val="Compact"/>
              <w:jc w:val="left"/>
            </w:pPr>
            <w:r>
              <w:rPr>
                <w:b/>
                <w:bCs/>
              </w:rPr>
              <w:t xml:space="preserve">D-nn</w:t>
            </w:r>
          </w:p>
        </w:tc>
        <w:tc>
          <w:tcPr/>
          <w:p>
            <w:pPr>
              <w:pStyle w:val="Compact"/>
              <w:jc w:val="left"/>
            </w:pPr>
            <w:r>
              <w:t xml:space="preserve">Decision identifier, recorded in</w:t>
            </w:r>
            <w:r>
              <w:t xml:space="preserve"> </w:t>
            </w:r>
            <w:r>
              <w:rPr>
                <w:b/>
                <w:bCs/>
              </w:rPr>
              <w:t xml:space="preserve">Decision Log</w:t>
            </w:r>
          </w:p>
        </w:tc>
      </w:tr>
      <w:tr>
        <w:tc>
          <w:tcPr/>
          <w:p>
            <w:pPr>
              <w:pStyle w:val="Compact"/>
              <w:jc w:val="left"/>
            </w:pPr>
            <w:r>
              <w:rPr>
                <w:b/>
                <w:bCs/>
              </w:rPr>
              <w:t xml:space="preserve">DNS</w:t>
            </w:r>
          </w:p>
        </w:tc>
        <w:tc>
          <w:tcPr/>
          <w:p>
            <w:pPr>
              <w:pStyle w:val="Compact"/>
              <w:jc w:val="left"/>
            </w:pPr>
            <w:r>
              <w:t xml:space="preserve">Domain Name System</w:t>
            </w:r>
          </w:p>
        </w:tc>
      </w:tr>
      <w:tr>
        <w:tc>
          <w:tcPr/>
          <w:p>
            <w:pPr>
              <w:pStyle w:val="Compact"/>
              <w:jc w:val="left"/>
            </w:pPr>
            <w:r>
              <w:rPr>
                <w:b/>
                <w:bCs/>
              </w:rPr>
              <w:t xml:space="preserve">DPIA</w:t>
            </w:r>
          </w:p>
        </w:tc>
        <w:tc>
          <w:tcPr/>
          <w:p>
            <w:pPr>
              <w:pStyle w:val="Compact"/>
              <w:jc w:val="left"/>
            </w:pPr>
            <w:r>
              <w:t xml:space="preserve">Data Protection Impact Assessment — required where processing is likely to present a high risk to individuals</w:t>
            </w:r>
          </w:p>
        </w:tc>
      </w:tr>
      <w:tr>
        <w:tc>
          <w:tcPr/>
          <w:p>
            <w:pPr>
              <w:pStyle w:val="Compact"/>
              <w:jc w:val="left"/>
            </w:pPr>
            <w:r>
              <w:rPr>
                <w:b/>
                <w:bCs/>
              </w:rPr>
              <w:t xml:space="preserve">DR</w:t>
            </w:r>
          </w:p>
        </w:tc>
        <w:tc>
          <w:tcPr/>
          <w:p>
            <w:pPr>
              <w:pStyle w:val="Compact"/>
              <w:jc w:val="left"/>
            </w:pPr>
            <w:r>
              <w:t xml:space="preserve">Disaster Recovery</w:t>
            </w:r>
          </w:p>
        </w:tc>
      </w:tr>
      <w:tr>
        <w:tc>
          <w:tcPr/>
          <w:p>
            <w:pPr>
              <w:pStyle w:val="Compact"/>
              <w:jc w:val="left"/>
            </w:pPr>
            <w:r>
              <w:rPr>
                <w:b/>
                <w:bCs/>
              </w:rPr>
              <w:t xml:space="preserve">DRS</w:t>
            </w:r>
          </w:p>
        </w:tc>
        <w:tc>
          <w:tcPr/>
          <w:p>
            <w:pPr>
              <w:pStyle w:val="Compact"/>
              <w:jc w:val="left"/>
            </w:pPr>
            <w:r>
              <w:t xml:space="preserve">Domain Restricted Sharing — the</w:t>
            </w:r>
            <w:r>
              <w:t xml:space="preserve"> </w:t>
            </w:r>
            <w:r>
              <w:rPr>
                <w:rStyle w:val="VerbatimChar"/>
              </w:rPr>
              <w:t xml:space="preserve">iam.allowedPolicyMemberDomains</w:t>
            </w:r>
            <w:r>
              <w:t xml:space="preserve"> </w:t>
            </w:r>
            <w:r>
              <w:t xml:space="preserve">organisation policy. Forbids</w:t>
            </w:r>
            <w:r>
              <w:t xml:space="preserve"> </w:t>
            </w:r>
            <w:r>
              <w:rPr>
                <w:rStyle w:val="VerbatimChar"/>
              </w:rPr>
              <w:t xml:space="preserve">allUsers</w:t>
            </w:r>
          </w:p>
        </w:tc>
      </w:tr>
      <w:tr>
        <w:tc>
          <w:tcPr/>
          <w:p>
            <w:pPr>
              <w:pStyle w:val="Compact"/>
              <w:jc w:val="left"/>
            </w:pPr>
            <w:r>
              <w:rPr>
                <w:b/>
                <w:bCs/>
              </w:rPr>
              <w:t xml:space="preserve">Entra ID</w:t>
            </w:r>
          </w:p>
        </w:tc>
        <w:tc>
          <w:tcPr/>
          <w:p>
            <w:pPr>
              <w:pStyle w:val="Compact"/>
              <w:jc w:val="left"/>
            </w:pPr>
            <w:r>
              <w:t xml:space="preserve">Microsoft Entra ID (formerly Azure AD) — Colt’s corporate identity provider</w:t>
            </w:r>
          </w:p>
        </w:tc>
      </w:tr>
      <w:tr>
        <w:tc>
          <w:tcPr/>
          <w:p>
            <w:pPr>
              <w:pStyle w:val="Compact"/>
              <w:jc w:val="left"/>
            </w:pPr>
            <w:r>
              <w:rPr>
                <w:b/>
                <w:bCs/>
              </w:rPr>
              <w:t xml:space="preserve">envgroup</w:t>
            </w:r>
          </w:p>
        </w:tc>
        <w:tc>
          <w:tcPr/>
          <w:p>
            <w:pPr>
              <w:pStyle w:val="Compact"/>
              <w:jc w:val="left"/>
            </w:pPr>
            <w:r>
              <w:t xml:space="preserve">Shorthand for Apigee environment group</w:t>
            </w:r>
          </w:p>
        </w:tc>
      </w:tr>
      <w:tr>
        <w:tc>
          <w:tcPr/>
          <w:p>
            <w:pPr>
              <w:pStyle w:val="Compact"/>
              <w:jc w:val="left"/>
            </w:pPr>
            <w:r>
              <w:rPr>
                <w:rStyle w:val="VerbatimChar"/>
                <w:b/>
                <w:bCs/>
              </w:rPr>
              <w:t xml:space="preserve">EXECUTION_SKIPPED</w:t>
            </w:r>
          </w:p>
        </w:tc>
        <w:tc>
          <w:tcPr/>
          <w:p>
            <w:pPr>
              <w:pStyle w:val="Compact"/>
              <w:jc w:val="left"/>
            </w:pPr>
            <w:r>
              <w:t xml:space="preserve">A Model Armor outcome meaning a filter did not run because the content exceeded its token limit.</w:t>
            </w:r>
            <w:r>
              <w:t xml:space="preserve"> </w:t>
            </w:r>
            <w:r>
              <w:rPr>
                <w:b/>
                <w:bCs/>
              </w:rPr>
              <w:t xml:space="preserve">Not</w:t>
            </w:r>
            <w:r>
              <w:t xml:space="preserve"> </w:t>
            </w:r>
            <w:r>
              <w:t xml:space="preserve">a pass</w:t>
            </w:r>
          </w:p>
        </w:tc>
      </w:tr>
      <w:tr>
        <w:tc>
          <w:tcPr/>
          <w:p>
            <w:pPr>
              <w:pStyle w:val="Compact"/>
              <w:jc w:val="left"/>
            </w:pPr>
            <w:r>
              <w:rPr>
                <w:b/>
                <w:bCs/>
              </w:rPr>
              <w:t xml:space="preserve">Firestore Native</w:t>
            </w:r>
          </w:p>
        </w:tc>
        <w:tc>
          <w:tcPr/>
          <w:p>
            <w:pPr>
              <w:pStyle w:val="Compact"/>
              <w:jc w:val="left"/>
            </w:pPr>
            <w:r>
              <w:t xml:space="preserve">Firestore in Native mode — the document database holding sessions, jobs and idempotency keys</w:t>
            </w:r>
          </w:p>
        </w:tc>
      </w:tr>
      <w:tr>
        <w:tc>
          <w:tcPr/>
          <w:p>
            <w:pPr>
              <w:pStyle w:val="Compact"/>
              <w:jc w:val="left"/>
            </w:pPr>
            <w:r>
              <w:rPr>
                <w:b/>
                <w:bCs/>
              </w:rPr>
              <w:t xml:space="preserve">GCP</w:t>
            </w:r>
          </w:p>
        </w:tc>
        <w:tc>
          <w:tcPr/>
          <w:p>
            <w:pPr>
              <w:pStyle w:val="Compact"/>
              <w:jc w:val="left"/>
            </w:pPr>
            <w:r>
              <w:t xml:space="preserve">Google Cloud Platform</w:t>
            </w:r>
          </w:p>
        </w:tc>
      </w:tr>
      <w:tr>
        <w:tc>
          <w:tcPr/>
          <w:p>
            <w:pPr>
              <w:pStyle w:val="Compact"/>
              <w:jc w:val="left"/>
            </w:pPr>
            <w:r>
              <w:rPr>
                <w:b/>
                <w:bCs/>
              </w:rPr>
              <w:t xml:space="preserve">GCS</w:t>
            </w:r>
          </w:p>
        </w:tc>
        <w:tc>
          <w:tcPr/>
          <w:p>
            <w:pPr>
              <w:pStyle w:val="Compact"/>
              <w:jc w:val="left"/>
            </w:pPr>
            <w:r>
              <w:t xml:space="preserve">Google Cloud Storage</w:t>
            </w:r>
          </w:p>
        </w:tc>
      </w:tr>
      <w:tr>
        <w:tc>
          <w:tcPr/>
          <w:p>
            <w:pPr>
              <w:pStyle w:val="Compact"/>
              <w:jc w:val="left"/>
            </w:pPr>
            <w:r>
              <w:rPr>
                <w:b/>
                <w:bCs/>
              </w:rPr>
              <w:t xml:space="preserve">GDPR</w:t>
            </w:r>
          </w:p>
        </w:tc>
        <w:tc>
          <w:tcPr/>
          <w:p>
            <w:pPr>
              <w:pStyle w:val="Compact"/>
              <w:jc w:val="left"/>
            </w:pPr>
            <w:r>
              <w:t xml:space="preserve">General Data Protection Regulation</w:t>
            </w:r>
          </w:p>
        </w:tc>
      </w:tr>
      <w:tr>
        <w:tc>
          <w:tcPr/>
          <w:p>
            <w:pPr>
              <w:pStyle w:val="Compact"/>
              <w:jc w:val="left"/>
            </w:pPr>
            <w:r>
              <w:rPr>
                <w:b/>
                <w:bCs/>
              </w:rPr>
              <w:t xml:space="preserve">IaC</w:t>
            </w:r>
          </w:p>
        </w:tc>
        <w:tc>
          <w:tcPr/>
          <w:p>
            <w:pPr>
              <w:pStyle w:val="Compact"/>
              <w:jc w:val="left"/>
            </w:pPr>
            <w:r>
              <w:t xml:space="preserve">Infrastructure as Code — in this platform, Terraform</w:t>
            </w:r>
          </w:p>
        </w:tc>
      </w:tr>
      <w:tr>
        <w:tc>
          <w:tcPr/>
          <w:p>
            <w:pPr>
              <w:pStyle w:val="Compact"/>
              <w:jc w:val="left"/>
            </w:pPr>
            <w:r>
              <w:rPr>
                <w:b/>
                <w:bCs/>
              </w:rPr>
              <w:t xml:space="preserve">IAM</w:t>
            </w:r>
          </w:p>
        </w:tc>
        <w:tc>
          <w:tcPr/>
          <w:p>
            <w:pPr>
              <w:pStyle w:val="Compact"/>
              <w:jc w:val="left"/>
            </w:pPr>
            <w:r>
              <w:t xml:space="preserve">Identity and Access Management</w:t>
            </w:r>
          </w:p>
        </w:tc>
      </w:tr>
      <w:tr>
        <w:tc>
          <w:tcPr/>
          <w:p>
            <w:pPr>
              <w:pStyle w:val="Compact"/>
              <w:jc w:val="left"/>
            </w:pPr>
            <w:r>
              <w:rPr>
                <w:b/>
                <w:bCs/>
              </w:rPr>
              <w:t xml:space="preserve">IAP</w:t>
            </w:r>
          </w:p>
        </w:tc>
        <w:tc>
          <w:tcPr/>
          <w:p>
            <w:pPr>
              <w:pStyle w:val="Compact"/>
              <w:jc w:val="left"/>
            </w:pPr>
            <w:r>
              <w:t xml:space="preserve">Identity-Aware Proxy — Google’s authentication checkpoint in front of a load balancer backend service or a Cloud Run service</w:t>
            </w:r>
          </w:p>
        </w:tc>
      </w:tr>
      <w:tr>
        <w:tc>
          <w:tcPr/>
          <w:p>
            <w:pPr>
              <w:pStyle w:val="Compact"/>
              <w:jc w:val="left"/>
            </w:pPr>
            <w:r>
              <w:rPr>
                <w:b/>
                <w:bCs/>
              </w:rPr>
              <w:t xml:space="preserve">IAP SSH</w:t>
            </w:r>
          </w:p>
        </w:tc>
        <w:tc>
          <w:tcPr/>
          <w:p>
            <w:pPr>
              <w:pStyle w:val="Compact"/>
              <w:jc w:val="left"/>
            </w:pPr>
            <w:r>
              <w:t xml:space="preserve">Administrative SSH brokered through IAP’s TCP forwarding range</w:t>
            </w:r>
            <w:r>
              <w:t xml:space="preserve"> </w:t>
            </w:r>
            <w:r>
              <w:rPr>
                <w:rStyle w:val="VerbatimChar"/>
              </w:rPr>
              <w:t xml:space="preserve">35.235.240.0/20</w:t>
            </w:r>
            <w:r>
              <w:t xml:space="preserve">. The only remote access path to the Sandbox Workbench</w:t>
            </w:r>
          </w:p>
        </w:tc>
      </w:tr>
      <w:tr>
        <w:tc>
          <w:tcPr/>
          <w:p>
            <w:pPr>
              <w:pStyle w:val="Compact"/>
              <w:jc w:val="left"/>
            </w:pPr>
            <w:r>
              <w:rPr>
                <w:b/>
                <w:bCs/>
              </w:rPr>
              <w:t xml:space="preserve">IBAN</w:t>
            </w:r>
          </w:p>
        </w:tc>
        <w:tc>
          <w:tcPr/>
          <w:p>
            <w:pPr>
              <w:pStyle w:val="Compact"/>
              <w:jc w:val="left"/>
            </w:pPr>
            <w:r>
              <w:t xml:space="preserve">International Bank Account Number — one of the sensitive-data infoTypes screened by the guardrail templates</w:t>
            </w:r>
          </w:p>
        </w:tc>
      </w:tr>
      <w:tr>
        <w:tc>
          <w:tcPr/>
          <w:p>
            <w:pPr>
              <w:pStyle w:val="Compact"/>
              <w:jc w:val="left"/>
            </w:pPr>
            <w:r>
              <w:rPr>
                <w:b/>
                <w:bCs/>
              </w:rPr>
              <w:t xml:space="preserve">ILB</w:t>
            </w:r>
          </w:p>
        </w:tc>
        <w:tc>
          <w:tcPr/>
          <w:p>
            <w:pPr>
              <w:pStyle w:val="Compact"/>
              <w:jc w:val="left"/>
            </w:pPr>
            <w:r>
              <w:t xml:space="preserve">Internal Application Load Balancer — regional,</w:t>
            </w:r>
            <w:r>
              <w:t xml:space="preserve"> </w:t>
            </w:r>
            <w:r>
              <w:rPr>
                <w:rStyle w:val="VerbatimChar"/>
              </w:rPr>
              <w:t xml:space="preserve">INTERNAL_MANAGED</w:t>
            </w:r>
            <w:r>
              <w:t xml:space="preserve"> </w:t>
            </w:r>
            <w:r>
              <w:t xml:space="preserve">scheme</w:t>
            </w:r>
          </w:p>
        </w:tc>
      </w:tr>
      <w:tr>
        <w:tc>
          <w:tcPr/>
          <w:p>
            <w:pPr>
              <w:pStyle w:val="Compact"/>
              <w:jc w:val="left"/>
            </w:pPr>
            <w:r>
              <w:rPr>
                <w:b/>
                <w:bCs/>
              </w:rPr>
              <w:t xml:space="preserve">IPAM</w:t>
            </w:r>
          </w:p>
        </w:tc>
        <w:tc>
          <w:tcPr/>
          <w:p>
            <w:pPr>
              <w:pStyle w:val="Compact"/>
              <w:jc w:val="left"/>
            </w:pPr>
            <w:r>
              <w:t xml:space="preserve">IP Address Management — the Colt process for allocating address ranges</w:t>
            </w:r>
          </w:p>
        </w:tc>
      </w:tr>
      <w:tr>
        <w:tc>
          <w:tcPr/>
          <w:p>
            <w:pPr>
              <w:pStyle w:val="Compact"/>
              <w:jc w:val="left"/>
            </w:pPr>
            <w:r>
              <w:rPr>
                <w:b/>
                <w:bCs/>
              </w:rPr>
              <w:t xml:space="preserve">ISMS</w:t>
            </w:r>
          </w:p>
        </w:tc>
        <w:tc>
          <w:tcPr/>
          <w:p>
            <w:pPr>
              <w:pStyle w:val="Compact"/>
              <w:jc w:val="left"/>
            </w:pPr>
            <w:r>
              <w:t xml:space="preserve">Information Security Management System — the ISO/IEC 27001 scope</w:t>
            </w:r>
          </w:p>
        </w:tc>
      </w:tr>
      <w:tr>
        <w:tc>
          <w:tcPr/>
          <w:p>
            <w:pPr>
              <w:pStyle w:val="Compact"/>
              <w:jc w:val="left"/>
            </w:pPr>
            <w:r>
              <w:rPr>
                <w:b/>
                <w:bCs/>
              </w:rPr>
              <w:t xml:space="preserve">JIT</w:t>
            </w:r>
          </w:p>
        </w:tc>
        <w:tc>
          <w:tcPr/>
          <w:p>
            <w:pPr>
              <w:pStyle w:val="Compact"/>
              <w:jc w:val="left"/>
            </w:pPr>
            <w:r>
              <w:t xml:space="preserve">Just-in-Time — time-bounded privilege elevation, granted on approval and expiring automatically</w:t>
            </w:r>
          </w:p>
        </w:tc>
      </w:tr>
      <w:tr>
        <w:tc>
          <w:tcPr/>
          <w:p>
            <w:pPr>
              <w:pStyle w:val="Compact"/>
              <w:jc w:val="left"/>
            </w:pPr>
            <w:r>
              <w:rPr>
                <w:b/>
                <w:bCs/>
              </w:rPr>
              <w:t xml:space="preserve">JML</w:t>
            </w:r>
          </w:p>
        </w:tc>
        <w:tc>
          <w:tcPr/>
          <w:p>
            <w:pPr>
              <w:pStyle w:val="Compact"/>
              <w:jc w:val="left"/>
            </w:pPr>
            <w:r>
              <w:t xml:space="preserve">Joiner / Mover / Leaver — the identity lifecycle process that drives group membership and access removal</w:t>
            </w:r>
          </w:p>
        </w:tc>
      </w:tr>
      <w:tr>
        <w:tc>
          <w:tcPr/>
          <w:p>
            <w:pPr>
              <w:pStyle w:val="Compact"/>
              <w:jc w:val="left"/>
            </w:pPr>
            <w:r>
              <w:rPr>
                <w:b/>
                <w:bCs/>
              </w:rPr>
              <w:t xml:space="preserve">JWKS</w:t>
            </w:r>
          </w:p>
        </w:tc>
        <w:tc>
          <w:tcPr/>
          <w:p>
            <w:pPr>
              <w:pStyle w:val="Compact"/>
              <w:jc w:val="left"/>
            </w:pPr>
            <w:r>
              <w:t xml:space="preserve">JSON Web Key Set — the published public keys a token issuer signs with</w:t>
            </w:r>
          </w:p>
        </w:tc>
      </w:tr>
      <w:tr>
        <w:tc>
          <w:tcPr/>
          <w:p>
            <w:pPr>
              <w:pStyle w:val="Compact"/>
              <w:jc w:val="left"/>
            </w:pPr>
            <w:r>
              <w:rPr>
                <w:b/>
                <w:bCs/>
              </w:rPr>
              <w:t xml:space="preserve">JWT</w:t>
            </w:r>
          </w:p>
        </w:tc>
        <w:tc>
          <w:tcPr/>
          <w:p>
            <w:pPr>
              <w:pStyle w:val="Compact"/>
              <w:jc w:val="left"/>
            </w:pPr>
            <w:r>
              <w:t xml:space="preserve">JSON Web Token</w:t>
            </w:r>
          </w:p>
        </w:tc>
      </w:tr>
      <w:tr>
        <w:tc>
          <w:tcPr/>
          <w:p>
            <w:pPr>
              <w:pStyle w:val="Compact"/>
              <w:jc w:val="left"/>
            </w:pPr>
            <w:r>
              <w:rPr>
                <w:b/>
                <w:bCs/>
              </w:rPr>
              <w:t xml:space="preserve">KMS</w:t>
            </w:r>
          </w:p>
        </w:tc>
        <w:tc>
          <w:tcPr/>
          <w:p>
            <w:pPr>
              <w:pStyle w:val="Compact"/>
              <w:jc w:val="left"/>
            </w:pPr>
            <w:r>
              <w:t xml:space="preserve">Key Management Service — Cloud KMS, which holds every CMEK in this design</w:t>
            </w:r>
          </w:p>
        </w:tc>
      </w:tr>
      <w:tr>
        <w:tc>
          <w:tcPr/>
          <w:p>
            <w:pPr>
              <w:pStyle w:val="Compact"/>
              <w:jc w:val="left"/>
            </w:pPr>
            <w:r>
              <w:rPr>
                <w:b/>
                <w:bCs/>
              </w:rPr>
              <w:t xml:space="preserve">KVM</w:t>
            </w:r>
          </w:p>
        </w:tc>
        <w:tc>
          <w:tcPr/>
          <w:p>
            <w:pPr>
              <w:pStyle w:val="Compact"/>
              <w:jc w:val="left"/>
            </w:pPr>
            <w:r>
              <w:t xml:space="preserve">Key Value Map — an Apigee runtime lookup table, scoped to an environment</w:t>
            </w:r>
          </w:p>
        </w:tc>
      </w:tr>
      <w:tr>
        <w:tc>
          <w:tcPr/>
          <w:p>
            <w:pPr>
              <w:pStyle w:val="Compact"/>
              <w:jc w:val="left"/>
            </w:pPr>
            <w:r>
              <w:rPr>
                <w:b/>
                <w:bCs/>
              </w:rPr>
              <w:t xml:space="preserve">LLD</w:t>
            </w:r>
          </w:p>
        </w:tc>
        <w:tc>
          <w:tcPr/>
          <w:p>
            <w:pPr>
              <w:pStyle w:val="Compact"/>
              <w:jc w:val="left"/>
            </w:pPr>
            <w:r>
              <w:t xml:space="preserve">Low Level Design — this document</w:t>
            </w:r>
          </w:p>
        </w:tc>
      </w:tr>
      <w:tr>
        <w:tc>
          <w:tcPr/>
          <w:p>
            <w:pPr>
              <w:pStyle w:val="Compact"/>
              <w:jc w:val="left"/>
            </w:pPr>
            <w:r>
              <w:rPr>
                <w:b/>
                <w:bCs/>
              </w:rPr>
              <w:t xml:space="preserve">LLM</w:t>
            </w:r>
          </w:p>
        </w:tc>
        <w:tc>
          <w:tcPr/>
          <w:p>
            <w:pPr>
              <w:pStyle w:val="Compact"/>
              <w:jc w:val="left"/>
            </w:pPr>
            <w:r>
              <w:t xml:space="preserve">Large Language Model</w:t>
            </w:r>
          </w:p>
        </w:tc>
      </w:tr>
      <w:tr>
        <w:tc>
          <w:tcPr/>
          <w:p>
            <w:pPr>
              <w:pStyle w:val="Compact"/>
              <w:jc w:val="left"/>
            </w:pPr>
            <w:r>
              <w:rPr>
                <w:rStyle w:val="VerbatimChar"/>
                <w:b/>
                <w:bCs/>
              </w:rPr>
              <w:t xml:space="preserve">LLMTokenQuota</w:t>
            </w:r>
          </w:p>
        </w:tc>
        <w:tc>
          <w:tcPr/>
          <w:p>
            <w:pPr>
              <w:pStyle w:val="Compact"/>
              <w:jc w:val="left"/>
            </w:pPr>
            <w:r>
              <w:t xml:space="preserve">An Apigee</w:t>
            </w:r>
            <w:r>
              <w:t xml:space="preserve"> </w:t>
            </w:r>
            <w:r>
              <w:rPr>
                <w:b/>
                <w:bCs/>
              </w:rPr>
              <w:t xml:space="preserve">Extensible</w:t>
            </w:r>
            <w:r>
              <w:t xml:space="preserve"> </w:t>
            </w:r>
            <w:r>
              <w:t xml:space="preserve">policy enforcing token consumption limits per API Product over an interval. Returns 429</w:t>
            </w:r>
          </w:p>
        </w:tc>
      </w:tr>
      <w:tr>
        <w:tc>
          <w:tcPr/>
          <w:p>
            <w:pPr>
              <w:pStyle w:val="Compact"/>
              <w:jc w:val="left"/>
            </w:pPr>
            <w:r>
              <w:rPr>
                <w:b/>
                <w:bCs/>
              </w:rPr>
              <w:t xml:space="preserve">MFA</w:t>
            </w:r>
          </w:p>
        </w:tc>
        <w:tc>
          <w:tcPr/>
          <w:p>
            <w:pPr>
              <w:pStyle w:val="Compact"/>
              <w:jc w:val="left"/>
            </w:pPr>
            <w:r>
              <w:t xml:space="preserve">Multi-factor authentication</w:t>
            </w:r>
          </w:p>
        </w:tc>
      </w:tr>
      <w:tr>
        <w:tc>
          <w:tcPr/>
          <w:p>
            <w:pPr>
              <w:pStyle w:val="Compact"/>
              <w:jc w:val="left"/>
            </w:pPr>
            <w:r>
              <w:rPr>
                <w:b/>
                <w:bCs/>
              </w:rPr>
              <w:t xml:space="preserve">MNPI</w:t>
            </w:r>
          </w:p>
        </w:tc>
        <w:tc>
          <w:tcPr/>
          <w:p>
            <w:pPr>
              <w:pStyle w:val="Compact"/>
              <w:jc w:val="left"/>
            </w:pPr>
            <w:r>
              <w:t xml:space="preserve">Material Non-Public Information — a data class that must not be submitted to the platform</w:t>
            </w:r>
          </w:p>
        </w:tc>
      </w:tr>
      <w:tr>
        <w:tc>
          <w:tcPr/>
          <w:p>
            <w:pPr>
              <w:pStyle w:val="Compact"/>
              <w:jc w:val="left"/>
            </w:pPr>
            <w:r>
              <w:rPr>
                <w:b/>
                <w:bCs/>
              </w:rPr>
              <w:t xml:space="preserve">Model Armor</w:t>
            </w:r>
          </w:p>
        </w:tc>
        <w:tc>
          <w:tcPr/>
          <w:p>
            <w:pPr>
              <w:pStyle w:val="Compact"/>
              <w:jc w:val="left"/>
            </w:pPr>
            <w:r>
              <w:t xml:space="preserve">Google Cloud’s screening service for prompt injection, jailbreak patterns, malicious URLs and sensitive data</w:t>
            </w:r>
          </w:p>
        </w:tc>
      </w:tr>
      <w:tr>
        <w:tc>
          <w:tcPr/>
          <w:p>
            <w:pPr>
              <w:pStyle w:val="Compact"/>
              <w:jc w:val="left"/>
            </w:pPr>
            <w:r>
              <w:rPr>
                <w:b/>
                <w:bCs/>
              </w:rPr>
              <w:t xml:space="preserve">NAT</w:t>
            </w:r>
          </w:p>
        </w:tc>
        <w:tc>
          <w:tcPr/>
          <w:p>
            <w:pPr>
              <w:pStyle w:val="Compact"/>
              <w:jc w:val="left"/>
            </w:pPr>
            <w:r>
              <w:t xml:space="preserve">Network Address Translation. Cloud NAT provides Sandbox outbound egress from two fixed addresses</w:t>
            </w:r>
          </w:p>
        </w:tc>
      </w:tr>
      <w:tr>
        <w:tc>
          <w:tcPr/>
          <w:p>
            <w:pPr>
              <w:pStyle w:val="Compact"/>
              <w:jc w:val="left"/>
            </w:pPr>
            <w:r>
              <w:rPr>
                <w:b/>
                <w:bCs/>
              </w:rPr>
              <w:t xml:space="preserve">NCSC</w:t>
            </w:r>
          </w:p>
        </w:tc>
        <w:tc>
          <w:tcPr/>
          <w:p>
            <w:pPr>
              <w:pStyle w:val="Compact"/>
              <w:jc w:val="left"/>
            </w:pPr>
            <w:r>
              <w:t xml:space="preserve">National Cyber Security Centre — source of guidance referenced by the compliance requirements</w:t>
            </w:r>
          </w:p>
        </w:tc>
      </w:tr>
      <w:tr>
        <w:tc>
          <w:tcPr/>
          <w:p>
            <w:pPr>
              <w:pStyle w:val="Compact"/>
              <w:jc w:val="left"/>
            </w:pPr>
            <w:r>
              <w:rPr>
                <w:b/>
                <w:bCs/>
              </w:rPr>
              <w:t xml:space="preserve">NEG</w:t>
            </w:r>
          </w:p>
        </w:tc>
        <w:tc>
          <w:tcPr/>
          <w:p>
            <w:pPr>
              <w:pStyle w:val="Compact"/>
              <w:jc w:val="left"/>
            </w:pPr>
            <w:r>
              <w:t xml:space="preserve">Network Endpoint Group. A</w:t>
            </w:r>
            <w:r>
              <w:t xml:space="preserve"> </w:t>
            </w:r>
            <w:r>
              <w:rPr>
                <w:b/>
                <w:bCs/>
              </w:rPr>
              <w:t xml:space="preserve">serverless NEG</w:t>
            </w:r>
            <w:r>
              <w:t xml:space="preserve"> </w:t>
            </w:r>
            <w:r>
              <w:t xml:space="preserve">points a load balancer backend service at a Cloud Run service</w:t>
            </w:r>
          </w:p>
        </w:tc>
      </w:tr>
      <w:tr>
        <w:tc>
          <w:tcPr/>
          <w:p>
            <w:pPr>
              <w:pStyle w:val="Compact"/>
              <w:jc w:val="left"/>
            </w:pPr>
            <w:r>
              <w:rPr>
                <w:b/>
                <w:bCs/>
              </w:rPr>
              <w:t xml:space="preserve">NIS2</w:t>
            </w:r>
          </w:p>
        </w:tc>
        <w:tc>
          <w:tcPr/>
          <w:p>
            <w:pPr>
              <w:pStyle w:val="Compact"/>
              <w:jc w:val="left"/>
            </w:pPr>
            <w:r>
              <w:t xml:space="preserve">Network and Information Security Directive 2</w:t>
            </w:r>
          </w:p>
        </w:tc>
      </w:tr>
      <w:tr>
        <w:tc>
          <w:tcPr/>
          <w:p>
            <w:pPr>
              <w:pStyle w:val="Compact"/>
              <w:jc w:val="left"/>
            </w:pPr>
            <w:r>
              <w:rPr>
                <w:b/>
                <w:bCs/>
              </w:rPr>
              <w:t xml:space="preserve">OCSP</w:t>
            </w:r>
          </w:p>
        </w:tc>
        <w:tc>
          <w:tcPr/>
          <w:p>
            <w:pPr>
              <w:pStyle w:val="Compact"/>
              <w:jc w:val="left"/>
            </w:pPr>
            <w:r>
              <w:t xml:space="preserve">Online Certificate Status Protocol</w:t>
            </w:r>
          </w:p>
        </w:tc>
      </w:tr>
      <w:tr>
        <w:tc>
          <w:tcPr/>
          <w:p>
            <w:pPr>
              <w:pStyle w:val="Compact"/>
              <w:jc w:val="left"/>
            </w:pPr>
            <w:r>
              <w:rPr>
                <w:rStyle w:val="VerbatimChar"/>
                <w:b/>
                <w:bCs/>
              </w:rPr>
              <w:t xml:space="preserve">oid</w:t>
            </w:r>
          </w:p>
        </w:tc>
        <w:tc>
          <w:tcPr/>
          <w:p>
            <w:pPr>
              <w:pStyle w:val="Compact"/>
              <w:jc w:val="left"/>
            </w:pPr>
            <w:r>
              <w:t xml:space="preserve">The Entra ID object identifier claim — the immutable per-user key on which all rate limiting and cost attribution is based</w:t>
            </w:r>
          </w:p>
        </w:tc>
      </w:tr>
      <w:tr>
        <w:tc>
          <w:tcPr/>
          <w:p>
            <w:pPr>
              <w:pStyle w:val="Compact"/>
              <w:jc w:val="left"/>
            </w:pPr>
            <w:r>
              <w:rPr>
                <w:b/>
                <w:bCs/>
              </w:rPr>
              <w:t xml:space="preserve">OIDC</w:t>
            </w:r>
          </w:p>
        </w:tc>
        <w:tc>
          <w:tcPr/>
          <w:p>
            <w:pPr>
              <w:pStyle w:val="Compact"/>
              <w:jc w:val="left"/>
            </w:pPr>
            <w:r>
              <w:t xml:space="preserve">OpenID Connect — the identity layer over OAuth 2.0 used by both Entra ID sign-in and GitLab CI federation</w:t>
            </w:r>
          </w:p>
        </w:tc>
      </w:tr>
      <w:tr>
        <w:tc>
          <w:tcPr/>
          <w:p>
            <w:pPr>
              <w:pStyle w:val="Compact"/>
              <w:jc w:val="left"/>
            </w:pPr>
            <w:r>
              <w:rPr>
                <w:b/>
                <w:bCs/>
              </w:rPr>
              <w:t xml:space="preserve">ONNX</w:t>
            </w:r>
          </w:p>
        </w:tc>
        <w:tc>
          <w:tcPr/>
          <w:p>
            <w:pPr>
              <w:pStyle w:val="Compact"/>
              <w:jc w:val="left"/>
            </w:pPr>
            <w:r>
              <w:t xml:space="preserve">Open Neural Network Exchange — a portable model format, relevant to model provenance controls</w:t>
            </w:r>
          </w:p>
        </w:tc>
      </w:tr>
      <w:tr>
        <w:tc>
          <w:tcPr/>
          <w:p>
            <w:pPr>
              <w:pStyle w:val="Compact"/>
              <w:jc w:val="left"/>
            </w:pPr>
            <w:r>
              <w:rPr>
                <w:b/>
                <w:bCs/>
              </w:rPr>
              <w:t xml:space="preserve">P4SA</w:t>
            </w:r>
          </w:p>
        </w:tc>
        <w:tc>
          <w:tcPr/>
          <w:p>
            <w:pPr>
              <w:pStyle w:val="Compact"/>
              <w:jc w:val="left"/>
            </w:pPr>
            <w:r>
              <w:t xml:space="preserve">Per-Product Service Account, more commonly</w:t>
            </w:r>
            <w:r>
              <w:t xml:space="preserve"> </w:t>
            </w:r>
            <w:r>
              <w:rPr>
                <w:i/>
                <w:iCs/>
              </w:rPr>
              <w:t xml:space="preserve">service agent</w:t>
            </w:r>
            <w:r>
              <w:t xml:space="preserve"> </w:t>
            </w:r>
            <w:r>
              <w:t xml:space="preserve">— a Google-managed identity a service uses to act on your behalf</w:t>
            </w:r>
          </w:p>
        </w:tc>
      </w:tr>
      <w:tr>
        <w:tc>
          <w:tcPr/>
          <w:p>
            <w:pPr>
              <w:pStyle w:val="Compact"/>
              <w:jc w:val="left"/>
            </w:pPr>
            <w:r>
              <w:rPr>
                <w:b/>
                <w:bCs/>
              </w:rPr>
              <w:t xml:space="preserve">PAM</w:t>
            </w:r>
          </w:p>
        </w:tc>
        <w:tc>
          <w:tcPr/>
          <w:p>
            <w:pPr>
              <w:pStyle w:val="Compact"/>
              <w:jc w:val="left"/>
            </w:pPr>
            <w:r>
              <w:t xml:space="preserve">Privileged Access Management</w:t>
            </w:r>
          </w:p>
        </w:tc>
      </w:tr>
      <w:tr>
        <w:tc>
          <w:tcPr/>
          <w:p>
            <w:pPr>
              <w:pStyle w:val="Compact"/>
              <w:jc w:val="left"/>
            </w:pPr>
            <w:r>
              <w:rPr>
                <w:b/>
                <w:bCs/>
              </w:rPr>
              <w:t xml:space="preserve">PII</w:t>
            </w:r>
          </w:p>
        </w:tc>
        <w:tc>
          <w:tcPr/>
          <w:p>
            <w:pPr>
              <w:pStyle w:val="Compact"/>
              <w:jc w:val="left"/>
            </w:pPr>
            <w:r>
              <w:t xml:space="preserve">Personally Identifiable Information</w:t>
            </w:r>
          </w:p>
        </w:tc>
      </w:tr>
      <w:tr>
        <w:tc>
          <w:tcPr/>
          <w:p>
            <w:pPr>
              <w:pStyle w:val="Compact"/>
              <w:jc w:val="left"/>
            </w:pPr>
            <w:r>
              <w:rPr>
                <w:b/>
                <w:bCs/>
              </w:rPr>
              <w:t xml:space="preserve">PKI</w:t>
            </w:r>
          </w:p>
        </w:tc>
        <w:tc>
          <w:tcPr/>
          <w:p>
            <w:pPr>
              <w:pStyle w:val="Compact"/>
              <w:jc w:val="left"/>
            </w:pPr>
            <w:r>
              <w:t xml:space="preserve">Public Key Infrastructure</w:t>
            </w:r>
          </w:p>
        </w:tc>
      </w:tr>
      <w:tr>
        <w:tc>
          <w:tcPr/>
          <w:p>
            <w:pPr>
              <w:pStyle w:val="Compact"/>
              <w:jc w:val="left"/>
            </w:pPr>
            <w:r>
              <w:rPr>
                <w:b/>
                <w:bCs/>
              </w:rPr>
              <w:t xml:space="preserve">PM</w:t>
            </w:r>
          </w:p>
        </w:tc>
        <w:tc>
          <w:tcPr/>
          <w:p>
            <w:pPr>
              <w:pStyle w:val="Compact"/>
              <w:jc w:val="left"/>
            </w:pPr>
            <w:r>
              <w:t xml:space="preserve">Project Management — the PM Team owns change governance, CAB submission and stakeholder communication</w:t>
            </w:r>
          </w:p>
        </w:tc>
      </w:tr>
      <w:tr>
        <w:tc>
          <w:tcPr/>
          <w:p>
            <w:pPr>
              <w:pStyle w:val="Compact"/>
              <w:jc w:val="left"/>
            </w:pPr>
            <w:r>
              <w:rPr>
                <w:b/>
                <w:bCs/>
              </w:rPr>
              <w:t xml:space="preserve">PR-nn</w:t>
            </w:r>
          </w:p>
        </w:tc>
        <w:tc>
          <w:tcPr/>
          <w:p>
            <w:pPr>
              <w:pStyle w:val="Compact"/>
              <w:jc w:val="left"/>
            </w:pPr>
            <w:r>
              <w:t xml:space="preserve">Performance requirement identifier, defined in</w:t>
            </w:r>
            <w:r>
              <w:t xml:space="preserve"> </w:t>
            </w:r>
            <w:r>
              <w:rPr>
                <w:b/>
                <w:bCs/>
              </w:rPr>
              <w:t xml:space="preserve">Requirements</w:t>
            </w:r>
          </w:p>
        </w:tc>
      </w:tr>
      <w:tr>
        <w:tc>
          <w:tcPr/>
          <w:p>
            <w:pPr>
              <w:pStyle w:val="Compact"/>
              <w:jc w:val="left"/>
            </w:pPr>
            <w:r>
              <w:rPr>
                <w:rStyle w:val="VerbatimChar"/>
                <w:b/>
                <w:bCs/>
              </w:rPr>
              <w:t xml:space="preserve">PromptTokenLimit</w:t>
            </w:r>
          </w:p>
        </w:tc>
        <w:tc>
          <w:tcPr/>
          <w:p>
            <w:pPr>
              <w:pStyle w:val="Compact"/>
              <w:jc w:val="left"/>
            </w:pPr>
            <w:r>
              <w:t xml:space="preserve">An Apigee</w:t>
            </w:r>
            <w:r>
              <w:t xml:space="preserve"> </w:t>
            </w:r>
            <w:r>
              <w:rPr>
                <w:b/>
                <w:bCs/>
              </w:rPr>
              <w:t xml:space="preserve">Extensible</w:t>
            </w:r>
            <w:r>
              <w:t xml:space="preserve"> </w:t>
            </w:r>
            <w:r>
              <w:t xml:space="preserve">policy throttling on prompt size. Enforces a rate but keeps no persistent count, so it cannot substitute for</w:t>
            </w:r>
            <w:r>
              <w:t xml:space="preserve"> </w:t>
            </w:r>
            <w:r>
              <w:rPr>
                <w:rStyle w:val="VerbatimChar"/>
              </w:rPr>
              <w:t xml:space="preserve">LLMTokenQuota</w:t>
            </w:r>
          </w:p>
        </w:tc>
      </w:tr>
      <w:tr>
        <w:tc>
          <w:tcPr/>
          <w:p>
            <w:pPr>
              <w:pStyle w:val="Compact"/>
              <w:jc w:val="left"/>
            </w:pPr>
            <w:r>
              <w:rPr>
                <w:b/>
                <w:bCs/>
              </w:rPr>
              <w:t xml:space="preserve">PSC</w:t>
            </w:r>
          </w:p>
        </w:tc>
        <w:tc>
          <w:tcPr/>
          <w:p>
            <w:pPr>
              <w:pStyle w:val="Compact"/>
              <w:jc w:val="left"/>
            </w:pPr>
            <w:r>
              <w:t xml:space="preserve">Private Service Connect — private connectivity to a producer service without VPC peering</w:t>
            </w:r>
          </w:p>
        </w:tc>
      </w:tr>
      <w:tr>
        <w:tc>
          <w:tcPr/>
          <w:p>
            <w:pPr>
              <w:pStyle w:val="Compact"/>
              <w:jc w:val="left"/>
            </w:pPr>
            <w:r>
              <w:rPr>
                <w:b/>
                <w:bCs/>
              </w:rPr>
              <w:t xml:space="preserve">PSC service attachment</w:t>
            </w:r>
          </w:p>
        </w:tc>
        <w:tc>
          <w:tcPr/>
          <w:p>
            <w:pPr>
              <w:pStyle w:val="Compact"/>
              <w:jc w:val="left"/>
            </w:pPr>
            <w:r>
              <w:t xml:space="preserve">The producer side of a PSC connection — what a consumer endpoint connects to</w:t>
            </w:r>
          </w:p>
        </w:tc>
      </w:tr>
      <w:tr>
        <w:tc>
          <w:tcPr/>
          <w:p>
            <w:pPr>
              <w:pStyle w:val="Compact"/>
              <w:jc w:val="left"/>
            </w:pPr>
            <w:r>
              <w:rPr>
                <w:b/>
                <w:bCs/>
              </w:rPr>
              <w:t xml:space="preserve">PSC service endpoint</w:t>
            </w:r>
          </w:p>
        </w:tc>
        <w:tc>
          <w:tcPr/>
          <w:p>
            <w:pPr>
              <w:pStyle w:val="Compact"/>
              <w:jc w:val="left"/>
            </w:pPr>
            <w:r>
              <w:t xml:space="preserve">Apigee’s internal-routing option: an address inside the VPC that reaches the Apigee runtime</w:t>
            </w:r>
          </w:p>
        </w:tc>
      </w:tr>
      <w:tr>
        <w:tc>
          <w:tcPr/>
          <w:p>
            <w:pPr>
              <w:pStyle w:val="Compact"/>
              <w:jc w:val="left"/>
            </w:pPr>
            <w:r>
              <w:rPr>
                <w:b/>
                <w:bCs/>
              </w:rPr>
              <w:t xml:space="preserve">RACI</w:t>
            </w:r>
          </w:p>
        </w:tc>
        <w:tc>
          <w:tcPr/>
          <w:p>
            <w:pPr>
              <w:pStyle w:val="Compact"/>
              <w:jc w:val="left"/>
            </w:pPr>
            <w:r>
              <w:t xml:space="preserve">Responsible, Accountable, Consulted, Informed — the accountability model in</w:t>
            </w:r>
            <w:r>
              <w:t xml:space="preserve"> </w:t>
            </w:r>
            <w:r>
              <w:rPr>
                <w:b/>
                <w:bCs/>
              </w:rPr>
              <w:t xml:space="preserve">Requirements</w:t>
            </w:r>
          </w:p>
        </w:tc>
      </w:tr>
      <w:tr>
        <w:tc>
          <w:tcPr/>
          <w:p>
            <w:pPr>
              <w:pStyle w:val="Compact"/>
              <w:jc w:val="left"/>
            </w:pPr>
            <w:r>
              <w:rPr>
                <w:b/>
                <w:bCs/>
              </w:rPr>
              <w:t xml:space="preserve">RAG</w:t>
            </w:r>
          </w:p>
        </w:tc>
        <w:tc>
          <w:tcPr/>
          <w:p>
            <w:pPr>
              <w:pStyle w:val="Compact"/>
              <w:jc w:val="left"/>
            </w:pPr>
            <w:r>
              <w:t xml:space="preserve">Retrieval-Augmented Generation — retrieving documents and placing them in a model’s context</w:t>
            </w:r>
          </w:p>
        </w:tc>
      </w:tr>
      <w:tr>
        <w:tc>
          <w:tcPr/>
          <w:p>
            <w:pPr>
              <w:pStyle w:val="Compact"/>
              <w:jc w:val="left"/>
            </w:pPr>
            <w:r>
              <w:rPr>
                <w:b/>
                <w:bCs/>
              </w:rPr>
              <w:t xml:space="preserve">RBAC</w:t>
            </w:r>
          </w:p>
        </w:tc>
        <w:tc>
          <w:tcPr/>
          <w:p>
            <w:pPr>
              <w:pStyle w:val="Compact"/>
              <w:jc w:val="left"/>
            </w:pPr>
            <w:r>
              <w:t xml:space="preserve">Role-Based Access Control</w:t>
            </w:r>
          </w:p>
        </w:tc>
      </w:tr>
      <w:tr>
        <w:tc>
          <w:tcPr/>
          <w:p>
            <w:pPr>
              <w:pStyle w:val="Compact"/>
              <w:jc w:val="left"/>
            </w:pPr>
            <w:r>
              <w:rPr>
                <w:rStyle w:val="VerbatimChar"/>
                <w:b/>
                <w:bCs/>
              </w:rPr>
              <w:t xml:space="preserve">restricts</w:t>
            </w:r>
          </w:p>
        </w:tc>
        <w:tc>
          <w:tcPr/>
          <w:p>
            <w:pPr>
              <w:pStyle w:val="Compact"/>
              <w:jc w:val="left"/>
            </w:pPr>
            <w:r>
              <w:t xml:space="preserve">A Vertex AI Vector Search field carrying namespace/value tags used to filter query results. The business-unit isolation mechanism</w:t>
            </w:r>
          </w:p>
        </w:tc>
      </w:tr>
      <w:tr>
        <w:tc>
          <w:tcPr/>
          <w:p>
            <w:pPr>
              <w:pStyle w:val="Compact"/>
              <w:jc w:val="left"/>
            </w:pPr>
            <w:r>
              <w:rPr>
                <w:b/>
                <w:bCs/>
              </w:rPr>
              <w:t xml:space="preserve">R-nn</w:t>
            </w:r>
          </w:p>
        </w:tc>
        <w:tc>
          <w:tcPr/>
          <w:p>
            <w:pPr>
              <w:pStyle w:val="Compact"/>
              <w:jc w:val="left"/>
            </w:pPr>
            <w:r>
              <w:t xml:space="preserve">Risk identifier, recorded in</w:t>
            </w:r>
            <w:r>
              <w:t xml:space="preserve"> </w:t>
            </w:r>
            <w:r>
              <w:rPr>
                <w:b/>
                <w:bCs/>
              </w:rPr>
              <w:t xml:space="preserve">Risk Register</w:t>
            </w:r>
          </w:p>
        </w:tc>
      </w:tr>
      <w:tr>
        <w:tc>
          <w:tcPr/>
          <w:p>
            <w:pPr>
              <w:pStyle w:val="Compact"/>
              <w:jc w:val="left"/>
            </w:pPr>
            <w:r>
              <w:rPr>
                <w:rStyle w:val="VerbatimChar"/>
                <w:b/>
                <w:bCs/>
              </w:rPr>
              <w:t xml:space="preserve">roles/run.invoker</w:t>
            </w:r>
          </w:p>
        </w:tc>
        <w:tc>
          <w:tcPr/>
          <w:p>
            <w:pPr>
              <w:pStyle w:val="Compact"/>
              <w:jc w:val="left"/>
            </w:pPr>
            <w:r>
              <w:t xml:space="preserve">The Cloud Run IAM role permitting a principal to invoke a service</w:t>
            </w:r>
          </w:p>
        </w:tc>
      </w:tr>
      <w:tr>
        <w:tc>
          <w:tcPr/>
          <w:p>
            <w:pPr>
              <w:pStyle w:val="Compact"/>
              <w:jc w:val="left"/>
            </w:pPr>
            <w:r>
              <w:rPr>
                <w:b/>
                <w:bCs/>
              </w:rPr>
              <w:t xml:space="preserve">RPO</w:t>
            </w:r>
          </w:p>
        </w:tc>
        <w:tc>
          <w:tcPr/>
          <w:p>
            <w:pPr>
              <w:pStyle w:val="Compact"/>
              <w:jc w:val="left"/>
            </w:pPr>
            <w:r>
              <w:t xml:space="preserve">Recovery Point Objective — the maximum tolerable data loss, measured in time</w:t>
            </w:r>
          </w:p>
        </w:tc>
      </w:tr>
      <w:tr>
        <w:tc>
          <w:tcPr/>
          <w:p>
            <w:pPr>
              <w:pStyle w:val="Compact"/>
              <w:jc w:val="left"/>
            </w:pPr>
            <w:r>
              <w:rPr>
                <w:b/>
                <w:bCs/>
              </w:rPr>
              <w:t xml:space="preserve">RTO</w:t>
            </w:r>
          </w:p>
        </w:tc>
        <w:tc>
          <w:tcPr/>
          <w:p>
            <w:pPr>
              <w:pStyle w:val="Compact"/>
              <w:jc w:val="left"/>
            </w:pPr>
            <w:r>
              <w:t xml:space="preserve">Recovery Time Objective — the maximum tolerable time to restore service</w:t>
            </w:r>
          </w:p>
        </w:tc>
      </w:tr>
      <w:tr>
        <w:tc>
          <w:tcPr/>
          <w:p>
            <w:pPr>
              <w:pStyle w:val="Compact"/>
              <w:jc w:val="left"/>
            </w:pPr>
            <w:r>
              <w:rPr>
                <w:b/>
                <w:bCs/>
              </w:rPr>
              <w:t xml:space="preserve">SA</w:t>
            </w:r>
          </w:p>
        </w:tc>
        <w:tc>
          <w:tcPr/>
          <w:p>
            <w:pPr>
              <w:pStyle w:val="Compact"/>
              <w:jc w:val="left"/>
            </w:pPr>
            <w:r>
              <w:t xml:space="preserve">Service Account</w:t>
            </w:r>
          </w:p>
        </w:tc>
      </w:tr>
      <w:tr>
        <w:tc>
          <w:tcPr/>
          <w:p>
            <w:pPr>
              <w:pStyle w:val="Compact"/>
              <w:jc w:val="left"/>
            </w:pPr>
            <w:r>
              <w:rPr>
                <w:b/>
                <w:bCs/>
              </w:rPr>
              <w:t xml:space="preserve">SAST</w:t>
            </w:r>
          </w:p>
        </w:tc>
        <w:tc>
          <w:tcPr/>
          <w:p>
            <w:pPr>
              <w:pStyle w:val="Compact"/>
              <w:jc w:val="left"/>
            </w:pPr>
            <w:r>
              <w:t xml:space="preserve">Static Application Security Testing — scanning source code without executing it</w:t>
            </w:r>
          </w:p>
        </w:tc>
      </w:tr>
      <w:tr>
        <w:tc>
          <w:tcPr/>
          <w:p>
            <w:pPr>
              <w:pStyle w:val="Compact"/>
              <w:jc w:val="left"/>
            </w:pPr>
            <w:r>
              <w:rPr>
                <w:b/>
                <w:bCs/>
              </w:rPr>
              <w:t xml:space="preserve">Serverless NEG</w:t>
            </w:r>
          </w:p>
        </w:tc>
        <w:tc>
          <w:tcPr/>
          <w:p>
            <w:pPr>
              <w:pStyle w:val="Compact"/>
              <w:jc w:val="left"/>
            </w:pPr>
            <w:r>
              <w:t xml:space="preserve">See NEG. Must live in the same project as the Cloud Run service it points at</w:t>
            </w:r>
          </w:p>
        </w:tc>
      </w:tr>
      <w:tr>
        <w:tc>
          <w:tcPr/>
          <w:p>
            <w:pPr>
              <w:pStyle w:val="Compact"/>
              <w:jc w:val="left"/>
            </w:pPr>
            <w:r>
              <w:rPr>
                <w:b/>
                <w:bCs/>
              </w:rPr>
              <w:t xml:space="preserve">Service agent</w:t>
            </w:r>
          </w:p>
        </w:tc>
        <w:tc>
          <w:tcPr/>
          <w:p>
            <w:pPr>
              <w:pStyle w:val="Compact"/>
              <w:jc w:val="left"/>
            </w:pPr>
            <w:r>
              <w:t xml:space="preserve">See P4SA. Created</w:t>
            </w:r>
            <w:r>
              <w:t xml:space="preserve"> </w:t>
            </w:r>
            <w:r>
              <w:rPr>
                <w:b/>
                <w:bCs/>
              </w:rPr>
              <w:t xml:space="preserve">lazily</w:t>
            </w:r>
            <w:r>
              <w:t xml:space="preserve"> </w:t>
            </w:r>
            <w:r>
              <w:t xml:space="preserve">— must be forced into existence before a KMS or IAM binding can reference it</w:t>
            </w:r>
          </w:p>
        </w:tc>
      </w:tr>
      <w:tr>
        <w:tc>
          <w:tcPr/>
          <w:p>
            <w:pPr>
              <w:pStyle w:val="Compact"/>
              <w:jc w:val="left"/>
            </w:pPr>
            <w:r>
              <w:rPr>
                <w:b/>
                <w:bCs/>
              </w:rPr>
              <w:t xml:space="preserve">Shared VPC</w:t>
            </w:r>
          </w:p>
        </w:tc>
        <w:tc>
          <w:tcPr/>
          <w:p>
            <w:pPr>
              <w:pStyle w:val="Compact"/>
              <w:jc w:val="left"/>
            </w:pPr>
            <w:r>
              <w:t xml:space="preserve">A model in which one</w:t>
            </w:r>
            <w:r>
              <w:t xml:space="preserve"> </w:t>
            </w:r>
            <w:r>
              <w:rPr>
                <w:i/>
                <w:iCs/>
              </w:rPr>
              <w:t xml:space="preserve">host</w:t>
            </w:r>
            <w:r>
              <w:t xml:space="preserve"> </w:t>
            </w:r>
            <w:r>
              <w:t xml:space="preserve">project owns the network and</w:t>
            </w:r>
            <w:r>
              <w:t xml:space="preserve"> </w:t>
            </w:r>
            <w:r>
              <w:rPr>
                <w:i/>
                <w:iCs/>
              </w:rPr>
              <w:t xml:space="preserve">service</w:t>
            </w:r>
            <w:r>
              <w:t xml:space="preserve"> </w:t>
            </w:r>
            <w:r>
              <w:t xml:space="preserve">projects run workloads inside it. Used in Development;</w:t>
            </w:r>
            <w:r>
              <w:t xml:space="preserve"> </w:t>
            </w:r>
            <w:r>
              <w:rPr>
                <w:b/>
                <w:bCs/>
              </w:rPr>
              <w:t xml:space="preserve">not</w:t>
            </w:r>
            <w:r>
              <w:t xml:space="preserve"> </w:t>
            </w:r>
            <w:r>
              <w:t xml:space="preserve">used in Sandbox</w:t>
            </w:r>
          </w:p>
        </w:tc>
      </w:tr>
      <w:tr>
        <w:tc>
          <w:tcPr/>
          <w:p>
            <w:pPr>
              <w:pStyle w:val="Compact"/>
              <w:jc w:val="left"/>
            </w:pPr>
            <w:r>
              <w:rPr>
                <w:b/>
                <w:bCs/>
              </w:rPr>
              <w:t xml:space="preserve">Shielded VM</w:t>
            </w:r>
          </w:p>
        </w:tc>
        <w:tc>
          <w:tcPr/>
          <w:p>
            <w:pPr>
              <w:pStyle w:val="Compact"/>
              <w:jc w:val="left"/>
            </w:pPr>
            <w:r>
              <w:t xml:space="preserve">A Compute Engine hardening option combining vTPM, Secure Boot and Integrity Monitoring. Applied to the Sandbox Workbench</w:t>
            </w:r>
          </w:p>
        </w:tc>
      </w:tr>
      <w:tr>
        <w:tc>
          <w:tcPr/>
          <w:p>
            <w:pPr>
              <w:pStyle w:val="Compact"/>
              <w:jc w:val="left"/>
            </w:pPr>
            <w:r>
              <w:rPr>
                <w:b/>
                <w:bCs/>
              </w:rPr>
              <w:t xml:space="preserve">SIEM</w:t>
            </w:r>
          </w:p>
        </w:tc>
        <w:tc>
          <w:tcPr/>
          <w:p>
            <w:pPr>
              <w:pStyle w:val="Compact"/>
              <w:jc w:val="left"/>
            </w:pPr>
            <w:r>
              <w:t xml:space="preserve">Security Information and Event Management — Microsoft Sentinel</w:t>
            </w:r>
          </w:p>
        </w:tc>
      </w:tr>
      <w:tr>
        <w:tc>
          <w:tcPr/>
          <w:p>
            <w:pPr>
              <w:pStyle w:val="Compact"/>
              <w:jc w:val="left"/>
            </w:pPr>
            <w:r>
              <w:rPr>
                <w:b/>
                <w:bCs/>
              </w:rPr>
              <w:t xml:space="preserve">SLA</w:t>
            </w:r>
          </w:p>
        </w:tc>
        <w:tc>
          <w:tcPr/>
          <w:p>
            <w:pPr>
              <w:pStyle w:val="Compact"/>
              <w:jc w:val="left"/>
            </w:pPr>
            <w:r>
              <w:t xml:space="preserve">Service Level Agreement</w:t>
            </w:r>
          </w:p>
        </w:tc>
      </w:tr>
      <w:tr>
        <w:tc>
          <w:tcPr/>
          <w:p>
            <w:pPr>
              <w:pStyle w:val="Compact"/>
              <w:jc w:val="left"/>
            </w:pPr>
            <w:r>
              <w:rPr>
                <w:b/>
                <w:bCs/>
              </w:rPr>
              <w:t xml:space="preserve">SLI</w:t>
            </w:r>
          </w:p>
        </w:tc>
        <w:tc>
          <w:tcPr/>
          <w:p>
            <w:pPr>
              <w:pStyle w:val="Compact"/>
              <w:jc w:val="left"/>
            </w:pPr>
            <w:r>
              <w:t xml:space="preserve">Service Level Indicator — the measured signal behind an SLO</w:t>
            </w:r>
          </w:p>
        </w:tc>
      </w:tr>
      <w:tr>
        <w:tc>
          <w:tcPr/>
          <w:p>
            <w:pPr>
              <w:pStyle w:val="Compact"/>
              <w:jc w:val="left"/>
            </w:pPr>
            <w:r>
              <w:rPr>
                <w:b/>
                <w:bCs/>
              </w:rPr>
              <w:t xml:space="preserve">SLO</w:t>
            </w:r>
          </w:p>
        </w:tc>
        <w:tc>
          <w:tcPr/>
          <w:p>
            <w:pPr>
              <w:pStyle w:val="Compact"/>
              <w:jc w:val="left"/>
            </w:pPr>
            <w:r>
              <w:t xml:space="preserve">Service Level Objective</w:t>
            </w:r>
          </w:p>
        </w:tc>
      </w:tr>
      <w:tr>
        <w:tc>
          <w:tcPr/>
          <w:p>
            <w:pPr>
              <w:pStyle w:val="Compact"/>
              <w:jc w:val="left"/>
            </w:pPr>
            <w:r>
              <w:rPr>
                <w:b/>
                <w:bCs/>
              </w:rPr>
              <w:t xml:space="preserve">SOP</w:t>
            </w:r>
          </w:p>
        </w:tc>
        <w:tc>
          <w:tcPr/>
          <w:p>
            <w:pPr>
              <w:pStyle w:val="Compact"/>
              <w:jc w:val="left"/>
            </w:pPr>
            <w:r>
              <w:t xml:space="preserve">Standard Operating Procedure</w:t>
            </w:r>
          </w:p>
        </w:tc>
      </w:tr>
      <w:tr>
        <w:tc>
          <w:tcPr/>
          <w:p>
            <w:pPr>
              <w:pStyle w:val="Compact"/>
              <w:jc w:val="left"/>
            </w:pPr>
            <w:r>
              <w:rPr>
                <w:b/>
                <w:bCs/>
              </w:rPr>
              <w:t xml:space="preserve">SPA</w:t>
            </w:r>
          </w:p>
        </w:tc>
        <w:tc>
          <w:tcPr/>
          <w:p>
            <w:pPr>
              <w:pStyle w:val="Compact"/>
              <w:jc w:val="left"/>
            </w:pPr>
            <w:r>
              <w:t xml:space="preserve">Single-page application — the browser-side AI Hub client</w:t>
            </w:r>
          </w:p>
        </w:tc>
      </w:tr>
      <w:tr>
        <w:tc>
          <w:tcPr/>
          <w:p>
            <w:pPr>
              <w:pStyle w:val="Compact"/>
              <w:jc w:val="left"/>
            </w:pPr>
            <w:r>
              <w:rPr>
                <w:rStyle w:val="VerbatimChar"/>
                <w:b/>
                <w:bCs/>
              </w:rPr>
              <w:t xml:space="preserve">SpikeArrest</w:t>
            </w:r>
          </w:p>
        </w:tc>
        <w:tc>
          <w:tcPr/>
          <w:p>
            <w:pPr>
              <w:pStyle w:val="Compact"/>
              <w:jc w:val="left"/>
            </w:pPr>
            <w:r>
              <w:t xml:space="preserve">An Apigee Standard policy smoothing traffic bursts. Per message processor unless</w:t>
            </w:r>
            <w:r>
              <w:t xml:space="preserve"> </w:t>
            </w:r>
            <w:r>
              <w:rPr>
                <w:rStyle w:val="VerbatimChar"/>
              </w:rPr>
              <w:t xml:space="preserve">UseEffectiveCount</w:t>
            </w:r>
            <w:r>
              <w:t xml:space="preserve"> </w:t>
            </w:r>
            <w:r>
              <w:t xml:space="preserve">is true. Returns</w:t>
            </w:r>
            <w:r>
              <w:t xml:space="preserve"> </w:t>
            </w:r>
            <w:r>
              <w:rPr>
                <w:b/>
                <w:bCs/>
              </w:rPr>
              <w:t xml:space="preserve">500</w:t>
            </w:r>
            <w:r>
              <w:t xml:space="preserve"> </w:t>
            </w:r>
            <w:r>
              <w:t xml:space="preserve">by default</w:t>
            </w:r>
          </w:p>
        </w:tc>
      </w:tr>
      <w:tr>
        <w:tc>
          <w:tcPr/>
          <w:p>
            <w:pPr>
              <w:pStyle w:val="Compact"/>
              <w:jc w:val="left"/>
            </w:pPr>
            <w:r>
              <w:rPr>
                <w:b/>
                <w:bCs/>
              </w:rPr>
              <w:t xml:space="preserve">SSH</w:t>
            </w:r>
          </w:p>
        </w:tc>
        <w:tc>
          <w:tcPr/>
          <w:p>
            <w:pPr>
              <w:pStyle w:val="Compact"/>
              <w:jc w:val="left"/>
            </w:pPr>
            <w:r>
              <w:t xml:space="preserve">Secure Shell</w:t>
            </w:r>
          </w:p>
        </w:tc>
      </w:tr>
      <w:tr>
        <w:tc>
          <w:tcPr/>
          <w:p>
            <w:pPr>
              <w:pStyle w:val="Compact"/>
              <w:jc w:val="left"/>
            </w:pPr>
            <w:r>
              <w:rPr>
                <w:b/>
                <w:bCs/>
              </w:rPr>
              <w:t xml:space="preserve">SSL / TLS</w:t>
            </w:r>
          </w:p>
        </w:tc>
        <w:tc>
          <w:tcPr/>
          <w:p>
            <w:pPr>
              <w:pStyle w:val="Compact"/>
              <w:jc w:val="left"/>
            </w:pPr>
            <w:r>
              <w:t xml:space="preserve">The transport encryption protocols. TLS is the current standard; SSL survives only in Google resource names</w:t>
            </w:r>
          </w:p>
        </w:tc>
      </w:tr>
      <w:tr>
        <w:tc>
          <w:tcPr/>
          <w:p>
            <w:pPr>
              <w:pStyle w:val="Compact"/>
              <w:jc w:val="left"/>
            </w:pPr>
            <w:r>
              <w:rPr>
                <w:b/>
                <w:bCs/>
              </w:rPr>
              <w:t xml:space="preserve">SSO</w:t>
            </w:r>
          </w:p>
        </w:tc>
        <w:tc>
          <w:tcPr/>
          <w:p>
            <w:pPr>
              <w:pStyle w:val="Compact"/>
              <w:jc w:val="left"/>
            </w:pPr>
            <w:r>
              <w:t xml:space="preserve">Single Sign-On</w:t>
            </w:r>
          </w:p>
        </w:tc>
      </w:tr>
      <w:tr>
        <w:tc>
          <w:tcPr/>
          <w:p>
            <w:pPr>
              <w:pStyle w:val="Compact"/>
              <w:jc w:val="left"/>
            </w:pPr>
            <w:r>
              <w:rPr>
                <w:b/>
                <w:bCs/>
              </w:rPr>
              <w:t xml:space="preserve">TF</w:t>
            </w:r>
          </w:p>
        </w:tc>
        <w:tc>
          <w:tcPr/>
          <w:p>
            <w:pPr>
              <w:pStyle w:val="Compact"/>
              <w:jc w:val="left"/>
            </w:pPr>
            <w:r>
              <w:t xml:space="preserve">Terraform</w:t>
            </w:r>
          </w:p>
        </w:tc>
      </w:tr>
      <w:tr>
        <w:tc>
          <w:tcPr/>
          <w:p>
            <w:pPr>
              <w:pStyle w:val="Compact"/>
              <w:jc w:val="left"/>
            </w:pPr>
            <w:r>
              <w:rPr>
                <w:b/>
                <w:bCs/>
              </w:rPr>
              <w:t xml:space="preserve">TPM</w:t>
            </w:r>
          </w:p>
        </w:tc>
        <w:tc>
          <w:tcPr/>
          <w:p>
            <w:pPr>
              <w:pStyle w:val="Compact"/>
              <w:jc w:val="left"/>
            </w:pPr>
            <w:r>
              <w:t xml:space="preserve">Trusted Platform Module. The Workbench uses a virtual TPM (vTPM)</w:t>
            </w:r>
          </w:p>
        </w:tc>
      </w:tr>
      <w:tr>
        <w:tc>
          <w:tcPr/>
          <w:p>
            <w:pPr>
              <w:pStyle w:val="Compact"/>
              <w:jc w:val="left"/>
            </w:pPr>
            <w:r>
              <w:rPr>
                <w:b/>
                <w:bCs/>
              </w:rPr>
              <w:t xml:space="preserve">TR-nn</w:t>
            </w:r>
          </w:p>
        </w:tc>
        <w:tc>
          <w:tcPr/>
          <w:p>
            <w:pPr>
              <w:pStyle w:val="Compact"/>
              <w:jc w:val="left"/>
            </w:pPr>
            <w:r>
              <w:t xml:space="preserve">Technical requirement identifier, defined in</w:t>
            </w:r>
            <w:r>
              <w:t xml:space="preserve"> </w:t>
            </w:r>
            <w:r>
              <w:rPr>
                <w:b/>
                <w:bCs/>
              </w:rPr>
              <w:t xml:space="preserve">Requirements</w:t>
            </w:r>
          </w:p>
        </w:tc>
      </w:tr>
      <w:tr>
        <w:tc>
          <w:tcPr/>
          <w:p>
            <w:pPr>
              <w:pStyle w:val="Compact"/>
              <w:jc w:val="left"/>
            </w:pPr>
            <w:r>
              <w:rPr>
                <w:b/>
                <w:bCs/>
              </w:rPr>
              <w:t xml:space="preserve">TSA</w:t>
            </w:r>
          </w:p>
        </w:tc>
        <w:tc>
          <w:tcPr/>
          <w:p>
            <w:pPr>
              <w:pStyle w:val="Compact"/>
              <w:jc w:val="left"/>
            </w:pPr>
            <w:r>
              <w:t xml:space="preserve">Colt internal Technical Security Architecture standard, referenced by the compliance requirements</w:t>
            </w:r>
          </w:p>
        </w:tc>
      </w:tr>
      <w:tr>
        <w:tc>
          <w:tcPr/>
          <w:p>
            <w:pPr>
              <w:pStyle w:val="Compact"/>
              <w:jc w:val="left"/>
            </w:pPr>
            <w:r>
              <w:rPr>
                <w:b/>
                <w:bCs/>
              </w:rPr>
              <w:t xml:space="preserve">TTL policy</w:t>
            </w:r>
          </w:p>
        </w:tc>
        <w:tc>
          <w:tcPr/>
          <w:p>
            <w:pPr>
              <w:pStyle w:val="Compact"/>
              <w:jc w:val="left"/>
            </w:pPr>
            <w:r>
              <w:t xml:space="preserve">Firestore’s time-to-live deletion. Lags by up to</w:t>
            </w:r>
            <w:r>
              <w:t xml:space="preserve"> </w:t>
            </w:r>
            <w:r>
              <w:rPr>
                <w:b/>
                <w:bCs/>
              </w:rPr>
              <w:t xml:space="preserve">24 hours</w:t>
            </w:r>
            <w:r>
              <w:t xml:space="preserve">, so it is housekeeping, not enforcement</w:t>
            </w:r>
          </w:p>
        </w:tc>
      </w:tr>
      <w:tr>
        <w:tc>
          <w:tcPr/>
          <w:p>
            <w:pPr>
              <w:pStyle w:val="Compact"/>
              <w:jc w:val="left"/>
            </w:pPr>
            <w:r>
              <w:rPr>
                <w:b/>
                <w:bCs/>
              </w:rPr>
              <w:t xml:space="preserve">UPN</w:t>
            </w:r>
          </w:p>
        </w:tc>
        <w:tc>
          <w:tcPr/>
          <w:p>
            <w:pPr>
              <w:pStyle w:val="Compact"/>
              <w:jc w:val="left"/>
            </w:pPr>
            <w:r>
              <w:t xml:space="preserve">User Principal Name — the Entra ID sign-in identifier</w:t>
            </w:r>
          </w:p>
        </w:tc>
      </w:tr>
      <w:tr>
        <w:tc>
          <w:tcPr/>
          <w:p>
            <w:pPr>
              <w:pStyle w:val="Compact"/>
              <w:jc w:val="left"/>
            </w:pPr>
            <w:r>
              <w:rPr>
                <w:rStyle w:val="VerbatimChar"/>
                <w:b/>
                <w:bCs/>
              </w:rPr>
              <w:t xml:space="preserve">UseEffectiveCount</w:t>
            </w:r>
          </w:p>
        </w:tc>
        <w:tc>
          <w:tcPr/>
          <w:p>
            <w:pPr>
              <w:pStyle w:val="Compact"/>
              <w:jc w:val="left"/>
            </w:pPr>
            <w:r>
              <w:t xml:space="preserve">The</w:t>
            </w:r>
            <w:r>
              <w:t xml:space="preserve"> </w:t>
            </w:r>
            <w:r>
              <w:rPr>
                <w:rStyle w:val="VerbatimChar"/>
              </w:rPr>
              <w:t xml:space="preserve">SpikeArrest</w:t>
            </w:r>
            <w:r>
              <w:t xml:space="preserve"> </w:t>
            </w:r>
            <w:r>
              <w:t xml:space="preserve">element that synchronises counts across message processors</w:t>
            </w:r>
          </w:p>
        </w:tc>
      </w:tr>
      <w:tr>
        <w:tc>
          <w:tcPr/>
          <w:p>
            <w:pPr>
              <w:pStyle w:val="Compact"/>
              <w:jc w:val="left"/>
            </w:pPr>
            <w:r>
              <w:rPr>
                <w:b/>
                <w:bCs/>
              </w:rPr>
              <w:t xml:space="preserve">Vertex AI Workbench</w:t>
            </w:r>
          </w:p>
        </w:tc>
        <w:tc>
          <w:tcPr/>
          <w:p>
            <w:pPr>
              <w:pStyle w:val="Compact"/>
              <w:jc w:val="left"/>
            </w:pPr>
            <w:r>
              <w:t xml:space="preserve">Google’s managed Jupyter notebook environment. Provisioned in</w:t>
            </w:r>
            <w:r>
              <w:t xml:space="preserve"> </w:t>
            </w:r>
            <w:r>
              <w:rPr>
                <w:b/>
                <w:bCs/>
              </w:rPr>
              <w:t xml:space="preserve">Sandbox only</w:t>
            </w:r>
          </w:p>
        </w:tc>
      </w:tr>
      <w:tr>
        <w:tc>
          <w:tcPr/>
          <w:p>
            <w:pPr>
              <w:pStyle w:val="Compact"/>
              <w:jc w:val="left"/>
            </w:pPr>
            <w:r>
              <w:rPr>
                <w:b/>
                <w:bCs/>
              </w:rPr>
              <w:t xml:space="preserve">VPC</w:t>
            </w:r>
          </w:p>
        </w:tc>
        <w:tc>
          <w:tcPr/>
          <w:p>
            <w:pPr>
              <w:pStyle w:val="Compact"/>
              <w:jc w:val="left"/>
            </w:pPr>
            <w:r>
              <w:t xml:space="preserve">Virtual Private Cloud</w:t>
            </w:r>
          </w:p>
        </w:tc>
      </w:tr>
      <w:tr>
        <w:tc>
          <w:tcPr/>
          <w:p>
            <w:pPr>
              <w:pStyle w:val="Compact"/>
              <w:jc w:val="left"/>
            </w:pPr>
            <w:r>
              <w:rPr>
                <w:b/>
                <w:bCs/>
              </w:rPr>
              <w:t xml:space="preserve">VPC-SC</w:t>
            </w:r>
          </w:p>
        </w:tc>
        <w:tc>
          <w:tcPr/>
          <w:p>
            <w:pPr>
              <w:pStyle w:val="Compact"/>
              <w:jc w:val="left"/>
            </w:pPr>
            <w:r>
              <w:t xml:space="preserve">VPC Service Controls — a data-exfiltration perimeter</w:t>
            </w:r>
          </w:p>
        </w:tc>
      </w:tr>
      <w:tr>
        <w:tc>
          <w:tcPr/>
          <w:p>
            <w:pPr>
              <w:pStyle w:val="Compact"/>
              <w:jc w:val="left"/>
            </w:pPr>
            <w:r>
              <w:rPr>
                <w:b/>
                <w:bCs/>
              </w:rPr>
              <w:t xml:space="preserve">VPN</w:t>
            </w:r>
          </w:p>
        </w:tc>
        <w:tc>
          <w:tcPr/>
          <w:p>
            <w:pPr>
              <w:pStyle w:val="Compact"/>
              <w:jc w:val="left"/>
            </w:pPr>
            <w:r>
              <w:t xml:space="preserve">Virtual Private Network</w:t>
            </w:r>
          </w:p>
        </w:tc>
      </w:tr>
      <w:tr>
        <w:tc>
          <w:tcPr/>
          <w:p>
            <w:pPr>
              <w:pStyle w:val="Compact"/>
              <w:jc w:val="left"/>
            </w:pPr>
            <w:r>
              <w:rPr>
                <w:b/>
                <w:bCs/>
              </w:rPr>
              <w:t xml:space="preserve">WIF</w:t>
            </w:r>
          </w:p>
        </w:tc>
        <w:tc>
          <w:tcPr/>
          <w:p>
            <w:pPr>
              <w:pStyle w:val="Compact"/>
              <w:jc w:val="left"/>
            </w:pPr>
            <w:r>
              <w:t xml:space="preserve">Workload Identity Federation — machine authentication from GitLab CI to Google Cloud without a downloadable key</w:t>
            </w:r>
          </w:p>
        </w:tc>
      </w:tr>
      <w:tr>
        <w:tc>
          <w:tcPr/>
          <w:p>
            <w:pPr>
              <w:pStyle w:val="Compact"/>
              <w:jc w:val="left"/>
            </w:pPr>
            <w:r>
              <w:rPr>
                <w:b/>
                <w:bCs/>
              </w:rPr>
              <w:t xml:space="preserve">Workforce pool</w:t>
            </w:r>
          </w:p>
        </w:tc>
        <w:tc>
          <w:tcPr/>
          <w:p>
            <w:pPr>
              <w:pStyle w:val="Compact"/>
              <w:jc w:val="left"/>
            </w:pPr>
            <w:r>
              <w:t xml:space="preserve">Workforce Identity Federation — the Google side of the Entra ID arrangement that lets a Colt employee sign in</w:t>
            </w:r>
          </w:p>
        </w:tc>
      </w:tr>
      <w:tr>
        <w:tc>
          <w:tcPr/>
          <w:p>
            <w:pPr>
              <w:pStyle w:val="Compact"/>
              <w:jc w:val="left"/>
            </w:pPr>
            <w:r>
              <w:rPr>
                <w:rStyle w:val="VerbatimChar"/>
                <w:b/>
                <w:bCs/>
              </w:rPr>
              <w:t xml:space="preserve">X-Serverless-Authorization</w:t>
            </w:r>
          </w:p>
        </w:tc>
        <w:tc>
          <w:tcPr/>
          <w:p>
            <w:pPr>
              <w:pStyle w:val="Compact"/>
              <w:jc w:val="left"/>
            </w:pPr>
            <w:r>
              <w:t xml:space="preserve">A header carrying an authentication token to Cloud Run. IAP’s internal hop uses it; with no IAP in the path it is the documented header for a caller presenting a Cloud Run IAM token</w:t>
            </w:r>
          </w:p>
        </w:tc>
      </w:tr>
      <w:tr>
        <w:tc>
          <w:tcPr/>
          <w:p>
            <w:pPr>
              <w:pStyle w:val="Compact"/>
              <w:jc w:val="left"/>
            </w:pPr>
            <w:r>
              <w:rPr>
                <w:b/>
                <w:bCs/>
              </w:rPr>
              <w:t xml:space="preserve">XSS</w:t>
            </w:r>
          </w:p>
        </w:tc>
        <w:tc>
          <w:tcPr/>
          <w:p>
            <w:pPr>
              <w:pStyle w:val="Compact"/>
              <w:jc w:val="left"/>
            </w:pPr>
            <w:r>
              <w:t xml:space="preserve">Cross-site scripting</w:t>
            </w:r>
          </w:p>
        </w:tc>
      </w:tr>
      <w:tr>
        <w:tc>
          <w:tcPr/>
          <w:p>
            <w:pPr>
              <w:pStyle w:val="Compact"/>
              <w:jc w:val="left"/>
            </w:pPr>
            <w:r>
              <w:rPr>
                <w:b/>
                <w:bCs/>
              </w:rPr>
              <w:t xml:space="preserve">ZPA</w:t>
            </w:r>
          </w:p>
        </w:tc>
        <w:tc>
          <w:tcPr/>
          <w:p>
            <w:pPr>
              <w:pStyle w:val="Compact"/>
              <w:jc w:val="left"/>
            </w:pPr>
            <w:r>
              <w:t xml:space="preserve">Zscaler Private Access — how Colt users reach the Development platform. Connector range</w:t>
            </w:r>
            <w:r>
              <w:t xml:space="preserve"> </w:t>
            </w:r>
            <w:r>
              <w:rPr>
                <w:rStyle w:val="VerbatimChar"/>
              </w:rPr>
              <w:t xml:space="preserve">10.100.209.0/29</w:t>
            </w:r>
          </w:p>
        </w:tc>
      </w:tr>
    </w:tbl>
    <w:p>
      <w:r>
        <w:pict>
          <v:rect style="width:0;height:1.5pt" o:hralign="center" o:hrstd="t" o:hr="t"/>
        </w:pict>
      </w:r>
    </w:p>
    <w:bookmarkEnd w:id="24"/>
    <w:bookmarkEnd w:id="25"/>
    <w:bookmarkStart w:id="40" w:name="design-objectives-scope-and-constraints"/>
    <w:p>
      <w:pPr>
        <w:pStyle w:val="Heading1"/>
      </w:pPr>
      <w:r>
        <w:t xml:space="preserve">2. Design Objectives, Scope and Constraints</w:t>
      </w:r>
    </w:p>
    <w:bookmarkStart w:id="26" w:name="key-design-goals"/>
    <w:p>
      <w:pPr>
        <w:pStyle w:val="Heading2"/>
      </w:pPr>
      <w:r>
        <w:t xml:space="preserve">2.1 Key design goals</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Goal</w:t>
            </w:r>
          </w:p>
        </w:tc>
        <w:tc>
          <w:tcPr>
            <w:shd w:val="clear" w:color="auto" w:fill="1F3864"/>
          </w:tcPr>
          <w:p>
            <w:pPr>
              <w:pStyle w:val="Compact"/>
              <w:jc w:val="left"/>
            </w:pPr>
            <w:r>
              <w:rPr>
                <w:b/>
                <w:color w:val="FFFFFF"/>
              </w:rPr>
              <w:t xml:space="preserve">Mechanism</w:t>
            </w:r>
          </w:p>
        </w:tc>
        <w:tc>
          <w:tcPr>
            <w:shd w:val="clear" w:color="auto" w:fill="1F3864"/>
          </w:tcPr>
          <w:p>
            <w:pPr>
              <w:pStyle w:val="Compact"/>
              <w:jc w:val="left"/>
            </w:pPr>
            <w:r>
              <w:rPr>
                <w:b/>
                <w:color w:val="FFFFFF"/>
              </w:rPr>
              <w:t xml:space="preserve">Rationale</w:t>
            </w:r>
          </w:p>
        </w:tc>
        <w:tc>
          <w:tcPr>
            <w:shd w:val="clear" w:color="auto" w:fill="1F3864"/>
          </w:tcPr>
          <w:p>
            <w:pPr>
              <w:pStyle w:val="Compact"/>
              <w:jc w:val="left"/>
            </w:pPr>
            <w:r>
              <w:rPr>
                <w:b/>
                <w:color w:val="FFFFFF"/>
              </w:rPr>
              <w:t xml:space="preserve">Applies to</w:t>
            </w:r>
          </w:p>
        </w:tc>
      </w:tr>
      <w:tr>
        <w:tc>
          <w:tcPr/>
          <w:p>
            <w:pPr>
              <w:pStyle w:val="Compact"/>
              <w:jc w:val="left"/>
            </w:pPr>
            <w:r>
              <w:t xml:space="preserve">G1</w:t>
            </w:r>
          </w:p>
        </w:tc>
        <w:tc>
          <w:tcPr/>
          <w:p>
            <w:pPr>
              <w:pStyle w:val="Compact"/>
              <w:jc w:val="left"/>
            </w:pPr>
            <w:r>
              <w:t xml:space="preserve">Zero public-IP workloads</w:t>
            </w:r>
          </w:p>
        </w:tc>
        <w:tc>
          <w:tcPr/>
          <w:p>
            <w:pPr>
              <w:pStyle w:val="Compact"/>
              <w:jc w:val="left"/>
            </w:pPr>
            <w:r>
              <w:t xml:space="preserve">Cloud Run services and the Vertex AI Workbench carry no external address. Reachable only through internal Application Load Balancers</w:t>
            </w:r>
          </w:p>
        </w:tc>
        <w:tc>
          <w:tcPr/>
          <w:p>
            <w:pPr>
              <w:pStyle w:val="Compact"/>
              <w:jc w:val="left"/>
            </w:pPr>
            <w:r>
              <w:t xml:space="preserve">Removes the internet-facing attack surface. A workload with no public address cannot be reached by a misdirected scan or a mistaken firewall rule</w:t>
            </w:r>
          </w:p>
        </w:tc>
        <w:tc>
          <w:tcPr/>
          <w:p>
            <w:pPr>
              <w:pStyle w:val="Compact"/>
              <w:jc w:val="left"/>
            </w:pPr>
            <w:r>
              <w:t xml:space="preserve">Sandbox, Dev, Prod</w:t>
            </w:r>
          </w:p>
        </w:tc>
      </w:tr>
      <w:tr>
        <w:tc>
          <w:tcPr/>
          <w:p>
            <w:pPr>
              <w:pStyle w:val="Compact"/>
              <w:jc w:val="left"/>
            </w:pPr>
            <w:r>
              <w:t xml:space="preserve">G2</w:t>
            </w:r>
          </w:p>
        </w:tc>
        <w:tc>
          <w:tcPr/>
          <w:p>
            <w:pPr>
              <w:pStyle w:val="Compact"/>
              <w:jc w:val="left"/>
            </w:pPr>
            <w:r>
              <w:t xml:space="preserve">Private Google API access</w:t>
            </w:r>
          </w:p>
        </w:tc>
        <w:tc>
          <w:tcPr/>
          <w:p>
            <w:pPr>
              <w:pStyle w:val="Compact"/>
              <w:jc w:val="left"/>
            </w:pPr>
            <w:r>
              <w:t xml:space="preserve">A Private Service Connect endpoint per environment, with private DNS overriding</w:t>
            </w:r>
            <w:r>
              <w:t xml:space="preserve"> </w:t>
            </w:r>
            <w:r>
              <w:rPr>
                <w:rStyle w:val="VerbatimChar"/>
              </w:rPr>
              <w:t xml:space="preserve">*.googleapis.com</w:t>
            </w:r>
            <w:r>
              <w:t xml:space="preserve"> </w:t>
            </w:r>
            <w:r>
              <w:t xml:space="preserve">and</w:t>
            </w:r>
            <w:r>
              <w:t xml:space="preserve"> </w:t>
            </w:r>
            <w:r>
              <w:rPr>
                <w:rStyle w:val="VerbatimChar"/>
              </w:rPr>
              <w:t xml:space="preserve">*.googleusercontent.com</w:t>
            </w:r>
          </w:p>
        </w:tc>
        <w:tc>
          <w:tcPr/>
          <w:p>
            <w:pPr>
              <w:pStyle w:val="Compact"/>
              <w:jc w:val="left"/>
            </w:pPr>
            <w:r>
              <w:t xml:space="preserve">Keeps API traffic on Google’s backbone, closes the most common exfiltration path, and leaves the design ready for a VPC Service Controls perimeter</w:t>
            </w:r>
          </w:p>
        </w:tc>
        <w:tc>
          <w:tcPr/>
          <w:p>
            <w:pPr>
              <w:pStyle w:val="Compact"/>
              <w:jc w:val="left"/>
            </w:pPr>
            <w:r>
              <w:t xml:space="preserve">Sandbox, Dev, Prod</w:t>
            </w:r>
          </w:p>
        </w:tc>
      </w:tr>
      <w:tr>
        <w:tc>
          <w:tcPr/>
          <w:p>
            <w:pPr>
              <w:pStyle w:val="Compact"/>
              <w:jc w:val="left"/>
            </w:pPr>
            <w:r>
              <w:t xml:space="preserve">G3</w:t>
            </w:r>
          </w:p>
        </w:tc>
        <w:tc>
          <w:tcPr/>
          <w:p>
            <w:pPr>
              <w:pStyle w:val="Compact"/>
              <w:jc w:val="left"/>
            </w:pPr>
            <w:r>
              <w:t xml:space="preserve">Data stays in the EU</w:t>
            </w:r>
          </w:p>
        </w:tc>
        <w:tc>
          <w:tcPr/>
          <w:p>
            <w:pPr>
              <w:pStyle w:val="Compact"/>
              <w:jc w:val="left"/>
            </w:pPr>
            <w:r>
              <w:rPr>
                <w:rStyle w:val="VerbatimChar"/>
              </w:rPr>
              <w:t xml:space="preserve">gcp.resourceLocations</w:t>
            </w:r>
            <w:r>
              <w:t xml:space="preserve"> </w:t>
            </w:r>
            <w:r>
              <w:t xml:space="preserve">pinned to</w:t>
            </w:r>
            <w:r>
              <w:t xml:space="preserve"> </w:t>
            </w:r>
            <w:r>
              <w:rPr>
                <w:rStyle w:val="VerbatimChar"/>
              </w:rPr>
              <w:t xml:space="preserve">europe-west1</w:t>
            </w:r>
            <w:r>
              <w:t xml:space="preserve">; Secret Manager manual replication; Apigee analytics region in the EU; KMS keys regional</w:t>
            </w:r>
          </w:p>
        </w:tc>
        <w:tc>
          <w:tcPr/>
          <w:p>
            <w:pPr>
              <w:pStyle w:val="Compact"/>
              <w:jc w:val="left"/>
            </w:pPr>
            <w:r>
              <w:t xml:space="preserve">Residency requirement. The pinning costs one Model Armor capability, addressed in</w:t>
            </w:r>
            <w:r>
              <w:t xml:space="preserve"> </w:t>
            </w:r>
            <w:r>
              <w:rPr>
                <w:b/>
                <w:bCs/>
              </w:rPr>
              <w:t xml:space="preserve">AI Gateway and Vertex AI — Apigee</w:t>
            </w:r>
            <w:r>
              <w:rPr>
                <w:b/>
                <w:bCs/>
              </w:rPr>
              <w:t xml:space="preserve"> </w:t>
            </w:r>
            <w:r>
              <w:rPr>
                <w:rStyle w:val="VerbatimChar"/>
                <w:b/>
                <w:bCs/>
              </w:rPr>
              <w:t xml:space="preserve">llm</w:t>
            </w:r>
            <w:r>
              <w:rPr>
                <w:b/>
                <w:bCs/>
              </w:rPr>
              <w:t xml:space="preserve"> </w:t>
            </w:r>
            <w:r>
              <w:rPr>
                <w:b/>
                <w:bCs/>
              </w:rPr>
              <w:t xml:space="preserve">Environment</w:t>
            </w:r>
          </w:p>
        </w:tc>
        <w:tc>
          <w:tcPr/>
          <w:p>
            <w:pPr>
              <w:pStyle w:val="Compact"/>
              <w:jc w:val="left"/>
            </w:pPr>
            <w:r>
              <w:t xml:space="preserve">Sandbox, Dev, Prod</w:t>
            </w:r>
          </w:p>
        </w:tc>
      </w:tr>
      <w:tr>
        <w:tc>
          <w:tcPr/>
          <w:p>
            <w:pPr>
              <w:pStyle w:val="Compact"/>
              <w:jc w:val="left"/>
            </w:pPr>
            <w:r>
              <w:t xml:space="preserve">G4</w:t>
            </w:r>
          </w:p>
        </w:tc>
        <w:tc>
          <w:tcPr/>
          <w:p>
            <w:pPr>
              <w:pStyle w:val="Compact"/>
              <w:jc w:val="left"/>
            </w:pPr>
            <w:r>
              <w:t xml:space="preserve">Preventive guardrails in place of detective controls</w:t>
            </w:r>
          </w:p>
        </w:tc>
        <w:tc>
          <w:tcPr/>
          <w:p>
            <w:pPr>
              <w:pStyle w:val="Compact"/>
              <w:jc w:val="left"/>
            </w:pPr>
            <w:r>
              <w:t xml:space="preserve">Ten organisation policies set at the</w:t>
            </w:r>
            <w:r>
              <w:t xml:space="preserve"> </w:t>
            </w:r>
            <w:r>
              <w:rPr>
                <w:rStyle w:val="VerbatimChar"/>
              </w:rPr>
              <w:t xml:space="preserve">AI COE</w:t>
            </w:r>
            <w:r>
              <w:t xml:space="preserve"> </w:t>
            </w:r>
            <w:r>
              <w:t xml:space="preserve">folder, inherited by every child project</w:t>
            </w:r>
          </w:p>
        </w:tc>
        <w:tc>
          <w:tcPr/>
          <w:p>
            <w:pPr>
              <w:pStyle w:val="Compact"/>
              <w:jc w:val="left"/>
            </w:pPr>
            <w:r>
              <w:t xml:space="preserve">A policy at the folder applies the moment a project is created. A check in a pipeline applies only to what goes through the pipeline</w:t>
            </w:r>
          </w:p>
        </w:tc>
        <w:tc>
          <w:tcPr/>
          <w:p>
            <w:pPr>
              <w:pStyle w:val="Compact"/>
              <w:jc w:val="left"/>
            </w:pPr>
            <w:r>
              <w:t xml:space="preserve">Sandbox, Dev, Prod</w:t>
            </w:r>
          </w:p>
        </w:tc>
      </w:tr>
      <w:tr>
        <w:tc>
          <w:tcPr/>
          <w:p>
            <w:pPr>
              <w:pStyle w:val="Compact"/>
              <w:jc w:val="left"/>
            </w:pPr>
            <w:r>
              <w:t xml:space="preserve">G5</w:t>
            </w:r>
          </w:p>
        </w:tc>
        <w:tc>
          <w:tcPr/>
          <w:p>
            <w:pPr>
              <w:pStyle w:val="Compact"/>
              <w:jc w:val="left"/>
            </w:pPr>
            <w:r>
              <w:t xml:space="preserve">Credential-free CI/CD</w:t>
            </w:r>
          </w:p>
        </w:tc>
        <w:tc>
          <w:tcPr/>
          <w:p>
            <w:pPr>
              <w:pStyle w:val="Compact"/>
              <w:jc w:val="left"/>
            </w:pPr>
            <w:r>
              <w:t xml:space="preserve">GitLab OIDC to Workload Identity Federation with an attribute condition. No downloadable service account keys exist</w:t>
            </w:r>
          </w:p>
        </w:tc>
        <w:tc>
          <w:tcPr/>
          <w:p>
            <w:pPr>
              <w:pStyle w:val="Compact"/>
              <w:jc w:val="left"/>
            </w:pPr>
            <w:r>
              <w:t xml:space="preserve">Long-lived keys are the most common cause of CI credential leakage and lateral movement</w:t>
            </w:r>
          </w:p>
        </w:tc>
        <w:tc>
          <w:tcPr/>
          <w:p>
            <w:pPr>
              <w:pStyle w:val="Compact"/>
              <w:jc w:val="left"/>
            </w:pPr>
            <w:r>
              <w:t xml:space="preserve">Sandbox, Dev, Prod</w:t>
            </w:r>
          </w:p>
        </w:tc>
      </w:tr>
      <w:tr>
        <w:tc>
          <w:tcPr/>
          <w:p>
            <w:pPr>
              <w:pStyle w:val="Compact"/>
              <w:jc w:val="left"/>
            </w:pPr>
            <w:r>
              <w:t xml:space="preserve">G6</w:t>
            </w:r>
          </w:p>
        </w:tc>
        <w:tc>
          <w:tcPr/>
          <w:p>
            <w:pPr>
              <w:pStyle w:val="Compact"/>
              <w:jc w:val="left"/>
            </w:pPr>
            <w:r>
              <w:t xml:space="preserve">Nothing runs that was not built by the pipeline</w:t>
            </w:r>
          </w:p>
        </w:tc>
        <w:tc>
          <w:tcPr/>
          <w:p>
            <w:pPr>
              <w:pStyle w:val="Compact"/>
              <w:jc w:val="left"/>
            </w:pPr>
            <w:r>
              <w:t xml:space="preserve">Binary Authorization with a KMS-backed attestor, immutable Artifact Registry tags</w:t>
            </w:r>
          </w:p>
        </w:tc>
        <w:tc>
          <w:tcPr/>
          <w:p>
            <w:pPr>
              <w:pStyle w:val="Compact"/>
              <w:jc w:val="left"/>
            </w:pPr>
            <w:r>
              <w:t xml:space="preserve">Closes the supply-chain gap at deploy time and removes console-deployed images from the platform</w:t>
            </w:r>
          </w:p>
        </w:tc>
        <w:tc>
          <w:tcPr/>
          <w:p>
            <w:pPr>
              <w:pStyle w:val="Compact"/>
              <w:jc w:val="left"/>
            </w:pPr>
            <w:r>
              <w:t xml:space="preserve">Sandbox, Dev, Prod</w:t>
            </w:r>
          </w:p>
        </w:tc>
      </w:tr>
      <w:tr>
        <w:tc>
          <w:tcPr/>
          <w:p>
            <w:pPr>
              <w:pStyle w:val="Compact"/>
              <w:jc w:val="left"/>
            </w:pPr>
            <w:r>
              <w:t xml:space="preserve">G7</w:t>
            </w:r>
          </w:p>
        </w:tc>
        <w:tc>
          <w:tcPr/>
          <w:p>
            <w:pPr>
              <w:pStyle w:val="Compact"/>
              <w:jc w:val="left"/>
            </w:pPr>
            <w:r>
              <w:t xml:space="preserve">400 days of retained evidence, held centrally</w:t>
            </w:r>
          </w:p>
        </w:tc>
        <w:tc>
          <w:tcPr/>
          <w:p>
            <w:pPr>
              <w:pStyle w:val="Compact"/>
              <w:jc w:val="left"/>
            </w:pPr>
            <w:r>
              <w:t xml:space="preserve">One user-defined log bucket per environment in the</w:t>
            </w:r>
            <w:r>
              <w:t xml:space="preserve"> </w:t>
            </w:r>
            <w:r>
              <w:rPr>
                <w:rStyle w:val="VerbatimChar"/>
              </w:rPr>
              <w:t xml:space="preserve">auditlogs</w:t>
            </w:r>
            <w:r>
              <w:t xml:space="preserve"> </w:t>
            </w:r>
            <w:r>
              <w:t xml:space="preserve">project, fed by a folder-level aggregated sink with</w:t>
            </w:r>
            <w:r>
              <w:t xml:space="preserve"> </w:t>
            </w:r>
            <w:r>
              <w:rPr>
                <w:rStyle w:val="VerbatimChar"/>
              </w:rPr>
              <w:t xml:space="preserve">include_children</w:t>
            </w:r>
          </w:p>
        </w:tc>
        <w:tc>
          <w:tcPr/>
          <w:p>
            <w:pPr>
              <w:pStyle w:val="Compact"/>
              <w:jc w:val="left"/>
            </w:pPr>
            <w:r>
              <w:rPr>
                <w:rStyle w:val="VerbatimChar"/>
              </w:rPr>
              <w:t xml:space="preserve">_Required</w:t>
            </w:r>
            <w:r>
              <w:t xml:space="preserve"> </w:t>
            </w:r>
            <w:r>
              <w:t xml:space="preserve">is fixed and per-project;</w:t>
            </w:r>
            <w:r>
              <w:t xml:space="preserve"> </w:t>
            </w:r>
            <w:r>
              <w:rPr>
                <w:rStyle w:val="VerbatimChar"/>
              </w:rPr>
              <w:t xml:space="preserve">_Default</w:t>
            </w:r>
            <w:r>
              <w:t xml:space="preserve"> </w:t>
            </w:r>
            <w:r>
              <w:t xml:space="preserve">is per-project and short. Neither satisfies the retention requirement</w:t>
            </w:r>
          </w:p>
        </w:tc>
        <w:tc>
          <w:tcPr/>
          <w:p>
            <w:pPr>
              <w:pStyle w:val="Compact"/>
              <w:jc w:val="left"/>
            </w:pPr>
            <w:r>
              <w:t xml:space="preserve">Sandbox, Dev, Prod</w:t>
            </w:r>
          </w:p>
        </w:tc>
      </w:tr>
      <w:tr>
        <w:tc>
          <w:tcPr/>
          <w:p>
            <w:pPr>
              <w:pStyle w:val="Compact"/>
              <w:jc w:val="left"/>
            </w:pPr>
            <w:r>
              <w:t xml:space="preserve">G8</w:t>
            </w:r>
          </w:p>
        </w:tc>
        <w:tc>
          <w:tcPr/>
          <w:p>
            <w:pPr>
              <w:pStyle w:val="Compact"/>
              <w:jc w:val="left"/>
            </w:pPr>
            <w:r>
              <w:t xml:space="preserve">Layered blast-radius containment</w:t>
            </w:r>
          </w:p>
        </w:tc>
        <w:tc>
          <w:tcPr/>
          <w:p>
            <w:pPr>
              <w:pStyle w:val="Compact"/>
              <w:jc w:val="left"/>
            </w:pPr>
            <w:r>
              <w:t xml:space="preserve">Terraform state split by stage, so a faulty apply or a compromised credential affects one stage rather than the environment</w:t>
            </w:r>
          </w:p>
        </w:tc>
        <w:tc>
          <w:tcPr/>
          <w:p>
            <w:pPr>
              <w:pStyle w:val="Compact"/>
              <w:jc w:val="left"/>
            </w:pPr>
            <w:r>
              <w:t xml:space="preserve">Limits the impact of the most likely operational failure to a single tier</w:t>
            </w:r>
          </w:p>
        </w:tc>
        <w:tc>
          <w:tcPr/>
          <w:p>
            <w:pPr>
              <w:pStyle w:val="Compact"/>
              <w:jc w:val="left"/>
            </w:pPr>
            <w:r>
              <w:t xml:space="preserve">Sandbox, Dev, Prod</w:t>
            </w:r>
          </w:p>
        </w:tc>
      </w:tr>
      <w:tr>
        <w:tc>
          <w:tcPr/>
          <w:p>
            <w:pPr>
              <w:pStyle w:val="Compact"/>
              <w:jc w:val="left"/>
            </w:pPr>
            <w:r>
              <w:t xml:space="preserve">G9</w:t>
            </w:r>
          </w:p>
        </w:tc>
        <w:tc>
          <w:tcPr/>
          <w:p>
            <w:pPr>
              <w:pStyle w:val="Compact"/>
              <w:jc w:val="left"/>
            </w:pPr>
            <w:r>
              <w:t xml:space="preserve">Deterministic Sandbox egress</w:t>
            </w:r>
          </w:p>
        </w:tc>
        <w:tc>
          <w:tcPr/>
          <w:p>
            <w:pPr>
              <w:pStyle w:val="Compact"/>
              <w:jc w:val="left"/>
            </w:pPr>
            <w:r>
              <w:t xml:space="preserve">Cloud Router and Cloud NAT with two reserved static external addresses</w:t>
            </w:r>
          </w:p>
        </w:tc>
        <w:tc>
          <w:tcPr/>
          <w:p>
            <w:pPr>
              <w:pStyle w:val="Compact"/>
              <w:jc w:val="left"/>
            </w:pPr>
            <w:r>
              <w:t xml:space="preserve">Fixed egress addresses let partners and upstream systems allow-list the platform, so outbound access is auditable and constrained</w:t>
            </w:r>
          </w:p>
        </w:tc>
        <w:tc>
          <w:tcPr/>
          <w:p>
            <w:pPr>
              <w:pStyle w:val="Compact"/>
              <w:jc w:val="left"/>
            </w:pPr>
            <w:r>
              <w:t xml:space="preserve">Sandbox</w:t>
            </w:r>
          </w:p>
        </w:tc>
      </w:tr>
      <w:tr>
        <w:tc>
          <w:tcPr/>
          <w:p>
            <w:pPr>
              <w:pStyle w:val="Compact"/>
              <w:jc w:val="left"/>
            </w:pPr>
            <w:r>
              <w:t xml:space="preserve">G10</w:t>
            </w:r>
          </w:p>
        </w:tc>
        <w:tc>
          <w:tcPr/>
          <w:p>
            <w:pPr>
              <w:pStyle w:val="Compact"/>
              <w:jc w:val="left"/>
            </w:pPr>
            <w:r>
              <w:t xml:space="preserve">Hardened interactive compute</w:t>
            </w:r>
          </w:p>
        </w:tc>
        <w:tc>
          <w:tcPr/>
          <w:p>
            <w:pPr>
              <w:pStyle w:val="Compact"/>
              <w:jc w:val="left"/>
            </w:pPr>
            <w:r>
              <w:t xml:space="preserve">Shielded VM Workbench with vTPM, Secure Boot and Integrity Monitoring; OS Login, root and</w:t>
            </w:r>
            <w:r>
              <w:t xml:space="preserve"> </w:t>
            </w:r>
            <w:r>
              <w:rPr>
                <w:rStyle w:val="VerbatimChar"/>
              </w:rPr>
              <w:t xml:space="preserve">nbconvert</w:t>
            </w:r>
            <w:r>
              <w:t xml:space="preserve"> </w:t>
            </w:r>
            <w:r>
              <w:t xml:space="preserve">disabled; access by IAP SSH only</w:t>
            </w:r>
          </w:p>
        </w:tc>
        <w:tc>
          <w:tcPr/>
          <w:p>
            <w:pPr>
              <w:pStyle w:val="Compact"/>
              <w:jc w:val="left"/>
            </w:pPr>
            <w:r>
              <w:t xml:space="preserve">The Workbench is the only interactive host on the platform and therefore its largest host-level attack surface</w:t>
            </w:r>
          </w:p>
        </w:tc>
        <w:tc>
          <w:tcPr/>
          <w:p>
            <w:pPr>
              <w:pStyle w:val="Compact"/>
              <w:jc w:val="left"/>
            </w:pPr>
            <w:r>
              <w:t xml:space="preserve">Sandbox</w:t>
            </w:r>
          </w:p>
        </w:tc>
      </w:tr>
      <w:tr>
        <w:tc>
          <w:tcPr/>
          <w:p>
            <w:pPr>
              <w:pStyle w:val="Compact"/>
              <w:jc w:val="left"/>
            </w:pPr>
            <w:r>
              <w:t xml:space="preserve">G11</w:t>
            </w:r>
          </w:p>
        </w:tc>
        <w:tc>
          <w:tcPr/>
          <w:p>
            <w:pPr>
              <w:pStyle w:val="Compact"/>
              <w:jc w:val="left"/>
            </w:pPr>
            <w:r>
              <w:t xml:space="preserve">One interactive login per session, including across token refresh</w:t>
            </w:r>
          </w:p>
        </w:tc>
        <w:tc>
          <w:tcPr/>
          <w:p>
            <w:pPr>
              <w:pStyle w:val="Compact"/>
              <w:jc w:val="left"/>
            </w:pPr>
            <w:r>
              <w:t xml:space="preserve">IAP establishes the Entra session; the Backend-for-Frontend’s authorisation-code exchange reuses it non-interactively with</w:t>
            </w:r>
            <w:r>
              <w:t xml:space="preserve"> </w:t>
            </w:r>
            <w:r>
              <w:rPr>
                <w:rStyle w:val="VerbatimChar"/>
              </w:rPr>
              <w:t xml:space="preserve">login_hint</w:t>
            </w:r>
            <w:r>
              <w:t xml:space="preserve"> </w:t>
            </w:r>
            <w:r>
              <w:t xml:space="preserve">from the IAP assertion. Refresh happens server-side</w:t>
            </w:r>
          </w:p>
        </w:tc>
        <w:tc>
          <w:tcPr/>
          <w:p>
            <w:pPr>
              <w:pStyle w:val="Compact"/>
              <w:jc w:val="left"/>
            </w:pPr>
            <w:r>
              <w:t xml:space="preserve">A second prompt would be interpreted as an authentication failure and would undermine the rationale for federated single sign-on</w:t>
            </w:r>
          </w:p>
        </w:tc>
        <w:tc>
          <w:tcPr/>
          <w:p>
            <w:pPr>
              <w:pStyle w:val="Compact"/>
              <w:jc w:val="left"/>
            </w:pPr>
            <w:r>
              <w:t xml:space="preserve">Dev, Prod</w:t>
            </w:r>
          </w:p>
        </w:tc>
      </w:tr>
      <w:tr>
        <w:tc>
          <w:tcPr/>
          <w:p>
            <w:pPr>
              <w:pStyle w:val="Compact"/>
              <w:jc w:val="left"/>
            </w:pPr>
            <w:r>
              <w:t xml:space="preserve">G12</w:t>
            </w:r>
          </w:p>
        </w:tc>
        <w:tc>
          <w:tcPr/>
          <w:p>
            <w:pPr>
              <w:pStyle w:val="Compact"/>
              <w:jc w:val="left"/>
            </w:pPr>
            <w:r>
              <w:t xml:space="preserve">No token in the browser</w:t>
            </w:r>
          </w:p>
        </w:tc>
        <w:tc>
          <w:tcPr/>
          <w:p>
            <w:pPr>
              <w:pStyle w:val="Compact"/>
              <w:jc w:val="left"/>
            </w:pPr>
            <w:r>
              <w:t xml:space="preserve">The Backend-for-Frontend is the OAuth client. The browser holds only a 256-bit opaque cookie value with no data in it</w:t>
            </w:r>
          </w:p>
        </w:tc>
        <w:tc>
          <w:tcPr/>
          <w:p>
            <w:pPr>
              <w:pStyle w:val="Compact"/>
              <w:jc w:val="left"/>
            </w:pPr>
            <w:r>
              <w:t xml:space="preserve">Eliminates token theft through cross-site scripting and removes Apigee from the browser’s reachable surface</w:t>
            </w:r>
          </w:p>
        </w:tc>
        <w:tc>
          <w:tcPr/>
          <w:p>
            <w:pPr>
              <w:pStyle w:val="Compact"/>
              <w:jc w:val="left"/>
            </w:pPr>
            <w:r>
              <w:t xml:space="preserve">Dev, Prod</w:t>
            </w:r>
          </w:p>
        </w:tc>
      </w:tr>
      <w:tr>
        <w:tc>
          <w:tcPr/>
          <w:p>
            <w:pPr>
              <w:pStyle w:val="Compact"/>
              <w:jc w:val="left"/>
            </w:pPr>
            <w:r>
              <w:t xml:space="preserve">G13</w:t>
            </w:r>
          </w:p>
        </w:tc>
        <w:tc>
          <w:tcPr/>
          <w:p>
            <w:pPr>
              <w:pStyle w:val="Compact"/>
              <w:jc w:val="left"/>
            </w:pPr>
            <w:r>
              <w:t xml:space="preserve">Per-user rate limiting and cost attribution, not per-service</w:t>
            </w:r>
          </w:p>
        </w:tc>
        <w:tc>
          <w:tcPr/>
          <w:p>
            <w:pPr>
              <w:pStyle w:val="Compact"/>
              <w:jc w:val="left"/>
            </w:pPr>
            <w:r>
              <w:t xml:space="preserve">Apigee</w:t>
            </w:r>
            <w:r>
              <w:t xml:space="preserve"> </w:t>
            </w:r>
            <w:r>
              <w:rPr>
                <w:rStyle w:val="VerbatimChar"/>
              </w:rPr>
              <w:t xml:space="preserve">Quota</w:t>
            </w:r>
            <w:r>
              <w:t xml:space="preserve"> </w:t>
            </w:r>
            <w:r>
              <w:t xml:space="preserve">and</w:t>
            </w:r>
            <w:r>
              <w:t xml:space="preserve"> </w:t>
            </w:r>
            <w:r>
              <w:rPr>
                <w:rStyle w:val="VerbatimChar"/>
              </w:rPr>
              <w:t xml:space="preserve">LLMTokenQuota</w:t>
            </w:r>
            <w:r>
              <w:t xml:space="preserve"> </w:t>
            </w:r>
            <w:r>
              <w:t xml:space="preserve">keyed on the verified Entra</w:t>
            </w:r>
            <w:r>
              <w:t xml:space="preserve"> </w:t>
            </w:r>
            <w:r>
              <w:rPr>
                <w:rStyle w:val="VerbatimChar"/>
              </w:rPr>
              <w:t xml:space="preserve">oid</w:t>
            </w:r>
            <w:r>
              <w:t xml:space="preserve">. Business unit is a reporting dimension only</w:t>
            </w:r>
          </w:p>
        </w:tc>
        <w:tc>
          <w:tcPr/>
          <w:p>
            <w:pPr>
              <w:pStyle w:val="Compact"/>
              <w:jc w:val="left"/>
            </w:pPr>
            <w:r>
              <w:t xml:space="preserve">The consumption budget is defined per individual. Keying quotas on business unit would permit one user to consume another user’s allowance</w:t>
            </w:r>
          </w:p>
        </w:tc>
        <w:tc>
          <w:tcPr/>
          <w:p>
            <w:pPr>
              <w:pStyle w:val="Compact"/>
              <w:jc w:val="left"/>
            </w:pPr>
            <w:r>
              <w:t xml:space="preserve">Dev, Prod</w:t>
            </w:r>
          </w:p>
        </w:tc>
      </w:tr>
      <w:tr>
        <w:tc>
          <w:tcPr/>
          <w:p>
            <w:pPr>
              <w:pStyle w:val="Compact"/>
              <w:jc w:val="left"/>
            </w:pPr>
            <w:r>
              <w:t xml:space="preserve">G14</w:t>
            </w:r>
          </w:p>
        </w:tc>
        <w:tc>
          <w:tcPr/>
          <w:p>
            <w:pPr>
              <w:pStyle w:val="Compact"/>
              <w:jc w:val="left"/>
            </w:pPr>
            <w:r>
              <w:t xml:space="preserve">The AI gateway is mandatory, not advisory</w:t>
            </w:r>
          </w:p>
        </w:tc>
        <w:tc>
          <w:tcPr/>
          <w:p>
            <w:pPr>
              <w:pStyle w:val="Compact"/>
              <w:jc w:val="left"/>
            </w:pPr>
            <w:r>
              <w:rPr>
                <w:rStyle w:val="VerbatimChar"/>
              </w:rPr>
              <w:t xml:space="preserve">roles/aiplatform.user</w:t>
            </w:r>
            <w:r>
              <w:t xml:space="preserve"> </w:t>
            </w:r>
            <w:r>
              <w:t xml:space="preserve">is granted to</w:t>
            </w:r>
            <w:r>
              <w:t xml:space="preserve"> </w:t>
            </w:r>
            <w:r>
              <w:rPr>
                <w:rStyle w:val="VerbatimChar"/>
              </w:rPr>
              <w:t xml:space="preserve">apigee-llm-runtime</w:t>
            </w:r>
            <w:r>
              <w:t xml:space="preserve"> </w:t>
            </w:r>
            <w:r>
              <w:t xml:space="preserve">and to</w:t>
            </w:r>
            <w:r>
              <w:t xml:space="preserve"> </w:t>
            </w:r>
            <w:r>
              <w:rPr>
                <w:b/>
                <w:bCs/>
              </w:rPr>
              <w:t xml:space="preserve">no workload service account</w:t>
            </w:r>
          </w:p>
        </w:tc>
        <w:tc>
          <w:tcPr/>
          <w:p>
            <w:pPr>
              <w:pStyle w:val="Compact"/>
              <w:jc w:val="left"/>
            </w:pPr>
            <w:r>
              <w:t xml:space="preserve">Without this single IAM decision, every quota, safety filter and cost control in the gateway can be bypassed by calling Vertex AI directly</w:t>
            </w:r>
          </w:p>
        </w:tc>
        <w:tc>
          <w:tcPr/>
          <w:p>
            <w:pPr>
              <w:pStyle w:val="Compact"/>
              <w:jc w:val="left"/>
            </w:pPr>
            <w:r>
              <w:t xml:space="preserve">Dev, Prod</w:t>
            </w:r>
          </w:p>
        </w:tc>
      </w:tr>
      <w:tr>
        <w:tc>
          <w:tcPr/>
          <w:p>
            <w:pPr>
              <w:pStyle w:val="Compact"/>
              <w:jc w:val="left"/>
            </w:pPr>
            <w:r>
              <w:t xml:space="preserve">G15</w:t>
            </w:r>
          </w:p>
        </w:tc>
        <w:tc>
          <w:tcPr/>
          <w:p>
            <w:pPr>
              <w:pStyle w:val="Compact"/>
              <w:jc w:val="left"/>
            </w:pPr>
            <w:r>
              <w:t xml:space="preserve">One user-reachable address on the whole platform</w:t>
            </w:r>
          </w:p>
        </w:tc>
        <w:tc>
          <w:tcPr/>
          <w:p>
            <w:pPr>
              <w:pStyle w:val="Compact"/>
              <w:jc w:val="left"/>
            </w:pPr>
            <w:r>
              <w:rPr>
                <w:rStyle w:val="VerbatimChar"/>
              </w:rPr>
              <w:t xml:space="preserve">10.110.73.20</w:t>
            </w:r>
            <w:r>
              <w:t xml:space="preserve"> </w:t>
            </w:r>
            <w:r>
              <w:t xml:space="preserve">in</w:t>
            </w:r>
            <w:r>
              <w:t xml:space="preserve"> </w:t>
            </w:r>
            <w:r>
              <w:rPr>
                <w:rStyle w:val="VerbatimChar"/>
              </w:rPr>
              <w:t xml:space="preserve">10.110.73.0/24</w:t>
            </w:r>
            <w:r>
              <w:t xml:space="preserve">. Everything else sits in</w:t>
            </w:r>
            <w:r>
              <w:t xml:space="preserve"> </w:t>
            </w:r>
            <w:r>
              <w:rPr>
                <w:rStyle w:val="VerbatimChar"/>
              </w:rPr>
              <w:t xml:space="preserve">192.168.4.0/22</w:t>
            </w:r>
            <w:r>
              <w:t xml:space="preserve">, which has no route from the Colt network</w:t>
            </w:r>
          </w:p>
        </w:tc>
        <w:tc>
          <w:tcPr/>
          <w:p>
            <w:pPr>
              <w:pStyle w:val="Compact"/>
              <w:jc w:val="left"/>
            </w:pPr>
            <w:r>
              <w:t xml:space="preserve">An address in an unrouted range remains unreachable from the corporate network even if a firewall rule is opened in error</w:t>
            </w:r>
          </w:p>
        </w:tc>
        <w:tc>
          <w:tcPr/>
          <w:p>
            <w:pPr>
              <w:pStyle w:val="Compact"/>
              <w:jc w:val="left"/>
            </w:pPr>
            <w:r>
              <w:t xml:space="preserve">Dev, Prod</w:t>
            </w:r>
          </w:p>
        </w:tc>
      </w:tr>
      <w:tr>
        <w:tc>
          <w:tcPr/>
          <w:p>
            <w:pPr>
              <w:pStyle w:val="Compact"/>
              <w:jc w:val="left"/>
            </w:pPr>
            <w:r>
              <w:t xml:space="preserve">G16</w:t>
            </w:r>
          </w:p>
        </w:tc>
        <w:tc>
          <w:tcPr/>
          <w:p>
            <w:pPr>
              <w:pStyle w:val="Compact"/>
              <w:jc w:val="left"/>
            </w:pPr>
            <w:r>
              <w:t xml:space="preserve">The gateway is consumable by future usecase VPCs</w:t>
            </w:r>
          </w:p>
        </w:tc>
        <w:tc>
          <w:tcPr/>
          <w:p>
            <w:pPr>
              <w:pStyle w:val="Compact"/>
              <w:jc w:val="left"/>
            </w:pPr>
            <w:r>
              <w:t xml:space="preserve">Apigee provisioned non-peered, Private Service Connect throughout</w:t>
            </w:r>
          </w:p>
        </w:tc>
        <w:tc>
          <w:tcPr/>
          <w:p>
            <w:pPr>
              <w:pStyle w:val="Compact"/>
              <w:jc w:val="left"/>
            </w:pPr>
            <w:r>
              <w:t xml:space="preserve">VPC peering is non-transitive, so a peered Apigee could never serve another usecase network. The choice is fixed at organisation creation</w:t>
            </w:r>
          </w:p>
        </w:tc>
        <w:tc>
          <w:tcPr/>
          <w:p>
            <w:pPr>
              <w:pStyle w:val="Compact"/>
              <w:jc w:val="left"/>
            </w:pPr>
            <w:r>
              <w:t xml:space="preserve">Dev, Prod</w:t>
            </w:r>
          </w:p>
        </w:tc>
      </w:tr>
      <w:tr>
        <w:tc>
          <w:tcPr/>
          <w:p>
            <w:pPr>
              <w:pStyle w:val="Compact"/>
              <w:jc w:val="left"/>
            </w:pPr>
            <w:r>
              <w:t xml:space="preserve">G17</w:t>
            </w:r>
          </w:p>
        </w:tc>
        <w:tc>
          <w:tcPr/>
          <w:p>
            <w:pPr>
              <w:pStyle w:val="Compact"/>
              <w:jc w:val="left"/>
            </w:pPr>
            <w:r>
              <w:t xml:space="preserve">One authentication mechanism per boundary</w:t>
            </w:r>
          </w:p>
        </w:tc>
        <w:tc>
          <w:tcPr/>
          <w:p>
            <w:pPr>
              <w:pStyle w:val="Compact"/>
              <w:jc w:val="left"/>
            </w:pPr>
            <w:r>
              <w:t xml:space="preserve">IAP proves a</w:t>
            </w:r>
            <w:r>
              <w:t xml:space="preserve"> </w:t>
            </w:r>
            <w:r>
              <w:rPr>
                <w:i/>
                <w:iCs/>
              </w:rPr>
              <w:t xml:space="preserve">person</w:t>
            </w:r>
            <w:r>
              <w:t xml:space="preserve"> </w:t>
            </w:r>
            <w:r>
              <w:t xml:space="preserve">at the front door; Apigee decides what they</w:t>
            </w:r>
            <w:r>
              <w:t xml:space="preserve"> </w:t>
            </w:r>
            <w:r>
              <w:rPr>
                <w:i/>
                <w:iCs/>
              </w:rPr>
              <w:t xml:space="preserve">may do</w:t>
            </w:r>
            <w:r>
              <w:t xml:space="preserve">; Cloud Run IAM proves the</w:t>
            </w:r>
            <w:r>
              <w:t xml:space="preserve"> </w:t>
            </w:r>
            <w:r>
              <w:rPr>
                <w:i/>
                <w:iCs/>
              </w:rPr>
              <w:t xml:space="preserve">machine</w:t>
            </w:r>
            <w:r>
              <w:t xml:space="preserve"> </w:t>
            </w:r>
            <w:r>
              <w:t xml:space="preserve">on the last hop</w:t>
            </w:r>
          </w:p>
        </w:tc>
        <w:tc>
          <w:tcPr/>
          <w:p>
            <w:pPr>
              <w:pStyle w:val="Compact"/>
              <w:jc w:val="left"/>
            </w:pPr>
            <w:r>
              <w:t xml:space="preserve">Separating the invocation mechanism from the authorisation mechanism prevents the ambiguity that caused the backend authentication position to be revised repeatedly in earlier design iterations</w:t>
            </w:r>
          </w:p>
        </w:tc>
        <w:tc>
          <w:tcPr/>
          <w:p>
            <w:pPr>
              <w:pStyle w:val="Compact"/>
              <w:jc w:val="left"/>
            </w:pPr>
            <w:r>
              <w:t xml:space="preserve">Dev, Prod</w:t>
            </w:r>
          </w:p>
        </w:tc>
      </w:tr>
    </w:tbl>
    <w:bookmarkEnd w:id="26"/>
    <w:bookmarkStart w:id="30" w:name="in-scope"/>
    <w:p>
      <w:pPr>
        <w:pStyle w:val="Heading2"/>
      </w:pPr>
      <w:r>
        <w:t xml:space="preserve">2.2 In scope</w:t>
      </w:r>
    </w:p>
    <w:bookmarkStart w:id="27" w:name="sandbox"/>
    <w:p>
      <w:pPr>
        <w:pStyle w:val="Heading3"/>
      </w:pPr>
      <w:r>
        <w:t xml:space="preserve">2.2.1 Sandbox</w:t>
      </w:r>
    </w:p>
    <w:p>
      <w:pPr>
        <w:pStyle w:val="Compact"/>
        <w:numPr>
          <w:ilvl w:val="0"/>
          <w:numId w:val="1001"/>
        </w:numPr>
      </w:pPr>
      <w:r>
        <w:t xml:space="preserve">The</w:t>
      </w:r>
      <w:r>
        <w:t xml:space="preserve"> </w:t>
      </w:r>
      <w:r>
        <w:rPr>
          <w:rStyle w:val="VerbatimChar"/>
        </w:rPr>
        <w:t xml:space="preserve">aicoesandox</w:t>
      </w:r>
      <w:r>
        <w:t xml:space="preserve"> </w:t>
      </w:r>
      <w:r>
        <w:t xml:space="preserve">project and its own custom-mode VPC — this environment does</w:t>
      </w:r>
      <w:r>
        <w:t xml:space="preserve"> </w:t>
      </w:r>
      <w:r>
        <w:rPr>
          <w:b/>
          <w:bCs/>
        </w:rPr>
        <w:t xml:space="preserve">not</w:t>
      </w:r>
      <w:r>
        <w:t xml:space="preserve"> </w:t>
      </w:r>
      <w:r>
        <w:t xml:space="preserve">use the Shared VPC model.</w:t>
      </w:r>
    </w:p>
    <w:p>
      <w:pPr>
        <w:pStyle w:val="Compact"/>
        <w:numPr>
          <w:ilvl w:val="0"/>
          <w:numId w:val="1001"/>
        </w:numPr>
      </w:pPr>
      <w:r>
        <w:t xml:space="preserve">Primary application subnet</w:t>
      </w:r>
      <w:r>
        <w:t xml:space="preserve"> </w:t>
      </w:r>
      <w:r>
        <w:rPr>
          <w:rStyle w:val="VerbatimChar"/>
        </w:rPr>
        <w:t xml:space="preserve">192.168.1.0/25</w:t>
      </w:r>
      <w:r>
        <w:t xml:space="preserve"> </w:t>
      </w:r>
      <w:r>
        <w:t xml:space="preserve">and a regional Application Load Balancer proxy-only subnet</w:t>
      </w:r>
      <w:r>
        <w:t xml:space="preserve"> </w:t>
      </w:r>
      <w:r>
        <w:rPr>
          <w:rStyle w:val="VerbatimChar"/>
        </w:rPr>
        <w:t xml:space="preserve">192.168.1.128/26</w:t>
      </w:r>
      <w:r>
        <w:t xml:space="preserve">.</w:t>
      </w:r>
    </w:p>
    <w:p>
      <w:pPr>
        <w:pStyle w:val="Compact"/>
        <w:numPr>
          <w:ilvl w:val="0"/>
          <w:numId w:val="1001"/>
        </w:numPr>
      </w:pPr>
      <w:r>
        <w:t xml:space="preserve">Private Service Connect endpoint for Google APIs at</w:t>
      </w:r>
      <w:r>
        <w:t xml:space="preserve"> </w:t>
      </w:r>
      <w:r>
        <w:rPr>
          <w:rStyle w:val="VerbatimChar"/>
        </w:rPr>
        <w:t xml:space="preserve">192.168.2.3</w:t>
      </w:r>
      <w:r>
        <w:t xml:space="preserve">, with the private DNS zones that resolve to it.</w:t>
      </w:r>
    </w:p>
    <w:p>
      <w:pPr>
        <w:pStyle w:val="Compact"/>
        <w:numPr>
          <w:ilvl w:val="0"/>
          <w:numId w:val="1001"/>
        </w:numPr>
      </w:pPr>
      <w:r>
        <w:t xml:space="preserve">Cloud Router and Cloud NAT with two reserved static egress addresses.</w:t>
      </w:r>
    </w:p>
    <w:p>
      <w:pPr>
        <w:pStyle w:val="Compact"/>
        <w:numPr>
          <w:ilvl w:val="0"/>
          <w:numId w:val="1001"/>
        </w:numPr>
      </w:pPr>
      <w:r>
        <w:t xml:space="preserve">Vertex AI Workbench — Shielded VM, no public address, IAP SSH access only.</w:t>
      </w:r>
    </w:p>
    <w:p>
      <w:pPr>
        <w:pStyle w:val="Compact"/>
        <w:numPr>
          <w:ilvl w:val="0"/>
          <w:numId w:val="1001"/>
        </w:numPr>
      </w:pPr>
      <w:r>
        <w:t xml:space="preserve">Cloud Run services for the translation and sales-agent use cases.</w:t>
      </w:r>
    </w:p>
    <w:p>
      <w:pPr>
        <w:pStyle w:val="Compact"/>
        <w:numPr>
          <w:ilvl w:val="0"/>
          <w:numId w:val="1001"/>
        </w:numPr>
      </w:pPr>
      <w:r>
        <w:t xml:space="preserve">Two internal Application Load Balancers — translation and sales agent.</w:t>
      </w:r>
    </w:p>
    <w:p>
      <w:pPr>
        <w:pStyle w:val="Compact"/>
        <w:numPr>
          <w:ilvl w:val="0"/>
          <w:numId w:val="1001"/>
        </w:numPr>
      </w:pPr>
      <w:r>
        <w:t xml:space="preserve">Cloud Storage buckets with CMEK, BigQuery datasets, Secret Manager and Cloud KMS key rings.</w:t>
      </w:r>
    </w:p>
    <w:p>
      <w:pPr>
        <w:pStyle w:val="Compact"/>
        <w:numPr>
          <w:ilvl w:val="0"/>
          <w:numId w:val="1001"/>
        </w:numPr>
      </w:pPr>
      <w:r>
        <w:t xml:space="preserve">Vertex AI Vector Search index and PSC-enabled index endpoint.</w:t>
      </w:r>
    </w:p>
    <w:p>
      <w:pPr>
        <w:pStyle w:val="Compact"/>
        <w:numPr>
          <w:ilvl w:val="0"/>
          <w:numId w:val="1001"/>
        </w:numPr>
      </w:pPr>
      <w:r>
        <w:t xml:space="preserve">GitLab CI/CD with Workload Identity Federation.</w:t>
      </w:r>
    </w:p>
    <w:bookmarkEnd w:id="27"/>
    <w:bookmarkStart w:id="28" w:name="development"/>
    <w:p>
      <w:pPr>
        <w:pStyle w:val="Heading3"/>
      </w:pPr>
      <w:r>
        <w:t xml:space="preserve">2.2.2 Development</w:t>
      </w:r>
    </w:p>
    <w:p>
      <w:pPr>
        <w:pStyle w:val="Compact"/>
        <w:numPr>
          <w:ilvl w:val="0"/>
          <w:numId w:val="1002"/>
        </w:numPr>
      </w:pPr>
      <w:r>
        <w:t xml:space="preserve">The eight Google Cloud projects listed in</w:t>
      </w:r>
      <w:r>
        <w:t xml:space="preserve"> </w:t>
      </w:r>
      <w:r>
        <w:rPr>
          <w:b/>
          <w:bCs/>
        </w:rPr>
        <w:t xml:space="preserve">Solution Architecture Overview</w:t>
      </w:r>
      <w:r>
        <w:t xml:space="preserve">, their enabled APIs, service agents, IAM and CMEK.</w:t>
      </w:r>
    </w:p>
    <w:p>
      <w:pPr>
        <w:pStyle w:val="Compact"/>
        <w:numPr>
          <w:ilvl w:val="0"/>
          <w:numId w:val="1002"/>
        </w:numPr>
      </w:pPr>
      <w:r>
        <w:t xml:space="preserve">Shared VPC host and service-project model: one VPC, five subnets, firewall, private DNS, four Private Service Connect flows.</w:t>
      </w:r>
    </w:p>
    <w:p>
      <w:pPr>
        <w:pStyle w:val="Compact"/>
        <w:numPr>
          <w:ilvl w:val="0"/>
          <w:numId w:val="1002"/>
        </w:numPr>
      </w:pPr>
      <w:r>
        <w:t xml:space="preserve">Two internal Application Load Balancers — the AI Hub front door and the machine-only Backend ILB.</w:t>
      </w:r>
    </w:p>
    <w:p>
      <w:pPr>
        <w:pStyle w:val="Compact"/>
        <w:numPr>
          <w:ilvl w:val="0"/>
          <w:numId w:val="1002"/>
        </w:numPr>
      </w:pPr>
      <w:r>
        <w:t xml:space="preserve">Identity: Workforce Identity Federation to Entra ID with IAP; Workload Identity Federation to GitLab CI; the full service account inventory.</w:t>
      </w:r>
    </w:p>
    <w:p>
      <w:pPr>
        <w:pStyle w:val="Compact"/>
        <w:numPr>
          <w:ilvl w:val="0"/>
          <w:numId w:val="1002"/>
        </w:numPr>
      </w:pPr>
      <w:r>
        <w:t xml:space="preserve">The Backend-for-Frontend contract — session store, cookie, lifecycle, CSRF handling, refresh.</w:t>
      </w:r>
      <w:r>
        <w:t xml:space="preserve"> </w:t>
      </w:r>
      <w:r>
        <w:rPr>
          <w:b/>
          <w:bCs/>
        </w:rPr>
        <w:t xml:space="preserve">The application code itself is built by the application team</w:t>
      </w:r>
      <w:r>
        <w:t xml:space="preserve">;</w:t>
      </w:r>
      <w:r>
        <w:t xml:space="preserve"> </w:t>
      </w:r>
      <w:r>
        <w:rPr>
          <w:b/>
          <w:bCs/>
        </w:rPr>
        <w:t xml:space="preserve">Backend-for-Frontend and Session Management</w:t>
      </w:r>
      <w:r>
        <w:t xml:space="preserve"> </w:t>
      </w:r>
      <w:r>
        <w:t xml:space="preserve">states the contract it must meet.</w:t>
      </w:r>
    </w:p>
    <w:p>
      <w:pPr>
        <w:pStyle w:val="Compact"/>
        <w:numPr>
          <w:ilvl w:val="0"/>
          <w:numId w:val="1002"/>
        </w:numPr>
      </w:pPr>
      <w:r>
        <w:t xml:space="preserve">Apigee organisation, instance, two environments, two environment groups, the user API proxy and the AI gateway proxy, API Products, developer apps, key value maps and target servers.</w:t>
      </w:r>
    </w:p>
    <w:p>
      <w:pPr>
        <w:pStyle w:val="Compact"/>
        <w:numPr>
          <w:ilvl w:val="0"/>
          <w:numId w:val="1002"/>
        </w:numPr>
      </w:pPr>
      <w:r>
        <w:t xml:space="preserve">Vertex AI consumption model, Model Armor templates, Sensitive Data Protection templates, Vector Search index and endpoint.</w:t>
      </w:r>
    </w:p>
    <w:p>
      <w:pPr>
        <w:pStyle w:val="Compact"/>
        <w:numPr>
          <w:ilvl w:val="0"/>
          <w:numId w:val="1002"/>
        </w:numPr>
      </w:pPr>
      <w:r>
        <w:t xml:space="preserve">Data platform: Firestore, Cloud Storage, BigQuery, Cloud Tasks, Artifact Registry, Secret Manager, Cloud KMS.</w:t>
      </w:r>
    </w:p>
    <w:p>
      <w:pPr>
        <w:pStyle w:val="Compact"/>
        <w:numPr>
          <w:ilvl w:val="0"/>
          <w:numId w:val="1002"/>
        </w:numPr>
      </w:pPr>
      <w:r>
        <w:t xml:space="preserve">Logging with a 400-day central bucket, three sinks and folder audit configuration; monitoring, alerting and cost controls.</w:t>
      </w:r>
    </w:p>
    <w:p>
      <w:pPr>
        <w:pStyle w:val="Compact"/>
        <w:numPr>
          <w:ilvl w:val="0"/>
          <w:numId w:val="1002"/>
        </w:numPr>
      </w:pPr>
      <w:r>
        <w:t xml:space="preserve">Terraform stages, apply order, state layout and the CI/CD pipeline.</w:t>
      </w:r>
    </w:p>
    <w:bookmarkEnd w:id="28"/>
    <w:bookmarkStart w:id="29" w:name="both-environments"/>
    <w:p>
      <w:pPr>
        <w:pStyle w:val="Heading3"/>
      </w:pPr>
      <w:r>
        <w:t xml:space="preserve">2.2.3 Both environments</w:t>
      </w:r>
    </w:p>
    <w:p>
      <w:pPr>
        <w:pStyle w:val="Compact"/>
        <w:numPr>
          <w:ilvl w:val="0"/>
          <w:numId w:val="1003"/>
        </w:numPr>
      </w:pPr>
      <w:r>
        <w:t xml:space="preserve">The ten organisation policies applied at the</w:t>
      </w:r>
      <w:r>
        <w:t xml:space="preserve"> </w:t>
      </w:r>
      <w:r>
        <w:rPr>
          <w:rStyle w:val="VerbatimChar"/>
        </w:rPr>
        <w:t xml:space="preserve">AI COE</w:t>
      </w:r>
      <w:r>
        <w:t xml:space="preserve"> </w:t>
      </w:r>
      <w:r>
        <w:t xml:space="preserve">folder.</w:t>
      </w:r>
    </w:p>
    <w:p>
      <w:pPr>
        <w:pStyle w:val="Compact"/>
        <w:numPr>
          <w:ilvl w:val="0"/>
          <w:numId w:val="1003"/>
        </w:numPr>
      </w:pPr>
      <w:r>
        <w:t xml:space="preserve">The naming standard and resource labelling set out in</w:t>
      </w:r>
      <w:r>
        <w:t xml:space="preserve"> </w:t>
      </w:r>
      <w:r>
        <w:rPr>
          <w:b/>
          <w:bCs/>
        </w:rPr>
        <w:t xml:space="preserve">Naming Standard and Tagging</w:t>
      </w:r>
      <w:r>
        <w:t xml:space="preserve">.</w:t>
      </w:r>
    </w:p>
    <w:bookmarkEnd w:id="29"/>
    <w:bookmarkEnd w:id="30"/>
    <w:bookmarkStart w:id="31" w:name="out-of-scope"/>
    <w:p>
      <w:pPr>
        <w:pStyle w:val="Heading2"/>
      </w:pPr>
      <w:r>
        <w:t xml:space="preserve">2.3 Out of scope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Item</w:t>
            </w:r>
          </w:p>
        </w:tc>
        <w:tc>
          <w:tcPr>
            <w:shd w:val="clear" w:color="auto" w:fill="1F3864"/>
          </w:tcPr>
          <w:p>
            <w:pPr>
              <w:pStyle w:val="Compact"/>
              <w:jc w:val="left"/>
            </w:pPr>
            <w:r>
              <w:rPr>
                <w:b/>
                <w:color w:val="FFFFFF"/>
              </w:rPr>
              <w:t xml:space="preserve">Why, and where it belongs</w:t>
            </w:r>
          </w:p>
        </w:tc>
      </w:tr>
      <w:tr>
        <w:tc>
          <w:tcPr/>
          <w:p>
            <w:pPr>
              <w:pStyle w:val="Compact"/>
              <w:jc w:val="left"/>
            </w:pPr>
            <w:r>
              <w:t xml:space="preserve">VPC Service Controls</w:t>
            </w:r>
          </w:p>
        </w:tc>
        <w:tc>
          <w:tcPr/>
          <w:p>
            <w:pPr>
              <w:pStyle w:val="Compact"/>
              <w:jc w:val="left"/>
            </w:pPr>
            <w:r>
              <w:t xml:space="preserve">The perimeter is owned, defined and enforced by the Colt Cloud CoE as a centralised enterprise control —</w:t>
            </w:r>
            <w:r>
              <w:t xml:space="preserve"> </w:t>
            </w:r>
            <w:r>
              <w:rPr>
                <w:b/>
                <w:bCs/>
              </w:rPr>
              <w:t xml:space="preserve">Security Architecture and Operations</w:t>
            </w:r>
          </w:p>
        </w:tc>
      </w:tr>
      <w:tr>
        <w:tc>
          <w:tcPr/>
          <w:p>
            <w:pPr>
              <w:pStyle w:val="Compact"/>
              <w:jc w:val="left"/>
            </w:pPr>
            <w:r>
              <w:t xml:space="preserve">Semantic caching in the AI gateway</w:t>
            </w:r>
          </w:p>
        </w:tc>
        <w:tc>
          <w:tcPr/>
          <w:p>
            <w:pPr>
              <w:pStyle w:val="Compact"/>
              <w:jc w:val="left"/>
            </w:pPr>
            <w:r>
              <w:t xml:space="preserve">Left out of the first build. It saves money but introduces a cross-business-unit leakage risk needing its own testing</w:t>
            </w:r>
          </w:p>
        </w:tc>
      </w:tr>
      <w:tr>
        <w:tc>
          <w:tcPr/>
          <w:p>
            <w:pPr>
              <w:pStyle w:val="Compact"/>
              <w:jc w:val="left"/>
            </w:pPr>
            <w:r>
              <w:t xml:space="preserve">Multi-region disaster recovery</w:t>
            </w:r>
          </w:p>
        </w:tc>
        <w:tc>
          <w:tcPr/>
          <w:p>
            <w:pPr>
              <w:pStyle w:val="Compact"/>
              <w:jc w:val="left"/>
            </w:pPr>
            <w:r>
              <w:t xml:space="preserve">Single-region by design. Recovery is by rebuild from Terraform and Git —</w:t>
            </w:r>
            <w:r>
              <w:t xml:space="preserve"> </w:t>
            </w:r>
            <w:r>
              <w:rPr>
                <w:b/>
                <w:bCs/>
              </w:rPr>
              <w:t xml:space="preserve">Backup and Restore</w:t>
            </w:r>
          </w:p>
        </w:tc>
      </w:tr>
      <w:tr>
        <w:tc>
          <w:tcPr/>
          <w:p>
            <w:pPr>
              <w:pStyle w:val="Compact"/>
              <w:jc w:val="left"/>
            </w:pPr>
            <w:r>
              <w:t xml:space="preserve">Colt-side ZPA configuration and the CSOC firewall change</w:t>
            </w:r>
          </w:p>
        </w:tc>
        <w:tc>
          <w:tcPr/>
          <w:p>
            <w:pPr>
              <w:pStyle w:val="Compact"/>
              <w:jc w:val="left"/>
            </w:pPr>
            <w:r>
              <w:t xml:space="preserve">Owned by Colt Network and Colt CSOC. This document states the one address that needs opening</w:t>
            </w:r>
          </w:p>
        </w:tc>
      </w:tr>
      <w:tr>
        <w:tc>
          <w:tcPr/>
          <w:p>
            <w:pPr>
              <w:pStyle w:val="Compact"/>
              <w:jc w:val="left"/>
            </w:pPr>
            <w:r>
              <w:t xml:space="preserve">Public DNS zone administration for</w:t>
            </w:r>
            <w:r>
              <w:t xml:space="preserve"> </w:t>
            </w:r>
            <w:r>
              <w:rPr>
                <w:rStyle w:val="VerbatimChar"/>
              </w:rPr>
              <w:t xml:space="preserve">colt.net</w:t>
            </w:r>
          </w:p>
        </w:tc>
        <w:tc>
          <w:tcPr/>
          <w:p>
            <w:pPr>
              <w:pStyle w:val="Compact"/>
              <w:jc w:val="left"/>
            </w:pPr>
            <w:r>
              <w:t xml:space="preserve">Required for DNS-01 certificate validation. Owned by the DNS team, and it carries a lead time</w:t>
            </w:r>
          </w:p>
        </w:tc>
      </w:tr>
    </w:tbl>
    <w:bookmarkEnd w:id="31"/>
    <w:bookmarkStart w:id="32" w:name="X9b84c66d99c2f8444a47d713bbec2fe0e65cb3d"/>
    <w:p>
      <w:pPr>
        <w:pStyle w:val="Heading2"/>
      </w:pPr>
      <w:r>
        <w:t xml:space="preserve">2.4 Immutable and expensive-to-reverse decisions</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Decision</w:t>
            </w:r>
          </w:p>
        </w:tc>
        <w:tc>
          <w:tcPr>
            <w:shd w:val="clear" w:color="auto" w:fill="1F3864"/>
          </w:tcPr>
          <w:p>
            <w:pPr>
              <w:pStyle w:val="Compact"/>
              <w:jc w:val="left"/>
            </w:pPr>
            <w:r>
              <w:rPr>
                <w:b/>
                <w:color w:val="FFFFFF"/>
              </w:rPr>
              <w:t xml:space="preserve">Set where</w:t>
            </w:r>
          </w:p>
        </w:tc>
        <w:tc>
          <w:tcPr>
            <w:shd w:val="clear" w:color="auto" w:fill="1F3864"/>
          </w:tcPr>
          <w:p>
            <w:pPr>
              <w:pStyle w:val="Compact"/>
              <w:jc w:val="left"/>
            </w:pPr>
            <w:r>
              <w:rPr>
                <w:b/>
                <w:color w:val="FFFFFF"/>
              </w:rPr>
              <w:t xml:space="preserve">Reversible?</w:t>
            </w:r>
          </w:p>
        </w:tc>
      </w:tr>
      <w:tr>
        <w:tc>
          <w:tcPr/>
          <w:p>
            <w:pPr>
              <w:pStyle w:val="Compact"/>
              <w:jc w:val="left"/>
            </w:pPr>
            <w:r>
              <w:t xml:space="preserve">I1</w:t>
            </w:r>
          </w:p>
        </w:tc>
        <w:tc>
          <w:tcPr/>
          <w:p>
            <w:pPr>
              <w:pStyle w:val="Compact"/>
              <w:jc w:val="left"/>
            </w:pPr>
            <w:r>
              <w:t xml:space="preserve">Apigee provisioned with</w:t>
            </w:r>
            <w:r>
              <w:t xml:space="preserve"> </w:t>
            </w:r>
            <w:r>
              <w:rPr>
                <w:b/>
                <w:bCs/>
              </w:rPr>
              <w:t xml:space="preserve">no VPC peering</w:t>
            </w:r>
            <w:r>
              <w:t xml:space="preserve"> </w:t>
            </w:r>
            <w:r>
              <w:t xml:space="preserve">— Private Service Connect throughout</w:t>
            </w:r>
          </w:p>
        </w:tc>
        <w:tc>
          <w:tcPr/>
          <w:p>
            <w:pPr>
              <w:pStyle w:val="Compact"/>
              <w:jc w:val="left"/>
            </w:pPr>
            <w:r>
              <w:t xml:space="preserve">Apigee provisioning wizard</w:t>
            </w:r>
          </w:p>
        </w:tc>
        <w:tc>
          <w:tcPr/>
          <w:p>
            <w:pPr>
              <w:pStyle w:val="Compact"/>
              <w:jc w:val="left"/>
            </w:pPr>
            <w:r>
              <w:rPr>
                <w:b/>
                <w:bCs/>
              </w:rPr>
              <w:t xml:space="preserve">No.</w:t>
            </w:r>
            <w:r>
              <w:t xml:space="preserve"> </w:t>
            </w:r>
            <w:r>
              <w:t xml:space="preserve">Fixed at organisation creation</w:t>
            </w:r>
          </w:p>
        </w:tc>
      </w:tr>
      <w:tr>
        <w:tc>
          <w:tcPr/>
          <w:p>
            <w:pPr>
              <w:pStyle w:val="Compact"/>
              <w:jc w:val="left"/>
            </w:pPr>
            <w:r>
              <w:t xml:space="preserve">I2</w:t>
            </w:r>
          </w:p>
        </w:tc>
        <w:tc>
          <w:tcPr/>
          <w:p>
            <w:pPr>
              <w:pStyle w:val="Compact"/>
              <w:jc w:val="left"/>
            </w:pPr>
            <w:r>
              <w:t xml:space="preserve">Apigee runtime database encryption key</w:t>
            </w:r>
            <w:r>
              <w:t xml:space="preserve"> </w:t>
            </w:r>
            <w:r>
              <w:rPr>
                <w:rStyle w:val="VerbatimChar"/>
              </w:rPr>
              <w:t xml:space="preserve">apigee/runtime-db</w:t>
            </w:r>
          </w:p>
        </w:tc>
        <w:tc>
          <w:tcPr/>
          <w:p>
            <w:pPr>
              <w:pStyle w:val="Compact"/>
              <w:jc w:val="left"/>
            </w:pPr>
            <w:r>
              <w:t xml:space="preserve">Apigee provisioning wizard</w:t>
            </w:r>
          </w:p>
        </w:tc>
        <w:tc>
          <w:tcPr/>
          <w:p>
            <w:pPr>
              <w:pStyle w:val="Compact"/>
              <w:jc w:val="left"/>
            </w:pPr>
            <w:r>
              <w:rPr>
                <w:b/>
                <w:bCs/>
              </w:rPr>
              <w:t xml:space="preserve">No.</w:t>
            </w:r>
            <w:r>
              <w:t xml:space="preserve"> </w:t>
            </w:r>
            <w:r>
              <w:t xml:space="preserve">Cannot be added or changed later</w:t>
            </w:r>
          </w:p>
        </w:tc>
      </w:tr>
      <w:tr>
        <w:tc>
          <w:tcPr/>
          <w:p>
            <w:pPr>
              <w:pStyle w:val="Compact"/>
              <w:jc w:val="left"/>
            </w:pPr>
            <w:r>
              <w:t xml:space="preserve">I3</w:t>
            </w:r>
          </w:p>
        </w:tc>
        <w:tc>
          <w:tcPr/>
          <w:p>
            <w:pPr>
              <w:pStyle w:val="Compact"/>
              <w:jc w:val="left"/>
            </w:pPr>
            <w:r>
              <w:t xml:space="preserve">Apigee analytics region — an EU region</w:t>
            </w:r>
          </w:p>
        </w:tc>
        <w:tc>
          <w:tcPr/>
          <w:p>
            <w:pPr>
              <w:pStyle w:val="Compact"/>
              <w:jc w:val="left"/>
            </w:pPr>
            <w:r>
              <w:t xml:space="preserve">Apigee provisioning wizard</w:t>
            </w:r>
          </w:p>
        </w:tc>
        <w:tc>
          <w:tcPr/>
          <w:p>
            <w:pPr>
              <w:pStyle w:val="Compact"/>
              <w:jc w:val="left"/>
            </w:pPr>
            <w:r>
              <w:rPr>
                <w:b/>
                <w:bCs/>
              </w:rPr>
              <w:t xml:space="preserve">No</w:t>
            </w:r>
          </w:p>
        </w:tc>
      </w:tr>
      <w:tr>
        <w:tc>
          <w:tcPr/>
          <w:p>
            <w:pPr>
              <w:pStyle w:val="Compact"/>
              <w:jc w:val="left"/>
            </w:pPr>
            <w:r>
              <w:t xml:space="preserve">I4</w:t>
            </w:r>
          </w:p>
        </w:tc>
        <w:tc>
          <w:tcPr/>
          <w:p>
            <w:pPr>
              <w:pStyle w:val="Compact"/>
              <w:jc w:val="left"/>
            </w:pPr>
            <w:r>
              <w:t xml:space="preserve">Apigee internal routing using the</w:t>
            </w:r>
            <w:r>
              <w:t xml:space="preserve"> </w:t>
            </w:r>
            <w:r>
              <w:rPr>
                <w:b/>
                <w:bCs/>
              </w:rPr>
              <w:t xml:space="preserve">service endpoint</w:t>
            </w:r>
            <w:r>
              <w:t xml:space="preserve"> </w:t>
            </w:r>
            <w:r>
              <w:t xml:space="preserve">option</w:t>
            </w:r>
          </w:p>
        </w:tc>
        <w:tc>
          <w:tcPr/>
          <w:p>
            <w:pPr>
              <w:pStyle w:val="Compact"/>
              <w:jc w:val="left"/>
            </w:pPr>
            <w:r>
              <w:t xml:space="preserve">Apigee provisioning wizard</w:t>
            </w:r>
          </w:p>
        </w:tc>
        <w:tc>
          <w:tcPr/>
          <w:p>
            <w:pPr>
              <w:pStyle w:val="Compact"/>
              <w:jc w:val="left"/>
            </w:pPr>
            <w:r>
              <w:rPr>
                <w:b/>
                <w:bCs/>
              </w:rPr>
              <w:t xml:space="preserve">No.</w:t>
            </w:r>
            <w:r>
              <w:t xml:space="preserve"> </w:t>
            </w:r>
            <w:r>
              <w:t xml:space="preserve">A provisioning-time routing choice, not something added afterwards</w:t>
            </w:r>
          </w:p>
        </w:tc>
      </w:tr>
      <w:tr>
        <w:tc>
          <w:tcPr/>
          <w:p>
            <w:pPr>
              <w:pStyle w:val="Compact"/>
              <w:jc w:val="left"/>
            </w:pPr>
            <w:r>
              <w:t xml:space="preserve">I5</w:t>
            </w:r>
          </w:p>
        </w:tc>
        <w:tc>
          <w:tcPr/>
          <w:p>
            <w:pPr>
              <w:pStyle w:val="Compact"/>
              <w:jc w:val="left"/>
            </w:pPr>
            <w:r>
              <w:t xml:space="preserve">One Apigee organisation per project, in</w:t>
            </w:r>
            <w:r>
              <w:t xml:space="preserve"> </w:t>
            </w:r>
            <w:r>
              <w:rPr>
                <w:rStyle w:val="VerbatimChar"/>
              </w:rPr>
              <w:t xml:space="preserve">gclt-aicoe-dev-apigee</w:t>
            </w:r>
          </w:p>
        </w:tc>
        <w:tc>
          <w:tcPr/>
          <w:p>
            <w:pPr>
              <w:pStyle w:val="Compact"/>
              <w:jc w:val="left"/>
            </w:pPr>
            <w:r>
              <w:t xml:space="preserve">Apigee provisioning</w:t>
            </w:r>
          </w:p>
        </w:tc>
        <w:tc>
          <w:tcPr/>
          <w:p>
            <w:pPr>
              <w:pStyle w:val="Compact"/>
              <w:jc w:val="left"/>
            </w:pPr>
            <w:r>
              <w:rPr>
                <w:b/>
                <w:bCs/>
              </w:rPr>
              <w:t xml:space="preserve">No</w:t>
            </w:r>
          </w:p>
        </w:tc>
      </w:tr>
      <w:tr>
        <w:tc>
          <w:tcPr/>
          <w:p>
            <w:pPr>
              <w:pStyle w:val="Compact"/>
              <w:jc w:val="left"/>
            </w:pPr>
            <w:r>
              <w:t xml:space="preserve">I6</w:t>
            </w:r>
          </w:p>
        </w:tc>
        <w:tc>
          <w:tcPr/>
          <w:p>
            <w:pPr>
              <w:pStyle w:val="Compact"/>
              <w:jc w:val="left"/>
            </w:pPr>
            <w:r>
              <w:t xml:space="preserve">Project identifiers</w:t>
            </w:r>
          </w:p>
        </w:tc>
        <w:tc>
          <w:tcPr/>
          <w:p>
            <w:pPr>
              <w:pStyle w:val="Compact"/>
              <w:jc w:val="left"/>
            </w:pPr>
            <w:r>
              <w:t xml:space="preserve">Project creation</w:t>
            </w:r>
          </w:p>
        </w:tc>
        <w:tc>
          <w:tcPr/>
          <w:p>
            <w:pPr>
              <w:pStyle w:val="Compact"/>
              <w:jc w:val="left"/>
            </w:pPr>
            <w:r>
              <w:rPr>
                <w:b/>
                <w:bCs/>
              </w:rPr>
              <w:t xml:space="preserve">No</w:t>
            </w:r>
          </w:p>
        </w:tc>
      </w:tr>
      <w:tr>
        <w:tc>
          <w:tcPr/>
          <w:p>
            <w:pPr>
              <w:pStyle w:val="Compact"/>
              <w:jc w:val="left"/>
            </w:pPr>
            <w:r>
              <w:t xml:space="preserve">I7</w:t>
            </w:r>
          </w:p>
        </w:tc>
        <w:tc>
          <w:tcPr/>
          <w:p>
            <w:pPr>
              <w:pStyle w:val="Compact"/>
              <w:jc w:val="left"/>
            </w:pPr>
            <w:r>
              <w:t xml:space="preserve">Development subnet ranges — carved from</w:t>
            </w:r>
            <w:r>
              <w:t xml:space="preserve"> </w:t>
            </w:r>
            <w:r>
              <w:rPr>
                <w:rStyle w:val="VerbatimChar"/>
              </w:rPr>
              <w:t xml:space="preserve">192.168.4.0/22</w:t>
            </w:r>
          </w:p>
        </w:tc>
        <w:tc>
          <w:tcPr/>
          <w:p>
            <w:pPr>
              <w:pStyle w:val="Compact"/>
              <w:jc w:val="left"/>
            </w:pPr>
            <w:r>
              <w:t xml:space="preserve">VPC creation</w:t>
            </w:r>
          </w:p>
        </w:tc>
        <w:tc>
          <w:tcPr/>
          <w:p>
            <w:pPr>
              <w:pStyle w:val="Compact"/>
              <w:jc w:val="left"/>
            </w:pPr>
            <w:r>
              <w:rPr>
                <w:b/>
                <w:bCs/>
              </w:rPr>
              <w:t xml:space="preserve">Expandable, never shrinkable and never movable.</w:t>
            </w:r>
            <w:r>
              <w:t xml:space="preserve"> </w:t>
            </w:r>
            <w:r>
              <w:t xml:space="preserve">The</w:t>
            </w:r>
            <w:r>
              <w:t xml:space="preserve"> </w:t>
            </w:r>
            <w:r>
              <w:rPr>
                <w:rStyle w:val="VerbatimChar"/>
              </w:rPr>
              <w:t xml:space="preserve">/22</w:t>
            </w:r>
            <w:r>
              <w:t xml:space="preserve"> </w:t>
            </w:r>
            <w:r>
              <w:t xml:space="preserve">is sized so that expansion is possible without renumbering</w:t>
            </w:r>
          </w:p>
        </w:tc>
      </w:tr>
      <w:tr>
        <w:tc>
          <w:tcPr/>
          <w:p>
            <w:pPr>
              <w:pStyle w:val="Compact"/>
              <w:jc w:val="left"/>
            </w:pPr>
            <w:r>
              <w:t xml:space="preserve">I8</w:t>
            </w:r>
          </w:p>
        </w:tc>
        <w:tc>
          <w:tcPr/>
          <w:p>
            <w:pPr>
              <w:pStyle w:val="Compact"/>
              <w:jc w:val="left"/>
            </w:pPr>
            <w:r>
              <w:t xml:space="preserve">Sandbox subnet ranges —</w:t>
            </w:r>
            <w:r>
              <w:t xml:space="preserve"> </w:t>
            </w:r>
            <w:r>
              <w:rPr>
                <w:rStyle w:val="VerbatimChar"/>
              </w:rPr>
              <w:t xml:space="preserve">192.168.1.0/25</w:t>
            </w:r>
            <w:r>
              <w:t xml:space="preserve"> </w:t>
            </w:r>
            <w:r>
              <w:t xml:space="preserve">and</w:t>
            </w:r>
            <w:r>
              <w:t xml:space="preserve"> </w:t>
            </w:r>
            <w:r>
              <w:rPr>
                <w:rStyle w:val="VerbatimChar"/>
              </w:rPr>
              <w:t xml:space="preserve">192.168.1.128/26</w:t>
            </w:r>
          </w:p>
        </w:tc>
        <w:tc>
          <w:tcPr/>
          <w:p>
            <w:pPr>
              <w:pStyle w:val="Compact"/>
              <w:jc w:val="left"/>
            </w:pPr>
            <w:r>
              <w:t xml:space="preserve">VPC creation</w:t>
            </w:r>
          </w:p>
        </w:tc>
        <w:tc>
          <w:tcPr/>
          <w:p>
            <w:pPr>
              <w:pStyle w:val="Compact"/>
              <w:jc w:val="left"/>
            </w:pPr>
            <w:r>
              <w:rPr>
                <w:b/>
                <w:bCs/>
              </w:rPr>
              <w:t xml:space="preserve">Expandable, never shrinkable and never movable.</w:t>
            </w:r>
            <w:r>
              <w:t xml:space="preserve"> </w:t>
            </w:r>
            <w:r>
              <w:t xml:space="preserve">As-built</w:t>
            </w:r>
          </w:p>
        </w:tc>
      </w:tr>
      <w:tr>
        <w:tc>
          <w:tcPr/>
          <w:p>
            <w:pPr>
              <w:pStyle w:val="Compact"/>
              <w:jc w:val="left"/>
            </w:pPr>
            <w:r>
              <w:t xml:space="preserve">I9</w:t>
            </w:r>
          </w:p>
        </w:tc>
        <w:tc>
          <w:tcPr/>
          <w:p>
            <w:pPr>
              <w:pStyle w:val="Compact"/>
              <w:jc w:val="left"/>
            </w:pPr>
            <w:r>
              <w:rPr>
                <w:rStyle w:val="VerbatimChar"/>
              </w:rPr>
              <w:t xml:space="preserve">gcp.resourceLocations</w:t>
            </w:r>
            <w:r>
              <w:t xml:space="preserve"> </w:t>
            </w:r>
            <w:r>
              <w:t xml:space="preserve">pinned to</w:t>
            </w:r>
            <w:r>
              <w:t xml:space="preserve"> </w:t>
            </w:r>
            <w:r>
              <w:rPr>
                <w:rStyle w:val="VerbatimChar"/>
              </w:rPr>
              <w:t xml:space="preserve">europe-west1</w:t>
            </w:r>
          </w:p>
        </w:tc>
        <w:tc>
          <w:tcPr/>
          <w:p>
            <w:pPr>
              <w:pStyle w:val="Compact"/>
              <w:jc w:val="left"/>
            </w:pPr>
            <w:r>
              <w:t xml:space="preserve">Set at the organisation</w:t>
            </w:r>
          </w:p>
        </w:tc>
        <w:tc>
          <w:tcPr/>
          <w:p>
            <w:pPr>
              <w:pStyle w:val="Compact"/>
              <w:jc w:val="left"/>
            </w:pPr>
            <w:r>
              <w:t xml:space="preserve">Changeable, but it is a Colt-wide policy and not this platform’s to change</w:t>
            </w:r>
          </w:p>
        </w:tc>
      </w:tr>
      <w:tr>
        <w:tc>
          <w:tcPr/>
          <w:p>
            <w:pPr>
              <w:pStyle w:val="Compact"/>
              <w:jc w:val="left"/>
            </w:pPr>
            <w:r>
              <w:t xml:space="preserve">I10</w:t>
            </w:r>
          </w:p>
        </w:tc>
        <w:tc>
          <w:tcPr/>
          <w:p>
            <w:pPr>
              <w:pStyle w:val="Compact"/>
              <w:jc w:val="left"/>
            </w:pPr>
            <w:r>
              <w:t xml:space="preserve">Firestore database mode</w:t>
            </w:r>
            <w:r>
              <w:t xml:space="preserve"> </w:t>
            </w:r>
            <w:r>
              <w:rPr>
                <w:b/>
                <w:bCs/>
              </w:rPr>
              <w:t xml:space="preserve">Native</w:t>
            </w:r>
            <w:r>
              <w:t xml:space="preserve"> </w:t>
            </w:r>
            <w:r>
              <w:t xml:space="preserve">and its location</w:t>
            </w:r>
          </w:p>
        </w:tc>
        <w:tc>
          <w:tcPr/>
          <w:p>
            <w:pPr>
              <w:pStyle w:val="Compact"/>
              <w:jc w:val="left"/>
            </w:pPr>
            <w:r>
              <w:t xml:space="preserve">Database creation</w:t>
            </w:r>
          </w:p>
        </w:tc>
        <w:tc>
          <w:tcPr/>
          <w:p>
            <w:pPr>
              <w:pStyle w:val="Compact"/>
              <w:jc w:val="left"/>
            </w:pPr>
            <w:r>
              <w:rPr>
                <w:b/>
                <w:bCs/>
              </w:rPr>
              <w:t xml:space="preserve">No</w:t>
            </w:r>
          </w:p>
        </w:tc>
      </w:tr>
      <w:tr>
        <w:tc>
          <w:tcPr/>
          <w:p>
            <w:pPr>
              <w:pStyle w:val="Compact"/>
              <w:jc w:val="left"/>
            </w:pPr>
            <w:r>
              <w:t xml:space="preserve">I11</w:t>
            </w:r>
          </w:p>
        </w:tc>
        <w:tc>
          <w:tcPr/>
          <w:p>
            <w:pPr>
              <w:pStyle w:val="Compact"/>
              <w:jc w:val="left"/>
            </w:pPr>
            <w:r>
              <w:t xml:space="preserve">Log bucket</w:t>
            </w:r>
            <w:r>
              <w:t xml:space="preserve"> </w:t>
            </w:r>
            <w:r>
              <w:rPr>
                <w:b/>
                <w:bCs/>
              </w:rPr>
              <w:t xml:space="preserve">retention lock</w:t>
            </w:r>
          </w:p>
        </w:tc>
        <w:tc>
          <w:tcPr/>
          <w:p>
            <w:pPr>
              <w:pStyle w:val="Compact"/>
              <w:jc w:val="left"/>
            </w:pPr>
            <w:r>
              <w:t xml:space="preserve">Log bucket</w:t>
            </w:r>
          </w:p>
        </w:tc>
        <w:tc>
          <w:tcPr/>
          <w:p>
            <w:pPr>
              <w:pStyle w:val="Compact"/>
              <w:jc w:val="left"/>
            </w:pPr>
            <w:r>
              <w:rPr>
                <w:b/>
                <w:bCs/>
              </w:rPr>
              <w:t xml:space="preserve">No, once locked.</w:t>
            </w:r>
            <w:r>
              <w:t xml:space="preserve"> </w:t>
            </w:r>
            <w:r>
              <w:t xml:space="preserve">Deliberately</w:t>
            </w:r>
            <w:r>
              <w:t xml:space="preserve"> </w:t>
            </w:r>
            <w:r>
              <w:rPr>
                <w:b/>
                <w:bCs/>
              </w:rPr>
              <w:t xml:space="preserve">not</w:t>
            </w:r>
            <w:r>
              <w:t xml:space="preserve"> </w:t>
            </w:r>
            <w:r>
              <w:t xml:space="preserve">locked in Development — a locked bucket cannot be deleted for 400 days. Decide separately for production</w:t>
            </w:r>
          </w:p>
        </w:tc>
      </w:tr>
      <w:tr>
        <w:tc>
          <w:tcPr/>
          <w:p>
            <w:pPr>
              <w:pStyle w:val="Compact"/>
              <w:jc w:val="left"/>
            </w:pPr>
            <w:r>
              <w:t xml:space="preserve">I12</w:t>
            </w:r>
          </w:p>
        </w:tc>
        <w:tc>
          <w:tcPr/>
          <w:p>
            <w:pPr>
              <w:pStyle w:val="Compact"/>
              <w:jc w:val="left"/>
            </w:pPr>
            <w:r>
              <w:t xml:space="preserve">KMS key deletion</w:t>
            </w:r>
          </w:p>
        </w:tc>
        <w:tc>
          <w:tcPr/>
          <w:p>
            <w:pPr>
              <w:pStyle w:val="Compact"/>
              <w:jc w:val="left"/>
            </w:pPr>
            <w:r>
              <w:t xml:space="preserve">Cloud KMS</w:t>
            </w:r>
          </w:p>
        </w:tc>
        <w:tc>
          <w:tcPr/>
          <w:p>
            <w:pPr>
              <w:pStyle w:val="Compact"/>
              <w:jc w:val="left"/>
            </w:pPr>
            <w:r>
              <w:t xml:space="preserve">Mandatory waiting period. Data encrypted with a destroyed key is unrecoverable</w:t>
            </w:r>
          </w:p>
        </w:tc>
      </w:tr>
    </w:tbl>
    <w:bookmarkEnd w:id="32"/>
    <w:bookmarkStart w:id="39" w:name="day-1-operating-model"/>
    <w:p>
      <w:pPr>
        <w:pStyle w:val="Heading2"/>
      </w:pPr>
      <w:r>
        <w:t xml:space="preserve">2.5 Day-1 operating model</w:t>
      </w:r>
    </w:p>
    <w:p>
      <w:pPr>
        <w:pStyle w:val="FirstParagraph"/>
      </w:pPr>
      <w:r>
        <w:t xml:space="preserve">This subsection describes how that target state is reached on Day 1 and who is accountable for each step: the gates that must be closed before the change window opens, the order in which the platform is built, what must be true for the change to be declared successful, the conditions under which it is rolled back, and the point at which the platform passes to operations. A reader who needs to know whether this design is ready to go live, and what happens if it does not, should be able to answer that here without reading the rest of the document.</w:t>
      </w:r>
    </w:p>
    <w:bookmarkStart w:id="33" w:name="delivery-teams-and-day-1-ownership"/>
    <w:p>
      <w:pPr>
        <w:pStyle w:val="Heading3"/>
      </w:pPr>
      <w:r>
        <w:t xml:space="preserve">2.5.1 Delivery teams and Day-1 ownership</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Team</w:t>
            </w:r>
          </w:p>
        </w:tc>
        <w:tc>
          <w:tcPr>
            <w:shd w:val="clear" w:color="auto" w:fill="1F3864"/>
          </w:tcPr>
          <w:p>
            <w:pPr>
              <w:pStyle w:val="Compact"/>
              <w:jc w:val="left"/>
            </w:pPr>
            <w:r>
              <w:rPr>
                <w:b/>
                <w:color w:val="FFFFFF"/>
              </w:rPr>
              <w:t xml:space="preserve">Day-1 scope</w:t>
            </w:r>
          </w:p>
        </w:tc>
        <w:tc>
          <w:tcPr>
            <w:shd w:val="clear" w:color="auto" w:fill="1F3864"/>
          </w:tcPr>
          <w:p>
            <w:pPr>
              <w:pStyle w:val="Compact"/>
              <w:jc w:val="left"/>
            </w:pPr>
            <w:r>
              <w:rPr>
                <w:b/>
                <w:color w:val="FFFFFF"/>
              </w:rPr>
              <w:t xml:space="preserve">Contact</w:t>
            </w:r>
          </w:p>
        </w:tc>
      </w:tr>
      <w:tr>
        <w:tc>
          <w:tcPr/>
          <w:p>
            <w:pPr>
              <w:pStyle w:val="Compact"/>
              <w:jc w:val="left"/>
            </w:pPr>
            <w:r>
              <w:t xml:space="preserve">AICOE Platform Team</w:t>
            </w:r>
          </w:p>
        </w:tc>
        <w:tc>
          <w:tcPr/>
          <w:p>
            <w:pPr>
              <w:pStyle w:val="Compact"/>
              <w:jc w:val="left"/>
            </w:pPr>
            <w:r>
              <w:t xml:space="preserve">The majority of the build — VPC and subnets, PSC, DNS, load balancers and IAP, KMS and CMEK, service accounts and IAM, Apigee organisation and configuration, Vertex AI and Model Armor, logging and monitoring, Terraform and the pipeline. Holds technical rollback authority during the window</w:t>
            </w:r>
          </w:p>
        </w:tc>
        <w:tc>
          <w:tcPr/>
          <w:p>
            <w:pPr>
              <w:pStyle w:val="Compact"/>
              <w:jc w:val="left"/>
            </w:pPr>
            <w:r>
              <w:rPr>
                <w:i/>
                <w:iCs/>
              </w:rPr>
              <w:t xml:space="preserve">TBC</w:t>
            </w:r>
          </w:p>
        </w:tc>
      </w:tr>
      <w:tr>
        <w:tc>
          <w:tcPr/>
          <w:p>
            <w:pPr>
              <w:pStyle w:val="Compact"/>
              <w:jc w:val="left"/>
            </w:pPr>
            <w:r>
              <w:t xml:space="preserve">AICOE Developer Team</w:t>
            </w:r>
          </w:p>
        </w:tc>
        <w:tc>
          <w:tcPr/>
          <w:p>
            <w:pPr>
              <w:pStyle w:val="Compact"/>
              <w:jc w:val="left"/>
            </w:pPr>
            <w:r>
              <w:t xml:space="preserve">Cloud Run application build and deployment, the Backend-for-Frontend implementation against its contract, use-case validation and smoke testing</w:t>
            </w:r>
          </w:p>
        </w:tc>
        <w:tc>
          <w:tcPr/>
          <w:p>
            <w:pPr>
              <w:pStyle w:val="Compact"/>
              <w:jc w:val="left"/>
            </w:pPr>
            <w:r>
              <w:rPr>
                <w:i/>
                <w:iCs/>
              </w:rPr>
              <w:t xml:space="preserve">TBC</w:t>
            </w:r>
          </w:p>
        </w:tc>
      </w:tr>
      <w:tr>
        <w:tc>
          <w:tcPr/>
          <w:p>
            <w:pPr>
              <w:pStyle w:val="Compact"/>
              <w:jc w:val="left"/>
            </w:pPr>
            <w:r>
              <w:t xml:space="preserve">Colt Cloud CoE</w:t>
            </w:r>
          </w:p>
        </w:tc>
        <w:tc>
          <w:tcPr/>
          <w:p>
            <w:pPr>
              <w:pStyle w:val="Compact"/>
              <w:jc w:val="left"/>
            </w:pPr>
            <w:r>
              <w:t xml:space="preserve">Organisation policy at the</w:t>
            </w:r>
            <w:r>
              <w:t xml:space="preserve"> </w:t>
            </w:r>
            <w:r>
              <w:rPr>
                <w:rStyle w:val="VerbatimChar"/>
              </w:rPr>
              <w:t xml:space="preserve">AI COE</w:t>
            </w:r>
            <w:r>
              <w:t xml:space="preserve"> </w:t>
            </w:r>
            <w:r>
              <w:t xml:space="preserve">folder, folder creation, billing, project provisioning, IPAM allocation, subnet and firewall baseline confirmation, ZPA connector configuration</w:t>
            </w:r>
          </w:p>
        </w:tc>
        <w:tc>
          <w:tcPr/>
          <w:p>
            <w:pPr>
              <w:pStyle w:val="Compact"/>
              <w:jc w:val="left"/>
            </w:pPr>
            <w:r>
              <w:rPr>
                <w:i/>
                <w:iCs/>
              </w:rPr>
              <w:t xml:space="preserve">TBC</w:t>
            </w:r>
          </w:p>
        </w:tc>
      </w:tr>
      <w:tr>
        <w:tc>
          <w:tcPr/>
          <w:p>
            <w:pPr>
              <w:pStyle w:val="Compact"/>
              <w:jc w:val="left"/>
            </w:pPr>
            <w:r>
              <w:t xml:space="preserve">Colt CSOC</w:t>
            </w:r>
          </w:p>
        </w:tc>
        <w:tc>
          <w:tcPr/>
          <w:p>
            <w:pPr>
              <w:pStyle w:val="Compact"/>
              <w:jc w:val="left"/>
            </w:pPr>
            <w:r>
              <w:t xml:space="preserve">Firewall opening for</w:t>
            </w:r>
            <w:r>
              <w:t xml:space="preserve"> </w:t>
            </w:r>
            <w:r>
              <w:rPr>
                <w:rStyle w:val="VerbatimChar"/>
              </w:rPr>
              <w:t xml:space="preserve">10.110.73.20</w:t>
            </w:r>
            <w:r>
              <w:t xml:space="preserve">, SIEM onboarding and alert response, pre-go-live security assessment. Authority to withdraw the firewall opening on a security-driven rollback</w:t>
            </w:r>
          </w:p>
        </w:tc>
        <w:tc>
          <w:tcPr/>
          <w:p>
            <w:pPr>
              <w:pStyle w:val="Compact"/>
              <w:jc w:val="left"/>
            </w:pPr>
            <w:r>
              <w:rPr>
                <w:i/>
                <w:iCs/>
              </w:rPr>
              <w:t xml:space="preserve">TBC</w:t>
            </w:r>
          </w:p>
        </w:tc>
      </w:tr>
      <w:tr>
        <w:tc>
          <w:tcPr/>
          <w:p>
            <w:pPr>
              <w:pStyle w:val="Compact"/>
              <w:jc w:val="left"/>
            </w:pPr>
            <w:r>
              <w:t xml:space="preserve">PM Team</w:t>
            </w:r>
          </w:p>
        </w:tc>
        <w:tc>
          <w:tcPr/>
          <w:p>
            <w:pPr>
              <w:pStyle w:val="Compact"/>
              <w:jc w:val="left"/>
            </w:pPr>
            <w:r>
              <w:t xml:space="preserve">Design sign-off, CAB submission and approval, change window communication, Service Management update, and closure of the change record whether the outcome is success or rollback</w:t>
            </w:r>
          </w:p>
        </w:tc>
        <w:tc>
          <w:tcPr/>
          <w:p>
            <w:pPr>
              <w:pStyle w:val="Compact"/>
              <w:jc w:val="left"/>
            </w:pPr>
            <w:r>
              <w:rPr>
                <w:i/>
                <w:iCs/>
              </w:rPr>
              <w:t xml:space="preserve">TBC</w:t>
            </w:r>
          </w:p>
        </w:tc>
      </w:tr>
      <w:tr>
        <w:tc>
          <w:tcPr/>
          <w:p>
            <w:pPr>
              <w:pStyle w:val="Compact"/>
              <w:jc w:val="left"/>
            </w:pPr>
            <w:r>
              <w:t xml:space="preserve">Platform Operate</w:t>
            </w:r>
          </w:p>
        </w:tc>
        <w:tc>
          <w:tcPr/>
          <w:p>
            <w:pPr>
              <w:pStyle w:val="Compact"/>
              <w:jc w:val="left"/>
            </w:pPr>
            <w:r>
              <w:t xml:space="preserve">Steady-state operation after handover — alert triage, incident response, access requests, certificate renewal tracking</w:t>
            </w:r>
          </w:p>
        </w:tc>
        <w:tc>
          <w:tcPr/>
          <w:p>
            <w:pPr>
              <w:pStyle w:val="Compact"/>
              <w:jc w:val="left"/>
            </w:pPr>
            <w:r>
              <w:rPr>
                <w:rStyle w:val="VerbatimChar"/>
              </w:rPr>
              <w:t xml:space="preserve">platformoperate@colt.net</w:t>
            </w:r>
          </w:p>
        </w:tc>
      </w:tr>
    </w:tbl>
    <w:bookmarkEnd w:id="33"/>
    <w:bookmarkStart w:id="34" w:name="pre-requisite-gates"/>
    <w:p>
      <w:pPr>
        <w:pStyle w:val="Heading3"/>
      </w:pPr>
      <w:r>
        <w:t xml:space="preserve">2.5.2 Pre-requisite gates</w:t>
      </w:r>
    </w:p>
    <w:p>
      <w:pPr>
        <w:pStyle w:val="FirstParagraph"/>
      </w:pPr>
      <w:r>
        <w:t xml:space="preserve">Each gate is owned outside the AICOE Platform Team and carries an external lead time. Those marked ★ should be started immediately regardless of build order.</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Gate</w:t>
            </w:r>
          </w:p>
        </w:tc>
        <w:tc>
          <w:tcPr>
            <w:shd w:val="clear" w:color="auto" w:fill="1F3864"/>
          </w:tcPr>
          <w:p>
            <w:pPr>
              <w:pStyle w:val="Compact"/>
              <w:jc w:val="left"/>
            </w:pPr>
            <w:r>
              <w:rPr>
                <w:b/>
                <w:color w:val="FFFFFF"/>
              </w:rPr>
              <w:t xml:space="preserve">Owner</w:t>
            </w:r>
          </w:p>
        </w:tc>
        <w:tc>
          <w:tcPr>
            <w:shd w:val="clear" w:color="auto" w:fill="1F3864"/>
          </w:tcPr>
          <w:p>
            <w:pPr>
              <w:pStyle w:val="Compact"/>
              <w:jc w:val="left"/>
            </w:pPr>
            <w:r>
              <w:rPr>
                <w:b/>
                <w:color w:val="FFFFFF"/>
              </w:rPr>
              <w:t xml:space="preserve">Blocks</w:t>
            </w:r>
          </w:p>
        </w:tc>
      </w:tr>
      <w:tr>
        <w:tc>
          <w:tcPr/>
          <w:p>
            <w:pPr>
              <w:pStyle w:val="Compact"/>
              <w:jc w:val="left"/>
            </w:pPr>
            <w:r>
              <w:t xml:space="preserve">P1</w:t>
            </w:r>
          </w:p>
        </w:tc>
        <w:tc>
          <w:tcPr/>
          <w:p>
            <w:pPr>
              <w:pStyle w:val="Compact"/>
              <w:jc w:val="left"/>
            </w:pPr>
            <w:r>
              <w:t xml:space="preserve">★ IPAM confirmation of</w:t>
            </w:r>
            <w:r>
              <w:t xml:space="preserve"> </w:t>
            </w:r>
            <w:r>
              <w:rPr>
                <w:rStyle w:val="VerbatimChar"/>
              </w:rPr>
              <w:t xml:space="preserve">192.168.4.0/22</w:t>
            </w:r>
            <w:r>
              <w:t xml:space="preserve"> </w:t>
            </w:r>
            <w:r>
              <w:t xml:space="preserve">against Colt corporate use</w:t>
            </w:r>
          </w:p>
        </w:tc>
        <w:tc>
          <w:tcPr/>
          <w:p>
            <w:pPr>
              <w:pStyle w:val="Compact"/>
              <w:jc w:val="left"/>
            </w:pPr>
            <w:r>
              <w:t xml:space="preserve">Colt Cloud CoE</w:t>
            </w:r>
          </w:p>
        </w:tc>
        <w:tc>
          <w:tcPr/>
          <w:p>
            <w:pPr>
              <w:pStyle w:val="Compact"/>
              <w:jc w:val="left"/>
            </w:pPr>
            <w:r>
              <w:t xml:space="preserve">The Development VPC itself</w:t>
            </w:r>
          </w:p>
        </w:tc>
      </w:tr>
      <w:tr>
        <w:tc>
          <w:tcPr/>
          <w:p>
            <w:pPr>
              <w:pStyle w:val="Compact"/>
              <w:jc w:val="left"/>
            </w:pPr>
            <w:r>
              <w:t xml:space="preserve">P2</w:t>
            </w:r>
          </w:p>
        </w:tc>
        <w:tc>
          <w:tcPr/>
          <w:p>
            <w:pPr>
              <w:pStyle w:val="Compact"/>
              <w:jc w:val="left"/>
            </w:pPr>
            <w:r>
              <w:t xml:space="preserve">IPAM allocation of</w:t>
            </w:r>
            <w:r>
              <w:t xml:space="preserve"> </w:t>
            </w:r>
            <w:r>
              <w:rPr>
                <w:rStyle w:val="VerbatimChar"/>
              </w:rPr>
              <w:t xml:space="preserve">10.110.73.0/24</w:t>
            </w:r>
          </w:p>
        </w:tc>
        <w:tc>
          <w:tcPr/>
          <w:p>
            <w:pPr>
              <w:pStyle w:val="Compact"/>
              <w:jc w:val="left"/>
            </w:pPr>
            <w:r>
              <w:t xml:space="preserve">Colt Cloud CoE</w:t>
            </w:r>
          </w:p>
        </w:tc>
        <w:tc>
          <w:tcPr/>
          <w:p>
            <w:pPr>
              <w:pStyle w:val="Compact"/>
              <w:jc w:val="left"/>
            </w:pPr>
            <w:r>
              <w:t xml:space="preserve">The AI Hub front door</w:t>
            </w:r>
          </w:p>
        </w:tc>
      </w:tr>
      <w:tr>
        <w:tc>
          <w:tcPr/>
          <w:p>
            <w:pPr>
              <w:pStyle w:val="Compact"/>
              <w:jc w:val="left"/>
            </w:pPr>
            <w:r>
              <w:t xml:space="preserve">P3</w:t>
            </w:r>
          </w:p>
        </w:tc>
        <w:tc>
          <w:tcPr/>
          <w:p>
            <w:pPr>
              <w:pStyle w:val="Compact"/>
              <w:jc w:val="left"/>
            </w:pPr>
            <w:r>
              <w:t xml:space="preserve">CSOC firewall opening for</w:t>
            </w:r>
            <w:r>
              <w:t xml:space="preserve"> </w:t>
            </w:r>
            <w:r>
              <w:rPr>
                <w:rStyle w:val="VerbatimChar"/>
              </w:rPr>
              <w:t xml:space="preserve">10.110.73.20</w:t>
            </w:r>
            <w:r>
              <w:t xml:space="preserve"> </w:t>
            </w:r>
            <w:r>
              <w:t xml:space="preserve">only</w:t>
            </w:r>
          </w:p>
        </w:tc>
        <w:tc>
          <w:tcPr/>
          <w:p>
            <w:pPr>
              <w:pStyle w:val="Compact"/>
              <w:jc w:val="left"/>
            </w:pPr>
            <w:r>
              <w:t xml:space="preserve">Colt CSOC</w:t>
            </w:r>
          </w:p>
        </w:tc>
        <w:tc>
          <w:tcPr/>
          <w:p>
            <w:pPr>
              <w:pStyle w:val="Compact"/>
              <w:jc w:val="left"/>
            </w:pPr>
            <w:r>
              <w:t xml:space="preserve">User access and the end-to-end verification tests</w:t>
            </w:r>
          </w:p>
        </w:tc>
      </w:tr>
      <w:tr>
        <w:tc>
          <w:tcPr/>
          <w:p>
            <w:pPr>
              <w:pStyle w:val="Compact"/>
              <w:jc w:val="left"/>
            </w:pPr>
            <w:r>
              <w:t xml:space="preserve">P4</w:t>
            </w:r>
          </w:p>
        </w:tc>
        <w:tc>
          <w:tcPr/>
          <w:p>
            <w:pPr>
              <w:pStyle w:val="Compact"/>
              <w:jc w:val="left"/>
            </w:pPr>
            <w:r>
              <w:t xml:space="preserve">★ Public</w:t>
            </w:r>
            <w:r>
              <w:t xml:space="preserve"> </w:t>
            </w:r>
            <w:r>
              <w:rPr>
                <w:rStyle w:val="VerbatimChar"/>
              </w:rPr>
              <w:t xml:space="preserve">colt.net</w:t>
            </w:r>
            <w:r>
              <w:t xml:space="preserve"> </w:t>
            </w:r>
            <w:r>
              <w:t xml:space="preserve">DNS zone control for DNS-01 validation, plus a named certificate owner</w:t>
            </w:r>
          </w:p>
        </w:tc>
        <w:tc>
          <w:tcPr/>
          <w:p>
            <w:pPr>
              <w:pStyle w:val="Compact"/>
              <w:jc w:val="left"/>
            </w:pPr>
            <w:r>
              <w:t xml:space="preserve">Colt Cloud CoE / AICOE Platform Team</w:t>
            </w:r>
          </w:p>
        </w:tc>
        <w:tc>
          <w:tcPr/>
          <w:p>
            <w:pPr>
              <w:pStyle w:val="Compact"/>
              <w:jc w:val="left"/>
            </w:pPr>
            <w:r>
              <w:t xml:space="preserve">TLS certificate issue. Expiry is a total outage</w:t>
            </w:r>
          </w:p>
        </w:tc>
      </w:tr>
      <w:tr>
        <w:tc>
          <w:tcPr/>
          <w:p>
            <w:pPr>
              <w:pStyle w:val="Compact"/>
              <w:jc w:val="left"/>
            </w:pPr>
            <w:r>
              <w:t xml:space="preserve">P5</w:t>
            </w:r>
          </w:p>
        </w:tc>
        <w:tc>
          <w:tcPr/>
          <w:p>
            <w:pPr>
              <w:pStyle w:val="Compact"/>
              <w:jc w:val="left"/>
            </w:pPr>
            <w:r>
              <w:t xml:space="preserve">Entra app registrations</w:t>
            </w:r>
            <w:r>
              <w:t xml:space="preserve"> </w:t>
            </w:r>
            <w:r>
              <w:rPr>
                <w:rStyle w:val="VerbatimChar"/>
              </w:rPr>
              <w:t xml:space="preserve">AI-BFF</w:t>
            </w:r>
            <w:r>
              <w:t xml:space="preserve"> </w:t>
            </w:r>
            <w:r>
              <w:t xml:space="preserve">and</w:t>
            </w:r>
            <w:r>
              <w:t xml:space="preserve"> </w:t>
            </w:r>
            <w:r>
              <w:rPr>
                <w:rStyle w:val="VerbatimChar"/>
              </w:rPr>
              <w:t xml:space="preserve">AI-API</w:t>
            </w:r>
            <w:r>
              <w:t xml:space="preserve">, App Roles, three security groups, optional claims</w:t>
            </w:r>
          </w:p>
        </w:tc>
        <w:tc>
          <w:tcPr/>
          <w:p>
            <w:pPr>
              <w:pStyle w:val="Compact"/>
              <w:jc w:val="left"/>
            </w:pPr>
            <w:r>
              <w:t xml:space="preserve">Identity Team</w:t>
            </w:r>
          </w:p>
        </w:tc>
        <w:tc>
          <w:tcPr/>
          <w:p>
            <w:pPr>
              <w:pStyle w:val="Compact"/>
              <w:jc w:val="left"/>
            </w:pPr>
            <w:r>
              <w:t xml:space="preserve">Workforce Identity Federation and the Backend-for-Frontend</w:t>
            </w:r>
          </w:p>
        </w:tc>
      </w:tr>
      <w:tr>
        <w:tc>
          <w:tcPr/>
          <w:p>
            <w:pPr>
              <w:pStyle w:val="Compact"/>
              <w:jc w:val="left"/>
            </w:pPr>
            <w:r>
              <w:t xml:space="preserve">P6</w:t>
            </w:r>
          </w:p>
        </w:tc>
        <w:tc>
          <w:tcPr/>
          <w:p>
            <w:pPr>
              <w:pStyle w:val="Compact"/>
              <w:jc w:val="left"/>
            </w:pPr>
            <w:r>
              <w:t xml:space="preserve">Organisation-level roles</w:t>
            </w:r>
            <w:r>
              <w:t xml:space="preserve"> </w:t>
            </w:r>
            <w:r>
              <w:rPr>
                <w:rStyle w:val="VerbatimChar"/>
              </w:rPr>
              <w:t xml:space="preserve">orgpolicy.policyAdmin</w:t>
            </w:r>
            <w:r>
              <w:t xml:space="preserve"> </w:t>
            </w:r>
            <w:r>
              <w:t xml:space="preserve">and</w:t>
            </w:r>
            <w:r>
              <w:t xml:space="preserve"> </w:t>
            </w:r>
            <w:r>
              <w:rPr>
                <w:rStyle w:val="VerbatimChar"/>
              </w:rPr>
              <w:t xml:space="preserve">iam.workforcePoolAdmin</w:t>
            </w:r>
            <w:r>
              <w:t xml:space="preserve"> </w:t>
            </w:r>
            <w:r>
              <w:t xml:space="preserve">granted</w:t>
            </w:r>
          </w:p>
        </w:tc>
        <w:tc>
          <w:tcPr/>
          <w:p>
            <w:pPr>
              <w:pStyle w:val="Compact"/>
              <w:jc w:val="left"/>
            </w:pPr>
            <w:r>
              <w:t xml:space="preserve">Colt Cloud CoE</w:t>
            </w:r>
          </w:p>
        </w:tc>
        <w:tc>
          <w:tcPr/>
          <w:p>
            <w:pPr>
              <w:pStyle w:val="Compact"/>
              <w:jc w:val="left"/>
            </w:pPr>
            <w:r>
              <w:t xml:space="preserve">Organisation policy and Workforce Identity Federation</w:t>
            </w:r>
          </w:p>
        </w:tc>
      </w:tr>
      <w:tr>
        <w:tc>
          <w:tcPr/>
          <w:p>
            <w:pPr>
              <w:pStyle w:val="Compact"/>
              <w:jc w:val="left"/>
            </w:pPr>
            <w:r>
              <w:t xml:space="preserve">P7</w:t>
            </w:r>
          </w:p>
        </w:tc>
        <w:tc>
          <w:tcPr/>
          <w:p>
            <w:pPr>
              <w:pStyle w:val="Compact"/>
              <w:jc w:val="left"/>
            </w:pPr>
            <w:r>
              <w:t xml:space="preserve">Folder</w:t>
            </w:r>
            <w:r>
              <w:t xml:space="preserve"> </w:t>
            </w:r>
            <w:r>
              <w:rPr>
                <w:rStyle w:val="VerbatimChar"/>
              </w:rPr>
              <w:t xml:space="preserve">AI COE</w:t>
            </w:r>
            <w:r>
              <w:t xml:space="preserve"> </w:t>
            </w:r>
            <w:r>
              <w:t xml:space="preserve">created, with</w:t>
            </w:r>
            <w:r>
              <w:t xml:space="preserve"> </w:t>
            </w:r>
            <w:r>
              <w:rPr>
                <w:rStyle w:val="VerbatimChar"/>
              </w:rPr>
              <w:t xml:space="preserve">logging.configWriter</w:t>
            </w:r>
            <w:r>
              <w:t xml:space="preserve"> </w:t>
            </w:r>
            <w:r>
              <w:t xml:space="preserve">and</w:t>
            </w:r>
            <w:r>
              <w:t xml:space="preserve"> </w:t>
            </w:r>
            <w:r>
              <w:rPr>
                <w:rStyle w:val="VerbatimChar"/>
              </w:rPr>
              <w:t xml:space="preserve">resourcemanager.folderAdmin</w:t>
            </w:r>
            <w:r>
              <w:t xml:space="preserve"> </w:t>
            </w:r>
            <w:r>
              <w:t xml:space="preserve">granted</w:t>
            </w:r>
          </w:p>
        </w:tc>
        <w:tc>
          <w:tcPr/>
          <w:p>
            <w:pPr>
              <w:pStyle w:val="Compact"/>
              <w:jc w:val="left"/>
            </w:pPr>
            <w:r>
              <w:t xml:space="preserve">Colt Cloud CoE</w:t>
            </w:r>
          </w:p>
        </w:tc>
        <w:tc>
          <w:tcPr/>
          <w:p>
            <w:pPr>
              <w:pStyle w:val="Compact"/>
              <w:jc w:val="left"/>
            </w:pPr>
            <w:r>
              <w:t xml:space="preserve">Folder sinks and folder audit configuration</w:t>
            </w:r>
          </w:p>
        </w:tc>
      </w:tr>
      <w:tr>
        <w:tc>
          <w:tcPr/>
          <w:p>
            <w:pPr>
              <w:pStyle w:val="Compact"/>
              <w:jc w:val="left"/>
            </w:pPr>
            <w:r>
              <w:t xml:space="preserve">P8</w:t>
            </w:r>
          </w:p>
        </w:tc>
        <w:tc>
          <w:tcPr/>
          <w:p>
            <w:pPr>
              <w:pStyle w:val="Compact"/>
              <w:jc w:val="left"/>
            </w:pPr>
            <w:r>
              <w:t xml:space="preserve">Host-project roles for PSC endpoint creation from service projects</w:t>
            </w:r>
          </w:p>
        </w:tc>
        <w:tc>
          <w:tcPr/>
          <w:p>
            <w:pPr>
              <w:pStyle w:val="Compact"/>
              <w:jc w:val="left"/>
            </w:pPr>
            <w:r>
              <w:t xml:space="preserve">Colt Cloud CoE</w:t>
            </w:r>
          </w:p>
        </w:tc>
        <w:tc>
          <w:tcPr/>
          <w:p>
            <w:pPr>
              <w:pStyle w:val="Compact"/>
              <w:jc w:val="left"/>
            </w:pPr>
            <w:r>
              <w:t xml:space="preserve">All four Private Service Connect flows</w:t>
            </w:r>
          </w:p>
        </w:tc>
      </w:tr>
      <w:tr>
        <w:tc>
          <w:tcPr/>
          <w:p>
            <w:pPr>
              <w:pStyle w:val="Compact"/>
              <w:jc w:val="left"/>
            </w:pPr>
            <w:r>
              <w:t xml:space="preserve">P9</w:t>
            </w:r>
          </w:p>
        </w:tc>
        <w:tc>
          <w:tcPr/>
          <w:p>
            <w:pPr>
              <w:pStyle w:val="Compact"/>
              <w:jc w:val="left"/>
            </w:pPr>
            <w:r>
              <w:t xml:space="preserve">★ Penetration test and security assessment booked</w:t>
            </w:r>
          </w:p>
        </w:tc>
        <w:tc>
          <w:tcPr/>
          <w:p>
            <w:pPr>
              <w:pStyle w:val="Compact"/>
              <w:jc w:val="left"/>
            </w:pPr>
            <w:r>
              <w:t xml:space="preserve">Colt CSOC</w:t>
            </w:r>
          </w:p>
        </w:tc>
        <w:tc>
          <w:tcPr/>
          <w:p>
            <w:pPr>
              <w:pStyle w:val="Compact"/>
              <w:jc w:val="left"/>
            </w:pPr>
            <w:r>
              <w:t xml:space="preserve">Go-live. Lead time is measured in weeks and findings land on the critical path</w:t>
            </w:r>
          </w:p>
        </w:tc>
      </w:tr>
      <w:tr>
        <w:tc>
          <w:tcPr/>
          <w:p>
            <w:pPr>
              <w:pStyle w:val="Compact"/>
              <w:jc w:val="left"/>
            </w:pPr>
            <w:r>
              <w:t xml:space="preserve">P10</w:t>
            </w:r>
          </w:p>
        </w:tc>
        <w:tc>
          <w:tcPr/>
          <w:p>
            <w:pPr>
              <w:pStyle w:val="Compact"/>
              <w:jc w:val="left"/>
            </w:pPr>
            <w:r>
              <w:t xml:space="preserve">GitLab repositories, CI/CD templates and the branch-as-environment promotion model with approval gates configured</w:t>
            </w:r>
          </w:p>
        </w:tc>
        <w:tc>
          <w:tcPr/>
          <w:p>
            <w:pPr>
              <w:pStyle w:val="Compact"/>
              <w:jc w:val="left"/>
            </w:pPr>
            <w:r>
              <w:t xml:space="preserve">AICOE Platform Team</w:t>
            </w:r>
          </w:p>
        </w:tc>
        <w:tc>
          <w:tcPr/>
          <w:p>
            <w:pPr>
              <w:pStyle w:val="Compact"/>
              <w:jc w:val="left"/>
            </w:pPr>
            <w:r>
              <w:t xml:space="preserve">Every Terraform stage and every Cloud Run deployment</w:t>
            </w:r>
          </w:p>
        </w:tc>
      </w:tr>
      <w:tr>
        <w:tc>
          <w:tcPr/>
          <w:p>
            <w:pPr>
              <w:pStyle w:val="Compact"/>
              <w:jc w:val="left"/>
            </w:pPr>
            <w:r>
              <w:t xml:space="preserve">P11</w:t>
            </w:r>
          </w:p>
        </w:tc>
        <w:tc>
          <w:tcPr/>
          <w:p>
            <w:pPr>
              <w:pStyle w:val="Compact"/>
              <w:jc w:val="left"/>
            </w:pPr>
            <w:r>
              <w:t xml:space="preserve">Terraform state backend reachable from the GitLab runner, and rollback capability confirmed — previous state versions and prior Cloud Run revisions available</w:t>
            </w:r>
          </w:p>
        </w:tc>
        <w:tc>
          <w:tcPr/>
          <w:p>
            <w:pPr>
              <w:pStyle w:val="Compact"/>
              <w:jc w:val="left"/>
            </w:pPr>
            <w:r>
              <w:t xml:space="preserve">AICOE Platform Team</w:t>
            </w:r>
          </w:p>
        </w:tc>
        <w:tc>
          <w:tcPr/>
          <w:p>
            <w:pPr>
              <w:pStyle w:val="Compact"/>
              <w:jc w:val="left"/>
            </w:pPr>
            <w:r>
              <w:t xml:space="preserve">Rollback steps 1 and 2</w:t>
            </w:r>
          </w:p>
        </w:tc>
      </w:tr>
      <w:tr>
        <w:tc>
          <w:tcPr/>
          <w:p>
            <w:pPr>
              <w:pStyle w:val="Compact"/>
              <w:jc w:val="left"/>
            </w:pPr>
            <w:r>
              <w:t xml:space="preserve">P12</w:t>
            </w:r>
          </w:p>
        </w:tc>
        <w:tc>
          <w:tcPr/>
          <w:p>
            <w:pPr>
              <w:pStyle w:val="Compact"/>
              <w:jc w:val="left"/>
            </w:pPr>
            <w:r>
              <w:t xml:space="preserve">Change window communicated to AI CoE stakeholders and CAB approval obtained</w:t>
            </w:r>
          </w:p>
        </w:tc>
        <w:tc>
          <w:tcPr/>
          <w:p>
            <w:pPr>
              <w:pStyle w:val="Compact"/>
              <w:jc w:val="left"/>
            </w:pPr>
            <w:r>
              <w:t xml:space="preserve">PM Team</w:t>
            </w:r>
          </w:p>
        </w:tc>
        <w:tc>
          <w:tcPr/>
          <w:p>
            <w:pPr>
              <w:pStyle w:val="Compact"/>
              <w:jc w:val="left"/>
            </w:pPr>
            <w:r>
              <w:t xml:space="preserve">The window itself. Do not proceed without a CAB reference</w:t>
            </w:r>
          </w:p>
        </w:tc>
      </w:tr>
      <w:tr>
        <w:tc>
          <w:tcPr/>
          <w:p>
            <w:pPr>
              <w:pStyle w:val="Compact"/>
              <w:jc w:val="left"/>
            </w:pPr>
            <w:r>
              <w:t xml:space="preserve">P13</w:t>
            </w:r>
          </w:p>
        </w:tc>
        <w:tc>
          <w:tcPr/>
          <w:p>
            <w:pPr>
              <w:pStyle w:val="Compact"/>
              <w:jc w:val="left"/>
            </w:pPr>
            <w:r>
              <w:t xml:space="preserve">Apigee licence entitlement for</w:t>
            </w:r>
            <w:r>
              <w:t xml:space="preserve"> </w:t>
            </w:r>
            <w:r>
              <w:rPr>
                <w:b/>
                <w:bCs/>
              </w:rPr>
              <w:t xml:space="preserve">Extensible</w:t>
            </w:r>
            <w:r>
              <w:t xml:space="preserve"> </w:t>
            </w:r>
            <w:r>
              <w:t xml:space="preserve">policies confirmed, and the Intermediate-environment cost model reviewed against expected AI-gateway volume</w:t>
            </w:r>
          </w:p>
        </w:tc>
        <w:tc>
          <w:tcPr/>
          <w:p>
            <w:pPr>
              <w:pStyle w:val="Compact"/>
              <w:jc w:val="left"/>
            </w:pPr>
            <w:r>
              <w:t xml:space="preserve">AICOE Platform Team / Commercial</w:t>
            </w:r>
          </w:p>
        </w:tc>
        <w:tc>
          <w:tcPr/>
          <w:p>
            <w:pPr>
              <w:pStyle w:val="Compact"/>
              <w:jc w:val="left"/>
            </w:pPr>
            <w:r>
              <w:t xml:space="preserve">Whether the</w:t>
            </w:r>
            <w:r>
              <w:t xml:space="preserve"> </w:t>
            </w:r>
            <w:r>
              <w:rPr>
                <w:rStyle w:val="VerbatimChar"/>
              </w:rPr>
              <w:t xml:space="preserve">llm</w:t>
            </w:r>
            <w:r>
              <w:t xml:space="preserve"> </w:t>
            </w:r>
            <w:r>
              <w:t xml:space="preserve">environment can carry</w:t>
            </w:r>
            <w:r>
              <w:t xml:space="preserve"> </w:t>
            </w:r>
            <w:r>
              <w:rPr>
                <w:rStyle w:val="VerbatimChar"/>
              </w:rPr>
              <w:t xml:space="preserve">LLMTokenQuota</w:t>
            </w:r>
            <w:r>
              <w:t xml:space="preserve">,</w:t>
            </w:r>
            <w:r>
              <w:t xml:space="preserve"> </w:t>
            </w:r>
            <w:r>
              <w:rPr>
                <w:rStyle w:val="VerbatimChar"/>
              </w:rPr>
              <w:t xml:space="preserve">PromptTokenLimit</w:t>
            </w:r>
            <w:r>
              <w:t xml:space="preserve"> </w:t>
            </w:r>
            <w:r>
              <w:t xml:space="preserve">and the Apigee Model Armor policies at all, per</w:t>
            </w:r>
            <w:r>
              <w:t xml:space="preserve"> </w:t>
            </w:r>
            <w:r>
              <w:rPr>
                <w:b/>
                <w:bCs/>
              </w:rPr>
              <w:t xml:space="preserve">AI Gateway and Vertex AI — Apigee</w:t>
            </w:r>
            <w:r>
              <w:rPr>
                <w:b/>
                <w:bCs/>
              </w:rPr>
              <w:t xml:space="preserve"> </w:t>
            </w:r>
            <w:r>
              <w:rPr>
                <w:rStyle w:val="VerbatimChar"/>
                <w:b/>
                <w:bCs/>
              </w:rPr>
              <w:t xml:space="preserve">llm</w:t>
            </w:r>
            <w:r>
              <w:rPr>
                <w:b/>
                <w:bCs/>
              </w:rPr>
              <w:t xml:space="preserve"> </w:t>
            </w:r>
            <w:r>
              <w:rPr>
                <w:b/>
                <w:bCs/>
              </w:rPr>
              <w:t xml:space="preserve">Environment</w:t>
            </w:r>
          </w:p>
        </w:tc>
      </w:tr>
    </w:tbl>
    <w:p>
      <w:pPr>
        <w:pStyle w:val="BodyText"/>
      </w:pPr>
      <w:r>
        <w:t xml:space="preserve">P10 and P11 are satisfied by AICOE Platform Team infrastructure already in place — the GitLab CI/CD templates and the Terraform state backend — and are listed here as design pre-conditions, not as open dependencies.</w:t>
      </w:r>
    </w:p>
    <w:bookmarkEnd w:id="34"/>
    <w:bookmarkStart w:id="35" w:name="day-1-build-sequence"/>
    <w:p>
      <w:pPr>
        <w:pStyle w:val="Heading3"/>
      </w:pPr>
      <w:r>
        <w:t xml:space="preserve">2.5.3 Day-1 build sequence</w:t>
      </w:r>
    </w:p>
    <w:p>
      <w:pPr>
        <w:pStyle w:val="FirstParagraph"/>
      </w:pPr>
      <w:r>
        <w:t xml:space="preserve">Steps 1 through 7 build the Sandbox environment and the organisation policies shared across all three environments; this portion of the sequence is already built. Steps 8 through 31 build the Development environment addressed by this document. Production repeats the same sequence under a different address range.</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Activity</w:t>
            </w:r>
          </w:p>
        </w:tc>
        <w:tc>
          <w:tcPr>
            <w:shd w:val="clear" w:color="auto" w:fill="1F3864"/>
          </w:tcPr>
          <w:p>
            <w:pPr>
              <w:pStyle w:val="Compact"/>
              <w:jc w:val="left"/>
            </w:pPr>
            <w:r>
              <w:rPr>
                <w:b/>
                <w:color w:val="FFFFFF"/>
              </w:rPr>
              <w:t xml:space="preserve">Env</w:t>
            </w:r>
          </w:p>
        </w:tc>
        <w:tc>
          <w:tcPr>
            <w:shd w:val="clear" w:color="auto" w:fill="1F3864"/>
          </w:tcPr>
          <w:p>
            <w:pPr>
              <w:pStyle w:val="Compact"/>
              <w:jc w:val="left"/>
            </w:pPr>
            <w:r>
              <w:rPr>
                <w:b/>
                <w:color w:val="FFFFFF"/>
              </w:rPr>
              <w:t xml:space="preserve">Depends on</w:t>
            </w:r>
          </w:p>
        </w:tc>
        <w:tc>
          <w:tcPr>
            <w:shd w:val="clear" w:color="auto" w:fill="1F3864"/>
          </w:tcPr>
          <w:p>
            <w:pPr>
              <w:pStyle w:val="Compact"/>
              <w:jc w:val="left"/>
            </w:pPr>
            <w:r>
              <w:rPr>
                <w:b/>
                <w:color w:val="FFFFFF"/>
              </w:rPr>
              <w:t xml:space="preserve">Exit criterion</w:t>
            </w:r>
          </w:p>
        </w:tc>
      </w:tr>
      <w:tr>
        <w:tc>
          <w:tcPr/>
          <w:p>
            <w:pPr>
              <w:pStyle w:val="Compact"/>
              <w:jc w:val="left"/>
            </w:pPr>
            <w:r>
              <w:t xml:space="preserve">1</w:t>
            </w:r>
          </w:p>
        </w:tc>
        <w:tc>
          <w:tcPr/>
          <w:p>
            <w:pPr>
              <w:pStyle w:val="Compact"/>
              <w:jc w:val="left"/>
            </w:pPr>
            <w:r>
              <w:t xml:space="preserve">Sandbox VPC, subnets</w:t>
            </w:r>
            <w:r>
              <w:t xml:space="preserve"> </w:t>
            </w:r>
            <w:r>
              <w:rPr>
                <w:rStyle w:val="VerbatimChar"/>
              </w:rPr>
              <w:t xml:space="preserve">192.168.1.0/25</w:t>
            </w:r>
            <w:r>
              <w:t xml:space="preserve"> </w:t>
            </w:r>
            <w:r>
              <w:t xml:space="preserve">and</w:t>
            </w:r>
            <w:r>
              <w:t xml:space="preserve"> </w:t>
            </w:r>
            <w:r>
              <w:rPr>
                <w:rStyle w:val="VerbatimChar"/>
              </w:rPr>
              <w:t xml:space="preserve">192.168.1.128/26</w:t>
            </w:r>
            <w:r>
              <w:t xml:space="preserve">, firewall, Cloud Router and Cloud NAT with two static addresses</w:t>
            </w:r>
          </w:p>
        </w:tc>
        <w:tc>
          <w:tcPr/>
          <w:p>
            <w:pPr>
              <w:pStyle w:val="Compact"/>
              <w:jc w:val="left"/>
            </w:pPr>
            <w:r>
              <w:t xml:space="preserve">Sandbox</w:t>
            </w:r>
          </w:p>
        </w:tc>
        <w:tc>
          <w:tcPr/>
          <w:p>
            <w:pPr>
              <w:pStyle w:val="Compact"/>
              <w:jc w:val="left"/>
            </w:pPr>
            <w:r>
              <w:t xml:space="preserve">—</w:t>
            </w:r>
          </w:p>
        </w:tc>
        <w:tc>
          <w:tcPr/>
          <w:p>
            <w:pPr>
              <w:pStyle w:val="Compact"/>
              <w:jc w:val="left"/>
            </w:pPr>
            <w:r>
              <w:t xml:space="preserve">Subnets present; NAT egress observed from the two reserved addresses</w:t>
            </w:r>
          </w:p>
        </w:tc>
      </w:tr>
      <w:tr>
        <w:tc>
          <w:tcPr/>
          <w:p>
            <w:pPr>
              <w:pStyle w:val="Compact"/>
              <w:jc w:val="left"/>
            </w:pPr>
            <w:r>
              <w:t xml:space="preserve">2</w:t>
            </w:r>
          </w:p>
        </w:tc>
        <w:tc>
          <w:tcPr/>
          <w:p>
            <w:pPr>
              <w:pStyle w:val="Compact"/>
              <w:jc w:val="left"/>
            </w:pPr>
            <w:r>
              <w:t xml:space="preserve">Sandbox PSC endpoint at</w:t>
            </w:r>
            <w:r>
              <w:t xml:space="preserve"> </w:t>
            </w:r>
            <w:r>
              <w:rPr>
                <w:rStyle w:val="VerbatimChar"/>
              </w:rPr>
              <w:t xml:space="preserve">192.168.2.3</w:t>
            </w:r>
            <w:r>
              <w:t xml:space="preserve"> </w:t>
            </w:r>
            <w:r>
              <w:t xml:space="preserve">and private DNS zones for Google APIs</w:t>
            </w:r>
          </w:p>
        </w:tc>
        <w:tc>
          <w:tcPr/>
          <w:p>
            <w:pPr>
              <w:pStyle w:val="Compact"/>
              <w:jc w:val="left"/>
            </w:pPr>
            <w:r>
              <w:t xml:space="preserve">Sandbox</w:t>
            </w:r>
          </w:p>
        </w:tc>
        <w:tc>
          <w:tcPr/>
          <w:p>
            <w:pPr>
              <w:pStyle w:val="Compact"/>
              <w:jc w:val="left"/>
            </w:pPr>
            <w:r>
              <w:t xml:space="preserve">1</w:t>
            </w:r>
          </w:p>
        </w:tc>
        <w:tc>
          <w:tcPr/>
          <w:p>
            <w:pPr>
              <w:pStyle w:val="Compact"/>
              <w:jc w:val="left"/>
            </w:pPr>
            <w:r>
              <w:rPr>
                <w:rStyle w:val="VerbatimChar"/>
              </w:rPr>
              <w:t xml:space="preserve">*.googleapis.com</w:t>
            </w:r>
            <w:r>
              <w:t xml:space="preserve"> </w:t>
            </w:r>
            <w:r>
              <w:t xml:space="preserve">resolves to</w:t>
            </w:r>
            <w:r>
              <w:t xml:space="preserve"> </w:t>
            </w:r>
            <w:r>
              <w:rPr>
                <w:rStyle w:val="VerbatimChar"/>
              </w:rPr>
              <w:t xml:space="preserve">192.168.2.3</w:t>
            </w:r>
            <w:r>
              <w:t xml:space="preserve"> </w:t>
            </w:r>
            <w:r>
              <w:t xml:space="preserve">from inside the VPC</w:t>
            </w:r>
          </w:p>
        </w:tc>
      </w:tr>
      <w:tr>
        <w:tc>
          <w:tcPr/>
          <w:p>
            <w:pPr>
              <w:pStyle w:val="Compact"/>
              <w:jc w:val="left"/>
            </w:pPr>
            <w:r>
              <w:t xml:space="preserve">3</w:t>
            </w:r>
          </w:p>
        </w:tc>
        <w:tc>
          <w:tcPr/>
          <w:p>
            <w:pPr>
              <w:pStyle w:val="Compact"/>
              <w:jc w:val="left"/>
            </w:pPr>
            <w:r>
              <w:t xml:space="preserve">Sandbox KMS key rings and keys; CMEK bound to Cloud Storage, BigQuery and Vertex AI service agents</w:t>
            </w:r>
          </w:p>
        </w:tc>
        <w:tc>
          <w:tcPr/>
          <w:p>
            <w:pPr>
              <w:pStyle w:val="Compact"/>
              <w:jc w:val="left"/>
            </w:pPr>
            <w:r>
              <w:t xml:space="preserve">Sandbox</w:t>
            </w:r>
          </w:p>
        </w:tc>
        <w:tc>
          <w:tcPr/>
          <w:p>
            <w:pPr>
              <w:pStyle w:val="Compact"/>
              <w:jc w:val="left"/>
            </w:pPr>
            <w:r>
              <w:t xml:space="preserve">1</w:t>
            </w:r>
          </w:p>
        </w:tc>
        <w:tc>
          <w:tcPr/>
          <w:p>
            <w:pPr>
              <w:pStyle w:val="Compact"/>
              <w:jc w:val="left"/>
            </w:pPr>
            <w:r>
              <w:t xml:space="preserve">Every Sandbox bucket and dataset shows a customer-managed key</w:t>
            </w:r>
          </w:p>
        </w:tc>
      </w:tr>
      <w:tr>
        <w:tc>
          <w:tcPr/>
          <w:p>
            <w:pPr>
              <w:pStyle w:val="Compact"/>
              <w:jc w:val="left"/>
            </w:pPr>
            <w:r>
              <w:t xml:space="preserve">4</w:t>
            </w:r>
          </w:p>
        </w:tc>
        <w:tc>
          <w:tcPr/>
          <w:p>
            <w:pPr>
              <w:pStyle w:val="Compact"/>
              <w:jc w:val="left"/>
            </w:pPr>
            <w:r>
              <w:t xml:space="preserve">Vertex AI Workbench — Shielded VM, no public address, IAP SSH only, CMEK boot and data disks</w:t>
            </w:r>
          </w:p>
        </w:tc>
        <w:tc>
          <w:tcPr/>
          <w:p>
            <w:pPr>
              <w:pStyle w:val="Compact"/>
              <w:jc w:val="left"/>
            </w:pPr>
            <w:r>
              <w:t xml:space="preserve">Sandbox</w:t>
            </w:r>
          </w:p>
        </w:tc>
        <w:tc>
          <w:tcPr/>
          <w:p>
            <w:pPr>
              <w:pStyle w:val="Compact"/>
              <w:jc w:val="left"/>
            </w:pPr>
            <w:r>
              <w:t xml:space="preserve">3</w:t>
            </w:r>
          </w:p>
        </w:tc>
        <w:tc>
          <w:tcPr/>
          <w:p>
            <w:pPr>
              <w:pStyle w:val="Compact"/>
              <w:jc w:val="left"/>
            </w:pPr>
            <w:r>
              <w:t xml:space="preserve">Instance reachable only through IAP SSH; no external address present</w:t>
            </w:r>
          </w:p>
        </w:tc>
      </w:tr>
      <w:tr>
        <w:tc>
          <w:tcPr/>
          <w:p>
            <w:pPr>
              <w:pStyle w:val="Compact"/>
              <w:jc w:val="left"/>
            </w:pPr>
            <w:r>
              <w:t xml:space="preserve">5</w:t>
            </w:r>
          </w:p>
        </w:tc>
        <w:tc>
          <w:tcPr/>
          <w:p>
            <w:pPr>
              <w:pStyle w:val="Compact"/>
              <w:jc w:val="left"/>
            </w:pPr>
            <w:r>
              <w:t xml:space="preserve">Sandbox Cloud Run services, serverless NEGs and the two internal load balancers</w:t>
            </w:r>
          </w:p>
        </w:tc>
        <w:tc>
          <w:tcPr/>
          <w:p>
            <w:pPr>
              <w:pStyle w:val="Compact"/>
              <w:jc w:val="left"/>
            </w:pPr>
            <w:r>
              <w:t xml:space="preserve">Sandbox</w:t>
            </w:r>
          </w:p>
        </w:tc>
        <w:tc>
          <w:tcPr/>
          <w:p>
            <w:pPr>
              <w:pStyle w:val="Compact"/>
              <w:jc w:val="left"/>
            </w:pPr>
            <w:r>
              <w:t xml:space="preserve">3</w:t>
            </w:r>
          </w:p>
        </w:tc>
        <w:tc>
          <w:tcPr/>
          <w:p>
            <w:pPr>
              <w:pStyle w:val="Compact"/>
              <w:jc w:val="left"/>
            </w:pPr>
            <w:r>
              <w:t xml:space="preserve">Both load balancers serve; no service carries an external ingress setting</w:t>
            </w:r>
          </w:p>
        </w:tc>
      </w:tr>
      <w:tr>
        <w:tc>
          <w:tcPr/>
          <w:p>
            <w:pPr>
              <w:pStyle w:val="Compact"/>
              <w:jc w:val="left"/>
            </w:pPr>
            <w:r>
              <w:t xml:space="preserve">6</w:t>
            </w:r>
          </w:p>
        </w:tc>
        <w:tc>
          <w:tcPr/>
          <w:p>
            <w:pPr>
              <w:pStyle w:val="Compact"/>
              <w:jc w:val="left"/>
            </w:pPr>
            <w:r>
              <w:t xml:space="preserve">Sandbox Vector Search index and PSC index endpoint</w:t>
            </w:r>
          </w:p>
        </w:tc>
        <w:tc>
          <w:tcPr/>
          <w:p>
            <w:pPr>
              <w:pStyle w:val="Compact"/>
              <w:jc w:val="left"/>
            </w:pPr>
            <w:r>
              <w:t xml:space="preserve">Sandbox</w:t>
            </w:r>
          </w:p>
        </w:tc>
        <w:tc>
          <w:tcPr/>
          <w:p>
            <w:pPr>
              <w:pStyle w:val="Compact"/>
              <w:jc w:val="left"/>
            </w:pPr>
            <w:r>
              <w:t xml:space="preserve">2, 3</w:t>
            </w:r>
          </w:p>
        </w:tc>
        <w:tc>
          <w:tcPr/>
          <w:p>
            <w:pPr>
              <w:pStyle w:val="Compact"/>
              <w:jc w:val="left"/>
            </w:pPr>
            <w:r>
              <w:t xml:space="preserve">Index deployed; endpoint reachable over the private address</w:t>
            </w:r>
          </w:p>
        </w:tc>
      </w:tr>
      <w:tr>
        <w:tc>
          <w:tcPr/>
          <w:p>
            <w:pPr>
              <w:pStyle w:val="Compact"/>
              <w:jc w:val="left"/>
            </w:pPr>
            <w:r>
              <w:t xml:space="preserve">7</w:t>
            </w:r>
          </w:p>
        </w:tc>
        <w:tc>
          <w:tcPr/>
          <w:p>
            <w:pPr>
              <w:pStyle w:val="Compact"/>
              <w:jc w:val="left"/>
            </w:pPr>
            <w:r>
              <w:t xml:space="preserve">Organisation policies at the</w:t>
            </w:r>
            <w:r>
              <w:t xml:space="preserve"> </w:t>
            </w:r>
            <w:r>
              <w:rPr>
                <w:rStyle w:val="VerbatimChar"/>
              </w:rPr>
              <w:t xml:space="preserve">AI COE</w:t>
            </w:r>
            <w:r>
              <w:t xml:space="preserve"> </w:t>
            </w:r>
            <w:r>
              <w:t xml:space="preserve">folder</w:t>
            </w:r>
          </w:p>
        </w:tc>
        <w:tc>
          <w:tcPr/>
          <w:p>
            <w:pPr>
              <w:pStyle w:val="Compact"/>
              <w:jc w:val="left"/>
            </w:pPr>
            <w:r>
              <w:t xml:space="preserve">Sandbox, Dev, Prod</w:t>
            </w:r>
          </w:p>
        </w:tc>
        <w:tc>
          <w:tcPr/>
          <w:p>
            <w:pPr>
              <w:pStyle w:val="Compact"/>
              <w:jc w:val="left"/>
            </w:pPr>
            <w:r>
              <w:t xml:space="preserve">P6, P7</w:t>
            </w:r>
          </w:p>
        </w:tc>
        <w:tc>
          <w:tcPr/>
          <w:p>
            <w:pPr>
              <w:pStyle w:val="Compact"/>
              <w:jc w:val="left"/>
            </w:pPr>
            <w:r>
              <w:t xml:space="preserve">All ten policies show as inherited and active in a child project</w:t>
            </w:r>
          </w:p>
        </w:tc>
      </w:tr>
      <w:tr>
        <w:tc>
          <w:tcPr/>
          <w:p>
            <w:pPr>
              <w:pStyle w:val="Compact"/>
              <w:jc w:val="left"/>
            </w:pPr>
            <w:r>
              <w:t xml:space="preserve">8</w:t>
            </w:r>
          </w:p>
        </w:tc>
        <w:tc>
          <w:tcPr/>
          <w:p>
            <w:pPr>
              <w:pStyle w:val="Compact"/>
              <w:jc w:val="left"/>
            </w:pPr>
            <w:r>
              <w:t xml:space="preserve">Enable APIs per project</w:t>
            </w:r>
          </w:p>
        </w:tc>
        <w:tc>
          <w:tcPr/>
          <w:p>
            <w:pPr>
              <w:pStyle w:val="Compact"/>
              <w:jc w:val="left"/>
            </w:pPr>
            <w:r>
              <w:t xml:space="preserve">Dev, Prod</w:t>
            </w:r>
          </w:p>
        </w:tc>
        <w:tc>
          <w:tcPr/>
          <w:p>
            <w:pPr>
              <w:pStyle w:val="Compact"/>
              <w:jc w:val="left"/>
            </w:pPr>
            <w:r>
              <w:t xml:space="preserve">7</w:t>
            </w:r>
          </w:p>
        </w:tc>
        <w:tc>
          <w:tcPr/>
          <w:p>
            <w:pPr>
              <w:pStyle w:val="Compact"/>
              <w:jc w:val="left"/>
            </w:pPr>
            <w:r>
              <w:t xml:space="preserve">Each project’s enabled-API list matches</w:t>
            </w:r>
            <w:r>
              <w:t xml:space="preserve"> </w:t>
            </w:r>
            <w:r>
              <w:rPr>
                <w:b/>
                <w:bCs/>
              </w:rPr>
              <w:t xml:space="preserve">Solution Architecture Overview</w:t>
            </w:r>
          </w:p>
        </w:tc>
      </w:tr>
      <w:tr>
        <w:tc>
          <w:tcPr/>
          <w:p>
            <w:pPr>
              <w:pStyle w:val="Compact"/>
              <w:jc w:val="left"/>
            </w:pPr>
            <w:r>
              <w:t xml:space="preserve">9</w:t>
            </w:r>
          </w:p>
        </w:tc>
        <w:tc>
          <w:tcPr/>
          <w:p>
            <w:pPr>
              <w:pStyle w:val="Compact"/>
              <w:jc w:val="left"/>
            </w:pPr>
            <w:r>
              <w:rPr>
                <w:b/>
                <w:bCs/>
              </w:rPr>
              <w:t xml:space="preserve">Force service agents into existence</w:t>
            </w:r>
          </w:p>
        </w:tc>
        <w:tc>
          <w:tcPr/>
          <w:p>
            <w:pPr>
              <w:pStyle w:val="Compact"/>
              <w:jc w:val="left"/>
            </w:pPr>
            <w:r>
              <w:t xml:space="preserve">Dev, Prod</w:t>
            </w:r>
          </w:p>
        </w:tc>
        <w:tc>
          <w:tcPr/>
          <w:p>
            <w:pPr>
              <w:pStyle w:val="Compact"/>
              <w:jc w:val="left"/>
            </w:pPr>
            <w:r>
              <w:t xml:space="preserve">8</w:t>
            </w:r>
          </w:p>
        </w:tc>
        <w:tc>
          <w:tcPr/>
          <w:p>
            <w:pPr>
              <w:pStyle w:val="Compact"/>
              <w:jc w:val="left"/>
            </w:pPr>
            <w:r>
              <w:t xml:space="preserve">Each</w:t>
            </w:r>
            <w:r>
              <w:t xml:space="preserve"> </w:t>
            </w:r>
            <w:r>
              <w:rPr>
                <w:rStyle w:val="VerbatimChar"/>
              </w:rPr>
              <w:t xml:space="preserve">gcloud beta services identity create</w:t>
            </w:r>
            <w:r>
              <w:t xml:space="preserve"> </w:t>
            </w:r>
            <w:r>
              <w:t xml:space="preserve">returns an address; addresses recorded per project</w:t>
            </w:r>
          </w:p>
        </w:tc>
      </w:tr>
      <w:tr>
        <w:tc>
          <w:tcPr/>
          <w:p>
            <w:pPr>
              <w:pStyle w:val="Compact"/>
              <w:jc w:val="left"/>
            </w:pPr>
            <w:r>
              <w:t xml:space="preserve">10</w:t>
            </w:r>
          </w:p>
        </w:tc>
        <w:tc>
          <w:tcPr/>
          <w:p>
            <w:pPr>
              <w:pStyle w:val="Compact"/>
              <w:jc w:val="left"/>
            </w:pPr>
            <w:r>
              <w:t xml:space="preserve">KMS key rings and keys, then grant each service agent Encrypter/Decrypter</w:t>
            </w:r>
          </w:p>
        </w:tc>
        <w:tc>
          <w:tcPr/>
          <w:p>
            <w:pPr>
              <w:pStyle w:val="Compact"/>
              <w:jc w:val="left"/>
            </w:pPr>
            <w:r>
              <w:t xml:space="preserve">Dev, Prod</w:t>
            </w:r>
          </w:p>
        </w:tc>
        <w:tc>
          <w:tcPr/>
          <w:p>
            <w:pPr>
              <w:pStyle w:val="Compact"/>
              <w:jc w:val="left"/>
            </w:pPr>
            <w:r>
              <w:t xml:space="preserve">9</w:t>
            </w:r>
          </w:p>
        </w:tc>
        <w:tc>
          <w:tcPr/>
          <w:p>
            <w:pPr>
              <w:pStyle w:val="Compact"/>
              <w:jc w:val="left"/>
            </w:pPr>
            <w:r>
              <w:t xml:space="preserve">Every key listed in</w:t>
            </w:r>
            <w:r>
              <w:t xml:space="preserve"> </w:t>
            </w:r>
            <w:r>
              <w:rPr>
                <w:b/>
                <w:bCs/>
              </w:rPr>
              <w:t xml:space="preserve">Compute and Data Platform</w:t>
            </w:r>
            <w:r>
              <w:t xml:space="preserve"> </w:t>
            </w:r>
            <w:r>
              <w:t xml:space="preserve">shows its agent on the Permissions tab</w:t>
            </w:r>
          </w:p>
        </w:tc>
      </w:tr>
      <w:tr>
        <w:tc>
          <w:tcPr/>
          <w:p>
            <w:pPr>
              <w:pStyle w:val="Compact"/>
              <w:jc w:val="left"/>
            </w:pPr>
            <w:r>
              <w:t xml:space="preserve">11</w:t>
            </w:r>
          </w:p>
        </w:tc>
        <w:tc>
          <w:tcPr/>
          <w:p>
            <w:pPr>
              <w:pStyle w:val="Compact"/>
              <w:jc w:val="left"/>
            </w:pPr>
            <w:r>
              <w:t xml:space="preserve">Logging — 400-day bucket with CMEK and Log Analytics, three folder sinks, writer-identity grants,</w:t>
            </w:r>
            <w:r>
              <w:t xml:space="preserve"> </w:t>
            </w:r>
            <w:r>
              <w:rPr>
                <w:rStyle w:val="VerbatimChar"/>
              </w:rPr>
              <w:t xml:space="preserve">_Default</w:t>
            </w:r>
            <w:r>
              <w:t xml:space="preserve"> </w:t>
            </w:r>
            <w:r>
              <w:t xml:space="preserve">exclusions, folder audit configuration</w:t>
            </w:r>
          </w:p>
        </w:tc>
        <w:tc>
          <w:tcPr/>
          <w:p>
            <w:pPr>
              <w:pStyle w:val="Compact"/>
              <w:jc w:val="left"/>
            </w:pPr>
            <w:r>
              <w:t xml:space="preserve">Sandbox, Dev, Prod</w:t>
            </w:r>
          </w:p>
        </w:tc>
        <w:tc>
          <w:tcPr/>
          <w:p>
            <w:pPr>
              <w:pStyle w:val="Compact"/>
              <w:jc w:val="left"/>
            </w:pPr>
            <w:r>
              <w:t xml:space="preserve">10</w:t>
            </w:r>
          </w:p>
        </w:tc>
        <w:tc>
          <w:tcPr/>
          <w:p>
            <w:pPr>
              <w:pStyle w:val="Compact"/>
              <w:jc w:val="left"/>
            </w:pPr>
            <w:r>
              <w:t xml:space="preserve">Bucket shows 400-day retention and a customer-managed key; all three sinks hold their grants</w:t>
            </w:r>
          </w:p>
        </w:tc>
      </w:tr>
      <w:tr>
        <w:tc>
          <w:tcPr/>
          <w:p>
            <w:pPr>
              <w:pStyle w:val="Compact"/>
              <w:jc w:val="left"/>
            </w:pPr>
            <w:r>
              <w:t xml:space="preserve">12</w:t>
            </w:r>
          </w:p>
        </w:tc>
        <w:tc>
          <w:tcPr/>
          <w:p>
            <w:pPr>
              <w:pStyle w:val="Compact"/>
              <w:jc w:val="left"/>
            </w:pPr>
            <w:r>
              <w:t xml:space="preserve">Network — VPC, five subnets, reserved addresses, firewall, private DNS zones for internal names and user content</w:t>
            </w:r>
          </w:p>
        </w:tc>
        <w:tc>
          <w:tcPr/>
          <w:p>
            <w:pPr>
              <w:pStyle w:val="Compact"/>
              <w:jc w:val="left"/>
            </w:pPr>
            <w:r>
              <w:t xml:space="preserve">Dev, Prod</w:t>
            </w:r>
          </w:p>
        </w:tc>
        <w:tc>
          <w:tcPr/>
          <w:p>
            <w:pPr>
              <w:pStyle w:val="Compact"/>
              <w:jc w:val="left"/>
            </w:pPr>
            <w:r>
              <w:t xml:space="preserve">P1, P2, 8</w:t>
            </w:r>
          </w:p>
        </w:tc>
        <w:tc>
          <w:tcPr/>
          <w:p>
            <w:pPr>
              <w:pStyle w:val="Compact"/>
              <w:jc w:val="left"/>
            </w:pPr>
            <w:r>
              <w:t xml:space="preserve">Five subnets listed;</w:t>
            </w:r>
            <w:r>
              <w:t xml:space="preserve"> </w:t>
            </w:r>
            <w:r>
              <w:rPr>
                <w:rStyle w:val="VerbatimChar"/>
              </w:rPr>
              <w:t xml:space="preserve">egress-deny-all</w:t>
            </w:r>
            <w:r>
              <w:t xml:space="preserve"> </w:t>
            </w:r>
            <w:r>
              <w:t xml:space="preserve">present at priority 65000</w:t>
            </w:r>
          </w:p>
        </w:tc>
      </w:tr>
      <w:tr>
        <w:tc>
          <w:tcPr/>
          <w:p>
            <w:pPr>
              <w:pStyle w:val="Compact"/>
              <w:jc w:val="left"/>
            </w:pPr>
            <w:r>
              <w:t xml:space="preserve">13</w:t>
            </w:r>
          </w:p>
        </w:tc>
        <w:tc>
          <w:tcPr/>
          <w:p>
            <w:pPr>
              <w:pStyle w:val="Compact"/>
              <w:jc w:val="left"/>
            </w:pPr>
            <w:r>
              <w:t xml:space="preserve">Attach the three service projects to the Shared VPC</w:t>
            </w:r>
          </w:p>
        </w:tc>
        <w:tc>
          <w:tcPr/>
          <w:p>
            <w:pPr>
              <w:pStyle w:val="Compact"/>
              <w:jc w:val="left"/>
            </w:pPr>
            <w:r>
              <w:t xml:space="preserve">Dev, Prod</w:t>
            </w:r>
          </w:p>
        </w:tc>
        <w:tc>
          <w:tcPr/>
          <w:p>
            <w:pPr>
              <w:pStyle w:val="Compact"/>
              <w:jc w:val="left"/>
            </w:pPr>
            <w:r>
              <w:t xml:space="preserve">12, P8</w:t>
            </w:r>
          </w:p>
        </w:tc>
        <w:tc>
          <w:tcPr/>
          <w:p>
            <w:pPr>
              <w:pStyle w:val="Compact"/>
              <w:jc w:val="left"/>
            </w:pPr>
            <w:r>
              <w:t xml:space="preserve">The host network is visible from each service project</w:t>
            </w:r>
          </w:p>
        </w:tc>
      </w:tr>
      <w:tr>
        <w:tc>
          <w:tcPr/>
          <w:p>
            <w:pPr>
              <w:pStyle w:val="Compact"/>
              <w:jc w:val="left"/>
            </w:pPr>
            <w:r>
              <w:t xml:space="preserve">14</w:t>
            </w:r>
          </w:p>
        </w:tc>
        <w:tc>
          <w:tcPr/>
          <w:p>
            <w:pPr>
              <w:pStyle w:val="Compact"/>
              <w:jc w:val="left"/>
            </w:pPr>
            <w:r>
              <w:t xml:space="preserve">PSC to Google APIs, then create the Google APIs private DNS zone</w:t>
            </w:r>
          </w:p>
        </w:tc>
        <w:tc>
          <w:tcPr/>
          <w:p>
            <w:pPr>
              <w:pStyle w:val="Compact"/>
              <w:jc w:val="left"/>
            </w:pPr>
            <w:r>
              <w:t xml:space="preserve">Dev, Prod</w:t>
            </w:r>
          </w:p>
        </w:tc>
        <w:tc>
          <w:tcPr/>
          <w:p>
            <w:pPr>
              <w:pStyle w:val="Compact"/>
              <w:jc w:val="left"/>
            </w:pPr>
            <w:r>
              <w:t xml:space="preserve">13</w:t>
            </w:r>
          </w:p>
        </w:tc>
        <w:tc>
          <w:tcPr/>
          <w:p>
            <w:pPr>
              <w:pStyle w:val="Compact"/>
              <w:jc w:val="left"/>
            </w:pPr>
            <w:r>
              <w:t xml:space="preserve">Endpoint status Accepted; the wildcard zone resolves to it</w:t>
            </w:r>
          </w:p>
        </w:tc>
      </w:tr>
      <w:tr>
        <w:tc>
          <w:tcPr/>
          <w:p>
            <w:pPr>
              <w:pStyle w:val="Compact"/>
              <w:jc w:val="left"/>
            </w:pPr>
            <w:r>
              <w:t xml:space="preserve">15</w:t>
            </w:r>
          </w:p>
        </w:tc>
        <w:tc>
          <w:tcPr/>
          <w:p>
            <w:pPr>
              <w:pStyle w:val="Compact"/>
              <w:jc w:val="left"/>
            </w:pPr>
            <w:r>
              <w:t xml:space="preserve">Artifact Registry with CMEK and immutable tags; Artifact Analysis scanning enabled</w:t>
            </w:r>
          </w:p>
        </w:tc>
        <w:tc>
          <w:tcPr/>
          <w:p>
            <w:pPr>
              <w:pStyle w:val="Compact"/>
              <w:jc w:val="left"/>
            </w:pPr>
            <w:r>
              <w:t xml:space="preserve">Sandbox, Dev, Prod</w:t>
            </w:r>
          </w:p>
        </w:tc>
        <w:tc>
          <w:tcPr/>
          <w:p>
            <w:pPr>
              <w:pStyle w:val="Compact"/>
              <w:jc w:val="left"/>
            </w:pPr>
            <w:r>
              <w:t xml:space="preserve">10</w:t>
            </w:r>
          </w:p>
        </w:tc>
        <w:tc>
          <w:tcPr/>
          <w:p>
            <w:pPr>
              <w:pStyle w:val="Compact"/>
              <w:jc w:val="left"/>
            </w:pPr>
            <w:r>
              <w:t xml:space="preserve">Repository shows a customer-managed key in both workload projects</w:t>
            </w:r>
          </w:p>
        </w:tc>
      </w:tr>
      <w:tr>
        <w:tc>
          <w:tcPr/>
          <w:p>
            <w:pPr>
              <w:pStyle w:val="Compact"/>
              <w:jc w:val="left"/>
            </w:pPr>
            <w:r>
              <w:t xml:space="preserve">16</w:t>
            </w:r>
          </w:p>
        </w:tc>
        <w:tc>
          <w:tcPr/>
          <w:p>
            <w:pPr>
              <w:pStyle w:val="Compact"/>
              <w:jc w:val="left"/>
            </w:pPr>
            <w:r>
              <w:t xml:space="preserve">Binary Authorization — asymmetric signing key, attestor, enforce policy per workload project</w:t>
            </w:r>
          </w:p>
        </w:tc>
        <w:tc>
          <w:tcPr/>
          <w:p>
            <w:pPr>
              <w:pStyle w:val="Compact"/>
              <w:jc w:val="left"/>
            </w:pPr>
            <w:r>
              <w:t xml:space="preserve">Sandbox, Dev, Prod</w:t>
            </w:r>
          </w:p>
        </w:tc>
        <w:tc>
          <w:tcPr/>
          <w:p>
            <w:pPr>
              <w:pStyle w:val="Compact"/>
              <w:jc w:val="left"/>
            </w:pPr>
            <w:r>
              <w:t xml:space="preserve">15</w:t>
            </w:r>
          </w:p>
        </w:tc>
        <w:tc>
          <w:tcPr/>
          <w:p>
            <w:pPr>
              <w:pStyle w:val="Compact"/>
              <w:jc w:val="left"/>
            </w:pPr>
            <w:r>
              <w:t xml:space="preserve">A public sample image is</w:t>
            </w:r>
            <w:r>
              <w:t xml:space="preserve"> </w:t>
            </w:r>
            <w:r>
              <w:rPr>
                <w:b/>
                <w:bCs/>
              </w:rPr>
              <w:t xml:space="preserve">refused</w:t>
            </w:r>
            <w:r>
              <w:t xml:space="preserve"> </w:t>
            </w:r>
            <w:r>
              <w:t xml:space="preserve">on deploy</w:t>
            </w:r>
          </w:p>
        </w:tc>
      </w:tr>
      <w:tr>
        <w:tc>
          <w:tcPr/>
          <w:p>
            <w:pPr>
              <w:pStyle w:val="Compact"/>
              <w:jc w:val="left"/>
            </w:pPr>
            <w:r>
              <w:t xml:space="preserve">17</w:t>
            </w:r>
          </w:p>
        </w:tc>
        <w:tc>
          <w:tcPr/>
          <w:p>
            <w:pPr>
              <w:pStyle w:val="Compact"/>
              <w:jc w:val="left"/>
            </w:pPr>
            <w:r>
              <w:t xml:space="preserve">Secret Manager containers with manual EU replication and CMEK</w:t>
            </w:r>
          </w:p>
        </w:tc>
        <w:tc>
          <w:tcPr/>
          <w:p>
            <w:pPr>
              <w:pStyle w:val="Compact"/>
              <w:jc w:val="left"/>
            </w:pPr>
            <w:r>
              <w:t xml:space="preserve">Dev, Prod</w:t>
            </w:r>
          </w:p>
        </w:tc>
        <w:tc>
          <w:tcPr/>
          <w:p>
            <w:pPr>
              <w:pStyle w:val="Compact"/>
              <w:jc w:val="left"/>
            </w:pPr>
            <w:r>
              <w:t xml:space="preserve">10</w:t>
            </w:r>
          </w:p>
        </w:tc>
        <w:tc>
          <w:tcPr/>
          <w:p>
            <w:pPr>
              <w:pStyle w:val="Compact"/>
              <w:jc w:val="left"/>
            </w:pPr>
            <w:r>
              <w:t xml:space="preserve">All secrets created with the owner label set</w:t>
            </w:r>
          </w:p>
        </w:tc>
      </w:tr>
      <w:tr>
        <w:tc>
          <w:tcPr/>
          <w:p>
            <w:pPr>
              <w:pStyle w:val="Compact"/>
              <w:jc w:val="left"/>
            </w:pPr>
            <w:r>
              <w:t xml:space="preserve">18</w:t>
            </w:r>
          </w:p>
        </w:tc>
        <w:tc>
          <w:tcPr/>
          <w:p>
            <w:pPr>
              <w:pStyle w:val="Compact"/>
              <w:jc w:val="left"/>
            </w:pPr>
            <w:r>
              <w:t xml:space="preserve">Workload Identity Federation for GitLab, with the attribute condition</w:t>
            </w:r>
          </w:p>
        </w:tc>
        <w:tc>
          <w:tcPr/>
          <w:p>
            <w:pPr>
              <w:pStyle w:val="Compact"/>
              <w:jc w:val="left"/>
            </w:pPr>
            <w:r>
              <w:t xml:space="preserve">Sandbox, Dev, Prod</w:t>
            </w:r>
          </w:p>
        </w:tc>
        <w:tc>
          <w:tcPr/>
          <w:p>
            <w:pPr>
              <w:pStyle w:val="Compact"/>
              <w:jc w:val="left"/>
            </w:pPr>
            <w:r>
              <w:t xml:space="preserve">8</w:t>
            </w:r>
          </w:p>
        </w:tc>
        <w:tc>
          <w:tcPr/>
          <w:p>
            <w:pPr>
              <w:pStyle w:val="Compact"/>
              <w:jc w:val="left"/>
            </w:pPr>
            <w:r>
              <w:t xml:space="preserve">Pool and provider show no configuration warnings</w:t>
            </w:r>
          </w:p>
        </w:tc>
      </w:tr>
      <w:tr>
        <w:tc>
          <w:tcPr/>
          <w:p>
            <w:pPr>
              <w:pStyle w:val="Compact"/>
              <w:jc w:val="left"/>
            </w:pPr>
            <w:r>
              <w:t xml:space="preserve">19</w:t>
            </w:r>
          </w:p>
        </w:tc>
        <w:tc>
          <w:tcPr/>
          <w:p>
            <w:pPr>
              <w:pStyle w:val="Compact"/>
              <w:jc w:val="left"/>
            </w:pPr>
            <w:r>
              <w:t xml:space="preserve">Workforce Identity Federation for Entra ID</w:t>
            </w:r>
          </w:p>
        </w:tc>
        <w:tc>
          <w:tcPr/>
          <w:p>
            <w:pPr>
              <w:pStyle w:val="Compact"/>
              <w:jc w:val="left"/>
            </w:pPr>
            <w:r>
              <w:t xml:space="preserve">Dev, Prod</w:t>
            </w:r>
          </w:p>
        </w:tc>
        <w:tc>
          <w:tcPr/>
          <w:p>
            <w:pPr>
              <w:pStyle w:val="Compact"/>
              <w:jc w:val="left"/>
            </w:pPr>
            <w:r>
              <w:t xml:space="preserve">P5, P6</w:t>
            </w:r>
          </w:p>
        </w:tc>
        <w:tc>
          <w:tcPr/>
          <w:p>
            <w:pPr>
              <w:pStyle w:val="Compact"/>
              <w:jc w:val="left"/>
            </w:pPr>
            <w:r>
              <w:t xml:space="preserve">Pool and provider exist; attribute mapping matches</w:t>
            </w:r>
            <w:r>
              <w:t xml:space="preserve"> </w:t>
            </w:r>
            <w:r>
              <w:rPr>
                <w:b/>
                <w:bCs/>
              </w:rPr>
              <w:t xml:space="preserve">Security Architecture and Operations</w:t>
            </w:r>
          </w:p>
        </w:tc>
      </w:tr>
      <w:tr>
        <w:tc>
          <w:tcPr/>
          <w:p>
            <w:pPr>
              <w:pStyle w:val="Compact"/>
              <w:jc w:val="left"/>
            </w:pPr>
            <w:r>
              <w:t xml:space="preserve">20</w:t>
            </w:r>
          </w:p>
        </w:tc>
        <w:tc>
          <w:tcPr/>
          <w:p>
            <w:pPr>
              <w:pStyle w:val="Compact"/>
              <w:jc w:val="left"/>
            </w:pPr>
            <w:r>
              <w:t xml:space="preserve">Apigee — organisation, instance, two environments, two environment groups</w:t>
            </w:r>
          </w:p>
        </w:tc>
        <w:tc>
          <w:tcPr/>
          <w:p>
            <w:pPr>
              <w:pStyle w:val="Compact"/>
              <w:jc w:val="left"/>
            </w:pPr>
            <w:r>
              <w:t xml:space="preserve">Dev, Prod</w:t>
            </w:r>
          </w:p>
        </w:tc>
        <w:tc>
          <w:tcPr/>
          <w:p>
            <w:pPr>
              <w:pStyle w:val="Compact"/>
              <w:jc w:val="left"/>
            </w:pPr>
            <w:r>
              <w:t xml:space="preserve">10, 12, P13</w:t>
            </w:r>
          </w:p>
        </w:tc>
        <w:tc>
          <w:tcPr/>
          <w:p>
            <w:pPr>
              <w:pStyle w:val="Compact"/>
              <w:jc w:val="left"/>
            </w:pPr>
            <w:r>
              <w:t xml:space="preserve">Green instance, two environments attached, two environment groups. Allow 60–105 minutes elapsed</w:t>
            </w:r>
          </w:p>
        </w:tc>
      </w:tr>
      <w:tr>
        <w:tc>
          <w:tcPr/>
          <w:p>
            <w:pPr>
              <w:pStyle w:val="Compact"/>
              <w:jc w:val="left"/>
            </w:pPr>
            <w:r>
              <w:t xml:space="preserve">21</w:t>
            </w:r>
          </w:p>
        </w:tc>
        <w:tc>
          <w:tcPr/>
          <w:p>
            <w:pPr>
              <w:pStyle w:val="Compact"/>
              <w:jc w:val="left"/>
            </w:pPr>
            <w:r>
              <w:t xml:space="preserve">Vector Search index, private endpoint, service connection policy</w:t>
            </w:r>
          </w:p>
        </w:tc>
        <w:tc>
          <w:tcPr/>
          <w:p>
            <w:pPr>
              <w:pStyle w:val="Compact"/>
              <w:jc w:val="left"/>
            </w:pPr>
            <w:r>
              <w:t xml:space="preserve">Dev, Prod</w:t>
            </w:r>
          </w:p>
        </w:tc>
        <w:tc>
          <w:tcPr/>
          <w:p>
            <w:pPr>
              <w:pStyle w:val="Compact"/>
              <w:jc w:val="left"/>
            </w:pPr>
            <w:r>
              <w:t xml:space="preserve">10, 13</w:t>
            </w:r>
          </w:p>
        </w:tc>
        <w:tc>
          <w:tcPr/>
          <w:p>
            <w:pPr>
              <w:pStyle w:val="Compact"/>
              <w:jc w:val="left"/>
            </w:pPr>
            <w:r>
              <w:t xml:space="preserve">Index deployed with a minimum of two replicas; allocated address recorded</w:t>
            </w:r>
          </w:p>
        </w:tc>
      </w:tr>
      <w:tr>
        <w:tc>
          <w:tcPr/>
          <w:p>
            <w:pPr>
              <w:pStyle w:val="Compact"/>
              <w:jc w:val="left"/>
            </w:pPr>
            <w:r>
              <w:t xml:space="preserve">22</w:t>
            </w:r>
          </w:p>
        </w:tc>
        <w:tc>
          <w:tcPr/>
          <w:p>
            <w:pPr>
              <w:pStyle w:val="Compact"/>
              <w:jc w:val="left"/>
            </w:pPr>
            <w:r>
              <w:t xml:space="preserve">Data services — Cloud Storage, BigQuery, Firestore with TTL policy, Cloud Tasks</w:t>
            </w:r>
          </w:p>
        </w:tc>
        <w:tc>
          <w:tcPr/>
          <w:p>
            <w:pPr>
              <w:pStyle w:val="Compact"/>
              <w:jc w:val="left"/>
            </w:pPr>
            <w:r>
              <w:t xml:space="preserve">Dev, Prod</w:t>
            </w:r>
          </w:p>
        </w:tc>
        <w:tc>
          <w:tcPr/>
          <w:p>
            <w:pPr>
              <w:pStyle w:val="Compact"/>
              <w:jc w:val="left"/>
            </w:pPr>
            <w:r>
              <w:t xml:space="preserve">10, 13</w:t>
            </w:r>
          </w:p>
        </w:tc>
        <w:tc>
          <w:tcPr/>
          <w:p>
            <w:pPr>
              <w:pStyle w:val="Compact"/>
              <w:jc w:val="left"/>
            </w:pPr>
            <w:r>
              <w:t xml:space="preserve">All present with CMEK; Firestore TTL policy set on the session expiry field</w:t>
            </w:r>
          </w:p>
        </w:tc>
      </w:tr>
      <w:tr>
        <w:tc>
          <w:tcPr/>
          <w:p>
            <w:pPr>
              <w:pStyle w:val="Compact"/>
              <w:jc w:val="left"/>
            </w:pPr>
            <w:r>
              <w:t xml:space="preserve">23</w:t>
            </w:r>
          </w:p>
        </w:tc>
        <w:tc>
          <w:tcPr/>
          <w:p>
            <w:pPr>
              <w:pStyle w:val="Compact"/>
              <w:jc w:val="left"/>
            </w:pPr>
            <w:r>
              <w:t xml:space="preserve">LLM project — Model Armor templates, Sensitive Data Protection inspection and de-identification templates, quota check</w:t>
            </w:r>
          </w:p>
        </w:tc>
        <w:tc>
          <w:tcPr/>
          <w:p>
            <w:pPr>
              <w:pStyle w:val="Compact"/>
              <w:jc w:val="left"/>
            </w:pPr>
            <w:r>
              <w:t xml:space="preserve">Dev, Prod</w:t>
            </w:r>
          </w:p>
        </w:tc>
        <w:tc>
          <w:tcPr/>
          <w:p>
            <w:pPr>
              <w:pStyle w:val="Compact"/>
              <w:jc w:val="left"/>
            </w:pPr>
            <w:r>
              <w:t xml:space="preserve">10</w:t>
            </w:r>
          </w:p>
        </w:tc>
        <w:tc>
          <w:tcPr/>
          <w:p>
            <w:pPr>
              <w:pStyle w:val="Compact"/>
              <w:jc w:val="left"/>
            </w:pPr>
            <w:r>
              <w:t xml:space="preserve">Both Model Armor templates exist in</w:t>
            </w:r>
            <w:r>
              <w:t xml:space="preserve"> </w:t>
            </w:r>
            <w:r>
              <w:rPr>
                <w:rStyle w:val="VerbatimChar"/>
              </w:rPr>
              <w:t xml:space="preserve">europe-west1</w:t>
            </w:r>
          </w:p>
        </w:tc>
      </w:tr>
      <w:tr>
        <w:tc>
          <w:tcPr/>
          <w:p>
            <w:pPr>
              <w:pStyle w:val="Compact"/>
              <w:jc w:val="left"/>
            </w:pPr>
            <w:r>
              <w:t xml:space="preserve">24</w:t>
            </w:r>
          </w:p>
        </w:tc>
        <w:tc>
          <w:tcPr/>
          <w:p>
            <w:pPr>
              <w:pStyle w:val="Compact"/>
              <w:jc w:val="left"/>
            </w:pPr>
            <w:r>
              <w:t xml:space="preserve">Service accounts and IAM, including</w:t>
            </w:r>
            <w:r>
              <w:t xml:space="preserve"> </w:t>
            </w:r>
            <w:r>
              <w:rPr>
                <w:b/>
                <w:bCs/>
              </w:rPr>
              <w:t xml:space="preserve">removal of</w:t>
            </w:r>
            <w:r>
              <w:rPr>
                <w:b/>
                <w:bCs/>
              </w:rPr>
              <w:t xml:space="preserve"> </w:t>
            </w:r>
            <w:r>
              <w:rPr>
                <w:rStyle w:val="VerbatimChar"/>
                <w:b/>
                <w:bCs/>
              </w:rPr>
              <w:t xml:space="preserve">aiplatform.user</w:t>
            </w:r>
            <w:r>
              <w:rPr>
                <w:b/>
                <w:bCs/>
              </w:rPr>
              <w:t xml:space="preserve"> </w:t>
            </w:r>
            <w:r>
              <w:rPr>
                <w:b/>
                <w:bCs/>
              </w:rPr>
              <w:t xml:space="preserve">from every workload account</w:t>
            </w:r>
          </w:p>
        </w:tc>
        <w:tc>
          <w:tcPr/>
          <w:p>
            <w:pPr>
              <w:pStyle w:val="Compact"/>
              <w:jc w:val="left"/>
            </w:pPr>
            <w:r>
              <w:t xml:space="preserve">Dev, Prod</w:t>
            </w:r>
          </w:p>
        </w:tc>
        <w:tc>
          <w:tcPr/>
          <w:p>
            <w:pPr>
              <w:pStyle w:val="Compact"/>
              <w:jc w:val="left"/>
            </w:pPr>
            <w:r>
              <w:t xml:space="preserve">20, 21, 22, 23</w:t>
            </w:r>
          </w:p>
        </w:tc>
        <w:tc>
          <w:tcPr/>
          <w:p>
            <w:pPr>
              <w:pStyle w:val="Compact"/>
              <w:jc w:val="left"/>
            </w:pPr>
            <w:r>
              <w:t xml:space="preserve">A workload service account cannot call Vertex AI</w:t>
            </w:r>
          </w:p>
        </w:tc>
      </w:tr>
      <w:tr>
        <w:tc>
          <w:tcPr/>
          <w:p>
            <w:pPr>
              <w:pStyle w:val="Compact"/>
              <w:jc w:val="left"/>
            </w:pPr>
            <w:r>
              <w:t xml:space="preserve">25</w:t>
            </w:r>
          </w:p>
        </w:tc>
        <w:tc>
          <w:tcPr/>
          <w:p>
            <w:pPr>
              <w:pStyle w:val="Compact"/>
              <w:jc w:val="left"/>
            </w:pPr>
            <w:r>
              <w:t xml:space="preserve">Cloud Run services deployed to the contract in</w:t>
            </w:r>
            <w:r>
              <w:t xml:space="preserve"> </w:t>
            </w:r>
            <w:r>
              <w:rPr>
                <w:b/>
                <w:bCs/>
              </w:rPr>
              <w:t xml:space="preserve">Compute and Data Platform</w:t>
            </w:r>
          </w:p>
        </w:tc>
        <w:tc>
          <w:tcPr/>
          <w:p>
            <w:pPr>
              <w:pStyle w:val="Compact"/>
              <w:jc w:val="left"/>
            </w:pPr>
            <w:r>
              <w:t xml:space="preserve">Dev, Prod</w:t>
            </w:r>
          </w:p>
        </w:tc>
        <w:tc>
          <w:tcPr/>
          <w:p>
            <w:pPr>
              <w:pStyle w:val="Compact"/>
              <w:jc w:val="left"/>
            </w:pPr>
            <w:r>
              <w:t xml:space="preserve">24</w:t>
            </w:r>
          </w:p>
        </w:tc>
        <w:tc>
          <w:tcPr/>
          <w:p>
            <w:pPr>
              <w:pStyle w:val="Compact"/>
              <w:jc w:val="left"/>
            </w:pPr>
            <w:r>
              <w:t xml:space="preserve">Ingress internal and load-balancer only, direct VPC egress,</w:t>
            </w:r>
            <w:r>
              <w:t xml:space="preserve"> </w:t>
            </w:r>
            <w:r>
              <w:rPr>
                <w:rStyle w:val="VerbatimChar"/>
              </w:rPr>
              <w:t xml:space="preserve">maxScale</w:t>
            </w:r>
            <w:r>
              <w:t xml:space="preserve"> </w:t>
            </w:r>
            <w:r>
              <w:t xml:space="preserve">within the instance budget</w:t>
            </w:r>
          </w:p>
        </w:tc>
      </w:tr>
      <w:tr>
        <w:tc>
          <w:tcPr/>
          <w:p>
            <w:pPr>
              <w:pStyle w:val="Compact"/>
              <w:jc w:val="left"/>
            </w:pPr>
            <w:r>
              <w:t xml:space="preserve">26</w:t>
            </w:r>
          </w:p>
        </w:tc>
        <w:tc>
          <w:tcPr/>
          <w:p>
            <w:pPr>
              <w:pStyle w:val="Compact"/>
              <w:jc w:val="left"/>
            </w:pPr>
            <w:r>
              <w:t xml:space="preserve">Load balancers — backend services, serverless NEGs, IAP on the AI Hub backend service only, URL maps</w:t>
            </w:r>
          </w:p>
        </w:tc>
        <w:tc>
          <w:tcPr/>
          <w:p>
            <w:pPr>
              <w:pStyle w:val="Compact"/>
              <w:jc w:val="left"/>
            </w:pPr>
            <w:r>
              <w:t xml:space="preserve">Dev, Prod</w:t>
            </w:r>
          </w:p>
        </w:tc>
        <w:tc>
          <w:tcPr/>
          <w:p>
            <w:pPr>
              <w:pStyle w:val="Compact"/>
              <w:jc w:val="left"/>
            </w:pPr>
            <w:r>
              <w:t xml:space="preserve">25, P3, P4</w:t>
            </w:r>
          </w:p>
        </w:tc>
        <w:tc>
          <w:tcPr/>
          <w:p>
            <w:pPr>
              <w:pStyle w:val="Compact"/>
              <w:jc w:val="left"/>
            </w:pPr>
            <w:r>
              <w:t xml:space="preserve">Front door reachable over ZPA; backends reachable only from Apigee</w:t>
            </w:r>
          </w:p>
        </w:tc>
      </w:tr>
      <w:tr>
        <w:tc>
          <w:tcPr/>
          <w:p>
            <w:pPr>
              <w:pStyle w:val="Compact"/>
              <w:jc w:val="left"/>
            </w:pPr>
            <w:r>
              <w:t xml:space="preserve">27</w:t>
            </w:r>
          </w:p>
        </w:tc>
        <w:tc>
          <w:tcPr/>
          <w:p>
            <w:pPr>
              <w:pStyle w:val="Compact"/>
              <w:jc w:val="left"/>
            </w:pPr>
            <w:r>
              <w:t xml:space="preserve">PSC for Apigee in both directions — service endpoint recorded, accept list, southbound publish, endpoint attachment</w:t>
            </w:r>
          </w:p>
        </w:tc>
        <w:tc>
          <w:tcPr/>
          <w:p>
            <w:pPr>
              <w:pStyle w:val="Compact"/>
              <w:jc w:val="left"/>
            </w:pPr>
            <w:r>
              <w:t xml:space="preserve">Dev, Prod</w:t>
            </w:r>
          </w:p>
        </w:tc>
        <w:tc>
          <w:tcPr/>
          <w:p>
            <w:pPr>
              <w:pStyle w:val="Compact"/>
              <w:jc w:val="left"/>
            </w:pPr>
            <w:r>
              <w:t xml:space="preserve">20, 26</w:t>
            </w:r>
          </w:p>
        </w:tc>
        <w:tc>
          <w:tcPr/>
          <w:p>
            <w:pPr>
              <w:pStyle w:val="Compact"/>
              <w:jc w:val="left"/>
            </w:pPr>
            <w:r>
              <w:t xml:space="preserve">Endpoint status Accepted; a Cloud Run service reaches the</w:t>
            </w:r>
            <w:r>
              <w:t xml:space="preserve"> </w:t>
            </w:r>
            <w:r>
              <w:rPr>
                <w:rStyle w:val="VerbatimChar"/>
              </w:rPr>
              <w:t xml:space="preserve">llm</w:t>
            </w:r>
            <w:r>
              <w:t xml:space="preserve"> </w:t>
            </w:r>
            <w:r>
              <w:t xml:space="preserve">host</w:t>
            </w:r>
          </w:p>
        </w:tc>
      </w:tr>
      <w:tr>
        <w:tc>
          <w:tcPr/>
          <w:p>
            <w:pPr>
              <w:pStyle w:val="Compact"/>
              <w:jc w:val="left"/>
            </w:pPr>
            <w:r>
              <w:t xml:space="preserve">28</w:t>
            </w:r>
          </w:p>
        </w:tc>
        <w:tc>
          <w:tcPr/>
          <w:p>
            <w:pPr>
              <w:pStyle w:val="Compact"/>
              <w:jc w:val="left"/>
            </w:pPr>
            <w:r>
              <w:t xml:space="preserve">Apigee configuration — key value maps, target servers, API Products, developer apps, both proxies</w:t>
            </w:r>
          </w:p>
        </w:tc>
        <w:tc>
          <w:tcPr/>
          <w:p>
            <w:pPr>
              <w:pStyle w:val="Compact"/>
              <w:jc w:val="left"/>
            </w:pPr>
            <w:r>
              <w:t xml:space="preserve">Dev, Prod</w:t>
            </w:r>
          </w:p>
        </w:tc>
        <w:tc>
          <w:tcPr/>
          <w:p>
            <w:pPr>
              <w:pStyle w:val="Compact"/>
              <w:jc w:val="left"/>
            </w:pPr>
            <w:r>
              <w:t xml:space="preserve">27</w:t>
            </w:r>
          </w:p>
        </w:tc>
        <w:tc>
          <w:tcPr/>
          <w:p>
            <w:pPr>
              <w:pStyle w:val="Compact"/>
              <w:jc w:val="left"/>
            </w:pPr>
            <w:r>
              <w:t xml:space="preserve">Both proxies deployed; the gateway verification tests pass</w:t>
            </w:r>
          </w:p>
        </w:tc>
      </w:tr>
      <w:tr>
        <w:tc>
          <w:tcPr/>
          <w:p>
            <w:pPr>
              <w:pStyle w:val="Compact"/>
              <w:jc w:val="left"/>
            </w:pPr>
            <w:r>
              <w:t xml:space="preserve">29</w:t>
            </w:r>
          </w:p>
        </w:tc>
        <w:tc>
          <w:tcPr/>
          <w:p>
            <w:pPr>
              <w:pStyle w:val="Compact"/>
              <w:jc w:val="left"/>
            </w:pPr>
            <w:r>
              <w:t xml:space="preserve">Monitoring — log-based metrics, alerting policies, synthetic end-to-end check</w:t>
            </w:r>
          </w:p>
        </w:tc>
        <w:tc>
          <w:tcPr/>
          <w:p>
            <w:pPr>
              <w:pStyle w:val="Compact"/>
              <w:jc w:val="left"/>
            </w:pPr>
            <w:r>
              <w:t xml:space="preserve">Sandbox, Dev, Prod</w:t>
            </w:r>
          </w:p>
        </w:tc>
        <w:tc>
          <w:tcPr/>
          <w:p>
            <w:pPr>
              <w:pStyle w:val="Compact"/>
              <w:jc w:val="left"/>
            </w:pPr>
            <w:r>
              <w:t xml:space="preserve">11, 28</w:t>
            </w:r>
          </w:p>
        </w:tc>
        <w:tc>
          <w:tcPr/>
          <w:p>
            <w:pPr>
              <w:pStyle w:val="Compact"/>
              <w:jc w:val="left"/>
            </w:pPr>
            <w:r>
              <w:t xml:space="preserve">Alerts fire against a deliberately triggered condition</w:t>
            </w:r>
          </w:p>
        </w:tc>
      </w:tr>
      <w:tr>
        <w:tc>
          <w:tcPr/>
          <w:p>
            <w:pPr>
              <w:pStyle w:val="Compact"/>
              <w:jc w:val="left"/>
            </w:pPr>
            <w:r>
              <w:t xml:space="preserve">30</w:t>
            </w:r>
          </w:p>
        </w:tc>
        <w:tc>
          <w:tcPr/>
          <w:p>
            <w:pPr>
              <w:pStyle w:val="Compact"/>
              <w:jc w:val="left"/>
            </w:pPr>
            <w:r>
              <w:t xml:space="preserve">End-to-end verification against the acceptance test suite</w:t>
            </w:r>
          </w:p>
        </w:tc>
        <w:tc>
          <w:tcPr/>
          <w:p>
            <w:pPr>
              <w:pStyle w:val="Compact"/>
              <w:jc w:val="left"/>
            </w:pPr>
            <w:r>
              <w:t xml:space="preserve">Dev, Prod</w:t>
            </w:r>
          </w:p>
        </w:tc>
        <w:tc>
          <w:tcPr/>
          <w:p>
            <w:pPr>
              <w:pStyle w:val="Compact"/>
              <w:jc w:val="left"/>
            </w:pPr>
            <w:r>
              <w:t xml:space="preserve">29</w:t>
            </w:r>
          </w:p>
        </w:tc>
        <w:tc>
          <w:tcPr/>
          <w:p>
            <w:pPr>
              <w:pStyle w:val="Compact"/>
              <w:jc w:val="left"/>
            </w:pPr>
            <w:r>
              <w:t xml:space="preserve">All tests pass or carry a recorded, accepted exception</w:t>
            </w:r>
          </w:p>
        </w:tc>
      </w:tr>
      <w:tr>
        <w:tc>
          <w:tcPr/>
          <w:p>
            <w:pPr>
              <w:pStyle w:val="Compact"/>
              <w:jc w:val="left"/>
            </w:pPr>
            <w:r>
              <w:t xml:space="preserve">31</w:t>
            </w:r>
          </w:p>
        </w:tc>
        <w:tc>
          <w:tcPr/>
          <w:p>
            <w:pPr>
              <w:pStyle w:val="Compact"/>
              <w:jc w:val="left"/>
            </w:pPr>
            <w:r>
              <w:t xml:space="preserve">Hand over to stakeholders, update Service Management, communicate change success and close the change record</w:t>
            </w:r>
          </w:p>
        </w:tc>
        <w:tc>
          <w:tcPr/>
          <w:p>
            <w:pPr>
              <w:pStyle w:val="Compact"/>
              <w:jc w:val="left"/>
            </w:pPr>
            <w:r>
              <w:t xml:space="preserve">Dev, Prod</w:t>
            </w:r>
          </w:p>
        </w:tc>
        <w:tc>
          <w:tcPr/>
          <w:p>
            <w:pPr>
              <w:pStyle w:val="Compact"/>
              <w:jc w:val="left"/>
            </w:pPr>
            <w:r>
              <w:t xml:space="preserve">30</w:t>
            </w:r>
          </w:p>
        </w:tc>
        <w:tc>
          <w:tcPr/>
          <w:p>
            <w:pPr>
              <w:pStyle w:val="Compact"/>
              <w:jc w:val="left"/>
            </w:pPr>
            <w:r>
              <w:t xml:space="preserve">Change record closed with a CAB reference</w:t>
            </w:r>
          </w:p>
        </w:tc>
      </w:tr>
    </w:tbl>
    <w:p>
      <w:pPr>
        <w:pStyle w:val="BodyText"/>
      </w:pPr>
      <w:r>
        <w:t xml:space="preserve">Steps 7 to 23 have no dependency on any later build step and can begin as soon as P1 (IPAM confirmation), P6 (organisation-level roles) and P7 (folder creation) are in place.</w:t>
      </w:r>
    </w:p>
    <w:bookmarkEnd w:id="35"/>
    <w:bookmarkStart w:id="36" w:name="day-1-exit-criteria"/>
    <w:p>
      <w:pPr>
        <w:pStyle w:val="Heading3"/>
      </w:pPr>
      <w:r>
        <w:t xml:space="preserve">2.5.4 Day-1 exit criteria</w:t>
      </w:r>
    </w:p>
    <w:p>
      <w:pPr>
        <w:pStyle w:val="FirstParagraph"/>
      </w:pPr>
      <w:r>
        <w:rPr>
          <w:b/>
          <w:bCs/>
        </w:rPr>
        <w:t xml:space="preserve">Development</w:t>
      </w:r>
    </w:p>
    <w:p>
      <w:pPr>
        <w:pStyle w:val="Compact"/>
        <w:numPr>
          <w:ilvl w:val="0"/>
          <w:numId w:val="1004"/>
        </w:numPr>
      </w:pPr>
      <w:r>
        <w:t xml:space="preserve">A Colt user on a ZPA-connected device reaches the AI Hub, signs in</w:t>
      </w:r>
      <w:r>
        <w:t xml:space="preserve"> </w:t>
      </w:r>
      <w:r>
        <w:rPr>
          <w:b/>
          <w:bCs/>
        </w:rPr>
        <w:t xml:space="preserve">exactly once</w:t>
      </w:r>
      <w:r>
        <w:t xml:space="preserve">, and uses both use cases.</w:t>
      </w:r>
    </w:p>
    <w:p>
      <w:pPr>
        <w:pStyle w:val="Compact"/>
        <w:numPr>
          <w:ilvl w:val="0"/>
          <w:numId w:val="1004"/>
        </w:numPr>
      </w:pPr>
      <w:r>
        <w:t xml:space="preserve">Browser storage contains</w:t>
      </w:r>
      <w:r>
        <w:t xml:space="preserve"> </w:t>
      </w:r>
      <w:r>
        <w:rPr>
          <w:b/>
          <w:bCs/>
        </w:rPr>
        <w:t xml:space="preserve">one</w:t>
      </w:r>
      <w:r>
        <w:t xml:space="preserve"> </w:t>
      </w:r>
      <w:r>
        <w:rPr>
          <w:rStyle w:val="VerbatimChar"/>
        </w:rPr>
        <w:t xml:space="preserve">__Host-</w:t>
      </w:r>
      <w:r>
        <w:t xml:space="preserve"> </w:t>
      </w:r>
      <w:r>
        <w:t xml:space="preserve">prefixed opaque cookie and</w:t>
      </w:r>
      <w:r>
        <w:t xml:space="preserve"> </w:t>
      </w:r>
      <w:r>
        <w:rPr>
          <w:b/>
          <w:bCs/>
        </w:rPr>
        <w:t xml:space="preserve">no token of any kind</w:t>
      </w:r>
      <w:r>
        <w:t xml:space="preserve">.</w:t>
      </w:r>
    </w:p>
    <w:p>
      <w:pPr>
        <w:pStyle w:val="Compact"/>
        <w:numPr>
          <w:ilvl w:val="0"/>
          <w:numId w:val="1004"/>
        </w:numPr>
      </w:pPr>
      <w:r>
        <w:t xml:space="preserve">A translation-entitled user calling a sales endpoint receives 403 from Apigee on the missing App Role.</w:t>
      </w:r>
    </w:p>
    <w:p>
      <w:pPr>
        <w:pStyle w:val="Compact"/>
        <w:numPr>
          <w:ilvl w:val="0"/>
          <w:numId w:val="1004"/>
        </w:numPr>
      </w:pPr>
      <w:r>
        <w:t xml:space="preserve">A workload service account calling Vertex AI directly is</w:t>
      </w:r>
      <w:r>
        <w:t xml:space="preserve"> </w:t>
      </w:r>
      <w:r>
        <w:rPr>
          <w:b/>
          <w:bCs/>
        </w:rPr>
        <w:t xml:space="preserve">denied</w:t>
      </w:r>
      <w:r>
        <w:t xml:space="preserve">.</w:t>
      </w:r>
    </w:p>
    <w:p>
      <w:pPr>
        <w:pStyle w:val="Compact"/>
        <w:numPr>
          <w:ilvl w:val="0"/>
          <w:numId w:val="1004"/>
        </w:numPr>
      </w:pPr>
      <w:r>
        <w:t xml:space="preserve">No</w:t>
      </w:r>
      <w:r>
        <w:t xml:space="preserve"> </w:t>
      </w:r>
      <w:r>
        <w:rPr>
          <w:rStyle w:val="VerbatimChar"/>
        </w:rPr>
        <w:t xml:space="preserve">allUsers</w:t>
      </w:r>
      <w:r>
        <w:t xml:space="preserve"> </w:t>
      </w:r>
      <w:r>
        <w:t xml:space="preserve">or</w:t>
      </w:r>
      <w:r>
        <w:t xml:space="preserve"> </w:t>
      </w:r>
      <w:r>
        <w:rPr>
          <w:rStyle w:val="VerbatimChar"/>
        </w:rPr>
        <w:t xml:space="preserve">allAuthenticatedUsers</w:t>
      </w:r>
      <w:r>
        <w:t xml:space="preserve"> </w:t>
      </w:r>
      <w:r>
        <w:t xml:space="preserve">binding exists on any Cloud Run service.</w:t>
      </w:r>
    </w:p>
    <w:p>
      <w:pPr>
        <w:pStyle w:val="Compact"/>
        <w:numPr>
          <w:ilvl w:val="0"/>
          <w:numId w:val="1004"/>
        </w:numPr>
      </w:pPr>
      <w:r>
        <w:t xml:space="preserve">The central log bucket contains entries from every project at 400-day retention.</w:t>
      </w:r>
    </w:p>
    <w:p>
      <w:pPr>
        <w:pStyle w:val="Compact"/>
        <w:numPr>
          <w:ilvl w:val="0"/>
          <w:numId w:val="1004"/>
        </w:numPr>
      </w:pPr>
      <w:r>
        <w:t xml:space="preserve">A single user request is traceable end to end in the logs and attributable to</w:t>
      </w:r>
      <w:r>
        <w:t xml:space="preserve"> </w:t>
      </w:r>
      <w:r>
        <w:rPr>
          <w:b/>
          <w:bCs/>
        </w:rPr>
        <w:t xml:space="preserve">the person</w:t>
      </w:r>
      <w:r>
        <w:t xml:space="preserve">, not to a service account.</w:t>
      </w:r>
    </w:p>
    <w:p>
      <w:pPr>
        <w:pStyle w:val="Compact"/>
        <w:numPr>
          <w:ilvl w:val="0"/>
          <w:numId w:val="1004"/>
        </w:numPr>
      </w:pPr>
      <w:r>
        <w:t xml:space="preserve">An unsigned container image is refused on deploy, and a service account key creation attempt is refused by policy.</w:t>
      </w:r>
    </w:p>
    <w:p>
      <w:pPr>
        <w:pStyle w:val="FirstParagraph"/>
      </w:pPr>
      <w:r>
        <w:rPr>
          <w:b/>
          <w:bCs/>
        </w:rPr>
        <w:t xml:space="preserve">Sandbox — as-built confirmation</w:t>
      </w:r>
    </w:p>
    <w:p>
      <w:pPr>
        <w:pStyle w:val="Compact"/>
        <w:numPr>
          <w:ilvl w:val="0"/>
          <w:numId w:val="1005"/>
        </w:numPr>
      </w:pPr>
      <w:r>
        <w:t xml:space="preserve">The Workbench carries no external address and is reachable only through IAP SSH.</w:t>
      </w:r>
    </w:p>
    <w:p>
      <w:pPr>
        <w:pStyle w:val="Compact"/>
        <w:numPr>
          <w:ilvl w:val="0"/>
          <w:numId w:val="1005"/>
        </w:numPr>
      </w:pPr>
      <w:r>
        <w:rPr>
          <w:rStyle w:val="VerbatimChar"/>
        </w:rPr>
        <w:t xml:space="preserve">*.googleapis.com</w:t>
      </w:r>
      <w:r>
        <w:t xml:space="preserve"> </w:t>
      </w:r>
      <w:r>
        <w:t xml:space="preserve">resolves to</w:t>
      </w:r>
      <w:r>
        <w:t xml:space="preserve"> </w:t>
      </w:r>
      <w:r>
        <w:rPr>
          <w:rStyle w:val="VerbatimChar"/>
        </w:rPr>
        <w:t xml:space="preserve">192.168.2.3</w:t>
      </w:r>
      <w:r>
        <w:t xml:space="preserve"> </w:t>
      </w:r>
      <w:r>
        <w:t xml:space="preserve">from inside the Sandbox VPC.</w:t>
      </w:r>
    </w:p>
    <w:p>
      <w:pPr>
        <w:pStyle w:val="Compact"/>
        <w:numPr>
          <w:ilvl w:val="0"/>
          <w:numId w:val="1005"/>
        </w:numPr>
      </w:pPr>
      <w:r>
        <w:t xml:space="preserve">Outbound traffic from Sandbox leaves only from the two reserved NAT addresses.</w:t>
      </w:r>
    </w:p>
    <w:bookmarkEnd w:id="36"/>
    <w:bookmarkStart w:id="37" w:name="rollback-triggers-and-procedure"/>
    <w:p>
      <w:pPr>
        <w:pStyle w:val="Heading3"/>
      </w:pPr>
      <w:r>
        <w:t xml:space="preserve">2.5.5 Rollback triggers and procedure</w:t>
      </w:r>
    </w:p>
    <w:p>
      <w:pPr>
        <w:pStyle w:val="FirstParagraph"/>
      </w:pPr>
      <w:r>
        <w:t xml:space="preserve">Rollback is a planned outcome of the change process. Technical rollback authority sits with the AICOE Platform Team during the window; the PM Team owns the change record and communicates the outcome.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Trigger</w:t>
            </w:r>
          </w:p>
        </w:tc>
        <w:tc>
          <w:tcPr>
            <w:shd w:val="clear" w:color="auto" w:fill="1F3864"/>
          </w:tcPr>
          <w:p>
            <w:pPr>
              <w:pStyle w:val="Compact"/>
              <w:jc w:val="left"/>
            </w:pPr>
            <w:r>
              <w:rPr>
                <w:b/>
                <w:color w:val="FFFFFF"/>
              </w:rPr>
              <w:t xml:space="preserve">Rollback scope</w:t>
            </w:r>
          </w:p>
        </w:tc>
      </w:tr>
      <w:tr>
        <w:tc>
          <w:tcPr/>
          <w:p>
            <w:pPr>
              <w:pStyle w:val="Compact"/>
              <w:jc w:val="left"/>
            </w:pPr>
            <w:r>
              <w:t xml:space="preserve">Application-level failure — a service is unhealthy, the smoke test fails, or the error rate is unacceptable</w:t>
            </w:r>
          </w:p>
        </w:tc>
        <w:tc>
          <w:tcPr/>
          <w:p>
            <w:pPr>
              <w:pStyle w:val="Compact"/>
              <w:jc w:val="left"/>
            </w:pPr>
            <w:r>
              <w:t xml:space="preserve">Cloud Run revision rollback only, step 1. Infrastructure is left in place</w:t>
            </w:r>
          </w:p>
        </w:tc>
      </w:tr>
      <w:tr>
        <w:tc>
          <w:tcPr/>
          <w:p>
            <w:pPr>
              <w:pStyle w:val="Compact"/>
              <w:jc w:val="left"/>
            </w:pPr>
            <w:r>
              <w:t xml:space="preserve">Infrastructure-level failure — load balancer, NEG, DNS or PSC misconfiguration that cannot be corrected forward inside the window</w:t>
            </w:r>
          </w:p>
        </w:tc>
        <w:tc>
          <w:tcPr/>
          <w:p>
            <w:pPr>
              <w:pStyle w:val="Compact"/>
              <w:jc w:val="left"/>
            </w:pPr>
            <w:r>
              <w:t xml:space="preserve">Steps 1 to 3</w:t>
            </w:r>
          </w:p>
        </w:tc>
      </w:tr>
      <w:tr>
        <w:tc>
          <w:tcPr/>
          <w:p>
            <w:pPr>
              <w:pStyle w:val="Compact"/>
              <w:jc w:val="left"/>
            </w:pPr>
            <w:r>
              <w:t xml:space="preserve">IPAM rejects</w:t>
            </w:r>
            <w:r>
              <w:t xml:space="preserve"> </w:t>
            </w:r>
            <w:r>
              <w:rPr>
                <w:rStyle w:val="VerbatimChar"/>
              </w:rPr>
              <w:t xml:space="preserve">192.168.4.0/22</w:t>
            </w:r>
            <w:r>
              <w:t xml:space="preserve"> </w:t>
            </w:r>
            <w:r>
              <w:t xml:space="preserve">after the build has started</w:t>
            </w:r>
          </w:p>
        </w:tc>
        <w:tc>
          <w:tcPr/>
          <w:p>
            <w:pPr>
              <w:pStyle w:val="Compact"/>
              <w:jc w:val="left"/>
            </w:pPr>
            <w:r>
              <w:t xml:space="preserve">Roll back step 12 onward. Every subnet, firewall destination, DNS record and target server carries the range</w:t>
            </w:r>
          </w:p>
        </w:tc>
      </w:tr>
      <w:tr>
        <w:tc>
          <w:tcPr/>
          <w:p>
            <w:pPr>
              <w:pStyle w:val="Compact"/>
              <w:jc w:val="left"/>
            </w:pPr>
            <w:r>
              <w:t xml:space="preserve">A certificate cannot be issued for a privately resolved name</w:t>
            </w:r>
          </w:p>
        </w:tc>
        <w:tc>
          <w:tcPr/>
          <w:p>
            <w:pPr>
              <w:pStyle w:val="Compact"/>
              <w:jc w:val="left"/>
            </w:pPr>
            <w:r>
              <w:t xml:space="preserve">Roll back the step 26 frontend. The alternative — an internal Colt certificate authority — requires the CA certificate in</w:t>
            </w:r>
            <w:r>
              <w:t xml:space="preserve"> </w:t>
            </w:r>
            <w:r>
              <w:rPr>
                <w:b/>
                <w:bCs/>
              </w:rPr>
              <w:t xml:space="preserve">every</w:t>
            </w:r>
            <w:r>
              <w:t xml:space="preserve"> </w:t>
            </w:r>
            <w:r>
              <w:t xml:space="preserve">container image</w:t>
            </w:r>
          </w:p>
        </w:tc>
      </w:tr>
      <w:tr>
        <w:tc>
          <w:tcPr/>
          <w:p>
            <w:pPr>
              <w:pStyle w:val="Compact"/>
              <w:jc w:val="left"/>
            </w:pPr>
            <w:r>
              <w:t xml:space="preserve">Impact to a workload outside the AI CoE platform</w:t>
            </w:r>
          </w:p>
        </w:tc>
        <w:tc>
          <w:tcPr/>
          <w:p>
            <w:pPr>
              <w:pStyle w:val="Compact"/>
              <w:jc w:val="left"/>
            </w:pPr>
            <w:r>
              <w:t xml:space="preserve">Full rollback, steps 1 to 6, on AICOE Platform Team authority</w:t>
            </w:r>
          </w:p>
        </w:tc>
      </w:tr>
      <w:tr>
        <w:tc>
          <w:tcPr/>
          <w:p>
            <w:pPr>
              <w:pStyle w:val="Compact"/>
              <w:jc w:val="left"/>
            </w:pPr>
            <w:r>
              <w:t xml:space="preserve">Window overrun with no viable path to the exit criteria</w:t>
            </w:r>
          </w:p>
        </w:tc>
        <w:tc>
          <w:tcPr/>
          <w:p>
            <w:pPr>
              <w:pStyle w:val="Compact"/>
              <w:jc w:val="left"/>
            </w:pPr>
            <w:r>
              <w:t xml:space="preserve">Full rollback, steps 1 to 6. The change is closed as unsuccessful and re-submitted to CAB</w:t>
            </w:r>
          </w:p>
        </w:tc>
      </w:tr>
    </w:tbl>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Rollback activity</w:t>
            </w:r>
          </w:p>
        </w:tc>
        <w:tc>
          <w:tcPr>
            <w:shd w:val="clear" w:color="auto" w:fill="1F3864"/>
          </w:tcPr>
          <w:p>
            <w:pPr>
              <w:pStyle w:val="Compact"/>
              <w:jc w:val="left"/>
            </w:pPr>
            <w:r>
              <w:rPr>
                <w:b/>
                <w:color w:val="FFFFFF"/>
              </w:rPr>
              <w:t xml:space="preserve">Owner</w:t>
            </w:r>
          </w:p>
        </w:tc>
        <w:tc>
          <w:tcPr>
            <w:shd w:val="clear" w:color="auto" w:fill="1F3864"/>
          </w:tcPr>
          <w:p>
            <w:pPr>
              <w:pStyle w:val="Compact"/>
              <w:jc w:val="left"/>
            </w:pPr>
            <w:r>
              <w:rPr>
                <w:b/>
                <w:color w:val="FFFFFF"/>
              </w:rPr>
              <w:t xml:space="preserve">Note</w:t>
            </w:r>
          </w:p>
        </w:tc>
      </w:tr>
      <w:tr>
        <w:tc>
          <w:tcPr/>
          <w:p>
            <w:pPr>
              <w:pStyle w:val="Compact"/>
              <w:jc w:val="left"/>
            </w:pPr>
            <w:r>
              <w:t xml:space="preserve">1</w:t>
            </w:r>
          </w:p>
        </w:tc>
        <w:tc>
          <w:tcPr/>
          <w:p>
            <w:pPr>
              <w:pStyle w:val="Compact"/>
              <w:jc w:val="left"/>
            </w:pPr>
            <w:r>
              <w:t xml:space="preserve">Freeze the pipeline — revoke the apply role from the Terraform deployer identity, then roll Cloud Run services back to the previous revision by traffic split</w:t>
            </w:r>
          </w:p>
        </w:tc>
        <w:tc>
          <w:tcPr/>
          <w:p>
            <w:pPr>
              <w:pStyle w:val="Compact"/>
              <w:jc w:val="left"/>
            </w:pPr>
            <w:r>
              <w:t xml:space="preserve">AICOE Platform Team</w:t>
            </w:r>
          </w:p>
        </w:tc>
        <w:tc>
          <w:tcPr/>
          <w:p>
            <w:pPr>
              <w:pStyle w:val="Compact"/>
              <w:jc w:val="left"/>
            </w:pPr>
            <w:r>
              <w:t xml:space="preserve">Traffic-split rollback is the fastest reversal and requires no rebuild. It depends on P11 (Terraform state backend and rollback capability) having confirmed prior revisions exist</w:t>
            </w:r>
          </w:p>
        </w:tc>
      </w:tr>
      <w:tr>
        <w:tc>
          <w:tcPr/>
          <w:p>
            <w:pPr>
              <w:pStyle w:val="Compact"/>
              <w:jc w:val="left"/>
            </w:pPr>
            <w:r>
              <w:t xml:space="preserve">2</w:t>
            </w:r>
          </w:p>
        </w:tc>
        <w:tc>
          <w:tcPr/>
          <w:p>
            <w:pPr>
              <w:pStyle w:val="Compact"/>
              <w:jc w:val="left"/>
            </w:pPr>
            <w:r>
              <w:t xml:space="preserve">Remove the URL map path rules, leaving the front door serving the AI Hub only, then Terraform apply against the previous approved state or tag</w:t>
            </w:r>
          </w:p>
        </w:tc>
        <w:tc>
          <w:tcPr/>
          <w:p>
            <w:pPr>
              <w:pStyle w:val="Compact"/>
              <w:jc w:val="left"/>
            </w:pPr>
            <w:r>
              <w:t xml:space="preserve">AICOE Platform Team</w:t>
            </w:r>
          </w:p>
        </w:tc>
        <w:tc>
          <w:tcPr/>
          <w:p>
            <w:pPr>
              <w:pStyle w:val="Compact"/>
              <w:jc w:val="left"/>
            </w:pPr>
            <w:r>
              <w:t xml:space="preserve">Stops user traffic reaching a broken backend before infrastructure is reverted</w:t>
            </w:r>
          </w:p>
        </w:tc>
      </w:tr>
      <w:tr>
        <w:tc>
          <w:tcPr/>
          <w:p>
            <w:pPr>
              <w:pStyle w:val="Compact"/>
              <w:jc w:val="left"/>
            </w:pPr>
            <w:r>
              <w:t xml:space="preserve">3</w:t>
            </w:r>
          </w:p>
        </w:tc>
        <w:tc>
          <w:tcPr/>
          <w:p>
            <w:pPr>
              <w:pStyle w:val="Compact"/>
              <w:jc w:val="left"/>
            </w:pPr>
            <w:r>
              <w:t xml:space="preserve">Delete Apigee</w:t>
            </w:r>
            <w:r>
              <w:t xml:space="preserve"> </w:t>
            </w:r>
            <w:r>
              <w:rPr>
                <w:b/>
                <w:bCs/>
              </w:rPr>
              <w:t xml:space="preserve">proxies and products</w:t>
            </w:r>
            <w:r>
              <w:t xml:space="preserve">, not the organisation</w:t>
            </w:r>
          </w:p>
        </w:tc>
        <w:tc>
          <w:tcPr/>
          <w:p>
            <w:pPr>
              <w:pStyle w:val="Compact"/>
              <w:jc w:val="left"/>
            </w:pPr>
            <w:r>
              <w:t xml:space="preserve">AICOE Platform Team</w:t>
            </w:r>
          </w:p>
        </w:tc>
        <w:tc>
          <w:tcPr/>
          <w:p>
            <w:pPr>
              <w:pStyle w:val="Compact"/>
              <w:jc w:val="left"/>
            </w:pPr>
            <w:r>
              <w:t xml:space="preserve">Organisation deletion carries a waiting period and destroys settings that cannot be recreated</w:t>
            </w:r>
          </w:p>
        </w:tc>
      </w:tr>
      <w:tr>
        <w:tc>
          <w:tcPr/>
          <w:p>
            <w:pPr>
              <w:pStyle w:val="Compact"/>
              <w:jc w:val="left"/>
            </w:pPr>
            <w:r>
              <w:t xml:space="preserve">4</w:t>
            </w:r>
          </w:p>
        </w:tc>
        <w:tc>
          <w:tcPr/>
          <w:p>
            <w:pPr>
              <w:pStyle w:val="Compact"/>
              <w:jc w:val="left"/>
            </w:pPr>
            <w:r>
              <w:t xml:space="preserve">Withdraw the CSOC firewall opening for</w:t>
            </w:r>
            <w:r>
              <w:t xml:space="preserve"> </w:t>
            </w:r>
            <w:r>
              <w:rPr>
                <w:rStyle w:val="VerbatimChar"/>
              </w:rPr>
              <w:t xml:space="preserve">10.110.73.20</w:t>
            </w:r>
          </w:p>
        </w:tc>
        <w:tc>
          <w:tcPr/>
          <w:p>
            <w:pPr>
              <w:pStyle w:val="Compact"/>
              <w:jc w:val="left"/>
            </w:pPr>
            <w:r>
              <w:t xml:space="preserve">Colt CSOC</w:t>
            </w:r>
          </w:p>
        </w:tc>
        <w:tc>
          <w:tcPr/>
          <w:p>
            <w:pPr>
              <w:pStyle w:val="Compact"/>
              <w:jc w:val="left"/>
            </w:pPr>
            <w:r>
              <w:t xml:space="preserve">Only where the rollback is security-driven</w:t>
            </w:r>
          </w:p>
        </w:tc>
      </w:tr>
      <w:tr>
        <w:tc>
          <w:tcPr/>
          <w:p>
            <w:pPr>
              <w:pStyle w:val="Compact"/>
              <w:jc w:val="left"/>
            </w:pPr>
            <w:r>
              <w:t xml:space="preserve">5</w:t>
            </w:r>
          </w:p>
        </w:tc>
        <w:tc>
          <w:tcPr/>
          <w:p>
            <w:pPr>
              <w:pStyle w:val="Compact"/>
              <w:jc w:val="left"/>
            </w:pPr>
            <w:r>
              <w:t xml:space="preserve">Retain the log bucket, all sinks and all KMS keys. Never schedule key destruction; disable newly created key versions only if strictly required</w:t>
            </w:r>
          </w:p>
        </w:tc>
        <w:tc>
          <w:tcPr/>
          <w:p>
            <w:pPr>
              <w:pStyle w:val="Compact"/>
              <w:jc w:val="left"/>
            </w:pPr>
            <w:r>
              <w:t xml:space="preserve">AICOE Platform Team</w:t>
            </w:r>
          </w:p>
        </w:tc>
        <w:tc>
          <w:tcPr/>
          <w:p>
            <w:pPr>
              <w:pStyle w:val="Compact"/>
              <w:jc w:val="left"/>
            </w:pPr>
            <w:r>
              <w:t xml:space="preserve">Evidence retention survives a rollback. Destroying a key makes CMEK-encrypted data unrecoverable</w:t>
            </w:r>
          </w:p>
        </w:tc>
      </w:tr>
      <w:tr>
        <w:tc>
          <w:tcPr/>
          <w:p>
            <w:pPr>
              <w:pStyle w:val="Compact"/>
              <w:jc w:val="left"/>
            </w:pPr>
            <w:r>
              <w:t xml:space="preserve">6</w:t>
            </w:r>
          </w:p>
        </w:tc>
        <w:tc>
          <w:tcPr/>
          <w:p>
            <w:pPr>
              <w:pStyle w:val="Compact"/>
              <w:jc w:val="left"/>
            </w:pPr>
            <w:r>
              <w:t xml:space="preserve">Platform sanity check — networking, DNS and PSC resolution; confirm workloads outside the platform are unaffected and smoke-test existing applications</w:t>
            </w:r>
          </w:p>
        </w:tc>
        <w:tc>
          <w:tcPr/>
          <w:p>
            <w:pPr>
              <w:pStyle w:val="Compact"/>
              <w:jc w:val="left"/>
            </w:pPr>
            <w:r>
              <w:t xml:space="preserve">AICOE Platform Team</w:t>
            </w:r>
          </w:p>
        </w:tc>
        <w:tc>
          <w:tcPr/>
          <w:p>
            <w:pPr>
              <w:pStyle w:val="Compact"/>
              <w:jc w:val="left"/>
            </w:pPr>
            <w:r>
              <w:t xml:space="preserve">Provides evidence that the rollback completed, rather than an assumption that it did</w:t>
            </w:r>
          </w:p>
        </w:tc>
      </w:tr>
      <w:tr>
        <w:tc>
          <w:tcPr/>
          <w:p>
            <w:pPr>
              <w:pStyle w:val="Compact"/>
              <w:jc w:val="left"/>
            </w:pPr>
            <w:r>
              <w:t xml:space="preserve">7</w:t>
            </w:r>
          </w:p>
        </w:tc>
        <w:tc>
          <w:tcPr/>
          <w:p>
            <w:pPr>
              <w:pStyle w:val="Compact"/>
              <w:jc w:val="left"/>
            </w:pPr>
            <w:r>
              <w:t xml:space="preserve">Update Service Management, communicate the change as unsuccessful and document the rollback reason</w:t>
            </w:r>
          </w:p>
        </w:tc>
        <w:tc>
          <w:tcPr/>
          <w:p>
            <w:pPr>
              <w:pStyle w:val="Compact"/>
              <w:jc w:val="left"/>
            </w:pPr>
            <w:r>
              <w:t xml:space="preserve">PM Team</w:t>
            </w:r>
          </w:p>
        </w:tc>
        <w:tc>
          <w:tcPr/>
          <w:p>
            <w:pPr>
              <w:pStyle w:val="Compact"/>
              <w:jc w:val="left"/>
            </w:pPr>
            <w:r>
              <w:t xml:space="preserve">The documented reason is the required input to the CAB re-submission and prevents recurrence of the same failure</w:t>
            </w:r>
          </w:p>
        </w:tc>
      </w:tr>
    </w:tbl>
    <w:bookmarkEnd w:id="37"/>
    <w:bookmarkStart w:id="38" w:name="X673e9c6b171e67a3a7ddecba1d0f84aaabc5473"/>
    <w:p>
      <w:pPr>
        <w:pStyle w:val="Heading3"/>
      </w:pPr>
      <w:r>
        <w:t xml:space="preserve">2.5.6 Change governance and handover to operations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Aspect</w:t>
            </w:r>
          </w:p>
        </w:tc>
        <w:tc>
          <w:tcPr>
            <w:shd w:val="clear" w:color="auto" w:fill="1F3864"/>
          </w:tcPr>
          <w:p>
            <w:pPr>
              <w:pStyle w:val="Compact"/>
              <w:jc w:val="left"/>
            </w:pPr>
            <w:r>
              <w:rPr>
                <w:b/>
                <w:color w:val="FFFFFF"/>
              </w:rPr>
              <w:t xml:space="preserve">Position</w:t>
            </w:r>
          </w:p>
        </w:tc>
      </w:tr>
      <w:tr>
        <w:tc>
          <w:tcPr/>
          <w:p>
            <w:pPr>
              <w:pStyle w:val="Compact"/>
              <w:jc w:val="left"/>
            </w:pPr>
            <w:r>
              <w:t xml:space="preserve">Infrastructure changes</w:t>
            </w:r>
          </w:p>
        </w:tc>
        <w:tc>
          <w:tcPr/>
          <w:p>
            <w:pPr>
              <w:pStyle w:val="Compact"/>
              <w:jc w:val="left"/>
            </w:pPr>
            <w:r>
              <w:t xml:space="preserve">Terraform, merge request,</w:t>
            </w:r>
            <w:r>
              <w:t xml:space="preserve"> </w:t>
            </w:r>
            <w:r>
              <w:rPr>
                <w:rStyle w:val="VerbatimChar"/>
              </w:rPr>
              <w:t xml:space="preserve">plan</w:t>
            </w:r>
            <w:r>
              <w:t xml:space="preserve"> </w:t>
            </w:r>
            <w:r>
              <w:t xml:space="preserve">posted to the request, apply on merge to a protected branch</w:t>
            </w:r>
          </w:p>
        </w:tc>
      </w:tr>
      <w:tr>
        <w:tc>
          <w:tcPr/>
          <w:p>
            <w:pPr>
              <w:pStyle w:val="Compact"/>
              <w:jc w:val="left"/>
            </w:pPr>
            <w:r>
              <w:t xml:space="preserve">Apigee proxy and product changes</w:t>
            </w:r>
          </w:p>
        </w:tc>
        <w:tc>
          <w:tcPr/>
          <w:p>
            <w:pPr>
              <w:pStyle w:val="Compact"/>
              <w:jc w:val="left"/>
            </w:pPr>
            <w:r>
              <w:t xml:space="preserve">Held in Git, applied by the pipeline service account only. The console is read-only for humans; a console change is treated as drift to be reconciled</w:t>
            </w:r>
          </w:p>
        </w:tc>
      </w:tr>
      <w:tr>
        <w:tc>
          <w:tcPr/>
          <w:p>
            <w:pPr>
              <w:pStyle w:val="Compact"/>
              <w:jc w:val="left"/>
            </w:pPr>
            <w:r>
              <w:t xml:space="preserve">Organisation policy changes</w:t>
            </w:r>
          </w:p>
        </w:tc>
        <w:tc>
          <w:tcPr/>
          <w:p>
            <w:pPr>
              <w:pStyle w:val="Compact"/>
              <w:jc w:val="left"/>
            </w:pPr>
            <w:r>
              <w:t xml:space="preserve">Colt Cloud CoE change process — external lead time</w:t>
            </w:r>
          </w:p>
        </w:tc>
      </w:tr>
      <w:tr>
        <w:tc>
          <w:tcPr/>
          <w:p>
            <w:pPr>
              <w:pStyle w:val="Compact"/>
              <w:jc w:val="left"/>
            </w:pPr>
            <w:r>
              <w:t xml:space="preserve">CSOC firewall and IPAM requests</w:t>
            </w:r>
          </w:p>
        </w:tc>
        <w:tc>
          <w:tcPr/>
          <w:p>
            <w:pPr>
              <w:pStyle w:val="Compact"/>
              <w:jc w:val="left"/>
            </w:pPr>
            <w:r>
              <w:t xml:space="preserve">Colt process — external lead time. No platform change should assume same-day turnaround</w:t>
            </w:r>
          </w:p>
        </w:tc>
      </w:tr>
      <w:tr>
        <w:tc>
          <w:tcPr/>
          <w:p>
            <w:pPr>
              <w:pStyle w:val="Compact"/>
              <w:jc w:val="left"/>
            </w:pPr>
            <w:r>
              <w:t xml:space="preserve">Entra App Role and group membership</w:t>
            </w:r>
          </w:p>
        </w:tc>
        <w:tc>
          <w:tcPr/>
          <w:p>
            <w:pPr>
              <w:pStyle w:val="Compact"/>
              <w:jc w:val="left"/>
            </w:pPr>
            <w:r>
              <w:t xml:space="preserve">Identity Team and service desk. A group membership change needs no application-registration edit, which is the reason for the combined App Roles and groups model</w:t>
            </w:r>
          </w:p>
        </w:tc>
      </w:tr>
      <w:tr>
        <w:tc>
          <w:tcPr/>
          <w:p>
            <w:pPr>
              <w:pStyle w:val="Compact"/>
              <w:jc w:val="left"/>
            </w:pPr>
            <w:r>
              <w:t xml:space="preserve">Model allow-list additions</w:t>
            </w:r>
          </w:p>
        </w:tc>
        <w:tc>
          <w:tcPr/>
          <w:p>
            <w:pPr>
              <w:pStyle w:val="Compact"/>
              <w:jc w:val="left"/>
            </w:pPr>
            <w:r>
              <w:t xml:space="preserve">A configuration edit to the</w:t>
            </w:r>
            <w:r>
              <w:t xml:space="preserve"> </w:t>
            </w:r>
            <w:r>
              <w:rPr>
                <w:rStyle w:val="VerbatimChar"/>
              </w:rPr>
              <w:t xml:space="preserve">allowed-models</w:t>
            </w:r>
            <w:r>
              <w:t xml:space="preserve"> </w:t>
            </w:r>
            <w:r>
              <w:t xml:space="preserve">key value map, held in Git, with a named approver</w:t>
            </w:r>
          </w:p>
        </w:tc>
      </w:tr>
      <w:tr>
        <w:tc>
          <w:tcPr/>
          <w:p>
            <w:pPr>
              <w:pStyle w:val="Compact"/>
              <w:jc w:val="left"/>
            </w:pPr>
            <w:r>
              <w:t xml:space="preserve">Emergency change</w:t>
            </w:r>
          </w:p>
        </w:tc>
        <w:tc>
          <w:tcPr/>
          <w:p>
            <w:pPr>
              <w:pStyle w:val="Compact"/>
              <w:jc w:val="left"/>
            </w:pPr>
            <w:r>
              <w:t xml:space="preserve">The break-glass path in</w:t>
            </w:r>
            <w:r>
              <w:t xml:space="preserve"> </w:t>
            </w:r>
            <w:r>
              <w:rPr>
                <w:b/>
                <w:bCs/>
              </w:rPr>
              <w:t xml:space="preserve">Security Architecture and Operations</w:t>
            </w:r>
            <w:r>
              <w:t xml:space="preserve">. Every use raises an alert</w:t>
            </w:r>
          </w:p>
        </w:tc>
      </w:tr>
      <w:tr>
        <w:tc>
          <w:tcPr/>
          <w:p>
            <w:pPr>
              <w:pStyle w:val="Compact"/>
              <w:jc w:val="left"/>
            </w:pPr>
            <w:r>
              <w:t xml:space="preserve">Change approval</w:t>
            </w:r>
          </w:p>
        </w:tc>
        <w:tc>
          <w:tcPr/>
          <w:p>
            <w:pPr>
              <w:pStyle w:val="Compact"/>
              <w:jc w:val="left"/>
            </w:pPr>
            <w:r>
              <w:t xml:space="preserve">CAB approval against a submitted change record, obtained by the PM Team before the window opens</w:t>
            </w:r>
          </w:p>
        </w:tc>
      </w:tr>
      <w:tr>
        <w:tc>
          <w:tcPr/>
          <w:p>
            <w:pPr>
              <w:pStyle w:val="Compact"/>
              <w:jc w:val="left"/>
            </w:pPr>
            <w:r>
              <w:t xml:space="preserve">Authority during the window</w:t>
            </w:r>
          </w:p>
        </w:tc>
        <w:tc>
          <w:tcPr/>
          <w:p>
            <w:pPr>
              <w:pStyle w:val="Compact"/>
              <w:jc w:val="left"/>
            </w:pPr>
            <w:r>
              <w:t xml:space="preserve">AICOE Platform Team for technical decisions including rollback; PM Team for change closure and communication</w:t>
            </w:r>
          </w:p>
        </w:tc>
      </w:tr>
      <w:tr>
        <w:tc>
          <w:tcPr/>
          <w:p>
            <w:pPr>
              <w:pStyle w:val="Compact"/>
              <w:jc w:val="left"/>
            </w:pPr>
            <w:r>
              <w:t xml:space="preserve">Handover to operations</w:t>
            </w:r>
          </w:p>
        </w:tc>
        <w:tc>
          <w:tcPr/>
          <w:p>
            <w:pPr>
              <w:pStyle w:val="Compact"/>
              <w:jc w:val="left"/>
            </w:pPr>
            <w:r>
              <w:t xml:space="preserve">On closure of the change record the platform passes to Platform Operate at</w:t>
            </w:r>
            <w:r>
              <w:t xml:space="preserve"> </w:t>
            </w:r>
            <w:r>
              <w:rPr>
                <w:rStyle w:val="VerbatimChar"/>
              </w:rPr>
              <w:t xml:space="preserve">platformoperate@colt.net</w:t>
            </w:r>
            <w:r>
              <w:t xml:space="preserve">, with the alerting policies, runbooks and the break-glass procedure in place</w:t>
            </w:r>
          </w:p>
        </w:tc>
      </w:tr>
      <w:tr>
        <w:tc>
          <w:tcPr/>
          <w:p>
            <w:pPr>
              <w:pStyle w:val="Compact"/>
              <w:jc w:val="left"/>
            </w:pPr>
            <w:r>
              <w:t xml:space="preserve">First-30-day operating posture</w:t>
            </w:r>
          </w:p>
        </w:tc>
        <w:tc>
          <w:tcPr/>
          <w:p>
            <w:pPr>
              <w:pStyle w:val="Compact"/>
              <w:jc w:val="left"/>
            </w:pPr>
            <w:r>
              <w:t xml:space="preserve">The AICOE Platform Team remains available to Platform Operate for escalation. Alert thresholds and quota values are reviewed at the end of the period against observed traffic</w:t>
            </w:r>
          </w:p>
        </w:tc>
      </w:tr>
      <w:tr>
        <w:tc>
          <w:tcPr/>
          <w:p>
            <w:pPr>
              <w:pStyle w:val="Compact"/>
              <w:jc w:val="left"/>
            </w:pPr>
            <w:r>
              <w:t xml:space="preserve">Documentation closure</w:t>
            </w:r>
          </w:p>
        </w:tc>
        <w:tc>
          <w:tcPr/>
          <w:p>
            <w:pPr>
              <w:pStyle w:val="Compact"/>
              <w:jc w:val="left"/>
            </w:pPr>
            <w:r>
              <w:t xml:space="preserve">This design and the change plan are confirmed to be in agreement before the change record is closed. Points requiring a decision are raised with the design authority during the build rather than carried as open items in this document</w:t>
            </w:r>
          </w:p>
        </w:tc>
      </w:tr>
    </w:tbl>
    <w:p>
      <w:r>
        <w:pict>
          <v:rect style="width:0;height:1.5pt" o:hralign="center" o:hrstd="t" o:hr="t"/>
        </w:pict>
      </w:r>
    </w:p>
    <w:bookmarkEnd w:id="38"/>
    <w:bookmarkEnd w:id="39"/>
    <w:bookmarkEnd w:id="40"/>
    <w:bookmarkStart w:id="49" w:name="requirements"/>
    <w:p>
      <w:pPr>
        <w:pStyle w:val="Heading1"/>
      </w:pPr>
      <w:r>
        <w:t xml:space="preserve">3. Requirements</w:t>
      </w:r>
    </w:p>
    <w:p>
      <w:pPr>
        <w:pStyle w:val="FirstParagraph"/>
      </w:pPr>
      <w:r>
        <w:t xml:space="preserve">Each requirement carries an identifier so it can be traced through the design, build and test stages. Compliance identifiers are referenced again in</w:t>
      </w:r>
      <w:r>
        <w:t xml:space="preserve"> </w:t>
      </w:r>
      <w:r>
        <w:rPr>
          <w:b/>
          <w:bCs/>
        </w:rPr>
        <w:t xml:space="preserve">Security Architecture and Operations</w:t>
      </w:r>
      <w:r>
        <w:t xml:space="preserve"> </w:t>
      </w:r>
      <w:r>
        <w:t xml:space="preserve">under Security Control Traceability.</w:t>
      </w:r>
    </w:p>
    <w:bookmarkStart w:id="41" w:name="business-requirements"/>
    <w:p>
      <w:pPr>
        <w:pStyle w:val="Heading2"/>
      </w:pPr>
      <w:r>
        <w:t xml:space="preserve">3.1 Business requirements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ID</w:t>
            </w:r>
          </w:p>
        </w:tc>
        <w:tc>
          <w:tcPr>
            <w:shd w:val="clear" w:color="auto" w:fill="1F3864"/>
          </w:tcPr>
          <w:p>
            <w:pPr>
              <w:pStyle w:val="Compact"/>
              <w:jc w:val="left"/>
            </w:pPr>
            <w:r>
              <w:rPr>
                <w:b/>
                <w:color w:val="FFFFFF"/>
              </w:rPr>
              <w:t xml:space="preserve">Requirement</w:t>
            </w:r>
          </w:p>
        </w:tc>
      </w:tr>
      <w:tr>
        <w:tc>
          <w:tcPr/>
          <w:p>
            <w:pPr>
              <w:pStyle w:val="Compact"/>
              <w:jc w:val="left"/>
            </w:pPr>
            <w:r>
              <w:t xml:space="preserve">BR-01</w:t>
            </w:r>
          </w:p>
        </w:tc>
        <w:tc>
          <w:tcPr/>
          <w:p>
            <w:pPr>
              <w:pStyle w:val="Compact"/>
              <w:jc w:val="left"/>
            </w:pPr>
            <w:r>
              <w:t xml:space="preserve">Provide a single internal entry point through which Colt staff reach AI usecases, without a separate credential</w:t>
            </w:r>
          </w:p>
        </w:tc>
      </w:tr>
      <w:tr>
        <w:tc>
          <w:tcPr/>
          <w:p>
            <w:pPr>
              <w:pStyle w:val="Compact"/>
              <w:jc w:val="left"/>
            </w:pPr>
            <w:r>
              <w:t xml:space="preserve">BR-02</w:t>
            </w:r>
          </w:p>
        </w:tc>
        <w:tc>
          <w:tcPr/>
          <w:p>
            <w:pPr>
              <w:pStyle w:val="Compact"/>
              <w:jc w:val="left"/>
            </w:pPr>
            <w:r>
              <w:t xml:space="preserve">Host two usecases at launch — document translation (synchronous API plus asynchronous worker) and a Sales research agent (retrieval-augmented, single-turn responses)</w:t>
            </w:r>
          </w:p>
        </w:tc>
      </w:tr>
      <w:tr>
        <w:tc>
          <w:tcPr/>
          <w:p>
            <w:pPr>
              <w:pStyle w:val="Compact"/>
              <w:jc w:val="left"/>
            </w:pPr>
            <w:r>
              <w:t xml:space="preserve">BR-03</w:t>
            </w:r>
          </w:p>
        </w:tc>
        <w:tc>
          <w:tcPr/>
          <w:p>
            <w:pPr>
              <w:pStyle w:val="Compact"/>
              <w:jc w:val="left"/>
            </w:pPr>
            <w:r>
              <w:t xml:space="preserve">Business users submit documents for translation without technical knowledge</w:t>
            </w:r>
          </w:p>
        </w:tc>
      </w:tr>
      <w:tr>
        <w:tc>
          <w:tcPr/>
          <w:p>
            <w:pPr>
              <w:pStyle w:val="Compact"/>
              <w:jc w:val="left"/>
            </w:pPr>
            <w:r>
              <w:t xml:space="preserve">BR-04</w:t>
            </w:r>
          </w:p>
        </w:tc>
        <w:tc>
          <w:tcPr/>
          <w:p>
            <w:pPr>
              <w:pStyle w:val="Compact"/>
              <w:jc w:val="left"/>
            </w:pPr>
            <w:r>
              <w:t xml:space="preserve">Support PDF and DOCX source formats</w:t>
            </w:r>
          </w:p>
        </w:tc>
      </w:tr>
      <w:tr>
        <w:tc>
          <w:tcPr/>
          <w:p>
            <w:pPr>
              <w:pStyle w:val="Compact"/>
              <w:jc w:val="left"/>
            </w:pPr>
            <w:r>
              <w:t xml:space="preserve">BR-05</w:t>
            </w:r>
          </w:p>
        </w:tc>
        <w:tc>
          <w:tcPr/>
          <w:p>
            <w:pPr>
              <w:pStyle w:val="Compact"/>
              <w:jc w:val="left"/>
            </w:pPr>
            <w:r>
              <w:t xml:space="preserve">Target language configurable per request, using ISO 639-1 codes</w:t>
            </w:r>
          </w:p>
        </w:tc>
      </w:tr>
      <w:tr>
        <w:tc>
          <w:tcPr/>
          <w:p>
            <w:pPr>
              <w:pStyle w:val="Compact"/>
              <w:jc w:val="left"/>
            </w:pPr>
            <w:r>
              <w:t xml:space="preserve">BR-06</w:t>
            </w:r>
          </w:p>
        </w:tc>
        <w:tc>
          <w:tcPr/>
          <w:p>
            <w:pPr>
              <w:pStyle w:val="Compact"/>
              <w:jc w:val="left"/>
            </w:pPr>
            <w:r>
              <w:t xml:space="preserve">Translated documents available within 5 minutes for documents up to 25 pages</w:t>
            </w:r>
          </w:p>
        </w:tc>
      </w:tr>
      <w:tr>
        <w:tc>
          <w:tcPr/>
          <w:p>
            <w:pPr>
              <w:pStyle w:val="Compact"/>
              <w:jc w:val="left"/>
            </w:pPr>
            <w:r>
              <w:t xml:space="preserve">BR-07</w:t>
            </w:r>
          </w:p>
        </w:tc>
        <w:tc>
          <w:tcPr/>
          <w:p>
            <w:pPr>
              <w:pStyle w:val="Compact"/>
              <w:jc w:val="left"/>
            </w:pPr>
            <w:r>
              <w:t xml:space="preserve">Secure download link issued on translation completion</w:t>
            </w:r>
          </w:p>
        </w:tc>
      </w:tr>
      <w:tr>
        <w:tc>
          <w:tcPr/>
          <w:p>
            <w:pPr>
              <w:pStyle w:val="Compact"/>
              <w:jc w:val="left"/>
            </w:pPr>
            <w:r>
              <w:t xml:space="preserve">BR-08</w:t>
            </w:r>
          </w:p>
        </w:tc>
        <w:tc>
          <w:tcPr/>
          <w:p>
            <w:pPr>
              <w:pStyle w:val="Compact"/>
              <w:jc w:val="left"/>
            </w:pPr>
            <w:r>
              <w:t xml:space="preserve">Translation job history auditable by department administrators</w:t>
            </w:r>
          </w:p>
        </w:tc>
      </w:tr>
      <w:tr>
        <w:tc>
          <w:tcPr/>
          <w:p>
            <w:pPr>
              <w:pStyle w:val="Compact"/>
              <w:jc w:val="left"/>
            </w:pPr>
            <w:r>
              <w:t xml:space="preserve">BR-09</w:t>
            </w:r>
          </w:p>
        </w:tc>
        <w:tc>
          <w:tcPr/>
          <w:p>
            <w:pPr>
              <w:pStyle w:val="Compact"/>
              <w:jc w:val="left"/>
            </w:pPr>
            <w:r>
              <w:t xml:space="preserve">Sales users interact with the Sales Agent through a conversational interface</w:t>
            </w:r>
          </w:p>
        </w:tc>
      </w:tr>
      <w:tr>
        <w:tc>
          <w:tcPr/>
          <w:p>
            <w:pPr>
              <w:pStyle w:val="Compact"/>
              <w:jc w:val="left"/>
            </w:pPr>
            <w:r>
              <w:t xml:space="preserve">BR-10</w:t>
            </w:r>
          </w:p>
        </w:tc>
        <w:tc>
          <w:tcPr/>
          <w:p>
            <w:pPr>
              <w:pStyle w:val="Compact"/>
              <w:jc w:val="left"/>
            </w:pPr>
            <w:r>
              <w:t xml:space="preserve">Sales Agent responses cite the underlying source documents</w:t>
            </w:r>
          </w:p>
        </w:tc>
      </w:tr>
      <w:tr>
        <w:tc>
          <w:tcPr/>
          <w:p>
            <w:pPr>
              <w:pStyle w:val="Compact"/>
              <w:jc w:val="left"/>
            </w:pPr>
            <w:r>
              <w:t xml:space="preserve">BR-11</w:t>
            </w:r>
          </w:p>
        </w:tc>
        <w:tc>
          <w:tcPr/>
          <w:p>
            <w:pPr>
              <w:pStyle w:val="Compact"/>
              <w:jc w:val="left"/>
            </w:pPr>
            <w:r>
              <w:t xml:space="preserve">Sales Agent conversation history retained and auditable</w:t>
            </w:r>
          </w:p>
        </w:tc>
      </w:tr>
      <w:tr>
        <w:tc>
          <w:tcPr/>
          <w:p>
            <w:pPr>
              <w:pStyle w:val="Compact"/>
              <w:jc w:val="left"/>
            </w:pPr>
            <w:r>
              <w:t xml:space="preserve">BR-12</w:t>
            </w:r>
          </w:p>
        </w:tc>
        <w:tc>
          <w:tcPr/>
          <w:p>
            <w:pPr>
              <w:pStyle w:val="Compact"/>
              <w:jc w:val="left"/>
            </w:pPr>
            <w:r>
              <w:t xml:space="preserve">Department documents remain confidential — no cross-department visibility</w:t>
            </w:r>
          </w:p>
        </w:tc>
      </w:tr>
      <w:tr>
        <w:tc>
          <w:tcPr/>
          <w:p>
            <w:pPr>
              <w:pStyle w:val="Compact"/>
              <w:jc w:val="left"/>
            </w:pPr>
            <w:r>
              <w:t xml:space="preserve">BR-13</w:t>
            </w:r>
          </w:p>
        </w:tc>
        <w:tc>
          <w:tcPr/>
          <w:p>
            <w:pPr>
              <w:pStyle w:val="Compact"/>
              <w:jc w:val="left"/>
            </w:pPr>
            <w:r>
              <w:t xml:space="preserve">Retrieved knowledge isolated by business unit, so a query from one unit never returns another unit’s documents</w:t>
            </w:r>
          </w:p>
        </w:tc>
      </w:tr>
      <w:tr>
        <w:tc>
          <w:tcPr/>
          <w:p>
            <w:pPr>
              <w:pStyle w:val="Compact"/>
              <w:jc w:val="left"/>
            </w:pPr>
            <w:r>
              <w:t xml:space="preserve">BR-14</w:t>
            </w:r>
          </w:p>
        </w:tc>
        <w:tc>
          <w:tcPr/>
          <w:p>
            <w:pPr>
              <w:pStyle w:val="Compact"/>
              <w:jc w:val="left"/>
            </w:pPr>
            <w:r>
              <w:t xml:space="preserve">Model consumption and cost attributable to an individual user and to their business unit</w:t>
            </w:r>
          </w:p>
        </w:tc>
      </w:tr>
      <w:tr>
        <w:tc>
          <w:tcPr/>
          <w:p>
            <w:pPr>
              <w:pStyle w:val="Compact"/>
              <w:jc w:val="left"/>
            </w:pPr>
            <w:r>
              <w:t xml:space="preserve">BR-15</w:t>
            </w:r>
          </w:p>
        </w:tc>
        <w:tc>
          <w:tcPr/>
          <w:p>
            <w:pPr>
              <w:pStyle w:val="Compact"/>
              <w:jc w:val="left"/>
            </w:pPr>
            <w:r>
              <w:t xml:space="preserve">A per-user consumption budget, so one user cannot exhaust the platform allowance</w:t>
            </w:r>
          </w:p>
        </w:tc>
      </w:tr>
      <w:tr>
        <w:tc>
          <w:tcPr/>
          <w:p>
            <w:pPr>
              <w:pStyle w:val="Compact"/>
              <w:jc w:val="left"/>
            </w:pPr>
            <w:r>
              <w:t xml:space="preserve">BR-16</w:t>
            </w:r>
          </w:p>
        </w:tc>
        <w:tc>
          <w:tcPr/>
          <w:p>
            <w:pPr>
              <w:pStyle w:val="Compact"/>
              <w:jc w:val="left"/>
            </w:pPr>
            <w:r>
              <w:t xml:space="preserve">Entitlement to each usecase granted and revoked by the service desk through existing group membership processes, with no engineering involvement</w:t>
            </w:r>
          </w:p>
        </w:tc>
      </w:tr>
      <w:tr>
        <w:tc>
          <w:tcPr/>
          <w:p>
            <w:pPr>
              <w:pStyle w:val="Compact"/>
              <w:jc w:val="left"/>
            </w:pPr>
            <w:r>
              <w:t xml:space="preserve">BR-17</w:t>
            </w:r>
          </w:p>
        </w:tc>
        <w:tc>
          <w:tcPr/>
          <w:p>
            <w:pPr>
              <w:pStyle w:val="Compact"/>
              <w:jc w:val="left"/>
            </w:pPr>
            <w:r>
              <w:t xml:space="preserve">Platform extensible to further usecases and departments without architecture change</w:t>
            </w:r>
          </w:p>
        </w:tc>
      </w:tr>
      <w:tr>
        <w:tc>
          <w:tcPr/>
          <w:p>
            <w:pPr>
              <w:pStyle w:val="Compact"/>
              <w:jc w:val="left"/>
            </w:pPr>
            <w:r>
              <w:t xml:space="preserve">BR-18</w:t>
            </w:r>
          </w:p>
        </w:tc>
        <w:tc>
          <w:tcPr/>
          <w:p>
            <w:pPr>
              <w:pStyle w:val="Compact"/>
              <w:jc w:val="left"/>
            </w:pPr>
            <w:r>
              <w:t xml:space="preserve">The AI gateway remains consumable by future usecase VPCs outside this platform’s network</w:t>
            </w:r>
          </w:p>
        </w:tc>
      </w:tr>
      <w:tr>
        <w:tc>
          <w:tcPr/>
          <w:p>
            <w:pPr>
              <w:pStyle w:val="Compact"/>
              <w:jc w:val="left"/>
            </w:pPr>
            <w:r>
              <w:t xml:space="preserve">BR-19</w:t>
            </w:r>
          </w:p>
        </w:tc>
        <w:tc>
          <w:tcPr/>
          <w:p>
            <w:pPr>
              <w:pStyle w:val="Compact"/>
              <w:jc w:val="left"/>
            </w:pPr>
            <w:r>
              <w:t xml:space="preserve">A documented emergency route to model access if the gateway is unavailable, gated by approval and alerted on every use</w:t>
            </w:r>
          </w:p>
        </w:tc>
      </w:tr>
      <w:tr>
        <w:tc>
          <w:tcPr/>
          <w:p>
            <w:pPr>
              <w:pStyle w:val="Compact"/>
              <w:jc w:val="left"/>
            </w:pPr>
            <w:r>
              <w:t xml:space="preserve">BR-20</w:t>
            </w:r>
          </w:p>
        </w:tc>
        <w:tc>
          <w:tcPr/>
          <w:p>
            <w:pPr>
              <w:pStyle w:val="Compact"/>
              <w:jc w:val="left"/>
            </w:pPr>
            <w:r>
              <w:t xml:space="preserve">Support a subsequent production environment without redesigning the development one</w:t>
            </w:r>
          </w:p>
        </w:tc>
      </w:tr>
    </w:tbl>
    <w:bookmarkEnd w:id="41"/>
    <w:bookmarkStart w:id="42" w:name="technical-requirements"/>
    <w:p>
      <w:pPr>
        <w:pStyle w:val="Heading2"/>
      </w:pPr>
      <w:r>
        <w:t xml:space="preserve">3.2 Technical requirements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ID</w:t>
            </w:r>
          </w:p>
        </w:tc>
        <w:tc>
          <w:tcPr>
            <w:shd w:val="clear" w:color="auto" w:fill="1F3864"/>
          </w:tcPr>
          <w:p>
            <w:pPr>
              <w:pStyle w:val="Compact"/>
              <w:jc w:val="left"/>
            </w:pPr>
            <w:r>
              <w:rPr>
                <w:b/>
                <w:color w:val="FFFFFF"/>
              </w:rPr>
              <w:t xml:space="preserve">Requirement</w:t>
            </w:r>
          </w:p>
        </w:tc>
        <w:tc>
          <w:tcPr>
            <w:shd w:val="clear" w:color="auto" w:fill="1F3864"/>
          </w:tcPr>
          <w:p>
            <w:pPr>
              <w:pStyle w:val="Compact"/>
              <w:jc w:val="left"/>
            </w:pPr>
            <w:r>
              <w:rPr>
                <w:b/>
                <w:color w:val="FFFFFF"/>
              </w:rPr>
              <w:t xml:space="preserve">Applies to</w:t>
            </w:r>
          </w:p>
        </w:tc>
      </w:tr>
      <w:tr>
        <w:tc>
          <w:tcPr/>
          <w:p>
            <w:pPr>
              <w:pStyle w:val="Compact"/>
              <w:jc w:val="left"/>
            </w:pPr>
            <w:r>
              <w:t xml:space="preserve">TR-01</w:t>
            </w:r>
          </w:p>
        </w:tc>
        <w:tc>
          <w:tcPr/>
          <w:p>
            <w:pPr>
              <w:pStyle w:val="Compact"/>
              <w:jc w:val="left"/>
            </w:pPr>
            <w:r>
              <w:t xml:space="preserve">All resources in</w:t>
            </w:r>
            <w:r>
              <w:t xml:space="preserve"> </w:t>
            </w:r>
            <w:r>
              <w:rPr>
                <w:rStyle w:val="VerbatimChar"/>
              </w:rPr>
              <w:t xml:space="preserve">europe-west1</w:t>
            </w:r>
            <w:r>
              <w:t xml:space="preserve">. No exceptions</w:t>
            </w:r>
          </w:p>
        </w:tc>
        <w:tc>
          <w:tcPr/>
          <w:p>
            <w:pPr>
              <w:pStyle w:val="Compact"/>
              <w:jc w:val="left"/>
            </w:pPr>
            <w:r>
              <w:t xml:space="preserve">Sandbox, Dev, Prod</w:t>
            </w:r>
          </w:p>
        </w:tc>
      </w:tr>
      <w:tr>
        <w:tc>
          <w:tcPr/>
          <w:p>
            <w:pPr>
              <w:pStyle w:val="Compact"/>
              <w:jc w:val="left"/>
            </w:pPr>
            <w:r>
              <w:t xml:space="preserve">TR-02</w:t>
            </w:r>
          </w:p>
        </w:tc>
        <w:tc>
          <w:tcPr/>
          <w:p>
            <w:pPr>
              <w:pStyle w:val="Compact"/>
              <w:jc w:val="left"/>
            </w:pPr>
            <w:r>
              <w:t xml:space="preserve">All application compute is serverless. The Sandbox Vertex AI Workbench is the single exception, provided for data science</w:t>
            </w:r>
          </w:p>
        </w:tc>
        <w:tc>
          <w:tcPr/>
          <w:p>
            <w:pPr>
              <w:pStyle w:val="Compact"/>
              <w:jc w:val="left"/>
            </w:pPr>
            <w:r>
              <w:t xml:space="preserve">Sandbox, Dev, Prod</w:t>
            </w:r>
          </w:p>
        </w:tc>
      </w:tr>
      <w:tr>
        <w:tc>
          <w:tcPr/>
          <w:p>
            <w:pPr>
              <w:pStyle w:val="Compact"/>
              <w:jc w:val="left"/>
            </w:pPr>
            <w:r>
              <w:t xml:space="preserve">TR-03</w:t>
            </w:r>
          </w:p>
        </w:tc>
        <w:tc>
          <w:tcPr/>
          <w:p>
            <w:pPr>
              <w:pStyle w:val="Compact"/>
              <w:jc w:val="left"/>
            </w:pPr>
            <w:r>
              <w:t xml:space="preserve">No public IP address on any workload</w:t>
            </w:r>
          </w:p>
        </w:tc>
        <w:tc>
          <w:tcPr/>
          <w:p>
            <w:pPr>
              <w:pStyle w:val="Compact"/>
              <w:jc w:val="left"/>
            </w:pPr>
            <w:r>
              <w:t xml:space="preserve">Sandbox, Dev, Prod</w:t>
            </w:r>
          </w:p>
        </w:tc>
      </w:tr>
      <w:tr>
        <w:tc>
          <w:tcPr/>
          <w:p>
            <w:pPr>
              <w:pStyle w:val="Compact"/>
              <w:jc w:val="left"/>
            </w:pPr>
            <w:r>
              <w:t xml:space="preserve">TR-04</w:t>
            </w:r>
          </w:p>
        </w:tc>
        <w:tc>
          <w:tcPr/>
          <w:p>
            <w:pPr>
              <w:pStyle w:val="Compact"/>
              <w:jc w:val="left"/>
            </w:pPr>
            <w:r>
              <w:t xml:space="preserve">Dev and Prod use one Shared VPC with a host project and attached service projects. Sandbox uses a single standalone VPC</w:t>
            </w:r>
          </w:p>
        </w:tc>
        <w:tc>
          <w:tcPr/>
          <w:p>
            <w:pPr>
              <w:pStyle w:val="Compact"/>
              <w:jc w:val="left"/>
            </w:pPr>
            <w:r>
              <w:t xml:space="preserve">Sandbox, Dev, Prod</w:t>
            </w:r>
          </w:p>
        </w:tc>
      </w:tr>
      <w:tr>
        <w:tc>
          <w:tcPr/>
          <w:p>
            <w:pPr>
              <w:pStyle w:val="Compact"/>
              <w:jc w:val="left"/>
            </w:pPr>
            <w:r>
              <w:t xml:space="preserve">TR-05</w:t>
            </w:r>
          </w:p>
        </w:tc>
        <w:tc>
          <w:tcPr/>
          <w:p>
            <w:pPr>
              <w:pStyle w:val="Compact"/>
              <w:jc w:val="left"/>
            </w:pPr>
            <w:r>
              <w:t xml:space="preserve">No VPC peering anywhere on the platform, enforced by</w:t>
            </w:r>
            <w:r>
              <w:t xml:space="preserve"> </w:t>
            </w:r>
            <w:r>
              <w:rPr>
                <w:rStyle w:val="VerbatimChar"/>
              </w:rPr>
              <w:t xml:space="preserve">compute.restrictVpcPeering</w:t>
            </w:r>
          </w:p>
        </w:tc>
        <w:tc>
          <w:tcPr/>
          <w:p>
            <w:pPr>
              <w:pStyle w:val="Compact"/>
              <w:jc w:val="left"/>
            </w:pPr>
            <w:r>
              <w:t xml:space="preserve">Sandbox, Dev, Prod</w:t>
            </w:r>
          </w:p>
        </w:tc>
      </w:tr>
      <w:tr>
        <w:tc>
          <w:tcPr/>
          <w:p>
            <w:pPr>
              <w:pStyle w:val="Compact"/>
              <w:jc w:val="left"/>
            </w:pPr>
            <w:r>
              <w:t xml:space="preserve">TR-06</w:t>
            </w:r>
          </w:p>
        </w:tc>
        <w:tc>
          <w:tcPr/>
          <w:p>
            <w:pPr>
              <w:pStyle w:val="Compact"/>
              <w:jc w:val="left"/>
            </w:pPr>
            <w:r>
              <w:t xml:space="preserve">Exactly one address reachable from the Colt corporate network. All other addresses sit in a range with no route from it</w:t>
            </w:r>
          </w:p>
        </w:tc>
        <w:tc>
          <w:tcPr/>
          <w:p>
            <w:pPr>
              <w:pStyle w:val="Compact"/>
              <w:jc w:val="left"/>
            </w:pPr>
            <w:r>
              <w:t xml:space="preserve">Dev, Prod</w:t>
            </w:r>
          </w:p>
        </w:tc>
      </w:tr>
      <w:tr>
        <w:tc>
          <w:tcPr/>
          <w:p>
            <w:pPr>
              <w:pStyle w:val="Compact"/>
              <w:jc w:val="left"/>
            </w:pPr>
            <w:r>
              <w:t xml:space="preserve">TR-07</w:t>
            </w:r>
          </w:p>
        </w:tc>
        <w:tc>
          <w:tcPr/>
          <w:p>
            <w:pPr>
              <w:pStyle w:val="Compact"/>
              <w:jc w:val="left"/>
            </w:pPr>
            <w:r>
              <w:t xml:space="preserve">Default-deny egress. Allow only the specific Private Service Connect endpoint addresses on TCP 443</w:t>
            </w:r>
          </w:p>
        </w:tc>
        <w:tc>
          <w:tcPr/>
          <w:p>
            <w:pPr>
              <w:pStyle w:val="Compact"/>
              <w:jc w:val="left"/>
            </w:pPr>
            <w:r>
              <w:t xml:space="preserve">Sandbox, Dev, Prod</w:t>
            </w:r>
          </w:p>
        </w:tc>
      </w:tr>
      <w:tr>
        <w:tc>
          <w:tcPr/>
          <w:p>
            <w:pPr>
              <w:pStyle w:val="Compact"/>
              <w:jc w:val="left"/>
            </w:pPr>
            <w:r>
              <w:t xml:space="preserve">TR-08</w:t>
            </w:r>
          </w:p>
        </w:tc>
        <w:tc>
          <w:tcPr/>
          <w:p>
            <w:pPr>
              <w:pStyle w:val="Compact"/>
              <w:jc w:val="left"/>
            </w:pPr>
            <w:r>
              <w:t xml:space="preserve">Private Google Access off. All Google API traffic through one PSC endpoint per environment, redirected by a private</w:t>
            </w:r>
            <w:r>
              <w:t xml:space="preserve"> </w:t>
            </w:r>
            <w:r>
              <w:rPr>
                <w:rStyle w:val="VerbatimChar"/>
              </w:rPr>
              <w:t xml:space="preserve">googleapis.com</w:t>
            </w:r>
            <w:r>
              <w:t xml:space="preserve"> </w:t>
            </w:r>
            <w:r>
              <w:t xml:space="preserve">zone</w:t>
            </w:r>
          </w:p>
        </w:tc>
        <w:tc>
          <w:tcPr/>
          <w:p>
            <w:pPr>
              <w:pStyle w:val="Compact"/>
              <w:jc w:val="left"/>
            </w:pPr>
            <w:r>
              <w:t xml:space="preserve">Sandbox, Dev, Prod</w:t>
            </w:r>
          </w:p>
        </w:tc>
      </w:tr>
      <w:tr>
        <w:tc>
          <w:tcPr/>
          <w:p>
            <w:pPr>
              <w:pStyle w:val="Compact"/>
              <w:jc w:val="left"/>
            </w:pPr>
            <w:r>
              <w:t xml:space="preserve">TR-09</w:t>
            </w:r>
          </w:p>
        </w:tc>
        <w:tc>
          <w:tcPr/>
          <w:p>
            <w:pPr>
              <w:pStyle w:val="Compact"/>
              <w:jc w:val="left"/>
            </w:pPr>
            <w:r>
              <w:t xml:space="preserve">Data at rest encrypted with CMEK through Cloud KMS — Apigee runtime and instance disk, the log bucket, Artifact Registry, Cloud Storage, BigQuery, the Vector Search index, Firestore and Secret Manager</w:t>
            </w:r>
          </w:p>
        </w:tc>
        <w:tc>
          <w:tcPr/>
          <w:p>
            <w:pPr>
              <w:pStyle w:val="Compact"/>
              <w:jc w:val="left"/>
            </w:pPr>
            <w:r>
              <w:t xml:space="preserve">Sandbox, Dev, Prod</w:t>
            </w:r>
          </w:p>
        </w:tc>
      </w:tr>
      <w:tr>
        <w:tc>
          <w:tcPr/>
          <w:p>
            <w:pPr>
              <w:pStyle w:val="Compact"/>
              <w:jc w:val="left"/>
            </w:pPr>
            <w:r>
              <w:t xml:space="preserve">TR-10</w:t>
            </w:r>
          </w:p>
        </w:tc>
        <w:tc>
          <w:tcPr/>
          <w:p>
            <w:pPr>
              <w:pStyle w:val="Compact"/>
              <w:jc w:val="left"/>
            </w:pPr>
            <w:r>
              <w:t xml:space="preserve">Data in transit uses TLS 1.2 or above, terminated at the internal load balancer</w:t>
            </w:r>
          </w:p>
        </w:tc>
        <w:tc>
          <w:tcPr/>
          <w:p>
            <w:pPr>
              <w:pStyle w:val="Compact"/>
              <w:jc w:val="left"/>
            </w:pPr>
            <w:r>
              <w:t xml:space="preserve">Sandbox, Dev, Prod</w:t>
            </w:r>
          </w:p>
        </w:tc>
      </w:tr>
      <w:tr>
        <w:tc>
          <w:tcPr/>
          <w:p>
            <w:pPr>
              <w:pStyle w:val="Compact"/>
              <w:jc w:val="left"/>
            </w:pPr>
            <w:r>
              <w:t xml:space="preserve">TR-11</w:t>
            </w:r>
          </w:p>
        </w:tc>
        <w:tc>
          <w:tcPr/>
          <w:p>
            <w:pPr>
              <w:pStyle w:val="Compact"/>
              <w:jc w:val="left"/>
            </w:pPr>
            <w:r>
              <w:t xml:space="preserve">All Cloud Run services set</w:t>
            </w:r>
            <w:r>
              <w:t xml:space="preserve"> </w:t>
            </w:r>
            <w:r>
              <w:rPr>
                <w:rStyle w:val="VerbatimChar"/>
              </w:rPr>
              <w:t xml:space="preserve">ingress=internal-and-cloud-load-balancing</w:t>
            </w:r>
            <w:r>
              <w:t xml:space="preserve">, except the translation worker which sets</w:t>
            </w:r>
            <w:r>
              <w:t xml:space="preserve"> </w:t>
            </w:r>
            <w:r>
              <w:rPr>
                <w:rStyle w:val="VerbatimChar"/>
              </w:rPr>
              <w:t xml:space="preserve">internal</w:t>
            </w:r>
            <w:r>
              <w:t xml:space="preserve">, with direct VPC egress and no unauthenticated invocation</w:t>
            </w:r>
          </w:p>
        </w:tc>
        <w:tc>
          <w:tcPr/>
          <w:p>
            <w:pPr>
              <w:pStyle w:val="Compact"/>
              <w:jc w:val="left"/>
            </w:pPr>
            <w:r>
              <w:t xml:space="preserve">Sandbox, Dev, Prod</w:t>
            </w:r>
          </w:p>
        </w:tc>
      </w:tr>
      <w:tr>
        <w:tc>
          <w:tcPr/>
          <w:p>
            <w:pPr>
              <w:pStyle w:val="Compact"/>
              <w:jc w:val="left"/>
            </w:pPr>
            <w:r>
              <w:t xml:space="preserve">TR-12</w:t>
            </w:r>
          </w:p>
        </w:tc>
        <w:tc>
          <w:tcPr/>
          <w:p>
            <w:pPr>
              <w:pStyle w:val="Compact"/>
              <w:jc w:val="left"/>
            </w:pPr>
            <w:r>
              <w:t xml:space="preserve">Cloud Run services use dedicated, minimum-privilege service accounts</w:t>
            </w:r>
          </w:p>
        </w:tc>
        <w:tc>
          <w:tcPr/>
          <w:p>
            <w:pPr>
              <w:pStyle w:val="Compact"/>
              <w:jc w:val="left"/>
            </w:pPr>
            <w:r>
              <w:t xml:space="preserve">Sandbox, Dev, Prod</w:t>
            </w:r>
          </w:p>
        </w:tc>
      </w:tr>
      <w:tr>
        <w:tc>
          <w:tcPr/>
          <w:p>
            <w:pPr>
              <w:pStyle w:val="Compact"/>
              <w:jc w:val="left"/>
            </w:pPr>
            <w:r>
              <w:t xml:space="preserve">TR-13</w:t>
            </w:r>
          </w:p>
        </w:tc>
        <w:tc>
          <w:tcPr/>
          <w:p>
            <w:pPr>
              <w:pStyle w:val="Compact"/>
              <w:jc w:val="left"/>
            </w:pPr>
            <w:r>
              <w:t xml:space="preserve">No downloadable service account keys anywhere;</w:t>
            </w:r>
            <w:r>
              <w:t xml:space="preserve"> </w:t>
            </w:r>
            <w:r>
              <w:rPr>
                <w:rStyle w:val="VerbatimChar"/>
              </w:rPr>
              <w:t xml:space="preserve">iam.disableServiceAccountKeyCreation</w:t>
            </w:r>
            <w:r>
              <w:t xml:space="preserve"> </w:t>
            </w:r>
            <w:r>
              <w:t xml:space="preserve">enforced</w:t>
            </w:r>
          </w:p>
        </w:tc>
        <w:tc>
          <w:tcPr/>
          <w:p>
            <w:pPr>
              <w:pStyle w:val="Compact"/>
              <w:jc w:val="left"/>
            </w:pPr>
            <w:r>
              <w:t xml:space="preserve">Sandbox, Dev, Prod</w:t>
            </w:r>
          </w:p>
        </w:tc>
      </w:tr>
      <w:tr>
        <w:tc>
          <w:tcPr/>
          <w:p>
            <w:pPr>
              <w:pStyle w:val="Compact"/>
              <w:jc w:val="left"/>
            </w:pPr>
            <w:r>
              <w:t xml:space="preserve">TR-14</w:t>
            </w:r>
          </w:p>
        </w:tc>
        <w:tc>
          <w:tcPr/>
          <w:p>
            <w:pPr>
              <w:pStyle w:val="Compact"/>
              <w:jc w:val="left"/>
            </w:pPr>
            <w:r>
              <w:t xml:space="preserve">Pipeline authentication by Workload Identity Federation with an attribute condition binding</w:t>
            </w:r>
            <w:r>
              <w:t xml:space="preserve"> </w:t>
            </w:r>
            <w:r>
              <w:rPr>
                <w:rStyle w:val="VerbatimChar"/>
              </w:rPr>
              <w:t xml:space="preserve">project_path</w:t>
            </w:r>
            <w:r>
              <w:t xml:space="preserve"> </w:t>
            </w:r>
            <w:r>
              <w:t xml:space="preserve">and</w:t>
            </w:r>
            <w:r>
              <w:t xml:space="preserve"> </w:t>
            </w:r>
            <w:r>
              <w:rPr>
                <w:rStyle w:val="VerbatimChar"/>
              </w:rPr>
              <w:t xml:space="preserve">ref_protected</w:t>
            </w:r>
          </w:p>
        </w:tc>
        <w:tc>
          <w:tcPr/>
          <w:p>
            <w:pPr>
              <w:pStyle w:val="Compact"/>
              <w:jc w:val="left"/>
            </w:pPr>
            <w:r>
              <w:t xml:space="preserve">Sandbox, Dev, Prod</w:t>
            </w:r>
          </w:p>
        </w:tc>
      </w:tr>
      <w:tr>
        <w:tc>
          <w:tcPr/>
          <w:p>
            <w:pPr>
              <w:pStyle w:val="Compact"/>
              <w:jc w:val="left"/>
            </w:pPr>
            <w:r>
              <w:t xml:space="preserve">TR-15</w:t>
            </w:r>
          </w:p>
        </w:tc>
        <w:tc>
          <w:tcPr/>
          <w:p>
            <w:pPr>
              <w:pStyle w:val="Compact"/>
              <w:jc w:val="left"/>
            </w:pPr>
            <w:r>
              <w:t xml:space="preserve">Infrastructure defined in Terraform and deployed through CI/CD, with a documented cross-project apply order</w:t>
            </w:r>
          </w:p>
        </w:tc>
        <w:tc>
          <w:tcPr/>
          <w:p>
            <w:pPr>
              <w:pStyle w:val="Compact"/>
              <w:jc w:val="left"/>
            </w:pPr>
            <w:r>
              <w:t xml:space="preserve">Sandbox, Dev, Prod</w:t>
            </w:r>
          </w:p>
        </w:tc>
      </w:tr>
      <w:tr>
        <w:tc>
          <w:tcPr/>
          <w:p>
            <w:pPr>
              <w:pStyle w:val="Compact"/>
              <w:jc w:val="left"/>
            </w:pPr>
            <w:r>
              <w:t xml:space="preserve">TR-16</w:t>
            </w:r>
          </w:p>
        </w:tc>
        <w:tc>
          <w:tcPr/>
          <w:p>
            <w:pPr>
              <w:pStyle w:val="Compact"/>
              <w:jc w:val="left"/>
            </w:pPr>
            <w:r>
              <w:t xml:space="preserve">Container images signed and verified by Binary Authorization at deployment, with immutable Artifact Registry tags, in every workload project</w:t>
            </w:r>
          </w:p>
        </w:tc>
        <w:tc>
          <w:tcPr/>
          <w:p>
            <w:pPr>
              <w:pStyle w:val="Compact"/>
              <w:jc w:val="left"/>
            </w:pPr>
            <w:r>
              <w:t xml:space="preserve">Sandbox, Dev, Prod</w:t>
            </w:r>
          </w:p>
        </w:tc>
      </w:tr>
      <w:tr>
        <w:tc>
          <w:tcPr/>
          <w:p>
            <w:pPr>
              <w:pStyle w:val="Compact"/>
              <w:jc w:val="left"/>
            </w:pPr>
            <w:r>
              <w:t xml:space="preserve">TR-17</w:t>
            </w:r>
          </w:p>
        </w:tc>
        <w:tc>
          <w:tcPr/>
          <w:p>
            <w:pPr>
              <w:pStyle w:val="Compact"/>
              <w:jc w:val="left"/>
            </w:pPr>
            <w:r>
              <w:t xml:space="preserve">Vertex AI reachable</w:t>
            </w:r>
            <w:r>
              <w:t xml:space="preserve"> </w:t>
            </w:r>
            <w:r>
              <w:rPr>
                <w:b/>
                <w:bCs/>
              </w:rPr>
              <w:t xml:space="preserve">only</w:t>
            </w:r>
            <w:r>
              <w:t xml:space="preserve"> </w:t>
            </w:r>
            <w:r>
              <w:t xml:space="preserve">through the</w:t>
            </w:r>
            <w:r>
              <w:t xml:space="preserve"> </w:t>
            </w:r>
            <w:r>
              <w:rPr>
                <w:rStyle w:val="VerbatimChar"/>
              </w:rPr>
              <w:t xml:space="preserve">apigee-llm-runtime</w:t>
            </w:r>
            <w:r>
              <w:t xml:space="preserve"> </w:t>
            </w:r>
            <w:r>
              <w:t xml:space="preserve">service account</w:t>
            </w:r>
          </w:p>
        </w:tc>
        <w:tc>
          <w:tcPr/>
          <w:p>
            <w:pPr>
              <w:pStyle w:val="Compact"/>
              <w:jc w:val="left"/>
            </w:pPr>
            <w:r>
              <w:t xml:space="preserve">Dev, Prod</w:t>
            </w:r>
          </w:p>
        </w:tc>
      </w:tr>
      <w:tr>
        <w:tc>
          <w:tcPr/>
          <w:p>
            <w:pPr>
              <w:pStyle w:val="Compact"/>
              <w:jc w:val="left"/>
            </w:pPr>
            <w:r>
              <w:t xml:space="preserve">TR-18</w:t>
            </w:r>
          </w:p>
        </w:tc>
        <w:tc>
          <w:tcPr/>
          <w:p>
            <w:pPr>
              <w:pStyle w:val="Compact"/>
              <w:jc w:val="left"/>
            </w:pPr>
            <w:r>
              <w:t xml:space="preserve">Per-user rate limiting enforced at Apigee, keyed on the verified Entra</w:t>
            </w:r>
            <w:r>
              <w:t xml:space="preserve"> </w:t>
            </w:r>
            <w:r>
              <w:rPr>
                <w:rStyle w:val="VerbatimChar"/>
              </w:rPr>
              <w:t xml:space="preserve">oid</w:t>
            </w:r>
            <w:r>
              <w:t xml:space="preserve">, in exactly one place</w:t>
            </w:r>
          </w:p>
        </w:tc>
        <w:tc>
          <w:tcPr/>
          <w:p>
            <w:pPr>
              <w:pStyle w:val="Compact"/>
              <w:jc w:val="left"/>
            </w:pPr>
            <w:r>
              <w:t xml:space="preserve">Dev, Prod</w:t>
            </w:r>
          </w:p>
        </w:tc>
      </w:tr>
      <w:tr>
        <w:tc>
          <w:tcPr/>
          <w:p>
            <w:pPr>
              <w:pStyle w:val="Compact"/>
              <w:jc w:val="left"/>
            </w:pPr>
            <w:r>
              <w:t xml:space="preserve">TR-19</w:t>
            </w:r>
          </w:p>
        </w:tc>
        <w:tc>
          <w:tcPr/>
          <w:p>
            <w:pPr>
              <w:pStyle w:val="Compact"/>
              <w:jc w:val="left"/>
            </w:pPr>
            <w:r>
              <w:t xml:space="preserve">No access or refresh token in the browser. Session state held server-side, keyed on the hash of an opaque 256-bit identifier</w:t>
            </w:r>
          </w:p>
        </w:tc>
        <w:tc>
          <w:tcPr/>
          <w:p>
            <w:pPr>
              <w:pStyle w:val="Compact"/>
              <w:jc w:val="left"/>
            </w:pPr>
            <w:r>
              <w:t xml:space="preserve">Dev, Prod</w:t>
            </w:r>
          </w:p>
        </w:tc>
      </w:tr>
      <w:tr>
        <w:tc>
          <w:tcPr/>
          <w:p>
            <w:pPr>
              <w:pStyle w:val="Compact"/>
              <w:jc w:val="left"/>
            </w:pPr>
            <w:r>
              <w:t xml:space="preserve">TR-20</w:t>
            </w:r>
          </w:p>
        </w:tc>
        <w:tc>
          <w:tcPr/>
          <w:p>
            <w:pPr>
              <w:pStyle w:val="Compact"/>
              <w:jc w:val="left"/>
            </w:pPr>
            <w:r>
              <w:t xml:space="preserve">The</w:t>
            </w:r>
            <w:r>
              <w:t xml:space="preserve"> </w:t>
            </w:r>
            <w:r>
              <w:rPr>
                <w:rStyle w:val="VerbatimChar"/>
              </w:rPr>
              <w:t xml:space="preserve">int</w:t>
            </w:r>
            <w:r>
              <w:t xml:space="preserve"> </w:t>
            </w:r>
            <w:r>
              <w:t xml:space="preserve">Apigee environment contains</w:t>
            </w:r>
            <w:r>
              <w:t xml:space="preserve"> </w:t>
            </w:r>
            <w:r>
              <w:rPr>
                <w:b/>
                <w:bCs/>
              </w:rPr>
              <w:t xml:space="preserve">only Standard policies</w:t>
            </w:r>
            <w:r>
              <w:t xml:space="preserve">, enforced by a pipeline check</w:t>
            </w:r>
          </w:p>
        </w:tc>
        <w:tc>
          <w:tcPr/>
          <w:p>
            <w:pPr>
              <w:pStyle w:val="Compact"/>
              <w:jc w:val="left"/>
            </w:pPr>
            <w:r>
              <w:t xml:space="preserve">Dev, Prod</w:t>
            </w:r>
          </w:p>
        </w:tc>
      </w:tr>
      <w:tr>
        <w:tc>
          <w:tcPr/>
          <w:p>
            <w:pPr>
              <w:pStyle w:val="Compact"/>
              <w:jc w:val="left"/>
            </w:pPr>
            <w:r>
              <w:t xml:space="preserve">TR-21</w:t>
            </w:r>
          </w:p>
        </w:tc>
        <w:tc>
          <w:tcPr/>
          <w:p>
            <w:pPr>
              <w:pStyle w:val="Compact"/>
              <w:jc w:val="left"/>
            </w:pPr>
            <w:r>
              <w:t xml:space="preserve">Total Cloud Run maximum instances across the workload subnet must not exceed</w:t>
            </w:r>
            <w:r>
              <w:t xml:space="preserve"> </w:t>
            </w:r>
            <w:r>
              <w:rPr>
                <w:b/>
                <w:bCs/>
              </w:rPr>
              <w:t xml:space="preserve">127</w:t>
            </w:r>
            <w:r>
              <w:t xml:space="preserve"> </w:t>
            </w:r>
            <w:r>
              <w:t xml:space="preserve">— a hard consequence of the address plan. Ninety are allocated to the Day-1 services; thirty-seven are reserved for future use cases</w:t>
            </w:r>
          </w:p>
        </w:tc>
        <w:tc>
          <w:tcPr/>
          <w:p>
            <w:pPr>
              <w:pStyle w:val="Compact"/>
              <w:jc w:val="left"/>
            </w:pPr>
            <w:r>
              <w:t xml:space="preserve">Dev, Prod</w:t>
            </w:r>
          </w:p>
        </w:tc>
      </w:tr>
      <w:tr>
        <w:tc>
          <w:tcPr/>
          <w:p>
            <w:pPr>
              <w:pStyle w:val="Compact"/>
              <w:jc w:val="left"/>
            </w:pPr>
            <w:r>
              <w:t xml:space="preserve">TR-22</w:t>
            </w:r>
          </w:p>
        </w:tc>
        <w:tc>
          <w:tcPr/>
          <w:p>
            <w:pPr>
              <w:pStyle w:val="Compact"/>
              <w:jc w:val="left"/>
            </w:pPr>
            <w:r>
              <w:t xml:space="preserve">Firestore session document writes throttled so the last-seen timestamp is written at most once per minute per document</w:t>
            </w:r>
          </w:p>
        </w:tc>
        <w:tc>
          <w:tcPr/>
          <w:p>
            <w:pPr>
              <w:pStyle w:val="Compact"/>
              <w:jc w:val="left"/>
            </w:pPr>
            <w:r>
              <w:t xml:space="preserve">Dev, Prod</w:t>
            </w:r>
          </w:p>
        </w:tc>
      </w:tr>
      <w:tr>
        <w:tc>
          <w:tcPr/>
          <w:p>
            <w:pPr>
              <w:pStyle w:val="Compact"/>
              <w:jc w:val="left"/>
            </w:pPr>
            <w:r>
              <w:t xml:space="preserve">TR-23</w:t>
            </w:r>
          </w:p>
        </w:tc>
        <w:tc>
          <w:tcPr/>
          <w:p>
            <w:pPr>
              <w:pStyle w:val="Compact"/>
              <w:jc w:val="left"/>
            </w:pPr>
            <w:r>
              <w:t xml:space="preserve">No KMS round trip on the request path. Either a cached data encryption key wrapped by KMS, or Firestore CMEK alone</w:t>
            </w:r>
          </w:p>
        </w:tc>
        <w:tc>
          <w:tcPr/>
          <w:p>
            <w:pPr>
              <w:pStyle w:val="Compact"/>
              <w:jc w:val="left"/>
            </w:pPr>
            <w:r>
              <w:t xml:space="preserve">Dev, Prod</w:t>
            </w:r>
          </w:p>
        </w:tc>
      </w:tr>
      <w:tr>
        <w:tc>
          <w:tcPr/>
          <w:p>
            <w:pPr>
              <w:pStyle w:val="Compact"/>
              <w:jc w:val="left"/>
            </w:pPr>
            <w:r>
              <w:t xml:space="preserve">TR-24</w:t>
            </w:r>
          </w:p>
        </w:tc>
        <w:tc>
          <w:tcPr/>
          <w:p>
            <w:pPr>
              <w:pStyle w:val="Compact"/>
              <w:jc w:val="left"/>
            </w:pPr>
            <w:r>
              <w:t xml:space="preserve">Fail closed on session-store unavailability — return 503, never a fallback that lets a request through</w:t>
            </w:r>
          </w:p>
        </w:tc>
        <w:tc>
          <w:tcPr/>
          <w:p>
            <w:pPr>
              <w:pStyle w:val="Compact"/>
              <w:jc w:val="left"/>
            </w:pPr>
            <w:r>
              <w:t xml:space="preserve">Dev, Prod</w:t>
            </w:r>
          </w:p>
        </w:tc>
      </w:tr>
      <w:tr>
        <w:tc>
          <w:tcPr/>
          <w:p>
            <w:pPr>
              <w:pStyle w:val="Compact"/>
              <w:jc w:val="left"/>
            </w:pPr>
            <w:r>
              <w:t xml:space="preserve">TR-25</w:t>
            </w:r>
          </w:p>
        </w:tc>
        <w:tc>
          <w:tcPr/>
          <w:p>
            <w:pPr>
              <w:pStyle w:val="Compact"/>
              <w:jc w:val="left"/>
            </w:pPr>
            <w:r>
              <w:t xml:space="preserve">Resources labelled with environment, project, team and managed-by</w:t>
            </w:r>
          </w:p>
        </w:tc>
        <w:tc>
          <w:tcPr/>
          <w:p>
            <w:pPr>
              <w:pStyle w:val="Compact"/>
              <w:jc w:val="left"/>
            </w:pPr>
            <w:r>
              <w:t xml:space="preserve">Sandbox, Dev, Prod</w:t>
            </w:r>
          </w:p>
        </w:tc>
      </w:tr>
    </w:tbl>
    <w:bookmarkEnd w:id="42"/>
    <w:bookmarkStart w:id="44" w:name="compliance-requirements"/>
    <w:p>
      <w:pPr>
        <w:pStyle w:val="Heading2"/>
      </w:pPr>
      <w:r>
        <w:t xml:space="preserve">3.3 Compliance requirements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ID</w:t>
            </w:r>
          </w:p>
        </w:tc>
        <w:tc>
          <w:tcPr>
            <w:shd w:val="clear" w:color="auto" w:fill="1F3864"/>
          </w:tcPr>
          <w:p>
            <w:pPr>
              <w:pStyle w:val="Compact"/>
              <w:jc w:val="left"/>
            </w:pPr>
            <w:r>
              <w:rPr>
                <w:b/>
                <w:color w:val="FFFFFF"/>
              </w:rPr>
              <w:t xml:space="preserve">Requirement</w:t>
            </w:r>
          </w:p>
        </w:tc>
        <w:tc>
          <w:tcPr>
            <w:shd w:val="clear" w:color="auto" w:fill="1F3864"/>
          </w:tcPr>
          <w:p>
            <w:pPr>
              <w:pStyle w:val="Compact"/>
              <w:jc w:val="left"/>
            </w:pPr>
            <w:r>
              <w:rPr>
                <w:b/>
                <w:color w:val="FFFFFF"/>
              </w:rPr>
              <w:t xml:space="preserve">Standard / driver</w:t>
            </w:r>
          </w:p>
        </w:tc>
      </w:tr>
      <w:tr>
        <w:tc>
          <w:tcPr/>
          <w:p>
            <w:pPr>
              <w:pStyle w:val="Compact"/>
              <w:jc w:val="left"/>
            </w:pPr>
            <w:r>
              <w:t xml:space="preserve">CR-01</w:t>
            </w:r>
          </w:p>
        </w:tc>
        <w:tc>
          <w:tcPr/>
          <w:p>
            <w:pPr>
              <w:pStyle w:val="Compact"/>
              <w:jc w:val="left"/>
            </w:pPr>
            <w:r>
              <w:t xml:space="preserve">Personal data processed on the platform remains within the EU</w:t>
            </w:r>
          </w:p>
        </w:tc>
        <w:tc>
          <w:tcPr/>
          <w:p>
            <w:pPr>
              <w:pStyle w:val="Compact"/>
              <w:jc w:val="left"/>
            </w:pPr>
            <w:r>
              <w:t xml:space="preserve">GDPR — residency</w:t>
            </w:r>
          </w:p>
        </w:tc>
      </w:tr>
      <w:tr>
        <w:tc>
          <w:tcPr/>
          <w:p>
            <w:pPr>
              <w:pStyle w:val="Compact"/>
              <w:jc w:val="left"/>
            </w:pPr>
            <w:r>
              <w:t xml:space="preserve">CR-02</w:t>
            </w:r>
          </w:p>
        </w:tc>
        <w:tc>
          <w:tcPr/>
          <w:p>
            <w:pPr>
              <w:pStyle w:val="Compact"/>
              <w:jc w:val="left"/>
            </w:pPr>
            <w:r>
              <w:t xml:space="preserve">All resources deployed in</w:t>
            </w:r>
            <w:r>
              <w:t xml:space="preserve"> </w:t>
            </w:r>
            <w:r>
              <w:rPr>
                <w:rStyle w:val="VerbatimChar"/>
              </w:rPr>
              <w:t xml:space="preserve">europe-west1</w:t>
            </w:r>
          </w:p>
        </w:tc>
        <w:tc>
          <w:tcPr/>
          <w:p>
            <w:pPr>
              <w:pStyle w:val="Compact"/>
              <w:jc w:val="left"/>
            </w:pPr>
            <w:r>
              <w:t xml:space="preserve">GDPR — residency</w:t>
            </w:r>
          </w:p>
        </w:tc>
      </w:tr>
      <w:tr>
        <w:tc>
          <w:tcPr/>
          <w:p>
            <w:pPr>
              <w:pStyle w:val="Compact"/>
              <w:jc w:val="left"/>
            </w:pPr>
            <w:r>
              <w:t xml:space="preserve">CR-03</w:t>
            </w:r>
          </w:p>
        </w:tc>
        <w:tc>
          <w:tcPr/>
          <w:p>
            <w:pPr>
              <w:pStyle w:val="Compact"/>
              <w:jc w:val="left"/>
            </w:pPr>
            <w:r>
              <w:t xml:space="preserve">Secret Manager uses manual replication pinned to</w:t>
            </w:r>
            <w:r>
              <w:t xml:space="preserve"> </w:t>
            </w:r>
            <w:r>
              <w:rPr>
                <w:rStyle w:val="VerbatimChar"/>
              </w:rPr>
              <w:t xml:space="preserve">europe-west1</w:t>
            </w:r>
            <w:r>
              <w:t xml:space="preserve">, not the default global automatic replication</w:t>
            </w:r>
          </w:p>
        </w:tc>
        <w:tc>
          <w:tcPr/>
          <w:p>
            <w:pPr>
              <w:pStyle w:val="Compact"/>
              <w:jc w:val="left"/>
            </w:pPr>
            <w:r>
              <w:t xml:space="preserve">GDPR — residency</w:t>
            </w:r>
          </w:p>
        </w:tc>
      </w:tr>
      <w:tr>
        <w:tc>
          <w:tcPr/>
          <w:p>
            <w:pPr>
              <w:pStyle w:val="Compact"/>
              <w:jc w:val="left"/>
            </w:pPr>
            <w:r>
              <w:t xml:space="preserve">CR-04</w:t>
            </w:r>
          </w:p>
        </w:tc>
        <w:tc>
          <w:tcPr/>
          <w:p>
            <w:pPr>
              <w:pStyle w:val="Compact"/>
              <w:jc w:val="left"/>
            </w:pPr>
            <w:r>
              <w:t xml:space="preserve">Apigee analytics region set to an EU region, because request metadata is stored there</w:t>
            </w:r>
          </w:p>
        </w:tc>
        <w:tc>
          <w:tcPr/>
          <w:p>
            <w:pPr>
              <w:pStyle w:val="Compact"/>
              <w:jc w:val="left"/>
            </w:pPr>
            <w:r>
              <w:t xml:space="preserve">GDPR — residency</w:t>
            </w:r>
          </w:p>
        </w:tc>
      </w:tr>
      <w:tr>
        <w:tc>
          <w:tcPr/>
          <w:p>
            <w:pPr>
              <w:pStyle w:val="Compact"/>
              <w:jc w:val="left"/>
            </w:pPr>
            <w:r>
              <w:t xml:space="preserve">CR-05</w:t>
            </w:r>
          </w:p>
        </w:tc>
        <w:tc>
          <w:tcPr/>
          <w:p>
            <w:pPr>
              <w:pStyle w:val="Compact"/>
              <w:jc w:val="left"/>
            </w:pPr>
            <w:r>
              <w:t xml:space="preserve">Cloud Audit Logs enabled</w:t>
            </w:r>
          </w:p>
        </w:tc>
        <w:tc>
          <w:tcPr/>
          <w:p>
            <w:pPr>
              <w:pStyle w:val="Compact"/>
              <w:jc w:val="left"/>
            </w:pPr>
            <w:r>
              <w:t xml:space="preserve">CIS 2.1</w:t>
            </w:r>
          </w:p>
        </w:tc>
      </w:tr>
      <w:tr>
        <w:tc>
          <w:tcPr/>
          <w:p>
            <w:pPr>
              <w:pStyle w:val="Compact"/>
              <w:jc w:val="left"/>
            </w:pPr>
            <w:r>
              <w:t xml:space="preserve">CR-06</w:t>
            </w:r>
          </w:p>
        </w:tc>
        <w:tc>
          <w:tcPr/>
          <w:p>
            <w:pPr>
              <w:pStyle w:val="Compact"/>
              <w:jc w:val="left"/>
            </w:pPr>
            <w:r>
              <w:t xml:space="preserve">Data Access audit logs enabled for IAP, Cloud Storage, BigQuery, Vertex AI, Secret Manager, Cloud KMS and Cloud Run. These are off by default, and without them there is no record of who read what</w:t>
            </w:r>
          </w:p>
        </w:tc>
        <w:tc>
          <w:tcPr/>
          <w:p>
            <w:pPr>
              <w:pStyle w:val="Compact"/>
              <w:jc w:val="left"/>
            </w:pPr>
            <w:r>
              <w:t xml:space="preserve">Auditability</w:t>
            </w:r>
          </w:p>
        </w:tc>
      </w:tr>
      <w:tr>
        <w:tc>
          <w:tcPr/>
          <w:p>
            <w:pPr>
              <w:pStyle w:val="Compact"/>
              <w:jc w:val="left"/>
            </w:pPr>
            <w:r>
              <w:t xml:space="preserve">CR-07</w:t>
            </w:r>
          </w:p>
        </w:tc>
        <w:tc>
          <w:tcPr/>
          <w:p>
            <w:pPr>
              <w:pStyle w:val="Compact"/>
              <w:jc w:val="left"/>
            </w:pPr>
            <w:r>
              <w:t xml:space="preserve">400 days of retained logs across all projects, held centrally and queryable</w:t>
            </w:r>
          </w:p>
        </w:tc>
        <w:tc>
          <w:tcPr/>
          <w:p>
            <w:pPr>
              <w:pStyle w:val="Compact"/>
              <w:jc w:val="left"/>
            </w:pPr>
            <w:r>
              <w:t xml:space="preserve">Colt evidence retention</w:t>
            </w:r>
          </w:p>
        </w:tc>
      </w:tr>
      <w:tr>
        <w:tc>
          <w:tcPr/>
          <w:p>
            <w:pPr>
              <w:pStyle w:val="Compact"/>
              <w:jc w:val="left"/>
            </w:pPr>
            <w:r>
              <w:t xml:space="preserve">CR-08</w:t>
            </w:r>
          </w:p>
        </w:tc>
        <w:tc>
          <w:tcPr/>
          <w:p>
            <w:pPr>
              <w:pStyle w:val="Compact"/>
              <w:jc w:val="left"/>
            </w:pPr>
            <w:r>
              <w:t xml:space="preserve">Security-relevant logs forwarded to Microsoft Sentinel through a filtered Pub/Sub sink</w:t>
            </w:r>
          </w:p>
        </w:tc>
        <w:tc>
          <w:tcPr/>
          <w:p>
            <w:pPr>
              <w:pStyle w:val="Compact"/>
              <w:jc w:val="left"/>
            </w:pPr>
            <w:r>
              <w:t xml:space="preserve">Colt SOC standard</w:t>
            </w:r>
          </w:p>
        </w:tc>
      </w:tr>
      <w:tr>
        <w:tc>
          <w:tcPr/>
          <w:p>
            <w:pPr>
              <w:pStyle w:val="Compact"/>
              <w:jc w:val="left"/>
            </w:pPr>
            <w:r>
              <w:t xml:space="preserve">CR-09</w:t>
            </w:r>
          </w:p>
        </w:tc>
        <w:tc>
          <w:tcPr/>
          <w:p>
            <w:pPr>
              <w:pStyle w:val="Compact"/>
              <w:jc w:val="left"/>
            </w:pPr>
            <w:r>
              <w:t xml:space="preserve">No primitive Owner or Editor role at project level</w:t>
            </w:r>
          </w:p>
        </w:tc>
        <w:tc>
          <w:tcPr/>
          <w:p>
            <w:pPr>
              <w:pStyle w:val="Compact"/>
              <w:jc w:val="left"/>
            </w:pPr>
            <w:r>
              <w:t xml:space="preserve">CIS 1.1</w:t>
            </w:r>
          </w:p>
        </w:tc>
      </w:tr>
      <w:tr>
        <w:tc>
          <w:tcPr/>
          <w:p>
            <w:pPr>
              <w:pStyle w:val="Compact"/>
              <w:jc w:val="left"/>
            </w:pPr>
            <w:r>
              <w:t xml:space="preserve">CR-10</w:t>
            </w:r>
          </w:p>
        </w:tc>
        <w:tc>
          <w:tcPr/>
          <w:p>
            <w:pPr>
              <w:pStyle w:val="Compact"/>
              <w:jc w:val="left"/>
            </w:pPr>
            <w:r>
              <w:t xml:space="preserve">Uniform bucket-level access on all Cloud Storage buckets</w:t>
            </w:r>
          </w:p>
        </w:tc>
        <w:tc>
          <w:tcPr/>
          <w:p>
            <w:pPr>
              <w:pStyle w:val="Compact"/>
              <w:jc w:val="left"/>
            </w:pPr>
            <w:r>
              <w:t xml:space="preserve">CIS 5.1</w:t>
            </w:r>
          </w:p>
        </w:tc>
      </w:tr>
      <w:tr>
        <w:tc>
          <w:tcPr/>
          <w:p>
            <w:pPr>
              <w:pStyle w:val="Compact"/>
              <w:jc w:val="left"/>
            </w:pPr>
            <w:r>
              <w:t xml:space="preserve">CR-11</w:t>
            </w:r>
          </w:p>
        </w:tc>
        <w:tc>
          <w:tcPr/>
          <w:p>
            <w:pPr>
              <w:pStyle w:val="Compact"/>
              <w:jc w:val="left"/>
            </w:pPr>
            <w:r>
              <w:t xml:space="preserve">Public access prevention enforced on all storage, and</w:t>
            </w:r>
            <w:r>
              <w:t xml:space="preserve"> </w:t>
            </w:r>
            <w:r>
              <w:rPr>
                <w:rStyle w:val="VerbatimChar"/>
              </w:rPr>
              <w:t xml:space="preserve">iam.allowedPolicyMemberDomains</w:t>
            </w:r>
            <w:r>
              <w:t xml:space="preserve"> </w:t>
            </w:r>
            <w:r>
              <w:t xml:space="preserve">restricted to Colt’s customer identifier</w:t>
            </w:r>
          </w:p>
        </w:tc>
        <w:tc>
          <w:tcPr/>
          <w:p>
            <w:pPr>
              <w:pStyle w:val="Compact"/>
              <w:jc w:val="left"/>
            </w:pPr>
            <w:r>
              <w:t xml:space="preserve">Colt security standard</w:t>
            </w:r>
          </w:p>
        </w:tc>
      </w:tr>
      <w:tr>
        <w:tc>
          <w:tcPr/>
          <w:p>
            <w:pPr>
              <w:pStyle w:val="Compact"/>
              <w:jc w:val="left"/>
            </w:pPr>
            <w:r>
              <w:t xml:space="preserve">CR-12</w:t>
            </w:r>
          </w:p>
        </w:tc>
        <w:tc>
          <w:tcPr/>
          <w:p>
            <w:pPr>
              <w:pStyle w:val="Compact"/>
              <w:jc w:val="left"/>
            </w:pPr>
            <w:r>
              <w:t xml:space="preserve">Security notifications restricted to Colt domains by</w:t>
            </w:r>
            <w:r>
              <w:t xml:space="preserve"> </w:t>
            </w:r>
            <w:r>
              <w:rPr>
                <w:rStyle w:val="VerbatimChar"/>
              </w:rPr>
              <w:t xml:space="preserve">essentialcontacts.allowedContactDomains</w:t>
            </w:r>
          </w:p>
        </w:tc>
        <w:tc>
          <w:tcPr/>
          <w:p>
            <w:pPr>
              <w:pStyle w:val="Compact"/>
              <w:jc w:val="left"/>
            </w:pPr>
            <w:r>
              <w:t xml:space="preserve">Colt security standard</w:t>
            </w:r>
          </w:p>
        </w:tc>
      </w:tr>
      <w:tr>
        <w:tc>
          <w:tcPr/>
          <w:p>
            <w:pPr>
              <w:pStyle w:val="Compact"/>
              <w:jc w:val="left"/>
            </w:pPr>
            <w:r>
              <w:t xml:space="preserve">CR-13</w:t>
            </w:r>
          </w:p>
        </w:tc>
        <w:tc>
          <w:tcPr/>
          <w:p>
            <w:pPr>
              <w:pStyle w:val="Compact"/>
              <w:jc w:val="left"/>
            </w:pPr>
            <w:r>
              <w:t xml:space="preserve">CIS GCP Foundation Benchmark v1.3 Level 1</w:t>
            </w:r>
          </w:p>
        </w:tc>
        <w:tc>
          <w:tcPr/>
          <w:p>
            <w:pPr>
              <w:pStyle w:val="Compact"/>
              <w:jc w:val="left"/>
            </w:pPr>
            <w:r>
              <w:t xml:space="preserve">CIS</w:t>
            </w:r>
          </w:p>
        </w:tc>
      </w:tr>
      <w:tr>
        <w:tc>
          <w:tcPr/>
          <w:p>
            <w:pPr>
              <w:pStyle w:val="Compact"/>
              <w:jc w:val="left"/>
            </w:pPr>
            <w:r>
              <w:t xml:space="preserve">CR-14</w:t>
            </w:r>
          </w:p>
        </w:tc>
        <w:tc>
          <w:tcPr/>
          <w:p>
            <w:pPr>
              <w:pStyle w:val="Compact"/>
              <w:jc w:val="left"/>
            </w:pPr>
            <w:r>
              <w:t xml:space="preserve">TSA network segmentation — workloads isolated in a custom VPC with default-deny egress and no external addresses on internal compute</w:t>
            </w:r>
          </w:p>
        </w:tc>
        <w:tc>
          <w:tcPr/>
          <w:p>
            <w:pPr>
              <w:pStyle w:val="Compact"/>
              <w:jc w:val="left"/>
            </w:pPr>
            <w:r>
              <w:t xml:space="preserve">TSA</w:t>
            </w:r>
          </w:p>
        </w:tc>
      </w:tr>
      <w:tr>
        <w:tc>
          <w:tcPr/>
          <w:p>
            <w:pPr>
              <w:pStyle w:val="Compact"/>
              <w:jc w:val="left"/>
            </w:pPr>
            <w:r>
              <w:t xml:space="preserve">CR-15</w:t>
            </w:r>
          </w:p>
        </w:tc>
        <w:tc>
          <w:tcPr/>
          <w:p>
            <w:pPr>
              <w:pStyle w:val="Compact"/>
              <w:jc w:val="left"/>
            </w:pPr>
            <w:r>
              <w:t xml:space="preserve">TSA encryption — customer-managed keys for data at rest and TLS 1.2 minimum in transit</w:t>
            </w:r>
          </w:p>
        </w:tc>
        <w:tc>
          <w:tcPr/>
          <w:p>
            <w:pPr>
              <w:pStyle w:val="Compact"/>
              <w:jc w:val="left"/>
            </w:pPr>
            <w:r>
              <w:t xml:space="preserve">TSA</w:t>
            </w:r>
          </w:p>
        </w:tc>
      </w:tr>
      <w:tr>
        <w:tc>
          <w:tcPr/>
          <w:p>
            <w:pPr>
              <w:pStyle w:val="Compact"/>
              <w:jc w:val="left"/>
            </w:pPr>
            <w:r>
              <w:t xml:space="preserve">CR-16</w:t>
            </w:r>
          </w:p>
        </w:tc>
        <w:tc>
          <w:tcPr/>
          <w:p>
            <w:pPr>
              <w:pStyle w:val="Compact"/>
              <w:jc w:val="left"/>
            </w:pPr>
            <w:r>
              <w:t xml:space="preserve">TSA access logging — administrative and data-access activity logged and forwarded to the enterprise SIEM</w:t>
            </w:r>
          </w:p>
        </w:tc>
        <w:tc>
          <w:tcPr/>
          <w:p>
            <w:pPr>
              <w:pStyle w:val="Compact"/>
              <w:jc w:val="left"/>
            </w:pPr>
            <w:r>
              <w:t xml:space="preserve">TSA</w:t>
            </w:r>
          </w:p>
        </w:tc>
      </w:tr>
      <w:tr>
        <w:tc>
          <w:tcPr/>
          <w:p>
            <w:pPr>
              <w:pStyle w:val="Compact"/>
              <w:jc w:val="left"/>
            </w:pPr>
            <w:r>
              <w:t xml:space="preserve">CR-17</w:t>
            </w:r>
          </w:p>
        </w:tc>
        <w:tc>
          <w:tcPr/>
          <w:p>
            <w:pPr>
              <w:pStyle w:val="Compact"/>
              <w:jc w:val="left"/>
            </w:pPr>
            <w:r>
              <w:t xml:space="preserve">Vulnerability assessment on container images before deployment</w:t>
            </w:r>
          </w:p>
        </w:tc>
        <w:tc>
          <w:tcPr/>
          <w:p>
            <w:pPr>
              <w:pStyle w:val="Compact"/>
              <w:jc w:val="left"/>
            </w:pPr>
            <w:r>
              <w:t xml:space="preserve">TSA / Internal</w:t>
            </w:r>
          </w:p>
        </w:tc>
      </w:tr>
      <w:tr>
        <w:tc>
          <w:tcPr/>
          <w:p>
            <w:pPr>
              <w:pStyle w:val="Compact"/>
              <w:jc w:val="left"/>
            </w:pPr>
            <w:r>
              <w:t xml:space="preserve">CR-18</w:t>
            </w:r>
          </w:p>
        </w:tc>
        <w:tc>
          <w:tcPr/>
          <w:p>
            <w:pPr>
              <w:pStyle w:val="Compact"/>
              <w:jc w:val="left"/>
            </w:pPr>
            <w:r>
              <w:t xml:space="preserve">Automated security scanning of application source, dependencies, container images and infrastructure-as-code, with defined severity thresholds that block a release and a bounded, approved exception process</w:t>
            </w:r>
          </w:p>
        </w:tc>
        <w:tc>
          <w:tcPr/>
          <w:p>
            <w:pPr>
              <w:pStyle w:val="Compact"/>
              <w:jc w:val="left"/>
            </w:pPr>
            <w:r>
              <w:t xml:space="preserve">ISO 27001 A.8.8 / A.8.28</w:t>
            </w:r>
          </w:p>
        </w:tc>
      </w:tr>
      <w:tr>
        <w:tc>
          <w:tcPr/>
          <w:p>
            <w:pPr>
              <w:pStyle w:val="Compact"/>
              <w:jc w:val="left"/>
            </w:pPr>
            <w:r>
              <w:t xml:space="preserve">CR-19</w:t>
            </w:r>
          </w:p>
        </w:tc>
        <w:tc>
          <w:tcPr/>
          <w:p>
            <w:pPr>
              <w:pStyle w:val="Compact"/>
              <w:jc w:val="left"/>
            </w:pPr>
            <w:r>
              <w:t xml:space="preserve">Prompt content is</w:t>
            </w:r>
            <w:r>
              <w:t xml:space="preserve"> </w:t>
            </w:r>
            <w:r>
              <w:rPr>
                <w:b/>
                <w:bCs/>
              </w:rPr>
              <w:t xml:space="preserve">not</w:t>
            </w:r>
            <w:r>
              <w:t xml:space="preserve"> </w:t>
            </w:r>
            <w:r>
              <w:t xml:space="preserve">logged by default. Message logging is metadata-only unless Data Protection signs off a stated purpose and retention</w:t>
            </w:r>
          </w:p>
        </w:tc>
        <w:tc>
          <w:tcPr/>
          <w:p>
            <w:pPr>
              <w:pStyle w:val="Compact"/>
              <w:jc w:val="left"/>
            </w:pPr>
            <w:r>
              <w:t xml:space="preserve">GDPR — purpose limitation and data minimisation</w:t>
            </w:r>
          </w:p>
        </w:tc>
      </w:tr>
      <w:tr>
        <w:tc>
          <w:tcPr/>
          <w:p>
            <w:pPr>
              <w:pStyle w:val="Compact"/>
              <w:jc w:val="left"/>
            </w:pPr>
            <w:r>
              <w:t xml:space="preserve">CR-20</w:t>
            </w:r>
          </w:p>
        </w:tc>
        <w:tc>
          <w:tcPr/>
          <w:p>
            <w:pPr>
              <w:pStyle w:val="Compact"/>
              <w:jc w:val="left"/>
            </w:pPr>
            <w:r>
              <w:t xml:space="preserve">Personal data in prompts detected by Sensitive Data Protection templates and</w:t>
            </w:r>
            <w:r>
              <w:t xml:space="preserve"> </w:t>
            </w:r>
            <w:r>
              <w:rPr>
                <w:b/>
                <w:bCs/>
              </w:rPr>
              <w:t xml:space="preserve">redacted rather than blocked</w:t>
            </w:r>
            <w:r>
              <w:t xml:space="preserve"> </w:t>
            </w:r>
            <w:r>
              <w:t xml:space="preserve">for translation, where personal data is legitimate content</w:t>
            </w:r>
          </w:p>
        </w:tc>
        <w:tc>
          <w:tcPr/>
          <w:p>
            <w:pPr>
              <w:pStyle w:val="Compact"/>
              <w:jc w:val="left"/>
            </w:pPr>
            <w:r>
              <w:t xml:space="preserve">GDPR — proportionality</w:t>
            </w:r>
          </w:p>
        </w:tc>
      </w:tr>
      <w:tr>
        <w:tc>
          <w:tcPr/>
          <w:p>
            <w:pPr>
              <w:pStyle w:val="Compact"/>
              <w:jc w:val="left"/>
            </w:pPr>
            <w:r>
              <w:t xml:space="preserve">CR-21</w:t>
            </w:r>
          </w:p>
        </w:tc>
        <w:tc>
          <w:tcPr/>
          <w:p>
            <w:pPr>
              <w:pStyle w:val="Compact"/>
              <w:jc w:val="left"/>
            </w:pPr>
            <w:r>
              <w:t xml:space="preserve">AI guardrails enforced on the model request and response path — input and output inspection, PII detection, prohibited-content and native safety filtering</w:t>
            </w:r>
          </w:p>
        </w:tc>
        <w:tc>
          <w:tcPr/>
          <w:p>
            <w:pPr>
              <w:pStyle w:val="Compact"/>
              <w:jc w:val="left"/>
            </w:pPr>
            <w:r>
              <w:t xml:space="preserve">Internal / EU AI Act readiness</w:t>
            </w:r>
          </w:p>
        </w:tc>
      </w:tr>
      <w:tr>
        <w:tc>
          <w:tcPr/>
          <w:p>
            <w:pPr>
              <w:pStyle w:val="Compact"/>
              <w:jc w:val="left"/>
            </w:pPr>
            <w:r>
              <w:t xml:space="preserve">CR-22</w:t>
            </w:r>
          </w:p>
        </w:tc>
        <w:tc>
          <w:tcPr/>
          <w:p>
            <w:pPr>
              <w:pStyle w:val="Compact"/>
              <w:jc w:val="left"/>
            </w:pPr>
            <w:r>
              <w:t xml:space="preserve">Model access, prompt screening and consumption metering enforced centrally, with evidence that the control cannot be bypassed</w:t>
            </w:r>
          </w:p>
        </w:tc>
        <w:tc>
          <w:tcPr/>
          <w:p>
            <w:pPr>
              <w:pStyle w:val="Compact"/>
              <w:jc w:val="left"/>
            </w:pPr>
            <w:r>
              <w:t xml:space="preserve">AI governance</w:t>
            </w:r>
          </w:p>
        </w:tc>
      </w:tr>
      <w:tr>
        <w:tc>
          <w:tcPr/>
          <w:p>
            <w:pPr>
              <w:pStyle w:val="Compact"/>
              <w:jc w:val="left"/>
            </w:pPr>
            <w:r>
              <w:t xml:space="preserve">CR-23</w:t>
            </w:r>
          </w:p>
        </w:tc>
        <w:tc>
          <w:tcPr/>
          <w:p>
            <w:pPr>
              <w:pStyle w:val="Compact"/>
              <w:jc w:val="left"/>
            </w:pPr>
            <w:r>
              <w:t xml:space="preserve">A documented residual risk statement covering gateway-dependent screening and the</w:t>
            </w:r>
            <w:r>
              <w:t xml:space="preserve"> </w:t>
            </w:r>
            <w:r>
              <w:rPr>
                <w:rStyle w:val="VerbatimChar"/>
              </w:rPr>
              <w:t xml:space="preserve">EXECUTION_SKIPPED</w:t>
            </w:r>
            <w:r>
              <w:t xml:space="preserve"> </w:t>
            </w:r>
            <w:r>
              <w:t xml:space="preserve">behaviour</w:t>
            </w:r>
          </w:p>
        </w:tc>
        <w:tc>
          <w:tcPr/>
          <w:p>
            <w:pPr>
              <w:pStyle w:val="Compact"/>
              <w:jc w:val="left"/>
            </w:pPr>
            <w:r>
              <w:t xml:space="preserve">AI governance</w:t>
            </w:r>
          </w:p>
        </w:tc>
      </w:tr>
      <w:tr>
        <w:tc>
          <w:tcPr/>
          <w:p>
            <w:pPr>
              <w:pStyle w:val="Compact"/>
              <w:jc w:val="left"/>
            </w:pPr>
            <w:r>
              <w:t xml:space="preserve">CR-24</w:t>
            </w:r>
          </w:p>
        </w:tc>
        <w:tc>
          <w:tcPr/>
          <w:p>
            <w:pPr>
              <w:pStyle w:val="Compact"/>
              <w:jc w:val="left"/>
            </w:pPr>
            <w:r>
              <w:t xml:space="preserve">AI consumption abuse controls — rate limiting, per-identity quotas, execution budgets, cost alerting and automatic cut-off</w:t>
            </w:r>
          </w:p>
        </w:tc>
        <w:tc>
          <w:tcPr/>
          <w:p>
            <w:pPr>
              <w:pStyle w:val="Compact"/>
              <w:jc w:val="left"/>
            </w:pPr>
            <w:r>
              <w:t xml:space="preserve">Internal / FinOps</w:t>
            </w:r>
          </w:p>
        </w:tc>
      </w:tr>
      <w:tr>
        <w:tc>
          <w:tcPr/>
          <w:p>
            <w:pPr>
              <w:pStyle w:val="Compact"/>
              <w:jc w:val="left"/>
            </w:pPr>
            <w:r>
              <w:t xml:space="preserve">CR-25</w:t>
            </w:r>
          </w:p>
        </w:tc>
        <w:tc>
          <w:tcPr/>
          <w:p>
            <w:pPr>
              <w:pStyle w:val="Compact"/>
              <w:jc w:val="left"/>
            </w:pPr>
            <w:r>
              <w:t xml:space="preserve">Documented and rehearsed capability to immediately terminate active sessions and agent activity during an incident</w:t>
            </w:r>
          </w:p>
        </w:tc>
        <w:tc>
          <w:tcPr/>
          <w:p>
            <w:pPr>
              <w:pStyle w:val="Compact"/>
              <w:jc w:val="left"/>
            </w:pPr>
            <w:r>
              <w:t xml:space="preserve">NIS2 / Internal incident response</w:t>
            </w:r>
          </w:p>
        </w:tc>
      </w:tr>
      <w:tr>
        <w:tc>
          <w:tcPr/>
          <w:p>
            <w:pPr>
              <w:pStyle w:val="Compact"/>
              <w:jc w:val="left"/>
            </w:pPr>
            <w:r>
              <w:t xml:space="preserve">CR-26</w:t>
            </w:r>
          </w:p>
        </w:tc>
        <w:tc>
          <w:tcPr/>
          <w:p>
            <w:pPr>
              <w:pStyle w:val="Compact"/>
              <w:jc w:val="left"/>
            </w:pPr>
            <w:r>
              <w:t xml:space="preserve">Retrieval-time access control documented and enforced for AI retrieval sources, with business-unit isolation applied at both write time and read time</w:t>
            </w:r>
          </w:p>
        </w:tc>
        <w:tc>
          <w:tcPr/>
          <w:p>
            <w:pPr>
              <w:pStyle w:val="Compact"/>
              <w:jc w:val="left"/>
            </w:pPr>
            <w:r>
              <w:t xml:space="preserve">ISO 27001 A.5.15</w:t>
            </w:r>
          </w:p>
        </w:tc>
      </w:tr>
      <w:tr>
        <w:tc>
          <w:tcPr/>
          <w:p>
            <w:pPr>
              <w:pStyle w:val="Compact"/>
              <w:jc w:val="left"/>
            </w:pPr>
            <w:r>
              <w:t xml:space="preserve">CR-27</w:t>
            </w:r>
          </w:p>
        </w:tc>
        <w:tc>
          <w:tcPr/>
          <w:p>
            <w:pPr>
              <w:pStyle w:val="Compact"/>
              <w:jc w:val="left"/>
            </w:pPr>
            <w:r>
              <w:t xml:space="preserve">Access recertification cycle defined for the Entra security groups that drive entitlement</w:t>
            </w:r>
          </w:p>
        </w:tc>
        <w:tc>
          <w:tcPr/>
          <w:p>
            <w:pPr>
              <w:pStyle w:val="Compact"/>
              <w:jc w:val="left"/>
            </w:pPr>
            <w:r>
              <w:t xml:space="preserve">Access governance</w:t>
            </w:r>
          </w:p>
        </w:tc>
      </w:tr>
      <w:tr>
        <w:tc>
          <w:tcPr/>
          <w:p>
            <w:pPr>
              <w:pStyle w:val="Compact"/>
              <w:jc w:val="left"/>
            </w:pPr>
            <w:r>
              <w:t xml:space="preserve">CR-28</w:t>
            </w:r>
          </w:p>
        </w:tc>
        <w:tc>
          <w:tcPr/>
          <w:p>
            <w:pPr>
              <w:pStyle w:val="Compact"/>
              <w:jc w:val="left"/>
            </w:pPr>
            <w:r>
              <w:t xml:space="preserve">Penetration test or security assessment completed before go-live</w:t>
            </w:r>
          </w:p>
        </w:tc>
        <w:tc>
          <w:tcPr/>
          <w:p>
            <w:pPr>
              <w:pStyle w:val="Compact"/>
              <w:jc w:val="left"/>
            </w:pPr>
            <w:r>
              <w:t xml:space="preserve">CSOC requirement</w:t>
            </w:r>
          </w:p>
        </w:tc>
      </w:tr>
      <w:tr>
        <w:tc>
          <w:tcPr/>
          <w:p>
            <w:pPr>
              <w:pStyle w:val="Compact"/>
              <w:jc w:val="left"/>
            </w:pPr>
            <w:r>
              <w:t xml:space="preserve">CR-29</w:t>
            </w:r>
          </w:p>
        </w:tc>
        <w:tc>
          <w:tcPr/>
          <w:p>
            <w:pPr>
              <w:pStyle w:val="Compact"/>
              <w:jc w:val="left"/>
            </w:pPr>
            <w:r>
              <w:t xml:space="preserve">Cyber Assessment Framework Objective B (protecting against cyber attack) and Objective C (detecting cyber security events) outcomes demonstrably met</w:t>
            </w:r>
          </w:p>
        </w:tc>
        <w:tc>
          <w:tcPr/>
          <w:p>
            <w:pPr>
              <w:pStyle w:val="Compact"/>
              <w:jc w:val="left"/>
            </w:pPr>
            <w:r>
              <w:t xml:space="preserve">NCSC CAF</w:t>
            </w:r>
          </w:p>
        </w:tc>
      </w:tr>
      <w:tr>
        <w:tc>
          <w:tcPr/>
          <w:p>
            <w:pPr>
              <w:pStyle w:val="Compact"/>
              <w:jc w:val="left"/>
            </w:pPr>
            <w:r>
              <w:t xml:space="preserve">CR-30</w:t>
            </w:r>
          </w:p>
        </w:tc>
        <w:tc>
          <w:tcPr/>
          <w:p>
            <w:pPr>
              <w:pStyle w:val="Compact"/>
              <w:jc w:val="left"/>
            </w:pPr>
            <w:r>
              <w:t xml:space="preserve">NIS2 Directive obligations — cyber risk management, supply-chain security and incident reporting addressed</w:t>
            </w:r>
          </w:p>
        </w:tc>
        <w:tc>
          <w:tcPr/>
          <w:p>
            <w:pPr>
              <w:pStyle w:val="Compact"/>
              <w:jc w:val="left"/>
            </w:pPr>
            <w:r>
              <w:t xml:space="preserve">NIS2</w:t>
            </w:r>
          </w:p>
        </w:tc>
      </w:tr>
      <w:tr>
        <w:tc>
          <w:tcPr/>
          <w:p>
            <w:pPr>
              <w:pStyle w:val="Compact"/>
              <w:jc w:val="left"/>
            </w:pPr>
            <w:r>
              <w:t xml:space="preserve">CR-31</w:t>
            </w:r>
          </w:p>
        </w:tc>
        <w:tc>
          <w:tcPr/>
          <w:p>
            <w:pPr>
              <w:pStyle w:val="Compact"/>
              <w:jc w:val="left"/>
            </w:pPr>
            <w:r>
              <w:t xml:space="preserve">ISO/IEC 27001:2022 Annex A controls mapped for the platform ISMS scope — access control, cryptography, logging, supplier relationships</w:t>
            </w:r>
          </w:p>
        </w:tc>
        <w:tc>
          <w:tcPr/>
          <w:p>
            <w:pPr>
              <w:pStyle w:val="Compact"/>
              <w:jc w:val="left"/>
            </w:pPr>
            <w:r>
              <w:t xml:space="preserve">ISO 27001</w:t>
            </w:r>
          </w:p>
        </w:tc>
      </w:tr>
      <w:tr>
        <w:tc>
          <w:tcPr/>
          <w:p>
            <w:pPr>
              <w:pStyle w:val="Compact"/>
              <w:jc w:val="left"/>
            </w:pPr>
            <w:r>
              <w:t xml:space="preserve">CR-32</w:t>
            </w:r>
          </w:p>
        </w:tc>
        <w:tc>
          <w:tcPr/>
          <w:p>
            <w:pPr>
              <w:pStyle w:val="Compact"/>
              <w:jc w:val="left"/>
            </w:pPr>
            <w:r>
              <w:t xml:space="preserve">NIST CSF 2.0 functions — Govern, Identify, Protect, Detect, Respond, Recover — mapped for the platform</w:t>
            </w:r>
          </w:p>
        </w:tc>
        <w:tc>
          <w:tcPr/>
          <w:p>
            <w:pPr>
              <w:pStyle w:val="Compact"/>
              <w:jc w:val="left"/>
            </w:pPr>
            <w:r>
              <w:t xml:space="preserve">NIST CSF 2.0</w:t>
            </w:r>
          </w:p>
        </w:tc>
      </w:tr>
    </w:tbl>
    <w:p>
      <w:pPr>
        <w:pStyle w:val="BlockText"/>
      </w:pPr>
      <w:r>
        <w:rPr>
          <w:b/>
          <w:bCs/>
        </w:rPr>
        <w:t xml:space="preserve">GDPR erasure — accepted, not solved.</w:t>
      </w:r>
      <w:r>
        <w:t xml:space="preserve"> </w:t>
      </w:r>
      <w:r>
        <w:t xml:space="preserve">Prompt content may exist in Apigee analytics, the session store, job records, BigQuery and a 400-day log bucket, and some of those cannot be selectively deleted. This is accepted on the basis that logging is metadata-only by default (CR-19, prompt content not logged by default). It must be revisited if prompt-content logging is ever switched on, and that dependency is recorded in</w:t>
      </w:r>
      <w:r>
        <w:t xml:space="preserve"> </w:t>
      </w:r>
      <w:r>
        <w:rPr>
          <w:b/>
          <w:bCs/>
        </w:rPr>
        <w:t xml:space="preserve">Risk Register</w:t>
      </w:r>
      <w:r>
        <w:t xml:space="preserve">.</w:t>
      </w:r>
    </w:p>
    <w:bookmarkStart w:id="43" w:name="compliance-framework-alignment"/>
    <w:p>
      <w:pPr>
        <w:pStyle w:val="Heading3"/>
      </w:pPr>
      <w:r>
        <w:t xml:space="preserve">3.3.1 Compliance framework alignment</w:t>
      </w:r>
    </w:p>
    <w:p>
      <w:pPr>
        <w:pStyle w:val="FirstParagraph"/>
      </w:pPr>
      <w:r>
        <w:t xml:space="preserve">The baseline requirements CR-01 (EU data residency) to CR-18 (automated security scanning) cover the CIS GCP Foundation Benchmark, GDPR residency and Colt TSA. The design is additionally aligned to the enterprise frameworks referenced in the AI CoE operating model, as mapped below.</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Framework</w:t>
            </w:r>
          </w:p>
        </w:tc>
        <w:tc>
          <w:tcPr>
            <w:shd w:val="clear" w:color="auto" w:fill="1F3864"/>
          </w:tcPr>
          <w:p>
            <w:pPr>
              <w:pStyle w:val="Compact"/>
              <w:jc w:val="left"/>
            </w:pPr>
            <w:r>
              <w:rPr>
                <w:b/>
                <w:color w:val="FFFFFF"/>
              </w:rPr>
              <w:t xml:space="preserve">Focus area</w:t>
            </w:r>
          </w:p>
        </w:tc>
        <w:tc>
          <w:tcPr>
            <w:shd w:val="clear" w:color="auto" w:fill="1F3864"/>
          </w:tcPr>
          <w:p>
            <w:pPr>
              <w:pStyle w:val="Compact"/>
              <w:jc w:val="left"/>
            </w:pPr>
            <w:r>
              <w:rPr>
                <w:b/>
                <w:color w:val="FFFFFF"/>
              </w:rPr>
              <w:t xml:space="preserve">How this design meets it</w:t>
            </w:r>
          </w:p>
        </w:tc>
      </w:tr>
      <w:tr>
        <w:tc>
          <w:tcPr/>
          <w:p>
            <w:pPr>
              <w:pStyle w:val="Compact"/>
              <w:jc w:val="left"/>
            </w:pPr>
            <w:r>
              <w:t xml:space="preserve">NCSC CAF — Objective B (protecting against cyber attack)</w:t>
            </w:r>
          </w:p>
        </w:tc>
        <w:tc>
          <w:tcPr/>
          <w:p>
            <w:pPr>
              <w:pStyle w:val="Compact"/>
              <w:jc w:val="left"/>
            </w:pPr>
            <w:r>
              <w:t xml:space="preserve">Identity and access control, data security, resilient networks, secure supply chain</w:t>
            </w:r>
          </w:p>
        </w:tc>
        <w:tc>
          <w:tcPr/>
          <w:p>
            <w:pPr>
              <w:pStyle w:val="Compact"/>
              <w:jc w:val="left"/>
            </w:pPr>
            <w:r>
              <w:t xml:space="preserve">IAP with Entra ID single sign-on carrying MFA and Conditional Access; Workload Identity Federation with no static keys; CMEK at rest and TLS 1.2 or above in transit; default-deny egress with Private Service Connect; Binary Authorization at deploy</w:t>
            </w:r>
          </w:p>
        </w:tc>
      </w:tr>
      <w:tr>
        <w:tc>
          <w:tcPr/>
          <w:p>
            <w:pPr>
              <w:pStyle w:val="Compact"/>
              <w:jc w:val="left"/>
            </w:pPr>
            <w:r>
              <w:t xml:space="preserve">NCSC CAF — Objective C (detecting cyber security events)</w:t>
            </w:r>
          </w:p>
        </w:tc>
        <w:tc>
          <w:tcPr/>
          <w:p>
            <w:pPr>
              <w:pStyle w:val="Compact"/>
              <w:jc w:val="left"/>
            </w:pPr>
            <w:r>
              <w:t xml:space="preserve">Security monitoring, logging and correlation</w:t>
            </w:r>
          </w:p>
        </w:tc>
        <w:tc>
          <w:tcPr/>
          <w:p>
            <w:pPr>
              <w:pStyle w:val="Compact"/>
              <w:jc w:val="left"/>
            </w:pPr>
            <w:r>
              <w:t xml:space="preserve">Cloud Audit Logs including Data Access on seven named services; IAP allow and deny logs; VPC flow logs; Microsoft Sentinel fed through Log Router and Pub/Sub, correlated with Entra sign-in events</w:t>
            </w:r>
          </w:p>
        </w:tc>
      </w:tr>
      <w:tr>
        <w:tc>
          <w:tcPr/>
          <w:p>
            <w:pPr>
              <w:pStyle w:val="Compact"/>
              <w:jc w:val="left"/>
            </w:pPr>
            <w:r>
              <w:t xml:space="preserve">NIS2 Directive</w:t>
            </w:r>
          </w:p>
        </w:tc>
        <w:tc>
          <w:tcPr/>
          <w:p>
            <w:pPr>
              <w:pStyle w:val="Compact"/>
              <w:jc w:val="left"/>
            </w:pPr>
            <w:r>
              <w:t xml:space="preserve">Risk management, incident handling, supply chain, reporting</w:t>
            </w:r>
          </w:p>
        </w:tc>
        <w:tc>
          <w:tcPr/>
          <w:p>
            <w:pPr>
              <w:pStyle w:val="Compact"/>
              <w:jc w:val="left"/>
            </w:pPr>
            <w:r>
              <w:t xml:space="preserve">Risk Register and Decision Log maintained in this document; RTO and RPO recovery approach; signed-image supply chain through Binary Authorization; centralised SIEM correlation supporting incident reporting; the emergency termination procedure in</w:t>
            </w:r>
            <w:r>
              <w:t xml:space="preserve"> </w:t>
            </w:r>
            <w:r>
              <w:rPr>
                <w:b/>
                <w:bCs/>
              </w:rPr>
              <w:t xml:space="preserve">Security Architecture and Operations</w:t>
            </w:r>
          </w:p>
        </w:tc>
      </w:tr>
      <w:tr>
        <w:tc>
          <w:tcPr/>
          <w:p>
            <w:pPr>
              <w:pStyle w:val="Compact"/>
              <w:jc w:val="left"/>
            </w:pPr>
            <w:r>
              <w:t xml:space="preserve">ISO/IEC 27001:2022 Annex A</w:t>
            </w:r>
          </w:p>
        </w:tc>
        <w:tc>
          <w:tcPr/>
          <w:p>
            <w:pPr>
              <w:pStyle w:val="Compact"/>
              <w:jc w:val="left"/>
            </w:pPr>
            <w:r>
              <w:t xml:space="preserve">A.5 and A.8 — access control, cryptography, logging and monitoring, supplier relationships</w:t>
            </w:r>
          </w:p>
        </w:tc>
        <w:tc>
          <w:tcPr/>
          <w:p>
            <w:pPr>
              <w:pStyle w:val="Compact"/>
              <w:jc w:val="left"/>
            </w:pPr>
            <w:r>
              <w:t xml:space="preserve">A.5.15 access control through Entra App Roles, Apigee authorisation and Vector Search business-unit filtering; A.5.17 authentication through federated identity with no local credentials; A.8.8 and A.8.28 through pipeline scanning and gate policy; A.8.24 cryptography through the CMEK key map; A.8.15 logging through the 400-day central bucket</w:t>
            </w:r>
          </w:p>
        </w:tc>
      </w:tr>
      <w:tr>
        <w:tc>
          <w:tcPr/>
          <w:p>
            <w:pPr>
              <w:pStyle w:val="Compact"/>
              <w:jc w:val="left"/>
            </w:pPr>
            <w:r>
              <w:t xml:space="preserve">NIST CSF 2.0</w:t>
            </w:r>
          </w:p>
        </w:tc>
        <w:tc>
          <w:tcPr/>
          <w:p>
            <w:pPr>
              <w:pStyle w:val="Compact"/>
              <w:jc w:val="left"/>
            </w:pPr>
            <w:r>
              <w:t xml:space="preserve">Govern, Identify, Protect, Detect, Respond, Recover</w:t>
            </w:r>
          </w:p>
        </w:tc>
        <w:tc>
          <w:tcPr/>
          <w:p>
            <w:pPr>
              <w:pStyle w:val="Compact"/>
              <w:jc w:val="left"/>
            </w:pPr>
            <w:r>
              <w:t xml:space="preserve">Govern — RACI, Decision Log and change governance. Identify — Risk Register and data classification. Protect — organisation policies, IAM, encryption, guardrails. Detect — log-based metrics, alerting policies and SIEM. Respond — the kill switch and incident classification. Recover — the backup and restore approach</w:t>
            </w:r>
          </w:p>
        </w:tc>
      </w:tr>
      <w:tr>
        <w:tc>
          <w:tcPr/>
          <w:p>
            <w:pPr>
              <w:pStyle w:val="Compact"/>
              <w:jc w:val="left"/>
            </w:pPr>
            <w:r>
              <w:t xml:space="preserve">EU AI Act — general-purpose and high-risk readiness</w:t>
            </w:r>
          </w:p>
        </w:tc>
        <w:tc>
          <w:tcPr/>
          <w:p>
            <w:pPr>
              <w:pStyle w:val="Compact"/>
              <w:jc w:val="left"/>
            </w:pPr>
            <w:r>
              <w:t xml:space="preserve">Transparency, human oversight, risk management, record keeping</w:t>
            </w:r>
          </w:p>
        </w:tc>
        <w:tc>
          <w:tcPr/>
          <w:p>
            <w:pPr>
              <w:pStyle w:val="Compact"/>
              <w:jc w:val="left"/>
            </w:pPr>
            <w:r>
              <w:t xml:space="preserve">Model version pinning and an allow-list with a named approver; Model Armor screening on request and response with recorded outcomes; per-user metering and audit trail attributable to a person; human approval on the break-glass model path; residual risk statement for gateway-dependent screening</w:t>
            </w:r>
          </w:p>
        </w:tc>
      </w:tr>
      <w:tr>
        <w:tc>
          <w:tcPr/>
          <w:p>
            <w:pPr>
              <w:pStyle w:val="Compact"/>
              <w:jc w:val="left"/>
            </w:pPr>
            <w:r>
              <w:t xml:space="preserve">Baseline — CIS, GDPR, TSA</w:t>
            </w:r>
          </w:p>
        </w:tc>
        <w:tc>
          <w:tcPr/>
          <w:p>
            <w:pPr>
              <w:pStyle w:val="Compact"/>
              <w:jc w:val="left"/>
            </w:pPr>
            <w:r>
              <w:t xml:space="preserve">Platform hardening, residency, Colt technical security architecture</w:t>
            </w:r>
          </w:p>
        </w:tc>
        <w:tc>
          <w:tcPr/>
          <w:p>
            <w:pPr>
              <w:pStyle w:val="Compact"/>
              <w:jc w:val="left"/>
            </w:pPr>
            <w:r>
              <w:t xml:space="preserve">CR-01 (EU data residency) to CR-18 (automated security scanning)</w:t>
            </w:r>
          </w:p>
        </w:tc>
      </w:tr>
    </w:tbl>
    <w:bookmarkEnd w:id="43"/>
    <w:bookmarkEnd w:id="44"/>
    <w:bookmarkStart w:id="47" w:name="performance-requirements"/>
    <w:p>
      <w:pPr>
        <w:pStyle w:val="Heading2"/>
      </w:pPr>
      <w:r>
        <w:t xml:space="preserve">3.4 Performance requirements</w:t>
      </w:r>
    </w:p>
    <w:bookmarkStart w:id="45" w:name="service-performance-targets"/>
    <w:p>
      <w:pPr>
        <w:pStyle w:val="Heading3"/>
      </w:pPr>
      <w:r>
        <w:t xml:space="preserve">3.4.1 Service performance targets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ID</w:t>
            </w:r>
          </w:p>
        </w:tc>
        <w:tc>
          <w:tcPr>
            <w:shd w:val="clear" w:color="auto" w:fill="1F3864"/>
          </w:tcPr>
          <w:p>
            <w:pPr>
              <w:pStyle w:val="Compact"/>
              <w:jc w:val="left"/>
            </w:pPr>
            <w:r>
              <w:rPr>
                <w:b/>
                <w:color w:val="FFFFFF"/>
              </w:rPr>
              <w:t xml:space="preserve">Requirement</w:t>
            </w:r>
          </w:p>
        </w:tc>
        <w:tc>
          <w:tcPr>
            <w:shd w:val="clear" w:color="auto" w:fill="1F3864"/>
          </w:tcPr>
          <w:p>
            <w:pPr>
              <w:pStyle w:val="Compact"/>
              <w:jc w:val="left"/>
            </w:pPr>
            <w:r>
              <w:rPr>
                <w:b/>
                <w:color w:val="FFFFFF"/>
              </w:rPr>
              <w:t xml:space="preserve">Target</w:t>
            </w:r>
          </w:p>
        </w:tc>
      </w:tr>
      <w:tr>
        <w:tc>
          <w:tcPr/>
          <w:p>
            <w:pPr>
              <w:pStyle w:val="Compact"/>
              <w:jc w:val="left"/>
            </w:pPr>
            <w:r>
              <w:t xml:space="preserve">PR-01</w:t>
            </w:r>
          </w:p>
        </w:tc>
        <w:tc>
          <w:tcPr/>
          <w:p>
            <w:pPr>
              <w:pStyle w:val="Compact"/>
              <w:jc w:val="left"/>
            </w:pPr>
            <w:r>
              <w:t xml:space="preserve">Translation and Sales Agent API availability</w:t>
            </w:r>
          </w:p>
        </w:tc>
        <w:tc>
          <w:tcPr/>
          <w:p>
            <w:pPr>
              <w:pStyle w:val="Compact"/>
              <w:jc w:val="left"/>
            </w:pPr>
            <w:r>
              <w:t xml:space="preserve">99.9% over 30 days</w:t>
            </w:r>
          </w:p>
        </w:tc>
      </w:tr>
      <w:tr>
        <w:tc>
          <w:tcPr/>
          <w:p>
            <w:pPr>
              <w:pStyle w:val="Compact"/>
              <w:jc w:val="left"/>
            </w:pPr>
            <w:r>
              <w:t xml:space="preserve">PR-02</w:t>
            </w:r>
          </w:p>
        </w:tc>
        <w:tc>
          <w:tcPr/>
          <w:p>
            <w:pPr>
              <w:pStyle w:val="Compact"/>
              <w:jc w:val="left"/>
            </w:pPr>
            <w:r>
              <w:t xml:space="preserve">Translation latency, documents up to 10 pages</w:t>
            </w:r>
          </w:p>
        </w:tc>
        <w:tc>
          <w:tcPr/>
          <w:p>
            <w:pPr>
              <w:pStyle w:val="Compact"/>
              <w:jc w:val="left"/>
            </w:pPr>
            <w:r>
              <w:t xml:space="preserve">Under 30 s at P95</w:t>
            </w:r>
          </w:p>
        </w:tc>
      </w:tr>
      <w:tr>
        <w:tc>
          <w:tcPr/>
          <w:p>
            <w:pPr>
              <w:pStyle w:val="Compact"/>
              <w:jc w:val="left"/>
            </w:pPr>
            <w:r>
              <w:t xml:space="preserve">PR-03</w:t>
            </w:r>
          </w:p>
        </w:tc>
        <w:tc>
          <w:tcPr/>
          <w:p>
            <w:pPr>
              <w:pStyle w:val="Compact"/>
              <w:jc w:val="left"/>
            </w:pPr>
            <w:r>
              <w:t xml:space="preserve">Translation latency, documents up to 50 pages</w:t>
            </w:r>
          </w:p>
        </w:tc>
        <w:tc>
          <w:tcPr/>
          <w:p>
            <w:pPr>
              <w:pStyle w:val="Compact"/>
              <w:jc w:val="left"/>
            </w:pPr>
            <w:r>
              <w:t xml:space="preserve">Under 5 min at P95</w:t>
            </w:r>
          </w:p>
        </w:tc>
      </w:tr>
      <w:tr>
        <w:tc>
          <w:tcPr/>
          <w:p>
            <w:pPr>
              <w:pStyle w:val="Compact"/>
              <w:jc w:val="left"/>
            </w:pPr>
            <w:r>
              <w:t xml:space="preserve">PR-04</w:t>
            </w:r>
          </w:p>
        </w:tc>
        <w:tc>
          <w:tcPr/>
          <w:p>
            <w:pPr>
              <w:pStyle w:val="Compact"/>
              <w:jc w:val="left"/>
            </w:pPr>
            <w:r>
              <w:t xml:space="preserve">Upload API acknowledgement (HTTP 202)</w:t>
            </w:r>
          </w:p>
        </w:tc>
        <w:tc>
          <w:tcPr/>
          <w:p>
            <w:pPr>
              <w:pStyle w:val="Compact"/>
              <w:jc w:val="left"/>
            </w:pPr>
            <w:r>
              <w:t xml:space="preserve">Under 2 s</w:t>
            </w:r>
          </w:p>
        </w:tc>
      </w:tr>
      <w:tr>
        <w:tc>
          <w:tcPr/>
          <w:p>
            <w:pPr>
              <w:pStyle w:val="Compact"/>
              <w:jc w:val="left"/>
            </w:pPr>
            <w:r>
              <w:t xml:space="preserve">PR-05</w:t>
            </w:r>
          </w:p>
        </w:tc>
        <w:tc>
          <w:tcPr/>
          <w:p>
            <w:pPr>
              <w:pStyle w:val="Compact"/>
              <w:jc w:val="left"/>
            </w:pPr>
            <w:r>
              <w:t xml:space="preserve">Maximum document size</w:t>
            </w:r>
          </w:p>
        </w:tc>
        <w:tc>
          <w:tcPr/>
          <w:p>
            <w:pPr>
              <w:pStyle w:val="Compact"/>
              <w:jc w:val="left"/>
            </w:pPr>
            <w:r>
              <w:t xml:space="preserve">50 MB</w:t>
            </w:r>
          </w:p>
        </w:tc>
      </w:tr>
      <w:tr>
        <w:tc>
          <w:tcPr/>
          <w:p>
            <w:pPr>
              <w:pStyle w:val="Compact"/>
              <w:jc w:val="left"/>
            </w:pPr>
            <w:r>
              <w:t xml:space="preserve">PR-06</w:t>
            </w:r>
          </w:p>
        </w:tc>
        <w:tc>
          <w:tcPr/>
          <w:p>
            <w:pPr>
              <w:pStyle w:val="Compact"/>
              <w:jc w:val="left"/>
            </w:pPr>
            <w:r>
              <w:t xml:space="preserve">Sales Agent single-turn latency</w:t>
            </w:r>
          </w:p>
        </w:tc>
        <w:tc>
          <w:tcPr/>
          <w:p>
            <w:pPr>
              <w:pStyle w:val="Compact"/>
              <w:jc w:val="left"/>
            </w:pPr>
            <w:r>
              <w:t xml:space="preserve">Under 5 s at P95</w:t>
            </w:r>
          </w:p>
        </w:tc>
      </w:tr>
      <w:tr>
        <w:tc>
          <w:tcPr/>
          <w:p>
            <w:pPr>
              <w:pStyle w:val="Compact"/>
              <w:jc w:val="left"/>
            </w:pPr>
            <w:r>
              <w:t xml:space="preserve">PR-07</w:t>
            </w:r>
          </w:p>
        </w:tc>
        <w:tc>
          <w:tcPr/>
          <w:p>
            <w:pPr>
              <w:pStyle w:val="Compact"/>
              <w:jc w:val="left"/>
            </w:pPr>
            <w:r>
              <w:t xml:space="preserve">Cloud Run scale-out to first response</w:t>
            </w:r>
          </w:p>
        </w:tc>
        <w:tc>
          <w:tcPr/>
          <w:p>
            <w:pPr>
              <w:pStyle w:val="Compact"/>
              <w:jc w:val="left"/>
            </w:pPr>
            <w:r>
              <w:t xml:space="preserve">Under 10 s</w:t>
            </w:r>
          </w:p>
        </w:tc>
      </w:tr>
      <w:tr>
        <w:tc>
          <w:tcPr/>
          <w:p>
            <w:pPr>
              <w:pStyle w:val="Compact"/>
              <w:jc w:val="left"/>
            </w:pPr>
            <w:r>
              <w:t xml:space="preserve">PR-08</w:t>
            </w:r>
          </w:p>
        </w:tc>
        <w:tc>
          <w:tcPr/>
          <w:p>
            <w:pPr>
              <w:pStyle w:val="Compact"/>
              <w:jc w:val="left"/>
            </w:pPr>
            <w:r>
              <w:t xml:space="preserve">End-to-end latency budget</w:t>
            </w:r>
          </w:p>
        </w:tc>
        <w:tc>
          <w:tcPr/>
          <w:p>
            <w:pPr>
              <w:pStyle w:val="Compact"/>
              <w:jc w:val="left"/>
            </w:pPr>
            <w:r>
              <w:rPr>
                <w:b/>
                <w:bCs/>
              </w:rPr>
              <w:t xml:space="preserve">Not yet set.</w:t>
            </w:r>
            <w:r>
              <w:t xml:space="preserve"> </w:t>
            </w:r>
            <w:r>
              <w:t xml:space="preserve">A request traverses ZPA, the load balancer, IAP, the Backend-for-Frontend, Firestore, Apigee, PSC and the backend load balancer, and IAP adds latency at each front-door call. Must be set and measured before go-live</w:t>
            </w:r>
          </w:p>
        </w:tc>
      </w:tr>
    </w:tbl>
    <w:bookmarkEnd w:id="45"/>
    <w:bookmarkStart w:id="46" w:name="platform-performance-budgets"/>
    <w:p>
      <w:pPr>
        <w:pStyle w:val="Heading3"/>
      </w:pPr>
      <w:r>
        <w:t xml:space="preserve">3.4.2 Platform performance budgets</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ID</w:t>
            </w:r>
          </w:p>
        </w:tc>
        <w:tc>
          <w:tcPr>
            <w:shd w:val="clear" w:color="auto" w:fill="1F3864"/>
          </w:tcPr>
          <w:p>
            <w:pPr>
              <w:pStyle w:val="Compact"/>
              <w:jc w:val="left"/>
            </w:pPr>
            <w:r>
              <w:rPr>
                <w:b/>
                <w:color w:val="FFFFFF"/>
              </w:rPr>
              <w:t xml:space="preserve">Requirement</w:t>
            </w:r>
          </w:p>
        </w:tc>
        <w:tc>
          <w:tcPr>
            <w:shd w:val="clear" w:color="auto" w:fill="1F3864"/>
          </w:tcPr>
          <w:p>
            <w:pPr>
              <w:pStyle w:val="Compact"/>
              <w:jc w:val="left"/>
            </w:pPr>
            <w:r>
              <w:rPr>
                <w:b/>
                <w:color w:val="FFFFFF"/>
              </w:rPr>
              <w:t xml:space="preserve">Target</w:t>
            </w:r>
          </w:p>
        </w:tc>
        <w:tc>
          <w:tcPr>
            <w:shd w:val="clear" w:color="auto" w:fill="1F3864"/>
          </w:tcPr>
          <w:p>
            <w:pPr>
              <w:pStyle w:val="Compact"/>
              <w:jc w:val="left"/>
            </w:pPr>
            <w:r>
              <w:rPr>
                <w:b/>
                <w:color w:val="FFFFFF"/>
              </w:rPr>
              <w:t xml:space="preserve">Note</w:t>
            </w:r>
          </w:p>
        </w:tc>
      </w:tr>
      <w:tr>
        <w:tc>
          <w:tcPr/>
          <w:p>
            <w:pPr>
              <w:pStyle w:val="Compact"/>
              <w:jc w:val="left"/>
            </w:pPr>
            <w:r>
              <w:t xml:space="preserve">PR-09</w:t>
            </w:r>
          </w:p>
        </w:tc>
        <w:tc>
          <w:tcPr/>
          <w:p>
            <w:pPr>
              <w:pStyle w:val="Compact"/>
              <w:jc w:val="left"/>
            </w:pPr>
            <w:r>
              <w:t xml:space="preserve">Session read latency, P95</w:t>
            </w:r>
          </w:p>
        </w:tc>
        <w:tc>
          <w:tcPr/>
          <w:p>
            <w:pPr>
              <w:pStyle w:val="Compact"/>
              <w:jc w:val="left"/>
            </w:pPr>
            <w:r>
              <w:t xml:space="preserve">Under 25 ms</w:t>
            </w:r>
          </w:p>
        </w:tc>
        <w:tc>
          <w:tcPr/>
          <w:p>
            <w:pPr>
              <w:pStyle w:val="Compact"/>
              <w:jc w:val="left"/>
            </w:pPr>
            <w:r>
              <w:t xml:space="preserve">On the critical path of every API call, and the number most likely to degrade quietly. Alert above it</w:t>
            </w:r>
          </w:p>
        </w:tc>
      </w:tr>
      <w:tr>
        <w:tc>
          <w:tcPr/>
          <w:p>
            <w:pPr>
              <w:pStyle w:val="Compact"/>
              <w:jc w:val="left"/>
            </w:pPr>
            <w:r>
              <w:t xml:space="preserve">PR-10</w:t>
            </w:r>
          </w:p>
        </w:tc>
        <w:tc>
          <w:tcPr/>
          <w:p>
            <w:pPr>
              <w:pStyle w:val="Compact"/>
              <w:jc w:val="left"/>
            </w:pPr>
            <w:r>
              <w:t xml:space="preserve">Firestore call timeout</w:t>
            </w:r>
          </w:p>
        </w:tc>
        <w:tc>
          <w:tcPr/>
          <w:p>
            <w:pPr>
              <w:pStyle w:val="Compact"/>
              <w:jc w:val="left"/>
            </w:pPr>
            <w:r>
              <w:t xml:space="preserve">2 s</w:t>
            </w:r>
          </w:p>
        </w:tc>
        <w:tc>
          <w:tcPr/>
          <w:p>
            <w:pPr>
              <w:pStyle w:val="Compact"/>
              <w:jc w:val="left"/>
            </w:pPr>
            <w:r>
              <w:t xml:space="preserve">Comfortably inside the Cloud Run request timeout</w:t>
            </w:r>
          </w:p>
        </w:tc>
      </w:tr>
      <w:tr>
        <w:tc>
          <w:tcPr/>
          <w:p>
            <w:pPr>
              <w:pStyle w:val="Compact"/>
              <w:jc w:val="left"/>
            </w:pPr>
            <w:r>
              <w:t xml:space="preserve">PR-11</w:t>
            </w:r>
          </w:p>
        </w:tc>
        <w:tc>
          <w:tcPr/>
          <w:p>
            <w:pPr>
              <w:pStyle w:val="Compact"/>
              <w:jc w:val="left"/>
            </w:pPr>
            <w:r>
              <w:t xml:space="preserve">Refresh lease duration</w:t>
            </w:r>
          </w:p>
        </w:tc>
        <w:tc>
          <w:tcPr/>
          <w:p>
            <w:pPr>
              <w:pStyle w:val="Compact"/>
              <w:jc w:val="left"/>
            </w:pPr>
            <w:r>
              <w:t xml:space="preserve">10 s, with the Entra HTTP call timing out well inside it</w:t>
            </w:r>
          </w:p>
        </w:tc>
        <w:tc>
          <w:tcPr/>
          <w:p>
            <w:pPr>
              <w:pStyle w:val="Compact"/>
              <w:jc w:val="left"/>
            </w:pPr>
            <w:r>
              <w:t xml:space="preserve">A 30 s HTTP timeout under a 10 s lease recreates the stampede the lease exists to prevent</w:t>
            </w:r>
          </w:p>
        </w:tc>
      </w:tr>
      <w:tr>
        <w:tc>
          <w:tcPr/>
          <w:p>
            <w:pPr>
              <w:pStyle w:val="Compact"/>
              <w:jc w:val="left"/>
            </w:pPr>
            <w:r>
              <w:t xml:space="preserve">PR-12</w:t>
            </w:r>
          </w:p>
        </w:tc>
        <w:tc>
          <w:tcPr/>
          <w:p>
            <w:pPr>
              <w:pStyle w:val="Compact"/>
              <w:jc w:val="left"/>
            </w:pPr>
            <w:r>
              <w:t xml:space="preserve">Maximum wait for a refresh loser before failing</w:t>
            </w:r>
          </w:p>
        </w:tc>
        <w:tc>
          <w:tcPr/>
          <w:p>
            <w:pPr>
              <w:pStyle w:val="Compact"/>
              <w:jc w:val="left"/>
            </w:pPr>
            <w:r>
              <w:t xml:space="preserve">About 2 s, then 503</w:t>
            </w:r>
          </w:p>
        </w:tc>
        <w:tc>
          <w:tcPr/>
          <w:p>
            <w:pPr>
              <w:pStyle w:val="Compact"/>
              <w:jc w:val="left"/>
            </w:pPr>
            <w:r>
              <w:t xml:space="preserve">Holding Cloud Run instances during a refresh problem turns a token issue into a capacity outage</w:t>
            </w:r>
          </w:p>
        </w:tc>
      </w:tr>
      <w:tr>
        <w:tc>
          <w:tcPr/>
          <w:p>
            <w:pPr>
              <w:pStyle w:val="Compact"/>
              <w:jc w:val="left"/>
            </w:pPr>
            <w:r>
              <w:t xml:space="preserve">PR-13</w:t>
            </w:r>
          </w:p>
        </w:tc>
        <w:tc>
          <w:tcPr/>
          <w:p>
            <w:pPr>
              <w:pStyle w:val="Compact"/>
              <w:jc w:val="left"/>
            </w:pPr>
            <w:r>
              <w:t xml:space="preserve">Instance-level session cache</w:t>
            </w:r>
          </w:p>
        </w:tc>
        <w:tc>
          <w:tcPr/>
          <w:p>
            <w:pPr>
              <w:pStyle w:val="Compact"/>
              <w:jc w:val="left"/>
            </w:pPr>
            <w:r>
              <w:t xml:space="preserve">5 to 15 s, bypassed on logout, rotation and privilege-sensitive operations</w:t>
            </w:r>
          </w:p>
        </w:tc>
        <w:tc>
          <w:tcPr/>
          <w:p>
            <w:pPr>
              <w:pStyle w:val="Compact"/>
              <w:jc w:val="left"/>
            </w:pPr>
            <w:r>
              <w:t xml:space="preserve">The trade is explicit — a revoked session stays valid for up to the cache lifetime</w:t>
            </w:r>
          </w:p>
        </w:tc>
      </w:tr>
      <w:tr>
        <w:tc>
          <w:tcPr/>
          <w:p>
            <w:pPr>
              <w:pStyle w:val="Compact"/>
              <w:jc w:val="left"/>
            </w:pPr>
            <w:r>
              <w:t xml:space="preserve">PR-14</w:t>
            </w:r>
          </w:p>
        </w:tc>
        <w:tc>
          <w:tcPr/>
          <w:p>
            <w:pPr>
              <w:pStyle w:val="Compact"/>
              <w:jc w:val="left"/>
            </w:pPr>
            <w:r>
              <w:t xml:space="preserve">Cloud Run request timeout</w:t>
            </w:r>
          </w:p>
        </w:tc>
        <w:tc>
          <w:tcPr/>
          <w:p>
            <w:pPr>
              <w:pStyle w:val="Compact"/>
              <w:jc w:val="left"/>
            </w:pPr>
            <w:r>
              <w:t xml:space="preserve">600 s for API services, 3,600 s for the worker</w:t>
            </w:r>
          </w:p>
        </w:tc>
        <w:tc>
          <w:tcPr/>
          <w:p>
            <w:pPr>
              <w:pStyle w:val="Compact"/>
              <w:jc w:val="left"/>
            </w:pPr>
            <w:r>
              <w:t xml:space="preserve">The load balancer backend timeout does not apply to serverless backends</w:t>
            </w:r>
          </w:p>
        </w:tc>
      </w:tr>
      <w:tr>
        <w:tc>
          <w:tcPr/>
          <w:p>
            <w:pPr>
              <w:pStyle w:val="Compact"/>
              <w:jc w:val="left"/>
            </w:pPr>
            <w:r>
              <w:t xml:space="preserve">PR-15</w:t>
            </w:r>
          </w:p>
        </w:tc>
        <w:tc>
          <w:tcPr/>
          <w:p>
            <w:pPr>
              <w:pStyle w:val="Compact"/>
              <w:jc w:val="left"/>
            </w:pPr>
            <w:r>
              <w:t xml:space="preserve">Session lifetimes</w:t>
            </w:r>
          </w:p>
        </w:tc>
        <w:tc>
          <w:tcPr/>
          <w:p>
            <w:pPr>
              <w:pStyle w:val="Compact"/>
              <w:jc w:val="left"/>
            </w:pPr>
            <w:r>
              <w:t xml:space="preserve">Absolute 8 h aligned to the IAP session; idle 60 min; access token refreshed at 80% of life with jitter</w:t>
            </w:r>
          </w:p>
        </w:tc>
        <w:tc>
          <w:tcPr/>
          <w:p>
            <w:pPr>
              <w:pStyle w:val="Compact"/>
            </w:pPr>
          </w:p>
        </w:tc>
      </w:tr>
      <w:tr>
        <w:tc>
          <w:tcPr/>
          <w:p>
            <w:pPr>
              <w:pStyle w:val="Compact"/>
              <w:jc w:val="left"/>
            </w:pPr>
            <w:r>
              <w:t xml:space="preserve">PR-16</w:t>
            </w:r>
          </w:p>
        </w:tc>
        <w:tc>
          <w:tcPr/>
          <w:p>
            <w:pPr>
              <w:pStyle w:val="Compact"/>
              <w:jc w:val="left"/>
            </w:pPr>
            <w:r>
              <w:t xml:space="preserve">Session rotation grace window</w:t>
            </w:r>
          </w:p>
        </w:tc>
        <w:tc>
          <w:tcPr/>
          <w:p>
            <w:pPr>
              <w:pStyle w:val="Compact"/>
              <w:jc w:val="left"/>
            </w:pPr>
            <w:r>
              <w:t xml:space="preserve">30 s</w:t>
            </w:r>
          </w:p>
        </w:tc>
        <w:tc>
          <w:tcPr/>
          <w:p>
            <w:pPr>
              <w:pStyle w:val="Compact"/>
              <w:jc w:val="left"/>
            </w:pPr>
            <w:r>
              <w:t xml:space="preserve">Long enough for in-flight browser requests, short enough that a stolen old identifier is worthless</w:t>
            </w:r>
          </w:p>
        </w:tc>
      </w:tr>
      <w:tr>
        <w:tc>
          <w:tcPr/>
          <w:p>
            <w:pPr>
              <w:pStyle w:val="Compact"/>
              <w:jc w:val="left"/>
            </w:pPr>
            <w:r>
              <w:t xml:space="preserve">PR-17</w:t>
            </w:r>
          </w:p>
        </w:tc>
        <w:tc>
          <w:tcPr/>
          <w:p>
            <w:pPr>
              <w:pStyle w:val="Compact"/>
              <w:jc w:val="left"/>
            </w:pPr>
            <w:r>
              <w:t xml:space="preserve">Screened model calls, platform ceiling</w:t>
            </w:r>
          </w:p>
        </w:tc>
        <w:tc>
          <w:tcPr/>
          <w:p>
            <w:pPr>
              <w:pStyle w:val="Compact"/>
              <w:jc w:val="left"/>
            </w:pPr>
            <w:r>
              <w:t xml:space="preserve">About 600 per minute</w:t>
            </w:r>
          </w:p>
        </w:tc>
        <w:tc>
          <w:tcPr/>
          <w:p>
            <w:pPr>
              <w:pStyle w:val="Compact"/>
              <w:jc w:val="left"/>
            </w:pPr>
            <w:r>
              <w:t xml:space="preserve">Model Armor allows 1,200 API queries per minute per project, and screening a prompt plus its response is two calls</w:t>
            </w:r>
          </w:p>
        </w:tc>
      </w:tr>
      <w:tr>
        <w:tc>
          <w:tcPr/>
          <w:p>
            <w:pPr>
              <w:pStyle w:val="Compact"/>
              <w:jc w:val="left"/>
            </w:pPr>
            <w:r>
              <w:t xml:space="preserve">PR-18</w:t>
            </w:r>
          </w:p>
        </w:tc>
        <w:tc>
          <w:tcPr/>
          <w:p>
            <w:pPr>
              <w:pStyle w:val="Compact"/>
              <w:jc w:val="left"/>
            </w:pPr>
            <w:r>
              <w:t xml:space="preserve">Vector Search availability</w:t>
            </w:r>
          </w:p>
        </w:tc>
        <w:tc>
          <w:tcPr/>
          <w:p>
            <w:pPr>
              <w:pStyle w:val="Compact"/>
              <w:jc w:val="left"/>
            </w:pPr>
            <w:r>
              <w:t xml:space="preserve">Minimum 2 replicas</w:t>
            </w:r>
          </w:p>
        </w:tc>
        <w:tc>
          <w:tcPr/>
          <w:p>
            <w:pPr>
              <w:pStyle w:val="Compact"/>
              <w:jc w:val="left"/>
            </w:pPr>
            <w:r>
              <w:t xml:space="preserve">A single replica means a restart is an outage</w:t>
            </w:r>
          </w:p>
        </w:tc>
      </w:tr>
      <w:tr>
        <w:tc>
          <w:tcPr/>
          <w:p>
            <w:pPr>
              <w:pStyle w:val="Compact"/>
              <w:jc w:val="left"/>
            </w:pPr>
            <w:r>
              <w:t xml:space="preserve">PR-19</w:t>
            </w:r>
          </w:p>
        </w:tc>
        <w:tc>
          <w:tcPr/>
          <w:p>
            <w:pPr>
              <w:pStyle w:val="Compact"/>
              <w:jc w:val="left"/>
            </w:pPr>
            <w:r>
              <w:t xml:space="preserve">Cloud Run address consumption alert</w:t>
            </w:r>
          </w:p>
        </w:tc>
        <w:tc>
          <w:tcPr/>
          <w:p>
            <w:pPr>
              <w:pStyle w:val="Compact"/>
              <w:jc w:val="left"/>
            </w:pPr>
            <w:r>
              <w:t xml:space="preserve">Alert when instance count multiplied by two exceeds 250</w:t>
            </w:r>
          </w:p>
        </w:tc>
        <w:tc>
          <w:tcPr/>
          <w:p>
            <w:pPr>
              <w:pStyle w:val="Compact"/>
              <w:jc w:val="left"/>
            </w:pPr>
            <w:r>
              <w:t xml:space="preserve">The point at which a revision rollout starts to be at risk against the workload subnet</w:t>
            </w:r>
          </w:p>
        </w:tc>
      </w:tr>
      <w:tr>
        <w:tc>
          <w:tcPr/>
          <w:p>
            <w:pPr>
              <w:pStyle w:val="Compact"/>
              <w:jc w:val="left"/>
            </w:pPr>
            <w:r>
              <w:t xml:space="preserve">PR-20</w:t>
            </w:r>
          </w:p>
        </w:tc>
        <w:tc>
          <w:tcPr/>
          <w:p>
            <w:pPr>
              <w:pStyle w:val="Compact"/>
              <w:jc w:val="left"/>
            </w:pPr>
            <w:r>
              <w:t xml:space="preserve">Recovery time and recovery point objectives</w:t>
            </w:r>
          </w:p>
        </w:tc>
        <w:tc>
          <w:tcPr/>
          <w:p>
            <w:pPr>
              <w:pStyle w:val="Compact"/>
              <w:jc w:val="left"/>
            </w:pPr>
            <w:r>
              <w:t xml:space="preserve">RTO 4 h, RPO 24 h</w:t>
            </w:r>
          </w:p>
        </w:tc>
        <w:tc>
          <w:tcPr/>
          <w:p>
            <w:pPr>
              <w:pStyle w:val="Compact"/>
              <w:jc w:val="left"/>
            </w:pPr>
            <w:r>
              <w:t xml:space="preserve">Recovery is by rebuild from Terraform and Git — see</w:t>
            </w:r>
            <w:r>
              <w:t xml:space="preserve"> </w:t>
            </w:r>
            <w:r>
              <w:rPr>
                <w:b/>
                <w:bCs/>
              </w:rPr>
              <w:t xml:space="preserve">Backup and Restore</w:t>
            </w:r>
          </w:p>
        </w:tc>
      </w:tr>
    </w:tbl>
    <w:bookmarkEnd w:id="46"/>
    <w:bookmarkEnd w:id="47"/>
    <w:bookmarkStart w:id="48" w:name="raci-roles-and-responsibilities"/>
    <w:p>
      <w:pPr>
        <w:pStyle w:val="Heading2"/>
      </w:pPr>
      <w:r>
        <w:t xml:space="preserve">3.5 RACI — roles and responsibilities</w:t>
      </w:r>
    </w:p>
    <w:p>
      <w:pPr>
        <w:pStyle w:val="FirstParagraph"/>
      </w:pPr>
      <w:r>
        <w:rPr>
          <w:b/>
          <w:bCs/>
        </w:rPr>
        <w:t xml:space="preserve">R</w:t>
      </w:r>
      <w:r>
        <w:t xml:space="preserve"> </w:t>
      </w:r>
      <w:r>
        <w:t xml:space="preserve">Responsible (does the work) ·</w:t>
      </w:r>
      <w:r>
        <w:t xml:space="preserve"> </w:t>
      </w:r>
      <w:r>
        <w:rPr>
          <w:b/>
          <w:bCs/>
        </w:rPr>
        <w:t xml:space="preserve">A</w:t>
      </w:r>
      <w:r>
        <w:t xml:space="preserve"> </w:t>
      </w:r>
      <w:r>
        <w:t xml:space="preserve">Accountable (owns the outcome, one per row) ·</w:t>
      </w:r>
      <w:r>
        <w:t xml:space="preserve"> </w:t>
      </w:r>
      <w:r>
        <w:rPr>
          <w:b/>
          <w:bCs/>
        </w:rPr>
        <w:t xml:space="preserve">C</w:t>
      </w:r>
      <w:r>
        <w:t xml:space="preserve"> </w:t>
      </w:r>
      <w:r>
        <w:t xml:space="preserve">Consulted ·</w:t>
      </w:r>
      <w:r>
        <w:t xml:space="preserve"> </w:t>
      </w:r>
      <w:r>
        <w:rPr>
          <w:b/>
          <w:bCs/>
        </w:rPr>
        <w:t xml:space="preserve">I</w:t>
      </w:r>
      <w:r>
        <w:t xml:space="preserve"> </w:t>
      </w:r>
      <w:r>
        <w:t xml:space="preserve">Informed</w:t>
      </w:r>
    </w:p>
    <w:p>
      <w:pPr>
        <w:pStyle w:val="BodyText"/>
      </w:pPr>
      <w:r>
        <w:t xml:space="preserve">Work owned by the Colt identity function (Entra ID application registrations, App Roles, security group membership) and by Data Protection (prompt-logging purpose and retention, the GDPR position) is named in the activity text and coordinated by the Colt Cloud CoE. Platform Operate is the distribution list</w:t>
      </w:r>
      <w:r>
        <w:t xml:space="preserve"> </w:t>
      </w:r>
      <w:r>
        <w:rPr>
          <w:rStyle w:val="VerbatimChar"/>
        </w:rPr>
        <w:t xml:space="preserve">platformoperate@colt.net</w:t>
      </w:r>
      <w:r>
        <w:t xml:space="preserve"> </w:t>
      </w:r>
      <w:r>
        <w:t xml:space="preserve">and holds steady-state ownership after handover.</w:t>
      </w:r>
    </w:p>
    <w:tbl>
      <w:tblPr>
        <w:tblStyle w:val="TableGrid"/>
        <w:tblW w:type="pct" w:w="5000"/>
        <w:jc w:val="start"/>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1F3864"/>
          </w:tcPr>
          <w:p>
            <w:pPr>
              <w:pStyle w:val="Compact"/>
              <w:jc w:val="left"/>
            </w:pPr>
            <w:r>
              <w:rPr>
                <w:b/>
                <w:color w:val="FFFFFF"/>
              </w:rPr>
              <w:t xml:space="preserve">Activity / control area</w:t>
            </w:r>
          </w:p>
        </w:tc>
        <w:tc>
          <w:tcPr>
            <w:shd w:val="clear" w:color="auto" w:fill="1F3864"/>
          </w:tcPr>
          <w:p>
            <w:pPr>
              <w:pStyle w:val="Compact"/>
              <w:jc w:val="left"/>
            </w:pPr>
            <w:r>
              <w:rPr>
                <w:b/>
                <w:color w:val="FFFFFF"/>
              </w:rPr>
              <w:t xml:space="preserve">AICOE Platform Team</w:t>
            </w:r>
          </w:p>
        </w:tc>
        <w:tc>
          <w:tcPr>
            <w:shd w:val="clear" w:color="auto" w:fill="1F3864"/>
          </w:tcPr>
          <w:p>
            <w:pPr>
              <w:pStyle w:val="Compact"/>
              <w:jc w:val="left"/>
            </w:pPr>
            <w:r>
              <w:rPr>
                <w:b/>
                <w:color w:val="FFFFFF"/>
              </w:rPr>
              <w:t xml:space="preserve">AICOE Developer Team</w:t>
            </w:r>
          </w:p>
        </w:tc>
        <w:tc>
          <w:tcPr>
            <w:shd w:val="clear" w:color="auto" w:fill="1F3864"/>
          </w:tcPr>
          <w:p>
            <w:pPr>
              <w:pStyle w:val="Compact"/>
              <w:jc w:val="left"/>
            </w:pPr>
            <w:r>
              <w:rPr>
                <w:b/>
                <w:color w:val="FFFFFF"/>
              </w:rPr>
              <w:t xml:space="preserve">Colt Cloud CoE</w:t>
            </w:r>
          </w:p>
        </w:tc>
        <w:tc>
          <w:tcPr>
            <w:shd w:val="clear" w:color="auto" w:fill="1F3864"/>
          </w:tcPr>
          <w:p>
            <w:pPr>
              <w:pStyle w:val="Compact"/>
              <w:jc w:val="left"/>
            </w:pPr>
            <w:r>
              <w:rPr>
                <w:b/>
                <w:color w:val="FFFFFF"/>
              </w:rPr>
              <w:t xml:space="preserve">Colt CSOC</w:t>
            </w:r>
          </w:p>
        </w:tc>
        <w:tc>
          <w:tcPr>
            <w:shd w:val="clear" w:color="auto" w:fill="1F3864"/>
          </w:tcPr>
          <w:p>
            <w:pPr>
              <w:pStyle w:val="Compact"/>
              <w:jc w:val="left"/>
            </w:pPr>
            <w:r>
              <w:rPr>
                <w:b/>
                <w:color w:val="FFFFFF"/>
              </w:rPr>
              <w:t xml:space="preserve">PM Team</w:t>
            </w:r>
          </w:p>
        </w:tc>
        <w:tc>
          <w:tcPr>
            <w:shd w:val="clear" w:color="auto" w:fill="1F3864"/>
          </w:tcPr>
          <w:p>
            <w:pPr>
              <w:pStyle w:val="Compact"/>
              <w:jc w:val="left"/>
            </w:pPr>
            <w:r>
              <w:rPr>
                <w:b/>
                <w:color w:val="FFFFFF"/>
              </w:rPr>
              <w:t xml:space="preserve">Platform Operate</w:t>
            </w:r>
          </w:p>
        </w:tc>
      </w:tr>
      <w:tr>
        <w:tc>
          <w:tcPr/>
          <w:p>
            <w:pPr>
              <w:pStyle w:val="Compact"/>
              <w:jc w:val="left"/>
            </w:pPr>
            <w:r>
              <w:t xml:space="preserve">Design authorship and technical sign-off</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Architecture gate approval and CAB submission</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rPr>
                <w:b/>
                <w:bCs/>
              </w:rPr>
              <w:t xml:space="preserve">R/A</w:t>
            </w:r>
          </w:p>
        </w:tc>
        <w:tc>
          <w:tcPr/>
          <w:p>
            <w:pPr>
              <w:pStyle w:val="Compact"/>
              <w:jc w:val="left"/>
            </w:pPr>
            <w:r>
              <w:t xml:space="preserve">I</w:t>
            </w:r>
          </w:p>
        </w:tc>
      </w:tr>
      <w:tr>
        <w:tc>
          <w:tcPr/>
          <w:p>
            <w:pPr>
              <w:pStyle w:val="Compact"/>
              <w:jc w:val="left"/>
            </w:pPr>
            <w:r>
              <w:t xml:space="preserve">Organisation policies at the</w:t>
            </w:r>
            <w:r>
              <w:t xml:space="preserve"> </w:t>
            </w:r>
            <w:r>
              <w:rPr>
                <w:rStyle w:val="VerbatimChar"/>
              </w:rPr>
              <w:t xml:space="preserve">AI COE</w:t>
            </w:r>
            <w:r>
              <w:t xml:space="preserve"> </w:t>
            </w:r>
            <w:r>
              <w:t xml:space="preserve">folder</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Folder creation, billing and project provisioning</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IPAM allocation of all platform address ranges</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Shared VPC, Sandbox VPC, subnets, firewall and DNS</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Firewall rule change after go-live</w:t>
            </w:r>
          </w:p>
        </w:tc>
        <w:tc>
          <w:tcPr/>
          <w:p>
            <w:pPr>
              <w:pStyle w:val="Compact"/>
              <w:jc w:val="left"/>
            </w:pPr>
            <w:r>
              <w:rPr>
                <w:b/>
                <w:bCs/>
              </w:rPr>
              <w:t xml:space="preserve">R</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A</w:t>
            </w:r>
          </w:p>
        </w:tc>
      </w:tr>
      <w:tr>
        <w:tc>
          <w:tcPr/>
          <w:p>
            <w:pPr>
              <w:pStyle w:val="Compact"/>
              <w:jc w:val="left"/>
            </w:pPr>
            <w:r>
              <w:t xml:space="preserve">CSOC firewall opening on the Colt corporate network</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ZPA connector configuration</w:t>
            </w:r>
          </w:p>
        </w:tc>
        <w:tc>
          <w:tcPr/>
          <w:p>
            <w:pPr>
              <w:pStyle w:val="Compact"/>
              <w:jc w:val="left"/>
            </w:pPr>
            <w:r>
              <w:t xml:space="preserve">I</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Private Service Connect flows</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Load balancers, TLS certificates and IAP configuration</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TLS certificate renewal after go-live</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rPr>
                <w:b/>
                <w:bCs/>
              </w:rPr>
              <w:t xml:space="preserve">R/A</w:t>
            </w:r>
          </w:p>
        </w:tc>
      </w:tr>
      <w:tr>
        <w:tc>
          <w:tcPr/>
          <w:p>
            <w:pPr>
              <w:pStyle w:val="Compact"/>
              <w:jc w:val="left"/>
            </w:pPr>
            <w:r>
              <w:t xml:space="preserve">Entra ID application registrations, App Roles and redirect URIs</w:t>
            </w:r>
          </w:p>
        </w:tc>
        <w:tc>
          <w:tcPr/>
          <w:p>
            <w:pPr>
              <w:pStyle w:val="Compact"/>
              <w:jc w:val="left"/>
            </w:pPr>
            <w:r>
              <w:t xml:space="preserve">C</w:t>
            </w:r>
          </w:p>
        </w:tc>
        <w:tc>
          <w:tcPr/>
          <w:p>
            <w:pPr>
              <w:pStyle w:val="Compact"/>
              <w:jc w:val="left"/>
            </w:pPr>
            <w:r>
              <w:t xml:space="preserve">C</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Entra security group membership (joiner, mover, leaver)</w:t>
            </w:r>
          </w:p>
        </w:tc>
        <w:tc>
          <w:tcPr/>
          <w:p>
            <w:pPr>
              <w:pStyle w:val="Compact"/>
              <w:jc w:val="left"/>
            </w:pPr>
            <w:r>
              <w:t xml:space="preserve">I</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Workforce and Workload Identity Federation on the Google side</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Service accounts and IAM bindings</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Removal of</w:t>
            </w:r>
            <w:r>
              <w:t xml:space="preserve"> </w:t>
            </w:r>
            <w:r>
              <w:rPr>
                <w:rStyle w:val="VerbatimChar"/>
              </w:rPr>
              <w:t xml:space="preserve">aiplatform.user</w:t>
            </w:r>
            <w:r>
              <w:t xml:space="preserve"> </w:t>
            </w:r>
            <w:r>
              <w:t xml:space="preserve">from workload service accounts</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Privileged access, entitlement design and just-in-time approval</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Break-glass account and its approval path</w:t>
            </w:r>
          </w:p>
        </w:tc>
        <w:tc>
          <w:tcPr/>
          <w:p>
            <w:pPr>
              <w:pStyle w:val="Compact"/>
              <w:jc w:val="left"/>
            </w:pPr>
            <w:r>
              <w:rPr>
                <w:b/>
                <w:bCs/>
              </w:rPr>
              <w:t xml:space="preserve">R</w:t>
            </w:r>
          </w:p>
        </w:tc>
        <w:tc>
          <w:tcPr/>
          <w:p>
            <w:pPr>
              <w:pStyle w:val="Compact"/>
              <w:jc w:val="left"/>
            </w:pPr>
            <w:r>
              <w:t xml:space="preserve">I</w:t>
            </w:r>
          </w:p>
        </w:tc>
        <w:tc>
          <w:tcPr/>
          <w:p>
            <w:pPr>
              <w:pStyle w:val="Compact"/>
              <w:jc w:val="left"/>
            </w:pPr>
            <w:r>
              <w:t xml:space="preserve">C</w:t>
            </w:r>
          </w:p>
        </w:tc>
        <w:tc>
          <w:tcPr/>
          <w:p>
            <w:pPr>
              <w:pStyle w:val="Compact"/>
              <w:jc w:val="left"/>
            </w:pPr>
            <w:r>
              <w:rPr>
                <w:b/>
                <w:bCs/>
              </w:rPr>
              <w:t xml:space="preserve">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Access review and recertification</w:t>
            </w:r>
          </w:p>
        </w:tc>
        <w:tc>
          <w:tcPr/>
          <w:p>
            <w:pPr>
              <w:pStyle w:val="Compact"/>
              <w:jc w:val="left"/>
            </w:pPr>
            <w:r>
              <w:rPr>
                <w:b/>
                <w:bCs/>
              </w:rPr>
              <w:t xml:space="preserve">R</w:t>
            </w:r>
          </w:p>
        </w:tc>
        <w:tc>
          <w:tcPr/>
          <w:p>
            <w:pPr>
              <w:pStyle w:val="Compact"/>
              <w:jc w:val="left"/>
            </w:pPr>
            <w:r>
              <w:t xml:space="preserve">C</w:t>
            </w:r>
          </w:p>
        </w:tc>
        <w:tc>
          <w:tcPr/>
          <w:p>
            <w:pPr>
              <w:pStyle w:val="Compact"/>
              <w:jc w:val="left"/>
            </w:pPr>
            <w:r>
              <w:rPr>
                <w:b/>
                <w:bCs/>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Cloud KMS key rings, keys and CMEK bindings</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Secrets provisioning and rotation</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R</w:t>
            </w:r>
          </w:p>
        </w:tc>
      </w:tr>
      <w:tr>
        <w:tc>
          <w:tcPr/>
          <w:p>
            <w:pPr>
              <w:pStyle w:val="Compact"/>
              <w:jc w:val="left"/>
            </w:pPr>
            <w:r>
              <w:t xml:space="preserve">VPC Service Controls perimeter</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Apigee organisation, instance and environments</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Apigee proxy and API Product deploy approval</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Model allow-list additions</w:t>
            </w:r>
          </w:p>
        </w:tc>
        <w:tc>
          <w:tcPr/>
          <w:p>
            <w:pPr>
              <w:pStyle w:val="Compact"/>
              <w:jc w:val="left"/>
            </w:pPr>
            <w:r>
              <w:rPr>
                <w:b/>
                <w:bCs/>
              </w:rPr>
              <w:t xml:space="preserve">R</w:t>
            </w:r>
          </w:p>
        </w:tc>
        <w:tc>
          <w:tcPr/>
          <w:p>
            <w:pPr>
              <w:pStyle w:val="Compact"/>
              <w:jc w:val="left"/>
            </w:pPr>
            <w:r>
              <w:t xml:space="preserve">C</w:t>
            </w:r>
          </w:p>
        </w:tc>
        <w:tc>
          <w:tcPr/>
          <w:p>
            <w:pPr>
              <w:pStyle w:val="Compact"/>
              <w:jc w:val="left"/>
            </w:pPr>
            <w:r>
              <w:rPr>
                <w:b/>
                <w:bCs/>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Model Armor and Sensitive Data Protection template configuration</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Prompt-logging purpose and retention decision</w:t>
            </w:r>
          </w:p>
        </w:tc>
        <w:tc>
          <w:tcPr/>
          <w:p>
            <w:pPr>
              <w:pStyle w:val="Compact"/>
              <w:jc w:val="left"/>
            </w:pPr>
            <w:r>
              <w:t xml:space="preserve">C</w:t>
            </w:r>
          </w:p>
        </w:tc>
        <w:tc>
          <w:tcPr/>
          <w:p>
            <w:pPr>
              <w:pStyle w:val="Compact"/>
              <w:jc w:val="left"/>
            </w:pPr>
            <w:r>
              <w:t xml:space="preserve">C</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Cloud Run service build and deployment</w:t>
            </w:r>
          </w:p>
        </w:tc>
        <w:tc>
          <w:tcPr/>
          <w:p>
            <w:pPr>
              <w:pStyle w:val="Compact"/>
              <w:jc w:val="left"/>
            </w:pPr>
            <w:r>
              <w:t xml:space="preserve">C</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Backend-for-Frontend session, CSRF and refresh implementation</w:t>
            </w:r>
          </w:p>
        </w:tc>
        <w:tc>
          <w:tcPr/>
          <w:p>
            <w:pPr>
              <w:pStyle w:val="Compact"/>
              <w:jc w:val="left"/>
            </w:pPr>
            <w:r>
              <w:rPr>
                <w:b/>
                <w:bCs/>
              </w:rPr>
              <w:t xml:space="preserve">A</w:t>
            </w:r>
          </w:p>
        </w:tc>
        <w:tc>
          <w:tcPr/>
          <w:p>
            <w:pPr>
              <w:pStyle w:val="Compact"/>
              <w:jc w:val="left"/>
            </w:pPr>
            <w:r>
              <w:rPr>
                <w:b/>
                <w:bCs/>
              </w:rPr>
              <w:t xml:space="preserve">R</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rPr>
                <w:rStyle w:val="VerbatimChar"/>
              </w:rPr>
              <w:t xml:space="preserve">maxScale</w:t>
            </w:r>
            <w:r>
              <w:t xml:space="preserve"> </w:t>
            </w:r>
            <w:r>
              <w:t xml:space="preserve">allocation from the instance ceiling</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RAG ingestion and business-unit labelling</w:t>
            </w:r>
          </w:p>
        </w:tc>
        <w:tc>
          <w:tcPr/>
          <w:p>
            <w:pPr>
              <w:pStyle w:val="Compact"/>
              <w:jc w:val="left"/>
            </w:pPr>
            <w:r>
              <w:rPr>
                <w:b/>
                <w:bCs/>
              </w:rPr>
              <w:t xml:space="preserve">A</w:t>
            </w:r>
          </w:p>
        </w:tc>
        <w:tc>
          <w:tcPr/>
          <w:p>
            <w:pPr>
              <w:pStyle w:val="Compact"/>
              <w:jc w:val="left"/>
            </w:pPr>
            <w:r>
              <w:rPr>
                <w:b/>
                <w:bCs/>
              </w:rPr>
              <w:t xml:space="preserve">R</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Vertex AI Workbench provisioning and hardening (Sandbox)</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Logging design, sinks and retention</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SIEM onboarding and alert response</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Security incident detection and response</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Emergency termination of sessions and agent activity</w:t>
            </w:r>
          </w:p>
        </w:tc>
        <w:tc>
          <w:tcPr/>
          <w:p>
            <w:pPr>
              <w:pStyle w:val="Compact"/>
              <w:jc w:val="left"/>
            </w:pPr>
            <w:r>
              <w:rPr>
                <w:b/>
                <w:bCs/>
              </w:rPr>
              <w:t xml:space="preserve">R</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A</w:t>
            </w:r>
          </w:p>
        </w:tc>
        <w:tc>
          <w:tcPr/>
          <w:p>
            <w:pPr>
              <w:pStyle w:val="Compact"/>
              <w:jc w:val="left"/>
            </w:pPr>
            <w:r>
              <w:t xml:space="preserve">C</w:t>
            </w:r>
          </w:p>
        </w:tc>
        <w:tc>
          <w:tcPr/>
          <w:p>
            <w:pPr>
              <w:pStyle w:val="Compact"/>
              <w:jc w:val="left"/>
            </w:pPr>
            <w:r>
              <w:rPr>
                <w:b/>
                <w:bCs/>
              </w:rPr>
              <w:t xml:space="preserve">R</w:t>
            </w:r>
          </w:p>
        </w:tc>
      </w:tr>
      <w:tr>
        <w:tc>
          <w:tcPr/>
          <w:p>
            <w:pPr>
              <w:pStyle w:val="Compact"/>
              <w:jc w:val="left"/>
            </w:pPr>
            <w:r>
              <w:t xml:space="preserve">Terraform pipeline, state and policy-as-code</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Pipeline security scanning and gate policy</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Security finding waiver and exception approval</w:t>
            </w:r>
          </w:p>
        </w:tc>
        <w:tc>
          <w:tcPr/>
          <w:p>
            <w:pPr>
              <w:pStyle w:val="Compact"/>
              <w:jc w:val="left"/>
            </w:pPr>
            <w:r>
              <w:rPr>
                <w:b/>
                <w:bCs/>
              </w:rPr>
              <w:t xml:space="preserve">R</w:t>
            </w:r>
          </w:p>
        </w:tc>
        <w:tc>
          <w:tcPr/>
          <w:p>
            <w:pPr>
              <w:pStyle w:val="Compact"/>
              <w:jc w:val="left"/>
            </w:pPr>
            <w:r>
              <w:t xml:space="preserve">C</w:t>
            </w:r>
          </w:p>
        </w:tc>
        <w:tc>
          <w:tcPr/>
          <w:p>
            <w:pPr>
              <w:pStyle w:val="Compact"/>
              <w:jc w:val="left"/>
            </w:pPr>
            <w:r>
              <w:rPr>
                <w:b/>
                <w:bCs/>
              </w:rP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Penetration test scope and remediation</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Backup and recovery execution</w:t>
            </w:r>
          </w:p>
        </w:tc>
        <w:tc>
          <w:tcPr/>
          <w:p>
            <w:pPr>
              <w:pStyle w:val="Compact"/>
              <w:jc w:val="left"/>
            </w:pPr>
            <w:r>
              <w:rPr>
                <w:b/>
                <w:bCs/>
              </w:rP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
                <w:bCs/>
              </w:rPr>
              <w:t xml:space="preserve">A</w:t>
            </w:r>
          </w:p>
        </w:tc>
      </w:tr>
      <w:tr>
        <w:tc>
          <w:tcPr/>
          <w:p>
            <w:pPr>
              <w:pStyle w:val="Compact"/>
              <w:jc w:val="left"/>
            </w:pPr>
            <w:r>
              <w:t xml:space="preserve">Billing budgets, cost attribution and chargeback</w:t>
            </w:r>
          </w:p>
        </w:tc>
        <w:tc>
          <w:tcPr/>
          <w:p>
            <w:pPr>
              <w:pStyle w:val="Compact"/>
              <w:jc w:val="left"/>
            </w:pPr>
            <w:r>
              <w:rPr>
                <w:b/>
                <w:bCs/>
              </w:rPr>
              <w:t xml:space="preserve">R</w:t>
            </w:r>
          </w:p>
        </w:tc>
        <w:tc>
          <w:tcPr/>
          <w:p>
            <w:pPr>
              <w:pStyle w:val="Compact"/>
              <w:jc w:val="left"/>
            </w:pPr>
            <w:r>
              <w:t xml:space="preserve">C</w:t>
            </w:r>
          </w:p>
        </w:tc>
        <w:tc>
          <w:tcPr/>
          <w:p>
            <w:pPr>
              <w:pStyle w:val="Compact"/>
              <w:jc w:val="left"/>
            </w:pPr>
            <w:r>
              <w:rPr>
                <w:b/>
                <w:bCs/>
              </w:rPr>
              <w:t xml:space="preserve">A</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Risk Register and Decision Log upkeep</w:t>
            </w:r>
          </w:p>
        </w:tc>
        <w:tc>
          <w:tcPr/>
          <w:p>
            <w:pPr>
              <w:pStyle w:val="Compact"/>
              <w:jc w:val="left"/>
            </w:pPr>
            <w:r>
              <w:rPr>
                <w:b/>
                <w:bCs/>
              </w:rP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Change record ownership, closure and stakeholder communication</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rPr>
                <w:b/>
                <w:bCs/>
              </w:rPr>
              <w:t xml:space="preserve">R/A</w:t>
            </w:r>
          </w:p>
        </w:tc>
        <w:tc>
          <w:tcPr/>
          <w:p>
            <w:pPr>
              <w:pStyle w:val="Compact"/>
              <w:jc w:val="left"/>
            </w:pPr>
            <w:r>
              <w:t xml:space="preserve">I</w:t>
            </w:r>
          </w:p>
        </w:tc>
      </w:tr>
      <w:tr>
        <w:tc>
          <w:tcPr/>
          <w:p>
            <w:pPr>
              <w:pStyle w:val="Compact"/>
              <w:jc w:val="left"/>
            </w:pPr>
            <w:r>
              <w:t xml:space="preserve">Steady-state alert triage and incident escalation</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rPr>
                <w:b/>
                <w:bCs/>
              </w:rPr>
              <w:t xml:space="preserve">R/A</w:t>
            </w:r>
          </w:p>
        </w:tc>
      </w:tr>
      <w:tr>
        <w:tc>
          <w:tcPr/>
          <w:p>
            <w:pPr>
              <w:pStyle w:val="Compact"/>
              <w:jc w:val="left"/>
            </w:pPr>
            <w:r>
              <w:t xml:space="preserve">Production promotion</w:t>
            </w:r>
          </w:p>
        </w:tc>
        <w:tc>
          <w:tcPr/>
          <w:p>
            <w:pPr>
              <w:pStyle w:val="Compact"/>
              <w:jc w:val="left"/>
            </w:pPr>
            <w:r>
              <w:rPr>
                <w:b/>
                <w:bCs/>
              </w:rPr>
              <w:t xml:space="preserve">R</w:t>
            </w:r>
          </w:p>
        </w:tc>
        <w:tc>
          <w:tcPr/>
          <w:p>
            <w:pPr>
              <w:pStyle w:val="Compact"/>
              <w:jc w:val="left"/>
            </w:pPr>
            <w:r>
              <w:t xml:space="preserve">C</w:t>
            </w:r>
          </w:p>
        </w:tc>
        <w:tc>
          <w:tcPr/>
          <w:p>
            <w:pPr>
              <w:pStyle w:val="Compact"/>
              <w:jc w:val="left"/>
            </w:pPr>
            <w:r>
              <w:rPr>
                <w:b/>
                <w:bCs/>
              </w:rP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bl>
    <w:p>
      <w:r>
        <w:pict>
          <v:rect style="width:0;height:1.5pt" o:hralign="center" o:hrstd="t" o:hr="t"/>
        </w:pict>
      </w:r>
    </w:p>
    <w:bookmarkEnd w:id="48"/>
    <w:bookmarkEnd w:id="49"/>
    <w:bookmarkStart w:id="75" w:name="solution-architecture-overview"/>
    <w:p>
      <w:pPr>
        <w:pStyle w:val="Heading1"/>
      </w:pPr>
      <w:r>
        <w:t xml:space="preserve">4. Solution Architecture Overview</w:t>
      </w:r>
    </w:p>
    <w:bookmarkStart w:id="50" w:name="architecture-summary"/>
    <w:p>
      <w:pPr>
        <w:pStyle w:val="Heading2"/>
      </w:pPr>
      <w:r>
        <w:t xml:space="preserve">4.1 Architecture summary</w:t>
      </w:r>
    </w:p>
    <w:p>
      <w:pPr>
        <w:pStyle w:val="FirstParagraph"/>
      </w:pPr>
      <w:r>
        <w:t xml:space="preserve">Two environments share one folder, one set of organisation policies and one delivery pipeline, and differ in almost everything else.</w:t>
      </w:r>
    </w:p>
    <w:p>
      <w:pPr>
        <w:pStyle w:val="BodyText"/>
      </w:pPr>
      <w:r>
        <w:rPr>
          <w:b/>
          <w:bCs/>
        </w:rPr>
        <w:t xml:space="preserve">Sandbox</w:t>
      </w:r>
      <w:r>
        <w:t xml:space="preserve"> </w:t>
      </w:r>
      <w:r>
        <w:t xml:space="preserve">is a single project on its own VPC. Two internal Application Load Balancers front the translation and sales-agent Cloud Run services, each protected by Identity-Aware Proxy authenticating</w:t>
      </w:r>
      <w:r>
        <w:t xml:space="preserve"> </w:t>
      </w:r>
      <w:r>
        <w:rPr>
          <w:b/>
          <w:bCs/>
        </w:rPr>
        <w:t xml:space="preserve">Google identities directly</w:t>
      </w:r>
      <w:r>
        <w:t xml:space="preserve"> </w:t>
      </w:r>
      <w:r>
        <w:t xml:space="preserve">— there is no Entra workforce pool and no Backend-for-Frontend in this environment. A Vertex AI Workbench provides interactive compute, Cloud NAT gives deterministic outbound egress from two fixed addresses, and Google APIs are reached privately through a PSC endpoint at</w:t>
      </w:r>
      <w:r>
        <w:t xml:space="preserve"> </w:t>
      </w:r>
      <w:r>
        <w:rPr>
          <w:rStyle w:val="VerbatimChar"/>
        </w:rPr>
        <w:t xml:space="preserve">192.168.2.3</w:t>
      </w:r>
      <w:r>
        <w:t xml:space="preserve">. There is no AI Hub and no Apigee. The Cloud Run services cannot be reached except through the load balancer, and cannot be published publicly at all — both are consequences of organisation policy rather than of service configuration.</w:t>
      </w:r>
    </w:p>
    <w:p>
      <w:pPr>
        <w:pStyle w:val="BodyText"/>
      </w:pPr>
      <w:r>
        <w:rPr>
          <w:b/>
          <w:bCs/>
        </w:rPr>
        <w:t xml:space="preserve">Development</w:t>
      </w:r>
      <w:r>
        <w:t xml:space="preserve"> </w:t>
      </w:r>
      <w:r>
        <w:t xml:space="preserve">is the platform. Colt users reach one address,</w:t>
      </w:r>
      <w:r>
        <w:t xml:space="preserve"> </w:t>
      </w:r>
      <w:r>
        <w:rPr>
          <w:rStyle w:val="VerbatimChar"/>
        </w:rPr>
        <w:t xml:space="preserve">10.110.73.20</w:t>
      </w:r>
      <w:r>
        <w:t xml:space="preserve">, through ZPA. An internal Application Load Balancer with Identity-Aware Proxy sits in front of a Cloud Run Backend-for-Frontend, which serves the interface and is the OAuth client — the browser holds only an opaque session cookie, never a token. The Backend-for-Frontend calls Apigee server-side at an internal service endpoint, where per-user rate limiting is enforced on the Entra</w:t>
      </w:r>
      <w:r>
        <w:t xml:space="preserve"> </w:t>
      </w:r>
      <w:r>
        <w:rPr>
          <w:rStyle w:val="VerbatimChar"/>
        </w:rPr>
        <w:t xml:space="preserve">oid</w:t>
      </w:r>
      <w:r>
        <w:t xml:space="preserve"> </w:t>
      </w:r>
      <w:r>
        <w:t xml:space="preserve">and entitlement is checked against App Roles. Apigee reaches the backend Cloud Run services over Private Service Connect, authenticating with a Google ID token validated against</w:t>
      </w:r>
      <w:r>
        <w:t xml:space="preserve"> </w:t>
      </w:r>
      <w:r>
        <w:rPr>
          <w:rStyle w:val="VerbatimChar"/>
        </w:rPr>
        <w:t xml:space="preserve">roles/run.invoker</w:t>
      </w:r>
      <w:r>
        <w:t xml:space="preserve">. Both backends call Vertex AI through a second Apigee environment that meters token spend per user. Everything except that one address sits in</w:t>
      </w:r>
      <w:r>
        <w:t xml:space="preserve"> </w:t>
      </w:r>
      <w:r>
        <w:rPr>
          <w:rStyle w:val="VerbatimChar"/>
        </w:rPr>
        <w:t xml:space="preserve">192.168.4.0/22</w:t>
      </w:r>
      <w:r>
        <w:t xml:space="preserve">, which has no route from the Colt network.</w:t>
      </w:r>
    </w:p>
    <w:p>
      <w:pPr>
        <w:pStyle w:val="BodyText"/>
      </w:pPr>
      <w:r>
        <w:rPr>
          <w:b/>
          <w:bCs/>
        </w:rPr>
        <w:t xml:space="preserve">Production</w:t>
      </w:r>
      <w:r>
        <w:t xml:space="preserve"> </w:t>
      </w:r>
      <w:r>
        <w:t xml:space="preserve">repeats the Development design with different address ranges.</w:t>
      </w:r>
    </w:p>
    <w:bookmarkEnd w:id="50"/>
    <w:bookmarkStart w:id="52" w:name="X3073411d09916492fb6e1706d9d682c51930396"/>
    <w:p>
      <w:pPr>
        <w:pStyle w:val="Heading2"/>
      </w:pPr>
      <w:r>
        <w:t xml:space="preserve">4.2 Organisation, folder and project structure</w:t>
      </w:r>
    </w:p>
    <w:p>
      <w:pPr>
        <w:pStyle w:val="SourceCode"/>
      </w:pPr>
      <w:r>
        <w:rPr>
          <w:rStyle w:val="VerbatimChar"/>
        </w:rPr>
        <w:t xml:space="preserve">Colt Organisation</w:t>
      </w:r>
      <w:r>
        <w:br/>
      </w:r>
      <w:r>
        <w:rPr>
          <w:rStyle w:val="VerbatimChar"/>
        </w:rPr>
        <w:t xml:space="preserve">│</w:t>
      </w:r>
      <w:r>
        <w:br/>
      </w:r>
      <w:r>
        <w:rPr>
          <w:rStyle w:val="VerbatimChar"/>
        </w:rPr>
        <w:t xml:space="preserve">└── AI COE                                    ← organisation policy attaches HERE</w:t>
      </w:r>
      <w:r>
        <w:br/>
      </w:r>
      <w:r>
        <w:rPr>
          <w:rStyle w:val="VerbatimChar"/>
        </w:rPr>
        <w:t xml:space="preserve">    │                                           hierarchical firewall policy too</w:t>
      </w:r>
      <w:r>
        <w:br/>
      </w:r>
      <w:r>
        <w:rPr>
          <w:rStyle w:val="VerbatimChar"/>
        </w:rPr>
        <w:t xml:space="preserve">    │</w:t>
      </w:r>
      <w:r>
        <w:br/>
      </w:r>
      <w:r>
        <w:rPr>
          <w:rStyle w:val="VerbatimChar"/>
        </w:rPr>
        <w:t xml:space="preserve">    ├── shared</w:t>
      </w:r>
      <w:r>
        <w:br/>
      </w:r>
      <w:r>
        <w:rPr>
          <w:rStyle w:val="VerbatimChar"/>
        </w:rPr>
        <w:t xml:space="preserve">    │   ├── aicoe-sharedwif                   GitLab WIF pool and providers, Terraform state bucket</w:t>
      </w:r>
      <w:r>
        <w:br/>
      </w:r>
      <w:r>
        <w:rPr>
          <w:rStyle w:val="VerbatimChar"/>
        </w:rPr>
        <w:t xml:space="preserve">    │   │                                     ⚠ serves Dev and Prod both · namespace exception</w:t>
      </w:r>
      <w:r>
        <w:br/>
      </w:r>
      <w:r>
        <w:rPr>
          <w:rStyle w:val="VerbatimChar"/>
        </w:rPr>
        <w:t xml:space="preserve">    │   ├── logs/</w:t>
      </w:r>
      <w:r>
        <w:br/>
      </w:r>
      <w:r>
        <w:rPr>
          <w:rStyle w:val="VerbatimChar"/>
        </w:rPr>
        <w:t xml:space="preserve">    │   │   ├── gclt-aicoe-dev-auditlogs      400-day log bucket, folder sinks, Sentinel Pub/Sub</w:t>
      </w:r>
      <w:r>
        <w:br/>
      </w:r>
      <w:r>
        <w:rPr>
          <w:rStyle w:val="VerbatimChar"/>
        </w:rPr>
        <w:t xml:space="preserve">    │   │   └── gclt-aicoe-prod-auditlogs     400-day log bucket, folder sinks, Sentinel Pub/Sub</w:t>
      </w:r>
      <w:r>
        <w:br/>
      </w:r>
      <w:r>
        <w:rPr>
          <w:rStyle w:val="VerbatimChar"/>
        </w:rPr>
        <w:t xml:space="preserve">    │   ├── network/</w:t>
      </w:r>
      <w:r>
        <w:br/>
      </w:r>
      <w:r>
        <w:rPr>
          <w:rStyle w:val="VerbatimChar"/>
        </w:rPr>
        <w:t xml:space="preserve">    │   │   ├── gclt-aicoe-dev-network        SHARED VPC HOST — five subnets, private DNS, PSC endpoints</w:t>
      </w:r>
      <w:r>
        <w:br/>
      </w:r>
      <w:r>
        <w:rPr>
          <w:rStyle w:val="VerbatimChar"/>
        </w:rPr>
        <w:t xml:space="preserve">    │   │   └── gclt-aicoe-prod-network       SHARED VPC HOST — same design, IPAM-allocated ranges</w:t>
      </w:r>
      <w:r>
        <w:br/>
      </w:r>
      <w:r>
        <w:rPr>
          <w:rStyle w:val="VerbatimChar"/>
        </w:rPr>
        <w:t xml:space="preserve">    │   ├── ingress/</w:t>
      </w:r>
      <w:r>
        <w:br/>
      </w:r>
      <w:r>
        <w:rPr>
          <w:rStyle w:val="VerbatimChar"/>
        </w:rPr>
        <w:t xml:space="preserve">    │   │   ├── gclt-aicoe-dev-ingress        AI Hub ILB frontend 10.110.73.20</w:t>
      </w:r>
      <w:r>
        <w:br/>
      </w:r>
      <w:r>
        <w:rPr>
          <w:rStyle w:val="VerbatimChar"/>
        </w:rPr>
        <w:t xml:space="preserve">    │   │   │                                 Backend ILB frontend 192.168.6.145</w:t>
      </w:r>
      <w:r>
        <w:br/>
      </w:r>
      <w:r>
        <w:rPr>
          <w:rStyle w:val="VerbatimChar"/>
        </w:rPr>
        <w:t xml:space="preserve">    │   │   │                                 PSC service attachment, Binary Authorization attestor</w:t>
      </w:r>
      <w:r>
        <w:br/>
      </w:r>
      <w:r>
        <w:rPr>
          <w:rStyle w:val="VerbatimChar"/>
        </w:rPr>
        <w:t xml:space="preserve">    │   │   └── gclt-aicoe-prod-ingress       Same design, IPAM-allocated addresses</w:t>
      </w:r>
      <w:r>
        <w:br/>
      </w:r>
      <w:r>
        <w:rPr>
          <w:rStyle w:val="VerbatimChar"/>
        </w:rPr>
        <w:t xml:space="preserve">    │   ├── apigee/</w:t>
      </w:r>
      <w:r>
        <w:br/>
      </w:r>
      <w:r>
        <w:rPr>
          <w:rStyle w:val="VerbatimChar"/>
        </w:rPr>
        <w:t xml:space="preserve">    │   │   ├── gclt-aicoe-dev-apigee         Apigee X organisation, non-peered</w:t>
      </w:r>
      <w:r>
        <w:br/>
      </w:r>
      <w:r>
        <w:rPr>
          <w:rStyle w:val="VerbatimChar"/>
        </w:rPr>
        <w:t xml:space="preserve">    │   │   │                                 env int (Base) · env llm (Intermediate)</w:t>
      </w:r>
      <w:r>
        <w:br/>
      </w:r>
      <w:r>
        <w:rPr>
          <w:rStyle w:val="VerbatimChar"/>
        </w:rPr>
        <w:t xml:space="preserve">    │   │   │                                 service endpoint 192.168.6.146</w:t>
      </w:r>
      <w:r>
        <w:br/>
      </w:r>
      <w:r>
        <w:rPr>
          <w:rStyle w:val="VerbatimChar"/>
        </w:rPr>
        <w:t xml:space="preserve">    │   │   └── gclt-aicoe-prod-apigee        Separate organisation — one per project, immutable</w:t>
      </w:r>
      <w:r>
        <w:br/>
      </w:r>
      <w:r>
        <w:rPr>
          <w:rStyle w:val="VerbatimChar"/>
        </w:rPr>
        <w:t xml:space="preserve">    │   ├── aihub/</w:t>
      </w:r>
      <w:r>
        <w:br/>
      </w:r>
      <w:r>
        <w:rPr>
          <w:rStyle w:val="VerbatimChar"/>
        </w:rPr>
        <w:t xml:space="preserve">    │   │   ├── gclt-aicoe-dev-aihub-ui       Cloud Run Backend-for-Frontend, IAP (workforce)</w:t>
      </w:r>
      <w:r>
        <w:br/>
      </w:r>
      <w:r>
        <w:rPr>
          <w:rStyle w:val="VerbatimChar"/>
        </w:rPr>
        <w:t xml:space="preserve">    │   │   │                                 Firestore · Secret Manager · KMS</w:t>
      </w:r>
      <w:r>
        <w:br/>
      </w:r>
      <w:r>
        <w:rPr>
          <w:rStyle w:val="VerbatimChar"/>
        </w:rPr>
        <w:t xml:space="preserve">    │   │   └── gclt-aicoe-prod-aihub-ui      Same design</w:t>
      </w:r>
      <w:r>
        <w:br/>
      </w:r>
      <w:r>
        <w:rPr>
          <w:rStyle w:val="VerbatimChar"/>
        </w:rPr>
        <w:t xml:space="preserve">    │   └── llm/</w:t>
      </w:r>
      <w:r>
        <w:br/>
      </w:r>
      <w:r>
        <w:rPr>
          <w:rStyle w:val="VerbatimChar"/>
        </w:rPr>
        <w:t xml:space="preserve">    │       ├── gclt-aicoe-dev-llm            Vertex AI target — NO COMPUTE</w:t>
      </w:r>
      <w:r>
        <w:br/>
      </w:r>
      <w:r>
        <w:rPr>
          <w:rStyle w:val="VerbatimChar"/>
        </w:rPr>
        <w:t xml:space="preserve">    │       │                                 quota · billing · Model Armor · CMEK</w:t>
      </w:r>
      <w:r>
        <w:br/>
      </w:r>
      <w:r>
        <w:rPr>
          <w:rStyle w:val="VerbatimChar"/>
        </w:rPr>
        <w:t xml:space="preserve">    │       └── gclt-aicoe-prod-llm           Same design, separate quota and billing boundary</w:t>
      </w:r>
      <w:r>
        <w:br/>
      </w:r>
      <w:r>
        <w:rPr>
          <w:rStyle w:val="VerbatimChar"/>
        </w:rPr>
        <w:t xml:space="preserve">    │</w:t>
      </w:r>
      <w:r>
        <w:br/>
      </w:r>
      <w:r>
        <w:rPr>
          <w:rStyle w:val="VerbatimChar"/>
        </w:rPr>
        <w:t xml:space="preserve">    ├── Dev</w:t>
      </w:r>
      <w:r>
        <w:br/>
      </w:r>
      <w:r>
        <w:rPr>
          <w:rStyle w:val="VerbatimChar"/>
        </w:rPr>
        <w:t xml:space="preserve">    │   └── usecases/</w:t>
      </w:r>
      <w:r>
        <w:br/>
      </w:r>
      <w:r>
        <w:rPr>
          <w:rStyle w:val="VerbatimChar"/>
        </w:rPr>
        <w:t xml:space="preserve">    │       └── gclt-aicoe-dev-st             translation-api-service</w:t>
      </w:r>
      <w:r>
        <w:br/>
      </w:r>
      <w:r>
        <w:rPr>
          <w:rStyle w:val="VerbatimChar"/>
        </w:rPr>
        <w:t xml:space="preserve">    │                                         sales-research-application</w:t>
      </w:r>
      <w:r>
        <w:br/>
      </w:r>
      <w:r>
        <w:rPr>
          <w:rStyle w:val="VerbatimChar"/>
        </w:rPr>
        <w:t xml:space="preserve">    │                                         translation-worker-service</w:t>
      </w:r>
      <w:r>
        <w:br/>
      </w:r>
      <w:r>
        <w:rPr>
          <w:rStyle w:val="VerbatimChar"/>
        </w:rPr>
        <w:t xml:space="preserve">    │                                         mcp-server (future)</w:t>
      </w:r>
      <w:r>
        <w:br/>
      </w:r>
      <w:r>
        <w:rPr>
          <w:rStyle w:val="VerbatimChar"/>
        </w:rPr>
        <w:t xml:space="preserve">    │                                         Cloud Tasks · BigQuery · GCS</w:t>
      </w:r>
      <w:r>
        <w:br/>
      </w:r>
      <w:r>
        <w:rPr>
          <w:rStyle w:val="VerbatimChar"/>
        </w:rPr>
        <w:t xml:space="preserve">    │                                         Vector Search 192.168.6.147</w:t>
      </w:r>
      <w:r>
        <w:br/>
      </w:r>
      <w:r>
        <w:rPr>
          <w:rStyle w:val="VerbatimChar"/>
        </w:rPr>
        <w:t xml:space="preserve">    │</w:t>
      </w:r>
      <w:r>
        <w:br/>
      </w:r>
      <w:r>
        <w:rPr>
          <w:rStyle w:val="VerbatimChar"/>
        </w:rPr>
        <w:t xml:space="preserve">    ├── Prod</w:t>
      </w:r>
      <w:r>
        <w:br/>
      </w:r>
      <w:r>
        <w:rPr>
          <w:rStyle w:val="VerbatimChar"/>
        </w:rPr>
        <w:t xml:space="preserve">    │   └── usecases/</w:t>
      </w:r>
      <w:r>
        <w:br/>
      </w:r>
      <w:r>
        <w:rPr>
          <w:rStyle w:val="VerbatimChar"/>
        </w:rPr>
        <w:t xml:space="preserve">    │       └── gclt-aicoe-prod-st            Same service set as Dev</w:t>
      </w:r>
      <w:r>
        <w:br/>
      </w:r>
      <w:r>
        <w:rPr>
          <w:rStyle w:val="VerbatimChar"/>
        </w:rPr>
        <w:t xml:space="preserve">    │</w:t>
      </w:r>
      <w:r>
        <w:br/>
      </w:r>
      <w:r>
        <w:rPr>
          <w:rStyle w:val="VerbatimChar"/>
        </w:rPr>
        <w:t xml:space="preserve">    └── Sandbox</w:t>
      </w:r>
      <w:r>
        <w:br/>
      </w:r>
      <w:r>
        <w:rPr>
          <w:rStyle w:val="VerbatimChar"/>
        </w:rPr>
        <w:t xml:space="preserve">        └── aicoesandox                       Standalone VPC 192.168.1.0/24 + 192.168.2.0/24 (PSC)</w:t>
      </w:r>
      <w:r>
        <w:br/>
      </w:r>
      <w:r>
        <w:rPr>
          <w:rStyle w:val="VerbatimChar"/>
        </w:rPr>
        <w:t xml:space="preserve">                                              Workbench · two ILBs · Cloud NAT</w:t>
      </w:r>
      <w:r>
        <w:br/>
      </w:r>
      <w:r>
        <w:rPr>
          <w:rStyle w:val="VerbatimChar"/>
        </w:rPr>
        <w:t xml:space="preserve">                                              PSC to Google APIs 192.168.2.3</w:t>
      </w:r>
      <w:r>
        <w:br/>
      </w:r>
      <w:r>
        <w:rPr>
          <w:rStyle w:val="VerbatimChar"/>
        </w:rPr>
        <w:t xml:space="preserve">                                              namespace exception</w:t>
      </w:r>
    </w:p>
    <w:p>
      <w:pPr>
        <w:pStyle w:val="FirstParagraph"/>
      </w:pPr>
      <w:r>
        <w:rPr>
          <w:b/>
          <w:bCs/>
        </w:rPr>
        <w:t xml:space="preserve">The four branches under</w:t>
      </w:r>
      <w:r>
        <w:rPr>
          <w:b/>
          <w:bCs/>
        </w:rPr>
        <w:t xml:space="preserve"> </w:t>
      </w:r>
      <w:r>
        <w:rPr>
          <w:rStyle w:val="VerbatimChar"/>
          <w:b/>
          <w:bCs/>
        </w:rPr>
        <w:t xml:space="preserve">AI COE</w:t>
      </w:r>
      <w:r>
        <w:rPr>
          <w:b/>
          <w:bCs/>
        </w:rPr>
        <w:t xml:space="preserve">.</w:t>
      </w:r>
      <w:r>
        <w:t xml:space="preserve"> </w:t>
      </w:r>
      <w:r>
        <w:rPr>
          <w:rStyle w:val="VerbatimChar"/>
        </w:rPr>
        <w:t xml:space="preserve">shared</w:t>
      </w:r>
      <w:r>
        <w:t xml:space="preserve"> </w:t>
      </w:r>
      <w:r>
        <w:t xml:space="preserve">holds the platform projects that are not usecase-specific, grouped by function rather than by environment — each of</w:t>
      </w:r>
      <w:r>
        <w:t xml:space="preserve"> </w:t>
      </w:r>
      <w:r>
        <w:rPr>
          <w:rStyle w:val="VerbatimChar"/>
        </w:rPr>
        <w:t xml:space="preserve">logs</w:t>
      </w:r>
      <w:r>
        <w:t xml:space="preserve">,</w:t>
      </w:r>
      <w:r>
        <w:t xml:space="preserve"> </w:t>
      </w:r>
      <w:r>
        <w:rPr>
          <w:rStyle w:val="VerbatimChar"/>
        </w:rPr>
        <w:t xml:space="preserve">network</w:t>
      </w:r>
      <w:r>
        <w:t xml:space="preserve">,</w:t>
      </w:r>
      <w:r>
        <w:t xml:space="preserve"> </w:t>
      </w:r>
      <w:r>
        <w:rPr>
          <w:rStyle w:val="VerbatimChar"/>
        </w:rPr>
        <w:t xml:space="preserve">ingress</w:t>
      </w:r>
      <w:r>
        <w:t xml:space="preserve">,</w:t>
      </w:r>
      <w:r>
        <w:t xml:space="preserve"> </w:t>
      </w:r>
      <w:r>
        <w:rPr>
          <w:rStyle w:val="VerbatimChar"/>
        </w:rPr>
        <w:t xml:space="preserve">apigee</w:t>
      </w:r>
      <w:r>
        <w:t xml:space="preserve">,</w:t>
      </w:r>
      <w:r>
        <w:t xml:space="preserve"> </w:t>
      </w:r>
      <w:r>
        <w:rPr>
          <w:rStyle w:val="VerbatimChar"/>
        </w:rPr>
        <w:t xml:space="preserve">aihub</w:t>
      </w:r>
      <w:r>
        <w:t xml:space="preserve"> </w:t>
      </w:r>
      <w:r>
        <w:t xml:space="preserve">and</w:t>
      </w:r>
      <w:r>
        <w:t xml:space="preserve"> </w:t>
      </w:r>
      <w:r>
        <w:rPr>
          <w:rStyle w:val="VerbatimChar"/>
        </w:rPr>
        <w:t xml:space="preserve">llm</w:t>
      </w:r>
      <w:r>
        <w:t xml:space="preserve"> </w:t>
      </w:r>
      <w:r>
        <w:t xml:space="preserve">holds one Dev project and one Prod project, so a reader looking for</w:t>
      </w:r>
      <w:r>
        <w:t xml:space="preserve"> </w:t>
      </w:r>
      <w:r>
        <w:t xml:space="preserve">“</w:t>
      </w:r>
      <w:r>
        <w:t xml:space="preserve">the network host</w:t>
      </w:r>
      <w:r>
        <w:t xml:space="preserve">”</w:t>
      </w:r>
      <w:r>
        <w:t xml:space="preserve"> </w:t>
      </w:r>
      <w:r>
        <w:t xml:space="preserve">finds both in one place.</w:t>
      </w:r>
      <w:r>
        <w:t xml:space="preserve"> </w:t>
      </w:r>
      <w:r>
        <w:rPr>
          <w:rStyle w:val="VerbatimChar"/>
        </w:rPr>
        <w:t xml:space="preserve">Dev</w:t>
      </w:r>
      <w:r>
        <w:t xml:space="preserve"> </w:t>
      </w:r>
      <w:r>
        <w:t xml:space="preserve">and</w:t>
      </w:r>
      <w:r>
        <w:t xml:space="preserve"> </w:t>
      </w:r>
      <w:r>
        <w:rPr>
          <w:rStyle w:val="VerbatimChar"/>
        </w:rPr>
        <w:t xml:space="preserve">Prod</w:t>
      </w:r>
      <w:r>
        <w:t xml:space="preserve"> </w:t>
      </w:r>
      <w:r>
        <w:t xml:space="preserve">each hold a</w:t>
      </w:r>
      <w:r>
        <w:t xml:space="preserve"> </w:t>
      </w:r>
      <w:r>
        <w:rPr>
          <w:rStyle w:val="VerbatimChar"/>
        </w:rPr>
        <w:t xml:space="preserve">usecases/</w:t>
      </w:r>
      <w:r>
        <w:t xml:space="preserve"> </w:t>
      </w:r>
      <w:r>
        <w:t xml:space="preserve">sub-folder with that environment’s workload project.</w:t>
      </w:r>
      <w:r>
        <w:t xml:space="preserve"> </w:t>
      </w:r>
      <w:r>
        <w:rPr>
          <w:rStyle w:val="VerbatimChar"/>
        </w:rPr>
        <w:t xml:space="preserve">Sandbox</w:t>
      </w:r>
      <w:r>
        <w:t xml:space="preserve"> </w:t>
      </w:r>
      <w:r>
        <w:t xml:space="preserve">holds the single</w:t>
      </w:r>
      <w:r>
        <w:t xml:space="preserve"> </w:t>
      </w:r>
      <w:r>
        <w:rPr>
          <w:rStyle w:val="VerbatimChar"/>
        </w:rPr>
        <w:t xml:space="preserve">aicoesandox</w:t>
      </w:r>
      <w:r>
        <w:t xml:space="preserve"> </w:t>
      </w:r>
      <w:r>
        <w:t xml:space="preserve">project. Organisation policy and the hierarchical firewall policy attach at</w:t>
      </w:r>
      <w:r>
        <w:t xml:space="preserve"> </w:t>
      </w:r>
      <w:r>
        <w:rPr>
          <w:rStyle w:val="VerbatimChar"/>
        </w:rPr>
        <w:t xml:space="preserve">AI COE</w:t>
      </w:r>
      <w:r>
        <w:t xml:space="preserve">, above all four branches, so every project inherits them regardless of which branch it sits in.</w:t>
      </w:r>
    </w:p>
    <w:p>
      <w:pPr>
        <w:pStyle w:val="BodyText"/>
      </w:pPr>
      <w:r>
        <w:rPr>
          <w:b/>
          <w:bCs/>
        </w:rPr>
        <w:t xml:space="preserve">Project namespace.</w:t>
      </w:r>
      <w:r>
        <w:t xml:space="preserve"> </w:t>
      </w:r>
      <w:r>
        <w:t xml:space="preserve">Projects are named</w:t>
      </w:r>
      <w:r>
        <w:t xml:space="preserve"> </w:t>
      </w:r>
      <w:r>
        <w:rPr>
          <w:rStyle w:val="VerbatimChar"/>
        </w:rPr>
        <w:t xml:space="preserve">gclt-aicoe-{env}-{function}</w:t>
      </w:r>
      <w:r>
        <w:t xml:space="preserve">, where</w:t>
      </w:r>
      <w:r>
        <w:t xml:space="preserve"> </w:t>
      </w:r>
      <w:r>
        <w:rPr>
          <w:rStyle w:val="VerbatimChar"/>
        </w:rPr>
        <w:t xml:space="preserve">env</w:t>
      </w:r>
      <w:r>
        <w:t xml:space="preserve"> </w:t>
      </w:r>
      <w:r>
        <w:t xml:space="preserve">is</w:t>
      </w:r>
      <w:r>
        <w:t xml:space="preserve"> </w:t>
      </w:r>
      <w:r>
        <w:rPr>
          <w:rStyle w:val="VerbatimChar"/>
        </w:rPr>
        <w:t xml:space="preserve">dev</w:t>
      </w:r>
      <w:r>
        <w:t xml:space="preserve">,</w:t>
      </w:r>
      <w:r>
        <w:t xml:space="preserve"> </w:t>
      </w:r>
      <w:r>
        <w:rPr>
          <w:rStyle w:val="VerbatimChar"/>
        </w:rPr>
        <w:t xml:space="preserve">prod</w:t>
      </w:r>
      <w:r>
        <w:t xml:space="preserve"> </w:t>
      </w:r>
      <w:r>
        <w:t xml:space="preserve">or</w:t>
      </w:r>
      <w:r>
        <w:t xml:space="preserve"> </w:t>
      </w:r>
      <w:r>
        <w:rPr>
          <w:rStyle w:val="VerbatimChar"/>
        </w:rPr>
        <w:t xml:space="preserve">sandbox</w:t>
      </w:r>
      <w:r>
        <w:t xml:space="preserve"> </w:t>
      </w:r>
      <w:r>
        <w:t xml:space="preserve">and</w:t>
      </w:r>
      <w:r>
        <w:t xml:space="preserve"> </w:t>
      </w:r>
      <w:r>
        <w:rPr>
          <w:rStyle w:val="VerbatimChar"/>
        </w:rPr>
        <w:t xml:space="preserve">function</w:t>
      </w:r>
      <w:r>
        <w:t xml:space="preserve"> </w:t>
      </w:r>
      <w:r>
        <w:t xml:space="preserve">is the platform role —</w:t>
      </w:r>
      <w:r>
        <w:t xml:space="preserve"> </w:t>
      </w:r>
      <w:r>
        <w:rPr>
          <w:rStyle w:val="VerbatimChar"/>
        </w:rPr>
        <w:t xml:space="preserve">network</w:t>
      </w:r>
      <w:r>
        <w:t xml:space="preserve">,</w:t>
      </w:r>
      <w:r>
        <w:t xml:space="preserve"> </w:t>
      </w:r>
      <w:r>
        <w:rPr>
          <w:rStyle w:val="VerbatimChar"/>
        </w:rPr>
        <w:t xml:space="preserve">ingress</w:t>
      </w:r>
      <w:r>
        <w:t xml:space="preserve">,</w:t>
      </w:r>
      <w:r>
        <w:t xml:space="preserve"> </w:t>
      </w:r>
      <w:r>
        <w:rPr>
          <w:rStyle w:val="VerbatimChar"/>
        </w:rPr>
        <w:t xml:space="preserve">apigee</w:t>
      </w:r>
      <w:r>
        <w:t xml:space="preserve">,</w:t>
      </w:r>
      <w:r>
        <w:t xml:space="preserve"> </w:t>
      </w:r>
      <w:r>
        <w:rPr>
          <w:rStyle w:val="VerbatimChar"/>
        </w:rPr>
        <w:t xml:space="preserve">aihub-ui</w:t>
      </w:r>
      <w:r>
        <w:t xml:space="preserve">,</w:t>
      </w:r>
      <w:r>
        <w:t xml:space="preserve"> </w:t>
      </w:r>
      <w:r>
        <w:rPr>
          <w:rStyle w:val="VerbatimChar"/>
        </w:rPr>
        <w:t xml:space="preserve">llm</w:t>
      </w:r>
      <w:r>
        <w:t xml:space="preserve">,</w:t>
      </w:r>
      <w:r>
        <w:t xml:space="preserve"> </w:t>
      </w:r>
      <w:r>
        <w:rPr>
          <w:rStyle w:val="VerbatimChar"/>
        </w:rPr>
        <w:t xml:space="preserve">auditlogs</w:t>
      </w:r>
      <w:r>
        <w:t xml:space="preserve">,</w:t>
      </w:r>
      <w:r>
        <w:t xml:space="preserve"> </w:t>
      </w:r>
      <w:r>
        <w:rPr>
          <w:rStyle w:val="VerbatimChar"/>
        </w:rPr>
        <w:t xml:space="preserve">st</w:t>
      </w:r>
      <w:r>
        <w:t xml:space="preserve">. Two projects pre-date the convention and cannot be renamed, because a Google Cloud project identifier is immutable after creation:</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Project</w:t>
            </w:r>
          </w:p>
        </w:tc>
        <w:tc>
          <w:tcPr>
            <w:shd w:val="clear" w:color="auto" w:fill="1F3864"/>
          </w:tcPr>
          <w:p>
            <w:pPr>
              <w:pStyle w:val="Compact"/>
              <w:jc w:val="left"/>
            </w:pPr>
            <w:r>
              <w:rPr>
                <w:b/>
                <w:color w:val="FFFFFF"/>
              </w:rPr>
              <w:t xml:space="preserve">Why it is an exception</w:t>
            </w:r>
          </w:p>
        </w:tc>
      </w:tr>
      <w:tr>
        <w:tc>
          <w:tcPr/>
          <w:p>
            <w:pPr>
              <w:pStyle w:val="Compact"/>
              <w:jc w:val="left"/>
            </w:pPr>
            <w:r>
              <w:rPr>
                <w:rStyle w:val="VerbatimChar"/>
              </w:rPr>
              <w:t xml:space="preserve">aicoe-sharedwif</w:t>
            </w:r>
          </w:p>
        </w:tc>
        <w:tc>
          <w:tcPr/>
          <w:p>
            <w:pPr>
              <w:pStyle w:val="Compact"/>
              <w:jc w:val="left"/>
            </w:pPr>
            <w:r>
              <w:t xml:space="preserve">The seed project. It serves Dev and Prod together, so it has no single</w:t>
            </w:r>
            <w:r>
              <w:t xml:space="preserve"> </w:t>
            </w:r>
            <w:r>
              <w:rPr>
                <w:rStyle w:val="VerbatimChar"/>
              </w:rPr>
              <w:t xml:space="preserve">env</w:t>
            </w:r>
            <w:r>
              <w:t xml:space="preserve"> </w:t>
            </w:r>
            <w:r>
              <w:t xml:space="preserve">value, and rebuilding it would mean re-creating Workload Identity Federation, the Terraform state bucket and every deployer identity that depends on it</w:t>
            </w:r>
          </w:p>
        </w:tc>
      </w:tr>
      <w:tr>
        <w:tc>
          <w:tcPr/>
          <w:p>
            <w:pPr>
              <w:pStyle w:val="Compact"/>
              <w:jc w:val="left"/>
            </w:pPr>
            <w:r>
              <w:rPr>
                <w:rStyle w:val="VerbatimChar"/>
              </w:rPr>
              <w:t xml:space="preserve">aicoesandox</w:t>
            </w:r>
          </w:p>
        </w:tc>
        <w:tc>
          <w:tcPr/>
          <w:p>
            <w:pPr>
              <w:pStyle w:val="Compact"/>
              <w:jc w:val="left"/>
            </w:pPr>
            <w:r>
              <w:t xml:space="preserve">Pre-dates the convention and is already in developer use</w:t>
            </w:r>
          </w:p>
        </w:tc>
      </w:tr>
    </w:tbl>
    <w:p>
      <w:pPr>
        <w:pStyle w:val="BodyText"/>
      </w:pPr>
      <w:r>
        <w:t xml:space="preserve">Both are recorded again in</w:t>
      </w:r>
      <w:r>
        <w:t xml:space="preserve"> </w:t>
      </w:r>
      <w:r>
        <w:rPr>
          <w:b/>
          <w:bCs/>
        </w:rPr>
        <w:t xml:space="preserve">Naming Standard and Tagging</w:t>
      </w:r>
      <w:r>
        <w:t xml:space="preserve">. Every project created from this point follows the namespace.</w:t>
      </w:r>
    </w:p>
    <w:p>
      <w:pPr>
        <w:pStyle w:val="BlockText"/>
      </w:pPr>
      <w:r>
        <w:rPr>
          <w:b/>
          <w:bCs/>
        </w:rPr>
        <w:t xml:space="preserve">Projects and organisation policy are provisioned outside Terraform.</w:t>
      </w:r>
      <w:r>
        <w:t xml:space="preserve"> </w:t>
      </w:r>
      <w:r>
        <w:t xml:space="preserve">All existing projects were created in the console, and organisation policy — including the hierarchical firewall policy — is applied and maintained by the</w:t>
      </w:r>
      <w:r>
        <w:t xml:space="preserve"> </w:t>
      </w:r>
      <w:r>
        <w:rPr>
          <w:b/>
          <w:bCs/>
        </w:rPr>
        <w:t xml:space="preserve">Colt Cloud CoE</w:t>
      </w:r>
      <w:r>
        <w:t xml:space="preserve"> </w:t>
      </w:r>
      <w:r>
        <w:t xml:space="preserve">at the</w:t>
      </w:r>
      <w:r>
        <w:t xml:space="preserve"> </w:t>
      </w:r>
      <w:r>
        <w:rPr>
          <w:rStyle w:val="VerbatimChar"/>
        </w:rPr>
        <w:t xml:space="preserve">AI COE</w:t>
      </w:r>
      <w:r>
        <w:t xml:space="preserve"> </w:t>
      </w:r>
      <w:r>
        <w:t xml:space="preserve">folder. A Terraform plan will never show drift in either area, and the AICOE Platform Team cannot add, change or remove a policy itself. The risk this creates is recorded in</w:t>
      </w:r>
      <w:r>
        <w:t xml:space="preserve"> </w:t>
      </w:r>
      <w:r>
        <w:rPr>
          <w:b/>
          <w:bCs/>
        </w:rPr>
        <w:t xml:space="preserve">Risk Register</w:t>
      </w:r>
      <w:r>
        <w:t xml:space="preserve">.</w:t>
      </w:r>
    </w:p>
    <w:bookmarkStart w:id="51" w:name="project-inventory"/>
    <w:p>
      <w:pPr>
        <w:pStyle w:val="Heading3"/>
      </w:pPr>
      <w:r>
        <w:t xml:space="preserve">4.2.1 Project inventory</w:t>
      </w:r>
    </w:p>
    <w:p>
      <w:pPr>
        <w:pStyle w:val="FirstParagraph"/>
      </w:pPr>
      <w:r>
        <w:t xml:space="preserve">Each environment holds seven projects of its own and shares</w:t>
      </w:r>
      <w:r>
        <w:t xml:space="preserve"> </w:t>
      </w:r>
      <w:r>
        <w:rPr>
          <w:rStyle w:val="VerbatimChar"/>
        </w:rPr>
        <w:t xml:space="preserve">aicoe-sharedwif</w:t>
      </w:r>
      <w:r>
        <w:t xml:space="preserve"> </w:t>
      </w:r>
      <w:r>
        <w:t xml:space="preserve">with the other, so a complete environment is eight projects. Sandbox is the exception at one.</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Function</w:t>
            </w:r>
          </w:p>
        </w:tc>
        <w:tc>
          <w:tcPr>
            <w:shd w:val="clear" w:color="auto" w:fill="1F3864"/>
          </w:tcPr>
          <w:p>
            <w:pPr>
              <w:pStyle w:val="Compact"/>
              <w:jc w:val="left"/>
            </w:pPr>
            <w:r>
              <w:rPr>
                <w:b/>
                <w:color w:val="FFFFFF"/>
              </w:rPr>
              <w:t xml:space="preserve">Dev project</w:t>
            </w:r>
          </w:p>
        </w:tc>
        <w:tc>
          <w:tcPr>
            <w:shd w:val="clear" w:color="auto" w:fill="1F3864"/>
          </w:tcPr>
          <w:p>
            <w:pPr>
              <w:pStyle w:val="Compact"/>
              <w:jc w:val="left"/>
            </w:pPr>
            <w:r>
              <w:rPr>
                <w:b/>
                <w:color w:val="FFFFFF"/>
              </w:rPr>
              <w:t xml:space="preserve">Prod project</w:t>
            </w:r>
          </w:p>
        </w:tc>
        <w:tc>
          <w:tcPr>
            <w:shd w:val="clear" w:color="auto" w:fill="1F3864"/>
          </w:tcPr>
          <w:p>
            <w:pPr>
              <w:pStyle w:val="Compact"/>
              <w:jc w:val="left"/>
            </w:pPr>
            <w:r>
              <w:rPr>
                <w:b/>
                <w:color w:val="FFFFFF"/>
              </w:rPr>
              <w:t xml:space="preserve">Shared VPC</w:t>
            </w:r>
          </w:p>
        </w:tc>
        <w:tc>
          <w:tcPr>
            <w:shd w:val="clear" w:color="auto" w:fill="1F3864"/>
          </w:tcPr>
          <w:p>
            <w:pPr>
              <w:pStyle w:val="Compact"/>
              <w:jc w:val="left"/>
            </w:pPr>
            <w:r>
              <w:rPr>
                <w:b/>
                <w:color w:val="FFFFFF"/>
              </w:rPr>
              <w:t xml:space="preserve">Holds compute</w:t>
            </w:r>
          </w:p>
        </w:tc>
      </w:tr>
      <w:tr>
        <w:tc>
          <w:tcPr/>
          <w:p>
            <w:pPr>
              <w:pStyle w:val="Compact"/>
              <w:jc w:val="left"/>
            </w:pPr>
            <w:r>
              <w:t xml:space="preserve">Network host</w:t>
            </w:r>
          </w:p>
        </w:tc>
        <w:tc>
          <w:tcPr/>
          <w:p>
            <w:pPr>
              <w:pStyle w:val="Compact"/>
              <w:jc w:val="left"/>
            </w:pPr>
            <w:r>
              <w:rPr>
                <w:rStyle w:val="VerbatimChar"/>
              </w:rPr>
              <w:t xml:space="preserve">gclt-aicoe-dev-network</w:t>
            </w:r>
          </w:p>
        </w:tc>
        <w:tc>
          <w:tcPr/>
          <w:p>
            <w:pPr>
              <w:pStyle w:val="Compact"/>
              <w:jc w:val="left"/>
            </w:pPr>
            <w:r>
              <w:rPr>
                <w:rStyle w:val="VerbatimChar"/>
              </w:rPr>
              <w:t xml:space="preserve">gclt-aicoe-prod-network</w:t>
            </w:r>
          </w:p>
        </w:tc>
        <w:tc>
          <w:tcPr/>
          <w:p>
            <w:pPr>
              <w:pStyle w:val="Compact"/>
              <w:jc w:val="left"/>
            </w:pPr>
            <w:r>
              <w:t xml:space="preserve">Host</w:t>
            </w:r>
          </w:p>
        </w:tc>
        <w:tc>
          <w:tcPr/>
          <w:p>
            <w:pPr>
              <w:pStyle w:val="Compact"/>
              <w:jc w:val="left"/>
            </w:pPr>
            <w:r>
              <w:t xml:space="preserve">No</w:t>
            </w:r>
          </w:p>
        </w:tc>
      </w:tr>
      <w:tr>
        <w:tc>
          <w:tcPr/>
          <w:p>
            <w:pPr>
              <w:pStyle w:val="Compact"/>
              <w:jc w:val="left"/>
            </w:pPr>
            <w:r>
              <w:t xml:space="preserve">Ingress</w:t>
            </w:r>
          </w:p>
        </w:tc>
        <w:tc>
          <w:tcPr/>
          <w:p>
            <w:pPr>
              <w:pStyle w:val="Compact"/>
              <w:jc w:val="left"/>
            </w:pPr>
            <w:r>
              <w:rPr>
                <w:rStyle w:val="VerbatimChar"/>
              </w:rPr>
              <w:t xml:space="preserve">gclt-aicoe-dev-ingress</w:t>
            </w:r>
          </w:p>
        </w:tc>
        <w:tc>
          <w:tcPr/>
          <w:p>
            <w:pPr>
              <w:pStyle w:val="Compact"/>
              <w:jc w:val="left"/>
            </w:pPr>
            <w:r>
              <w:rPr>
                <w:rStyle w:val="VerbatimChar"/>
              </w:rPr>
              <w:t xml:space="preserve">gclt-aicoe-prod-ingress</w:t>
            </w:r>
          </w:p>
        </w:tc>
        <w:tc>
          <w:tcPr/>
          <w:p>
            <w:pPr>
              <w:pStyle w:val="Compact"/>
              <w:jc w:val="left"/>
            </w:pPr>
            <w:r>
              <w:t xml:space="preserve">Service</w:t>
            </w:r>
          </w:p>
        </w:tc>
        <w:tc>
          <w:tcPr/>
          <w:p>
            <w:pPr>
              <w:pStyle w:val="Compact"/>
              <w:jc w:val="left"/>
            </w:pPr>
            <w:r>
              <w:t xml:space="preserve">No</w:t>
            </w:r>
          </w:p>
        </w:tc>
      </w:tr>
      <w:tr>
        <w:tc>
          <w:tcPr/>
          <w:p>
            <w:pPr>
              <w:pStyle w:val="Compact"/>
              <w:jc w:val="left"/>
            </w:pPr>
            <w:r>
              <w:t xml:space="preserve">API and AI gateway</w:t>
            </w:r>
          </w:p>
        </w:tc>
        <w:tc>
          <w:tcPr/>
          <w:p>
            <w:pPr>
              <w:pStyle w:val="Compact"/>
              <w:jc w:val="left"/>
            </w:pPr>
            <w:r>
              <w:rPr>
                <w:rStyle w:val="VerbatimChar"/>
              </w:rPr>
              <w:t xml:space="preserve">gclt-aicoe-dev-apigee</w:t>
            </w:r>
          </w:p>
        </w:tc>
        <w:tc>
          <w:tcPr/>
          <w:p>
            <w:pPr>
              <w:pStyle w:val="Compact"/>
              <w:jc w:val="left"/>
            </w:pPr>
            <w:r>
              <w:rPr>
                <w:rStyle w:val="VerbatimChar"/>
              </w:rPr>
              <w:t xml:space="preserve">gclt-aicoe-prod-apigee</w:t>
            </w:r>
          </w:p>
        </w:tc>
        <w:tc>
          <w:tcPr/>
          <w:p>
            <w:pPr>
              <w:pStyle w:val="Compact"/>
              <w:jc w:val="left"/>
            </w:pPr>
            <w:r>
              <w:rPr>
                <w:b/>
                <w:bCs/>
              </w:rPr>
              <w:t xml:space="preserve">Not attached</w:t>
            </w:r>
            <w:r>
              <w:t xml:space="preserve"> </w:t>
            </w:r>
            <w:r>
              <w:t xml:space="preserve">— Apigee reaches the platform over PSC, not by sharing the network</w:t>
            </w:r>
          </w:p>
        </w:tc>
        <w:tc>
          <w:tcPr/>
          <w:p>
            <w:pPr>
              <w:pStyle w:val="Compact"/>
              <w:jc w:val="left"/>
            </w:pPr>
            <w:r>
              <w:t xml:space="preserve">Managed</w:t>
            </w:r>
          </w:p>
        </w:tc>
      </w:tr>
      <w:tr>
        <w:tc>
          <w:tcPr/>
          <w:p>
            <w:pPr>
              <w:pStyle w:val="Compact"/>
              <w:jc w:val="left"/>
            </w:pPr>
            <w:r>
              <w:t xml:space="preserve">AI Hub</w:t>
            </w:r>
          </w:p>
        </w:tc>
        <w:tc>
          <w:tcPr/>
          <w:p>
            <w:pPr>
              <w:pStyle w:val="Compact"/>
              <w:jc w:val="left"/>
            </w:pPr>
            <w:r>
              <w:rPr>
                <w:rStyle w:val="VerbatimChar"/>
              </w:rPr>
              <w:t xml:space="preserve">gclt-aicoe-dev-aihub-ui</w:t>
            </w:r>
          </w:p>
        </w:tc>
        <w:tc>
          <w:tcPr/>
          <w:p>
            <w:pPr>
              <w:pStyle w:val="Compact"/>
              <w:jc w:val="left"/>
            </w:pPr>
            <w:r>
              <w:rPr>
                <w:rStyle w:val="VerbatimChar"/>
              </w:rPr>
              <w:t xml:space="preserve">gclt-aicoe-prod-aihub-ui</w:t>
            </w:r>
          </w:p>
        </w:tc>
        <w:tc>
          <w:tcPr/>
          <w:p>
            <w:pPr>
              <w:pStyle w:val="Compact"/>
              <w:jc w:val="left"/>
            </w:pPr>
            <w:r>
              <w:t xml:space="preserve">Service</w:t>
            </w:r>
          </w:p>
        </w:tc>
        <w:tc>
          <w:tcPr/>
          <w:p>
            <w:pPr>
              <w:pStyle w:val="Compact"/>
              <w:jc w:val="left"/>
            </w:pPr>
            <w:r>
              <w:t xml:space="preserve">Yes</w:t>
            </w:r>
          </w:p>
        </w:tc>
      </w:tr>
      <w:tr>
        <w:tc>
          <w:tcPr/>
          <w:p>
            <w:pPr>
              <w:pStyle w:val="Compact"/>
              <w:jc w:val="left"/>
            </w:pPr>
            <w:r>
              <w:t xml:space="preserve">Usecases</w:t>
            </w:r>
          </w:p>
        </w:tc>
        <w:tc>
          <w:tcPr/>
          <w:p>
            <w:pPr>
              <w:pStyle w:val="Compact"/>
              <w:jc w:val="left"/>
            </w:pPr>
            <w:r>
              <w:rPr>
                <w:rStyle w:val="VerbatimChar"/>
              </w:rPr>
              <w:t xml:space="preserve">gclt-aicoe-dev-st</w:t>
            </w:r>
          </w:p>
        </w:tc>
        <w:tc>
          <w:tcPr/>
          <w:p>
            <w:pPr>
              <w:pStyle w:val="Compact"/>
              <w:jc w:val="left"/>
            </w:pPr>
            <w:r>
              <w:rPr>
                <w:rStyle w:val="VerbatimChar"/>
              </w:rPr>
              <w:t xml:space="preserve">gclt-aicoe-prod-st</w:t>
            </w:r>
          </w:p>
        </w:tc>
        <w:tc>
          <w:tcPr/>
          <w:p>
            <w:pPr>
              <w:pStyle w:val="Compact"/>
              <w:jc w:val="left"/>
            </w:pPr>
            <w:r>
              <w:t xml:space="preserve">Service</w:t>
            </w:r>
          </w:p>
        </w:tc>
        <w:tc>
          <w:tcPr/>
          <w:p>
            <w:pPr>
              <w:pStyle w:val="Compact"/>
              <w:jc w:val="left"/>
            </w:pPr>
            <w:r>
              <w:t xml:space="preserve">Yes</w:t>
            </w:r>
          </w:p>
        </w:tc>
      </w:tr>
      <w:tr>
        <w:tc>
          <w:tcPr/>
          <w:p>
            <w:pPr>
              <w:pStyle w:val="Compact"/>
              <w:jc w:val="left"/>
            </w:pPr>
            <w:r>
              <w:t xml:space="preserve">Vertex AI target</w:t>
            </w:r>
          </w:p>
        </w:tc>
        <w:tc>
          <w:tcPr/>
          <w:p>
            <w:pPr>
              <w:pStyle w:val="Compact"/>
              <w:jc w:val="left"/>
            </w:pPr>
            <w:r>
              <w:rPr>
                <w:rStyle w:val="VerbatimChar"/>
              </w:rPr>
              <w:t xml:space="preserve">gclt-aicoe-dev-llm</w:t>
            </w:r>
          </w:p>
        </w:tc>
        <w:tc>
          <w:tcPr/>
          <w:p>
            <w:pPr>
              <w:pStyle w:val="Compact"/>
              <w:jc w:val="left"/>
            </w:pPr>
            <w:r>
              <w:rPr>
                <w:rStyle w:val="VerbatimChar"/>
              </w:rPr>
              <w:t xml:space="preserve">gclt-aicoe-prod-llm</w:t>
            </w:r>
          </w:p>
        </w:tc>
        <w:tc>
          <w:tcPr/>
          <w:p>
            <w:pPr>
              <w:pStyle w:val="Compact"/>
              <w:jc w:val="left"/>
            </w:pPr>
            <w:r>
              <w:t xml:space="preserve">Not attached — needs no network</w:t>
            </w:r>
          </w:p>
        </w:tc>
        <w:tc>
          <w:tcPr/>
          <w:p>
            <w:pPr>
              <w:pStyle w:val="Compact"/>
              <w:jc w:val="left"/>
            </w:pPr>
            <w:r>
              <w:t xml:space="preserve">No</w:t>
            </w:r>
          </w:p>
        </w:tc>
      </w:tr>
      <w:tr>
        <w:tc>
          <w:tcPr/>
          <w:p>
            <w:pPr>
              <w:pStyle w:val="Compact"/>
              <w:jc w:val="left"/>
            </w:pPr>
            <w:r>
              <w:t xml:space="preserve">Audit logs</w:t>
            </w:r>
          </w:p>
        </w:tc>
        <w:tc>
          <w:tcPr/>
          <w:p>
            <w:pPr>
              <w:pStyle w:val="Compact"/>
              <w:jc w:val="left"/>
            </w:pPr>
            <w:r>
              <w:rPr>
                <w:rStyle w:val="VerbatimChar"/>
              </w:rPr>
              <w:t xml:space="preserve">gclt-aicoe-dev-auditlogs</w:t>
            </w:r>
          </w:p>
        </w:tc>
        <w:tc>
          <w:tcPr/>
          <w:p>
            <w:pPr>
              <w:pStyle w:val="Compact"/>
              <w:jc w:val="left"/>
            </w:pPr>
            <w:r>
              <w:rPr>
                <w:rStyle w:val="VerbatimChar"/>
              </w:rPr>
              <w:t xml:space="preserve">gclt-aicoe-prod-auditlogs</w:t>
            </w:r>
          </w:p>
        </w:tc>
        <w:tc>
          <w:tcPr/>
          <w:p>
            <w:pPr>
              <w:pStyle w:val="Compact"/>
              <w:jc w:val="left"/>
            </w:pPr>
            <w:r>
              <w:t xml:space="preserve">Not attached</w:t>
            </w:r>
          </w:p>
        </w:tc>
        <w:tc>
          <w:tcPr/>
          <w:p>
            <w:pPr>
              <w:pStyle w:val="Compact"/>
              <w:jc w:val="left"/>
            </w:pPr>
            <w:r>
              <w:t xml:space="preserve">No</w:t>
            </w:r>
          </w:p>
        </w:tc>
      </w:tr>
      <w:tr>
        <w:tc>
          <w:tcPr/>
          <w:p>
            <w:pPr>
              <w:pStyle w:val="Compact"/>
              <w:jc w:val="left"/>
            </w:pPr>
            <w:r>
              <w:t xml:space="preserve">Seed / federation</w:t>
            </w:r>
          </w:p>
        </w:tc>
        <w:tc>
          <w:tcPr/>
          <w:p>
            <w:pPr>
              <w:pStyle w:val="Compact"/>
              <w:jc w:val="left"/>
            </w:pPr>
            <w:r>
              <w:rPr>
                <w:rStyle w:val="VerbatimChar"/>
              </w:rPr>
              <w:t xml:space="preserve">aicoe-sharedwif</w:t>
            </w:r>
          </w:p>
        </w:tc>
        <w:tc>
          <w:tcPr/>
          <w:p>
            <w:pPr>
              <w:pStyle w:val="Compact"/>
              <w:jc w:val="left"/>
            </w:pPr>
            <w:r>
              <w:rPr>
                <w:rStyle w:val="VerbatimChar"/>
              </w:rPr>
              <w:t xml:space="preserve">aicoe-sharedwif</w:t>
            </w:r>
            <w:r>
              <w:t xml:space="preserve"> </w:t>
            </w:r>
            <w:r>
              <w:t xml:space="preserve">— the same project</w:t>
            </w:r>
          </w:p>
        </w:tc>
        <w:tc>
          <w:tcPr/>
          <w:p>
            <w:pPr>
              <w:pStyle w:val="Compact"/>
              <w:jc w:val="left"/>
            </w:pPr>
            <w:r>
              <w:t xml:space="preserve">Not attached</w:t>
            </w:r>
          </w:p>
        </w:tc>
        <w:tc>
          <w:tcPr/>
          <w:p>
            <w:pPr>
              <w:pStyle w:val="Compact"/>
              <w:jc w:val="left"/>
            </w:pPr>
            <w:r>
              <w:t xml:space="preserve">No</w:t>
            </w:r>
          </w:p>
        </w:tc>
      </w:tr>
      <w:tr>
        <w:tc>
          <w:tcPr/>
          <w:p>
            <w:pPr>
              <w:pStyle w:val="Compact"/>
              <w:jc w:val="left"/>
            </w:pPr>
            <w:r>
              <w:t xml:space="preserve">Sandbox</w:t>
            </w:r>
          </w:p>
        </w:tc>
        <w:tc>
          <w:tcPr/>
          <w:p>
            <w:pPr>
              <w:pStyle w:val="Compact"/>
              <w:jc w:val="left"/>
            </w:pPr>
            <w:r>
              <w:t xml:space="preserve">—</w:t>
            </w:r>
          </w:p>
        </w:tc>
        <w:tc>
          <w:tcPr/>
          <w:p>
            <w:pPr>
              <w:pStyle w:val="Compact"/>
              <w:jc w:val="left"/>
            </w:pPr>
            <w:r>
              <w:t xml:space="preserve">—</w:t>
            </w:r>
          </w:p>
        </w:tc>
        <w:tc>
          <w:tcPr/>
          <w:p>
            <w:pPr>
              <w:pStyle w:val="Compact"/>
              <w:jc w:val="left"/>
            </w:pPr>
            <w:r>
              <w:t xml:space="preserve">Standalone VPC, not Shared VPC —</w:t>
            </w:r>
            <w:r>
              <w:t xml:space="preserve"> </w:t>
            </w:r>
            <w:r>
              <w:rPr>
                <w:rStyle w:val="VerbatimChar"/>
              </w:rPr>
              <w:t xml:space="preserve">aicoesandox</w:t>
            </w:r>
          </w:p>
        </w:tc>
        <w:tc>
          <w:tcPr/>
          <w:p>
            <w:pPr>
              <w:pStyle w:val="Compact"/>
              <w:jc w:val="left"/>
            </w:pPr>
            <w:r>
              <w:t xml:space="preserve">Yes</w:t>
            </w:r>
          </w:p>
        </w:tc>
      </w:tr>
    </w:tbl>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Function</w:t>
            </w:r>
          </w:p>
        </w:tc>
        <w:tc>
          <w:tcPr>
            <w:shd w:val="clear" w:color="auto" w:fill="1F3864"/>
          </w:tcPr>
          <w:p>
            <w:pPr>
              <w:pStyle w:val="Compact"/>
              <w:jc w:val="left"/>
            </w:pPr>
            <w:r>
              <w:rPr>
                <w:b/>
                <w:color w:val="FFFFFF"/>
              </w:rPr>
              <w:t xml:space="preserve">What the project owns</w:t>
            </w:r>
          </w:p>
        </w:tc>
      </w:tr>
      <w:tr>
        <w:tc>
          <w:tcPr/>
          <w:p>
            <w:pPr>
              <w:pStyle w:val="Compact"/>
              <w:jc w:val="left"/>
            </w:pPr>
            <w:r>
              <w:t xml:space="preserve">Network host</w:t>
            </w:r>
          </w:p>
        </w:tc>
        <w:tc>
          <w:tcPr/>
          <w:p>
            <w:pPr>
              <w:pStyle w:val="Compact"/>
              <w:jc w:val="left"/>
            </w:pPr>
            <w:r>
              <w:t xml:space="preserve">The VPC, subnets, firewall, private DNS, PSC endpoints and published services</w:t>
            </w:r>
          </w:p>
        </w:tc>
      </w:tr>
      <w:tr>
        <w:tc>
          <w:tcPr/>
          <w:p>
            <w:pPr>
              <w:pStyle w:val="Compact"/>
              <w:jc w:val="left"/>
            </w:pPr>
            <w:r>
              <w:t xml:space="preserve">Ingress</w:t>
            </w:r>
          </w:p>
        </w:tc>
        <w:tc>
          <w:tcPr/>
          <w:p>
            <w:pPr>
              <w:pStyle w:val="Compact"/>
              <w:jc w:val="left"/>
            </w:pPr>
            <w:r>
              <w:t xml:space="preserve">Load balancer frontends — addresses, forwarding rules, URL maps, target proxies, certificates. Also the Binary Authorization attestor and its signing key</w:t>
            </w:r>
          </w:p>
        </w:tc>
      </w:tr>
      <w:tr>
        <w:tc>
          <w:tcPr/>
          <w:p>
            <w:pPr>
              <w:pStyle w:val="Compact"/>
              <w:jc w:val="left"/>
            </w:pPr>
            <w:r>
              <w:t xml:space="preserve">API and AI gateway</w:t>
            </w:r>
          </w:p>
        </w:tc>
        <w:tc>
          <w:tcPr/>
          <w:p>
            <w:pPr>
              <w:pStyle w:val="Compact"/>
              <w:jc w:val="left"/>
            </w:pPr>
            <w:r>
              <w:t xml:space="preserve">The Apigee organisation, instance, both environments and both environment groups</w:t>
            </w:r>
          </w:p>
        </w:tc>
      </w:tr>
      <w:tr>
        <w:tc>
          <w:tcPr/>
          <w:p>
            <w:pPr>
              <w:pStyle w:val="Compact"/>
              <w:jc w:val="left"/>
            </w:pPr>
            <w:r>
              <w:t xml:space="preserve">AI Hub</w:t>
            </w:r>
          </w:p>
        </w:tc>
        <w:tc>
          <w:tcPr/>
          <w:p>
            <w:pPr>
              <w:pStyle w:val="Compact"/>
              <w:jc w:val="left"/>
            </w:pPr>
            <w:r>
              <w:t xml:space="preserve">The Backend-for-Frontend Cloud Run service, its backend service and serverless NEG, and the Firestore session store</w:t>
            </w:r>
          </w:p>
        </w:tc>
      </w:tr>
      <w:tr>
        <w:tc>
          <w:tcPr/>
          <w:p>
            <w:pPr>
              <w:pStyle w:val="Compact"/>
              <w:jc w:val="left"/>
            </w:pPr>
            <w:r>
              <w:t xml:space="preserve">Usecases</w:t>
            </w:r>
          </w:p>
        </w:tc>
        <w:tc>
          <w:tcPr/>
          <w:p>
            <w:pPr>
              <w:pStyle w:val="Compact"/>
              <w:jc w:val="left"/>
            </w:pPr>
            <w:r>
              <w:t xml:space="preserve">Translation and Sales Agent Cloud Run services, their backend services and NEGs, and their data — Cloud Storage, BigQuery, Cloud Tasks, Vector Search</w:t>
            </w:r>
          </w:p>
        </w:tc>
      </w:tr>
      <w:tr>
        <w:tc>
          <w:tcPr/>
          <w:p>
            <w:pPr>
              <w:pStyle w:val="Compact"/>
              <w:jc w:val="left"/>
            </w:pPr>
            <w:r>
              <w:t xml:space="preserve">Vertex AI target</w:t>
            </w:r>
          </w:p>
        </w:tc>
        <w:tc>
          <w:tcPr/>
          <w:p>
            <w:pPr>
              <w:pStyle w:val="Compact"/>
              <w:jc w:val="left"/>
            </w:pPr>
            <w:r>
              <w:t xml:space="preserve">Central Vertex AI target, Model Armor templates and Sensitive Data Protection templates.</w:t>
            </w:r>
            <w:r>
              <w:t xml:space="preserve"> </w:t>
            </w:r>
            <w:r>
              <w:rPr>
                <w:b/>
                <w:bCs/>
              </w:rPr>
              <w:t xml:space="preserve">Holds no compute</w:t>
            </w:r>
          </w:p>
        </w:tc>
      </w:tr>
      <w:tr>
        <w:tc>
          <w:tcPr/>
          <w:p>
            <w:pPr>
              <w:pStyle w:val="Compact"/>
              <w:jc w:val="left"/>
            </w:pPr>
            <w:r>
              <w:t xml:space="preserve">Audit logs</w:t>
            </w:r>
          </w:p>
        </w:tc>
        <w:tc>
          <w:tcPr/>
          <w:p>
            <w:pPr>
              <w:pStyle w:val="Compact"/>
              <w:jc w:val="left"/>
            </w:pPr>
            <w:r>
              <w:t xml:space="preserve">The 400-day log bucket, its linked BigQuery dataset, log views and the Sentinel Pub/Sub topic</w:t>
            </w:r>
          </w:p>
        </w:tc>
      </w:tr>
      <w:tr>
        <w:tc>
          <w:tcPr/>
          <w:p>
            <w:pPr>
              <w:pStyle w:val="Compact"/>
              <w:jc w:val="left"/>
            </w:pPr>
            <w:r>
              <w:t xml:space="preserve">Seed / federation</w:t>
            </w:r>
          </w:p>
        </w:tc>
        <w:tc>
          <w:tcPr/>
          <w:p>
            <w:pPr>
              <w:pStyle w:val="Compact"/>
              <w:jc w:val="left"/>
            </w:pPr>
            <w:r>
              <w:t xml:space="preserve">The GitLab Workload Identity Federation pool and provider, and the Terraform state bucket</w:t>
            </w:r>
          </w:p>
        </w:tc>
      </w:tr>
      <w:tr>
        <w:tc>
          <w:tcPr/>
          <w:p>
            <w:pPr>
              <w:pStyle w:val="Compact"/>
              <w:jc w:val="left"/>
            </w:pPr>
            <w:r>
              <w:t xml:space="preserve">Sandbox</w:t>
            </w:r>
          </w:p>
        </w:tc>
        <w:tc>
          <w:tcPr/>
          <w:p>
            <w:pPr>
              <w:pStyle w:val="Compact"/>
              <w:jc w:val="left"/>
            </w:pPr>
            <w:r>
              <w:t xml:space="preserve">Everything in one project — VPC, Workbench, Cloud Run services, two ILBs, Cloud NAT, data services</w:t>
            </w:r>
          </w:p>
        </w:tc>
      </w:tr>
    </w:tbl>
    <w:p>
      <w:pPr>
        <w:pStyle w:val="BodyText"/>
      </w:pPr>
      <w:r>
        <w:rPr>
          <w:b/>
          <w:bCs/>
        </w:rPr>
        <w:t xml:space="preserve">Why the Vertex AI target project holds no compute.</w:t>
      </w:r>
      <w:r>
        <w:t xml:space="preserve"> </w:t>
      </w:r>
      <w:r>
        <w:t xml:space="preserve">It exists to be the single project every Vertex AI call in its environment is billed and quota-counted against, so consumption is visible in one place instead of scattered across usecases. It is also the boundary the Model Armor templates and the</w:t>
      </w:r>
      <w:r>
        <w:t xml:space="preserve"> </w:t>
      </w:r>
      <w:r>
        <w:rPr>
          <w:rStyle w:val="VerbatimChar"/>
        </w:rPr>
        <w:t xml:space="preserve">aiplatform.user</w:t>
      </w:r>
      <w:r>
        <w:t xml:space="preserve"> </w:t>
      </w:r>
      <w:r>
        <w:t xml:space="preserve">grant sit on — the two controls that make the AI gateway mandatory.</w:t>
      </w:r>
    </w:p>
    <w:p>
      <w:pPr>
        <w:pStyle w:val="BodyText"/>
      </w:pPr>
      <w:r>
        <w:rPr>
          <w:b/>
          <w:bCs/>
        </w:rPr>
        <w:t xml:space="preserve">Criticality of</w:t>
      </w:r>
      <w:r>
        <w:rPr>
          <w:b/>
          <w:bCs/>
        </w:rPr>
        <w:t xml:space="preserve"> </w:t>
      </w:r>
      <w:r>
        <w:rPr>
          <w:rStyle w:val="VerbatimChar"/>
          <w:b/>
          <w:bCs/>
        </w:rPr>
        <w:t xml:space="preserve">aicoe-sharedwif</w:t>
      </w:r>
      <w:r>
        <w:rPr>
          <w:b/>
          <w:bCs/>
        </w:rPr>
        <w:t xml:space="preserve">.</w:t>
      </w:r>
      <w:r>
        <w:t xml:space="preserve"> </w:t>
      </w:r>
      <w:r>
        <w:t xml:space="preserve">Every other stage’s Terraform identity depends on it: bootstrap runs against it to create the state bucket and the</w:t>
      </w:r>
      <w:r>
        <w:t xml:space="preserve"> </w:t>
      </w:r>
      <w:r>
        <w:rPr>
          <w:rStyle w:val="VerbatimChar"/>
        </w:rPr>
        <w:t xml:space="preserve">tf-deployer</w:t>
      </w:r>
      <w:r>
        <w:t xml:space="preserve"> </w:t>
      </w:r>
      <w:r>
        <w:t xml:space="preserve">service accounts everything else impersonates, and it is the one project that spans Development and Production. If its Workload Identity Federation provider condition is permissive, any repository that can request a token for the audience can impersonate a production deployer.</w:t>
      </w:r>
    </w:p>
    <w:p>
      <w:pPr>
        <w:pStyle w:val="BodyText"/>
      </w:pPr>
      <w:r>
        <w:rPr>
          <w:b/>
          <w:bCs/>
        </w:rPr>
        <w:t xml:space="preserve">Why Apigee is two organisations, not one.</w:t>
      </w:r>
      <w:r>
        <w:t xml:space="preserve"> </w:t>
      </w:r>
      <w:r>
        <w:t xml:space="preserve">An Apigee organisation is fixed to one Google Cloud project and cannot be moved, so Production cannot share the Development organisation. The provisioning-time settings that are immutable — non-peered networking, the runtime database key, the analytics region and service-endpoint routing — must therefore be set correctly a second time when Production is built. They are listed in</w:t>
      </w:r>
      <w:r>
        <w:t xml:space="preserve"> </w:t>
      </w:r>
      <w:r>
        <w:rPr>
          <w:b/>
          <w:bCs/>
        </w:rPr>
        <w:t xml:space="preserve">Design Objectives, Scope and Constraints</w:t>
      </w:r>
      <w:r>
        <w:t xml:space="preserve"> </w:t>
      </w:r>
      <w:r>
        <w:t xml:space="preserve">under Immutable and expensive-to-reverse decisions.</w:t>
      </w:r>
    </w:p>
    <w:bookmarkEnd w:id="51"/>
    <w:bookmarkEnd w:id="52"/>
    <w:bookmarkStart w:id="53" w:name="environment-and-project-mapping"/>
    <w:p>
      <w:pPr>
        <w:pStyle w:val="Heading2"/>
      </w:pPr>
      <w:r>
        <w:t xml:space="preserve">4.3 Environment and project mapping</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Attribute</w:t>
            </w:r>
          </w:p>
        </w:tc>
        <w:tc>
          <w:tcPr>
            <w:shd w:val="clear" w:color="auto" w:fill="1F3864"/>
          </w:tcPr>
          <w:p>
            <w:pPr>
              <w:pStyle w:val="Compact"/>
              <w:jc w:val="left"/>
            </w:pPr>
            <w:r>
              <w:rPr>
                <w:b/>
                <w:color w:val="FFFFFF"/>
              </w:rPr>
              <w:t xml:space="preserve">Sandbox</w:t>
            </w:r>
          </w:p>
        </w:tc>
        <w:tc>
          <w:tcPr>
            <w:shd w:val="clear" w:color="auto" w:fill="1F3864"/>
          </w:tcPr>
          <w:p>
            <w:pPr>
              <w:pStyle w:val="Compact"/>
              <w:jc w:val="left"/>
            </w:pPr>
            <w:r>
              <w:rPr>
                <w:b/>
                <w:color w:val="FFFFFF"/>
              </w:rPr>
              <w:t xml:space="preserve">Dev</w:t>
            </w:r>
          </w:p>
        </w:tc>
        <w:tc>
          <w:tcPr>
            <w:shd w:val="clear" w:color="auto" w:fill="1F3864"/>
          </w:tcPr>
          <w:p>
            <w:pPr>
              <w:pStyle w:val="Compact"/>
              <w:jc w:val="left"/>
            </w:pPr>
            <w:r>
              <w:rPr>
                <w:b/>
                <w:color w:val="FFFFFF"/>
              </w:rPr>
              <w:t xml:space="preserve">Prod</w:t>
            </w:r>
          </w:p>
        </w:tc>
      </w:tr>
      <w:tr>
        <w:tc>
          <w:tcPr/>
          <w:p>
            <w:pPr>
              <w:pStyle w:val="Compact"/>
              <w:jc w:val="left"/>
            </w:pPr>
            <w:r>
              <w:t xml:space="preserve">Project model</w:t>
            </w:r>
          </w:p>
        </w:tc>
        <w:tc>
          <w:tcPr/>
          <w:p>
            <w:pPr>
              <w:pStyle w:val="Compact"/>
              <w:jc w:val="left"/>
            </w:pPr>
            <w:r>
              <w:t xml:space="preserve">Single project, standalone VPC</w:t>
            </w:r>
          </w:p>
        </w:tc>
        <w:tc>
          <w:tcPr/>
          <w:p>
            <w:pPr>
              <w:pStyle w:val="Compact"/>
              <w:jc w:val="left"/>
            </w:pPr>
            <w:r>
              <w:t xml:space="preserve">Eight projects, Shared VPC host and service projects</w:t>
            </w:r>
          </w:p>
        </w:tc>
        <w:tc>
          <w:tcPr/>
          <w:p>
            <w:pPr>
              <w:pStyle w:val="Compact"/>
              <w:jc w:val="left"/>
            </w:pPr>
            <w:r>
              <w:t xml:space="preserve">Eight projects, same design as Dev</w:t>
            </w:r>
          </w:p>
        </w:tc>
      </w:tr>
      <w:tr>
        <w:tc>
          <w:tcPr/>
          <w:p>
            <w:pPr>
              <w:pStyle w:val="Compact"/>
              <w:jc w:val="left"/>
            </w:pPr>
            <w:r>
              <w:t xml:space="preserve">Project identifiers</w:t>
            </w:r>
          </w:p>
        </w:tc>
        <w:tc>
          <w:tcPr/>
          <w:p>
            <w:pPr>
              <w:pStyle w:val="Compact"/>
              <w:jc w:val="left"/>
            </w:pPr>
            <w:r>
              <w:rPr>
                <w:rStyle w:val="VerbatimChar"/>
              </w:rPr>
              <w:t xml:space="preserve">aicoesandox</w:t>
            </w:r>
          </w:p>
        </w:tc>
        <w:tc>
          <w:tcPr/>
          <w:p>
            <w:pPr>
              <w:pStyle w:val="Compact"/>
              <w:jc w:val="left"/>
            </w:pPr>
            <w:r>
              <w:rPr>
                <w:rStyle w:val="VerbatimChar"/>
              </w:rPr>
              <w:t xml:space="preserve">gclt-aicoe-dev-*</w:t>
            </w:r>
            <w:r>
              <w:t xml:space="preserve"> </w:t>
            </w:r>
            <w:r>
              <w:t xml:space="preserve">plus</w:t>
            </w:r>
            <w:r>
              <w:t xml:space="preserve"> </w:t>
            </w:r>
            <w:r>
              <w:rPr>
                <w:rStyle w:val="VerbatimChar"/>
              </w:rPr>
              <w:t xml:space="preserve">aicoe-sharedwif</w:t>
            </w:r>
          </w:p>
        </w:tc>
        <w:tc>
          <w:tcPr/>
          <w:p>
            <w:pPr>
              <w:pStyle w:val="Compact"/>
              <w:jc w:val="left"/>
            </w:pPr>
            <w:r>
              <w:rPr>
                <w:rStyle w:val="VerbatimChar"/>
              </w:rPr>
              <w:t xml:space="preserve">gclt-aicoe-prod-*</w:t>
            </w:r>
            <w:r>
              <w:t xml:space="preserve"> </w:t>
            </w:r>
            <w:r>
              <w:t xml:space="preserve">plus</w:t>
            </w:r>
            <w:r>
              <w:t xml:space="preserve"> </w:t>
            </w:r>
            <w:r>
              <w:rPr>
                <w:rStyle w:val="VerbatimChar"/>
              </w:rPr>
              <w:t xml:space="preserve">aicoe-sharedwif</w:t>
            </w:r>
          </w:p>
        </w:tc>
      </w:tr>
      <w:tr>
        <w:tc>
          <w:tcPr/>
          <w:p>
            <w:pPr>
              <w:pStyle w:val="Compact"/>
              <w:jc w:val="left"/>
            </w:pPr>
            <w:r>
              <w:t xml:space="preserve">Project number</w:t>
            </w:r>
          </w:p>
        </w:tc>
        <w:tc>
          <w:tcPr/>
          <w:p>
            <w:pPr>
              <w:pStyle w:val="Compact"/>
              <w:jc w:val="left"/>
            </w:pPr>
            <w:r>
              <w:t xml:space="preserve">297743845367</w:t>
            </w:r>
          </w:p>
        </w:tc>
        <w:tc>
          <w:tcPr/>
          <w:p>
            <w:pPr>
              <w:pStyle w:val="Compact"/>
              <w:jc w:val="left"/>
            </w:pPr>
            <w:r>
              <w:t xml:space="preserve">Per project</w:t>
            </w:r>
          </w:p>
        </w:tc>
        <w:tc>
          <w:tcPr/>
          <w:p>
            <w:pPr>
              <w:pStyle w:val="Compact"/>
              <w:jc w:val="left"/>
            </w:pPr>
            <w:r>
              <w:t xml:space="preserve">Per project, allocated at creation</w:t>
            </w:r>
          </w:p>
        </w:tc>
      </w:tr>
      <w:tr>
        <w:tc>
          <w:tcPr/>
          <w:p>
            <w:pPr>
              <w:pStyle w:val="Compact"/>
              <w:jc w:val="left"/>
            </w:pPr>
            <w:r>
              <w:rPr>
                <w:rStyle w:val="VerbatimChar"/>
              </w:rPr>
              <w:t xml:space="preserve">envname</w:t>
            </w:r>
          </w:p>
        </w:tc>
        <w:tc>
          <w:tcPr/>
          <w:p>
            <w:pPr>
              <w:pStyle w:val="Compact"/>
              <w:jc w:val="left"/>
            </w:pPr>
            <w:r>
              <w:rPr>
                <w:rStyle w:val="VerbatimChar"/>
              </w:rPr>
              <w:t xml:space="preserve">sandox</w:t>
            </w:r>
          </w:p>
        </w:tc>
        <w:tc>
          <w:tcPr/>
          <w:p>
            <w:pPr>
              <w:pStyle w:val="Compact"/>
              <w:jc w:val="left"/>
            </w:pPr>
            <w:r>
              <w:rPr>
                <w:rStyle w:val="VerbatimChar"/>
              </w:rPr>
              <w:t xml:space="preserve">dev</w:t>
            </w:r>
          </w:p>
        </w:tc>
        <w:tc>
          <w:tcPr/>
          <w:p>
            <w:pPr>
              <w:pStyle w:val="Compact"/>
              <w:jc w:val="left"/>
            </w:pPr>
            <w:r>
              <w:rPr>
                <w:rStyle w:val="VerbatimChar"/>
              </w:rPr>
              <w:t xml:space="preserve">prod</w:t>
            </w:r>
          </w:p>
        </w:tc>
      </w:tr>
      <w:tr>
        <w:tc>
          <w:tcPr/>
          <w:p>
            <w:pPr>
              <w:pStyle w:val="Compact"/>
              <w:jc w:val="left"/>
            </w:pPr>
            <w:r>
              <w:t xml:space="preserve">Region</w:t>
            </w:r>
          </w:p>
        </w:tc>
        <w:tc>
          <w:tcPr/>
          <w:p>
            <w:pPr>
              <w:pStyle w:val="Compact"/>
              <w:jc w:val="left"/>
            </w:pPr>
            <w:r>
              <w:rPr>
                <w:rStyle w:val="VerbatimChar"/>
              </w:rPr>
              <w:t xml:space="preserve">europe-west1</w:t>
            </w:r>
          </w:p>
        </w:tc>
        <w:tc>
          <w:tcPr/>
          <w:p>
            <w:pPr>
              <w:pStyle w:val="Compact"/>
              <w:jc w:val="left"/>
            </w:pPr>
            <w:r>
              <w:rPr>
                <w:rStyle w:val="VerbatimChar"/>
              </w:rPr>
              <w:t xml:space="preserve">europe-west1</w:t>
            </w:r>
          </w:p>
        </w:tc>
        <w:tc>
          <w:tcPr/>
          <w:p>
            <w:pPr>
              <w:pStyle w:val="Compact"/>
              <w:jc w:val="left"/>
            </w:pPr>
            <w:r>
              <w:rPr>
                <w:rStyle w:val="VerbatimChar"/>
              </w:rPr>
              <w:t xml:space="preserve">europe-west1</w:t>
            </w:r>
          </w:p>
        </w:tc>
      </w:tr>
      <w:tr>
        <w:tc>
          <w:tcPr/>
          <w:p>
            <w:pPr>
              <w:pStyle w:val="Compact"/>
              <w:jc w:val="left"/>
            </w:pPr>
            <w:r>
              <w:t xml:space="preserve">Unrouted range</w:t>
            </w:r>
          </w:p>
        </w:tc>
        <w:tc>
          <w:tcPr/>
          <w:p>
            <w:pPr>
              <w:pStyle w:val="Compact"/>
              <w:jc w:val="left"/>
            </w:pPr>
            <w:r>
              <w:rPr>
                <w:rStyle w:val="VerbatimChar"/>
              </w:rPr>
              <w:t xml:space="preserve">192.168.1.0/24</w:t>
            </w:r>
            <w:r>
              <w:t xml:space="preserve"> </w:t>
            </w:r>
            <w:r>
              <w:t xml:space="preserve">for subnets,</w:t>
            </w:r>
            <w:r>
              <w:t xml:space="preserve"> </w:t>
            </w:r>
            <w:r>
              <w:rPr>
                <w:rStyle w:val="VerbatimChar"/>
              </w:rPr>
              <w:t xml:space="preserve">192.168.2.0/24</w:t>
            </w:r>
            <w:r>
              <w:t xml:space="preserve"> </w:t>
            </w:r>
            <w:r>
              <w:t xml:space="preserve">for PSC</w:t>
            </w:r>
          </w:p>
        </w:tc>
        <w:tc>
          <w:tcPr/>
          <w:p>
            <w:pPr>
              <w:pStyle w:val="Compact"/>
              <w:jc w:val="left"/>
            </w:pPr>
            <w:r>
              <w:rPr>
                <w:rStyle w:val="VerbatimChar"/>
              </w:rPr>
              <w:t xml:space="preserve">192.168.4.0/22</w:t>
            </w:r>
            <w:r>
              <w:t xml:space="preserve"> </w:t>
            </w:r>
            <w:r>
              <w:t xml:space="preserve">— no route from the Colt network</w:t>
            </w:r>
          </w:p>
        </w:tc>
        <w:tc>
          <w:tcPr/>
          <w:p>
            <w:pPr>
              <w:pStyle w:val="Compact"/>
              <w:jc w:val="left"/>
            </w:pPr>
            <w:r>
              <w:t xml:space="preserve">Allocated by IPAM</w:t>
            </w:r>
          </w:p>
        </w:tc>
      </w:tr>
      <w:tr>
        <w:tc>
          <w:tcPr/>
          <w:p>
            <w:pPr>
              <w:pStyle w:val="Compact"/>
              <w:jc w:val="left"/>
            </w:pPr>
            <w:r>
              <w:t xml:space="preserve">Workload subnet</w:t>
            </w:r>
          </w:p>
        </w:tc>
        <w:tc>
          <w:tcPr/>
          <w:p>
            <w:pPr>
              <w:pStyle w:val="Compact"/>
              <w:jc w:val="left"/>
            </w:pPr>
            <w:r>
              <w:rPr>
                <w:rStyle w:val="VerbatimChar"/>
              </w:rPr>
              <w:t xml:space="preserve">192.168.1.0/25</w:t>
            </w:r>
          </w:p>
        </w:tc>
        <w:tc>
          <w:tcPr/>
          <w:p>
            <w:pPr>
              <w:pStyle w:val="Compact"/>
              <w:jc w:val="left"/>
            </w:pPr>
            <w:r>
              <w:rPr>
                <w:rStyle w:val="VerbatimChar"/>
              </w:rPr>
              <w:t xml:space="preserve">192.168.4.0/23</w:t>
            </w:r>
          </w:p>
        </w:tc>
        <w:tc>
          <w:tcPr/>
          <w:p>
            <w:pPr>
              <w:pStyle w:val="Compact"/>
              <w:jc w:val="left"/>
            </w:pPr>
            <w:r>
              <w:t xml:space="preserve">Allocated by IPAM</w:t>
            </w:r>
          </w:p>
        </w:tc>
      </w:tr>
      <w:tr>
        <w:tc>
          <w:tcPr/>
          <w:p>
            <w:pPr>
              <w:pStyle w:val="Compact"/>
              <w:jc w:val="left"/>
            </w:pPr>
            <w:r>
              <w:t xml:space="preserve">User-reachable range</w:t>
            </w:r>
          </w:p>
        </w:tc>
        <w:tc>
          <w:tcPr/>
          <w:p>
            <w:pPr>
              <w:pStyle w:val="Compact"/>
              <w:jc w:val="left"/>
            </w:pPr>
            <w:r>
              <w:t xml:space="preserve">None — direct developer access inside the VPC</w:t>
            </w:r>
          </w:p>
        </w:tc>
        <w:tc>
          <w:tcPr/>
          <w:p>
            <w:pPr>
              <w:pStyle w:val="Compact"/>
              <w:jc w:val="left"/>
            </w:pPr>
            <w:r>
              <w:rPr>
                <w:rStyle w:val="VerbatimChar"/>
              </w:rPr>
              <w:t xml:space="preserve">10.110.73.0/24</w:t>
            </w:r>
            <w:r>
              <w:t xml:space="preserve">, one address opened</w:t>
            </w:r>
          </w:p>
        </w:tc>
        <w:tc>
          <w:tcPr/>
          <w:p>
            <w:pPr>
              <w:pStyle w:val="Compact"/>
              <w:jc w:val="left"/>
            </w:pPr>
            <w:r>
              <w:t xml:space="preserve">Allocated by IPAM</w:t>
            </w:r>
          </w:p>
        </w:tc>
      </w:tr>
      <w:tr>
        <w:tc>
          <w:tcPr/>
          <w:p>
            <w:pPr>
              <w:pStyle w:val="Compact"/>
              <w:jc w:val="left"/>
            </w:pPr>
            <w:r>
              <w:t xml:space="preserve">Proxy-only subnet</w:t>
            </w:r>
          </w:p>
        </w:tc>
        <w:tc>
          <w:tcPr/>
          <w:p>
            <w:pPr>
              <w:pStyle w:val="Compact"/>
              <w:jc w:val="left"/>
            </w:pPr>
            <w:r>
              <w:rPr>
                <w:rStyle w:val="VerbatimChar"/>
              </w:rPr>
              <w:t xml:space="preserve">192.168.1.128/26</w:t>
            </w:r>
          </w:p>
        </w:tc>
        <w:tc>
          <w:tcPr/>
          <w:p>
            <w:pPr>
              <w:pStyle w:val="Compact"/>
              <w:jc w:val="left"/>
            </w:pPr>
            <w:r>
              <w:rPr>
                <w:rStyle w:val="VerbatimChar"/>
              </w:rPr>
              <w:t xml:space="preserve">192.168.6.0/26</w:t>
            </w:r>
          </w:p>
        </w:tc>
        <w:tc>
          <w:tcPr/>
          <w:p>
            <w:pPr>
              <w:pStyle w:val="Compact"/>
              <w:jc w:val="left"/>
            </w:pPr>
            <w:r>
              <w:t xml:space="preserve">Allocated by IPAM</w:t>
            </w:r>
          </w:p>
        </w:tc>
      </w:tr>
      <w:tr>
        <w:tc>
          <w:tcPr/>
          <w:p>
            <w:pPr>
              <w:pStyle w:val="Compact"/>
              <w:jc w:val="left"/>
            </w:pPr>
            <w:r>
              <w:t xml:space="preserve">Google APIs PSC endpoint</w:t>
            </w:r>
          </w:p>
        </w:tc>
        <w:tc>
          <w:tcPr/>
          <w:p>
            <w:pPr>
              <w:pStyle w:val="Compact"/>
              <w:jc w:val="left"/>
            </w:pPr>
            <w:r>
              <w:rPr>
                <w:rStyle w:val="VerbatimChar"/>
              </w:rPr>
              <w:t xml:space="preserve">192.168.2.3</w:t>
            </w:r>
          </w:p>
        </w:tc>
        <w:tc>
          <w:tcPr/>
          <w:p>
            <w:pPr>
              <w:pStyle w:val="Compact"/>
              <w:jc w:val="left"/>
            </w:pPr>
            <w:r>
              <w:rPr>
                <w:rStyle w:val="VerbatimChar"/>
              </w:rPr>
              <w:t xml:space="preserve">192.168.6.164</w:t>
            </w:r>
          </w:p>
        </w:tc>
        <w:tc>
          <w:tcPr/>
          <w:p>
            <w:pPr>
              <w:pStyle w:val="Compact"/>
              <w:jc w:val="left"/>
            </w:pPr>
            <w:r>
              <w:t xml:space="preserve">Allocated by IPAM</w:t>
            </w:r>
          </w:p>
        </w:tc>
      </w:tr>
      <w:tr>
        <w:tc>
          <w:tcPr/>
          <w:p>
            <w:pPr>
              <w:pStyle w:val="Compact"/>
              <w:jc w:val="left"/>
            </w:pPr>
            <w:r>
              <w:t xml:space="preserve">Internal DNS zone</w:t>
            </w:r>
          </w:p>
        </w:tc>
        <w:tc>
          <w:tcPr/>
          <w:p>
            <w:pPr>
              <w:pStyle w:val="Compact"/>
              <w:jc w:val="left"/>
            </w:pPr>
            <w:r>
              <w:rPr>
                <w:rStyle w:val="VerbatimChar"/>
              </w:rPr>
              <w:t xml:space="preserve">aicoesandox-int.colt.net.</w:t>
            </w:r>
          </w:p>
        </w:tc>
        <w:tc>
          <w:tcPr/>
          <w:p>
            <w:pPr>
              <w:pStyle w:val="Compact"/>
              <w:jc w:val="left"/>
            </w:pPr>
            <w:r>
              <w:rPr>
                <w:rStyle w:val="VerbatimChar"/>
              </w:rPr>
              <w:t xml:space="preserve">aicoe-dev-int.colt.net.</w:t>
            </w:r>
          </w:p>
        </w:tc>
        <w:tc>
          <w:tcPr/>
          <w:p>
            <w:pPr>
              <w:pStyle w:val="Compact"/>
              <w:jc w:val="left"/>
            </w:pPr>
            <w:r>
              <w:rPr>
                <w:rStyle w:val="VerbatimChar"/>
              </w:rPr>
              <w:t xml:space="preserve">aicoeprod-int.colt.net.</w:t>
            </w:r>
          </w:p>
        </w:tc>
      </w:tr>
      <w:tr>
        <w:tc>
          <w:tcPr/>
          <w:p>
            <w:pPr>
              <w:pStyle w:val="Compact"/>
              <w:jc w:val="left"/>
            </w:pPr>
            <w:r>
              <w:t xml:space="preserve">Internal load balancers</w:t>
            </w:r>
          </w:p>
        </w:tc>
        <w:tc>
          <w:tcPr/>
          <w:p>
            <w:pPr>
              <w:pStyle w:val="Compact"/>
              <w:jc w:val="left"/>
            </w:pPr>
            <w:r>
              <w:t xml:space="preserve">Two — translation, sales agent</w:t>
            </w:r>
          </w:p>
        </w:tc>
        <w:tc>
          <w:tcPr/>
          <w:p>
            <w:pPr>
              <w:pStyle w:val="Compact"/>
              <w:jc w:val="left"/>
            </w:pPr>
            <w:r>
              <w:t xml:space="preserve">Two — AI Hub front door, Backend ILB</w:t>
            </w:r>
          </w:p>
        </w:tc>
        <w:tc>
          <w:tcPr/>
          <w:p>
            <w:pPr>
              <w:pStyle w:val="Compact"/>
              <w:jc w:val="left"/>
            </w:pPr>
            <w:r>
              <w:t xml:space="preserve">As Dev</w:t>
            </w:r>
          </w:p>
        </w:tc>
      </w:tr>
      <w:tr>
        <w:tc>
          <w:tcPr/>
          <w:p>
            <w:pPr>
              <w:pStyle w:val="Compact"/>
              <w:jc w:val="left"/>
            </w:pPr>
            <w:r>
              <w:t xml:space="preserve">Cloud NAT</w:t>
            </w:r>
          </w:p>
        </w:tc>
        <w:tc>
          <w:tcPr/>
          <w:p>
            <w:pPr>
              <w:pStyle w:val="Compact"/>
              <w:jc w:val="left"/>
            </w:pPr>
            <w:r>
              <w:t xml:space="preserve">Yes, two reserved static addresses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Vertex AI Workbench</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AI Hub and Backend-for-Frontend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Apigee</w:t>
            </w:r>
          </w:p>
        </w:tc>
        <w:tc>
          <w:tcPr/>
          <w:p>
            <w:pPr>
              <w:pStyle w:val="Compact"/>
              <w:jc w:val="left"/>
            </w:pPr>
            <w:r>
              <w:t xml:space="preserve">No</w:t>
            </w:r>
          </w:p>
        </w:tc>
        <w:tc>
          <w:tcPr/>
          <w:p>
            <w:pPr>
              <w:pStyle w:val="Compact"/>
              <w:jc w:val="left"/>
            </w:pPr>
            <w:r>
              <w:t xml:space="preserve">Yes —</w:t>
            </w:r>
            <w:r>
              <w:t xml:space="preserve"> </w:t>
            </w:r>
            <w:r>
              <w:rPr>
                <w:rStyle w:val="VerbatimChar"/>
              </w:rPr>
              <w:t xml:space="preserve">int</w:t>
            </w:r>
            <w:r>
              <w:t xml:space="preserve"> </w:t>
            </w:r>
            <w:r>
              <w:t xml:space="preserve">and</w:t>
            </w:r>
            <w:r>
              <w:t xml:space="preserve"> </w:t>
            </w:r>
            <w:r>
              <w:rPr>
                <w:rStyle w:val="VerbatimChar"/>
              </w:rPr>
              <w:t xml:space="preserve">llm</w:t>
            </w:r>
          </w:p>
        </w:tc>
        <w:tc>
          <w:tcPr/>
          <w:p>
            <w:pPr>
              <w:pStyle w:val="Compact"/>
              <w:jc w:val="left"/>
            </w:pPr>
            <w:r>
              <w:t xml:space="preserve">Yes</w:t>
            </w:r>
          </w:p>
        </w:tc>
      </w:tr>
      <w:tr>
        <w:tc>
          <w:tcPr/>
          <w:p>
            <w:pPr>
              <w:pStyle w:val="Compact"/>
              <w:jc w:val="left"/>
            </w:pPr>
            <w:r>
              <w:t xml:space="preserve">Identity-Aware Proxy</w:t>
            </w:r>
          </w:p>
        </w:tc>
        <w:tc>
          <w:tcPr/>
          <w:p>
            <w:pPr>
              <w:pStyle w:val="Compact"/>
              <w:jc w:val="left"/>
            </w:pPr>
            <w:r>
              <w:t xml:space="preserve">Yes, on both load balancer backend services —</w:t>
            </w:r>
            <w:r>
              <w:t xml:space="preserve"> </w:t>
            </w:r>
            <w:r>
              <w:rPr>
                <w:b/>
                <w:bCs/>
              </w:rPr>
              <w:t xml:space="preserve">Google identities, no Entra federation</w:t>
            </w:r>
          </w:p>
        </w:tc>
        <w:tc>
          <w:tcPr/>
          <w:p>
            <w:pPr>
              <w:pStyle w:val="Compact"/>
              <w:jc w:val="left"/>
            </w:pPr>
            <w:r>
              <w:t xml:space="preserve">Yes, on the AI Hub backend service only —</w:t>
            </w:r>
            <w:r>
              <w:t xml:space="preserve"> </w:t>
            </w:r>
            <w:r>
              <w:rPr>
                <w:b/>
                <w:bCs/>
              </w:rPr>
              <w:t xml:space="preserve">Entra ID through a workforce pool</w:t>
            </w:r>
          </w:p>
        </w:tc>
        <w:tc>
          <w:tcPr/>
          <w:p>
            <w:pPr>
              <w:pStyle w:val="Compact"/>
              <w:jc w:val="left"/>
            </w:pPr>
            <w:r>
              <w:t xml:space="preserve">As Dev</w:t>
            </w:r>
          </w:p>
        </w:tc>
      </w:tr>
      <w:tr>
        <w:tc>
          <w:tcPr/>
          <w:p>
            <w:pPr>
              <w:pStyle w:val="Compact"/>
              <w:jc w:val="left"/>
            </w:pPr>
            <w:r>
              <w:t xml:space="preserve">VPC Service Controls</w:t>
            </w:r>
          </w:p>
        </w:tc>
        <w:tc>
          <w:tcPr/>
          <w:p>
            <w:pPr>
              <w:pStyle w:val="Compact"/>
              <w:jc w:val="left"/>
            </w:pPr>
            <w:r>
              <w:t xml:space="preserve">Enforced — owned by the Colt Cloud CoE</w:t>
            </w:r>
          </w:p>
        </w:tc>
        <w:tc>
          <w:tcPr/>
          <w:p>
            <w:pPr>
              <w:pStyle w:val="Compact"/>
              <w:jc w:val="left"/>
            </w:pPr>
            <w:r>
              <w:t xml:space="preserve">Enforced — owned by the Colt Cloud CoE</w:t>
            </w:r>
          </w:p>
        </w:tc>
        <w:tc>
          <w:tcPr/>
          <w:p>
            <w:pPr>
              <w:pStyle w:val="Compact"/>
              <w:jc w:val="left"/>
            </w:pPr>
            <w:r>
              <w:t xml:space="preserve">Enforced — owned by the Colt Cloud CoE</w:t>
            </w:r>
          </w:p>
        </w:tc>
      </w:tr>
    </w:tbl>
    <w:p>
      <w:pPr>
        <w:pStyle w:val="BodyText"/>
      </w:pPr>
      <w:r>
        <w:t xml:space="preserve">Resource naming follows</w:t>
      </w:r>
      <w:r>
        <w:t xml:space="preserve"> </w:t>
      </w:r>
      <w:r>
        <w:rPr>
          <w:rStyle w:val="VerbatimChar"/>
        </w:rPr>
        <w:t xml:space="preserve">{project}{envname}</w:t>
      </w:r>
      <w:r>
        <w:t xml:space="preserve"> </w:t>
      </w:r>
      <w:r>
        <w:t xml:space="preserve">— see</w:t>
      </w:r>
      <w:r>
        <w:t xml:space="preserve"> </w:t>
      </w:r>
      <w:r>
        <w:rPr>
          <w:b/>
          <w:bCs/>
        </w:rPr>
        <w:t xml:space="preserve">Naming Standard and Tagging</w:t>
      </w:r>
      <w:r>
        <w:t xml:space="preserve">.</w:t>
      </w:r>
    </w:p>
    <w:bookmarkEnd w:id="53"/>
    <w:bookmarkStart w:id="68" w:name="platform-topology"/>
    <w:p>
      <w:pPr>
        <w:pStyle w:val="Heading2"/>
      </w:pPr>
      <w:r>
        <w:t xml:space="preserve">4.4 Platform topology</w:t>
      </w:r>
    </w:p>
    <w:bookmarkStart w:id="60" w:name="development-shared-vpc"/>
    <w:p>
      <w:pPr>
        <w:pStyle w:val="Heading3"/>
      </w:pPr>
      <w:r>
        <w:t xml:space="preserve">4.4.1 Development — Shared VPC</w:t>
      </w:r>
    </w:p>
    <w:p>
      <w:pPr>
        <w:pStyle w:val="CaptionedFigure"/>
      </w:pPr>
      <w:r>
        <w:drawing>
          <wp:inline>
            <wp:extent cx="5943600" cy="2898422"/>
            <wp:effectExtent b="0" l="0" r="0" t="0"/>
            <wp:docPr descr="AI CoE Development high level architecture, part 1 of 2 — the user entry path from the Colt browser through ZPA and Entra ID to the AI Hub ILB, the Cloud Run Backend-for-Frontend with Firestore and Secret Manager, the Shared VPC host with its Private Service Connect attachments, and the Apigee int environment the Backend-for-Frontend calls" title="" id="55" name="Picture"/>
            <a:graphic>
              <a:graphicData uri="http://schemas.openxmlformats.org/drawingml/2006/picture">
                <pic:pic>
                  <pic:nvPicPr>
                    <pic:cNvPr descr="diagrams/dev-hla-part1.png" id="56" name="Picture"/>
                    <pic:cNvPicPr>
                      <a:picLocks noChangeArrowheads="1" noChangeAspect="1"/>
                    </pic:cNvPicPr>
                  </pic:nvPicPr>
                  <pic:blipFill>
                    <a:blip r:embed="rId54"/>
                    <a:stretch>
                      <a:fillRect/>
                    </a:stretch>
                  </pic:blipFill>
                  <pic:spPr bwMode="auto">
                    <a:xfrm>
                      <a:off x="0" y="0"/>
                      <a:ext cx="5943600" cy="2898422"/>
                    </a:xfrm>
                    <a:prstGeom prst="rect">
                      <a:avLst/>
                    </a:prstGeom>
                    <a:noFill/>
                    <a:ln w="9525">
                      <a:noFill/>
                      <a:headEnd/>
                      <a:tailEnd/>
                    </a:ln>
                  </pic:spPr>
                </pic:pic>
              </a:graphicData>
            </a:graphic>
          </wp:inline>
        </w:drawing>
      </w:r>
    </w:p>
    <w:p>
      <w:pPr>
        <w:pStyle w:val="ImageCaption"/>
      </w:pPr>
      <w:r>
        <w:t xml:space="preserve">AI CoE Development high level architecture, part 1 of 2 — the user entry path from the Colt browser through ZPA and Entra ID to the AI Hub ILB, the Cloud Run Backend-for-Frontend with Firestore and Secret Manager, the Shared VPC host with its Private Service Connect attachments, and the Apigee</w:t>
      </w:r>
      <w:r>
        <w:t xml:space="preserve"> </w:t>
      </w:r>
      <w:r>
        <w:rPr>
          <w:rStyle w:val="VerbatimChar"/>
        </w:rPr>
        <w:t xml:space="preserve">int</w:t>
      </w:r>
      <w:r>
        <w:t xml:space="preserve"> </w:t>
      </w:r>
      <w:r>
        <w:t xml:space="preserve">environment the Backend-for-Frontend calls</w:t>
      </w:r>
    </w:p>
    <w:p>
      <w:pPr>
        <w:pStyle w:val="CaptionedFigure"/>
      </w:pPr>
      <w:r>
        <w:drawing>
          <wp:inline>
            <wp:extent cx="5943600" cy="3380881"/>
            <wp:effectExtent b="0" l="0" r="0" t="0"/>
            <wp:docPr descr="AI CoE Development high level architecture, part 2 of 2 — the Apigee llm environment and endpoint attachment, the service tenant project carrying the four Cloud Run services with Cloud Tasks, Vector Search and BigQuery, the no-compute Vertex AI project, and the folder sink into the 400-day audit log bucket" title="" id="58" name="Picture"/>
            <a:graphic>
              <a:graphicData uri="http://schemas.openxmlformats.org/drawingml/2006/picture">
                <pic:pic>
                  <pic:nvPicPr>
                    <pic:cNvPr descr="diagrams/dev-hla-part2.png" id="59" name="Picture"/>
                    <pic:cNvPicPr>
                      <a:picLocks noChangeArrowheads="1" noChangeAspect="1"/>
                    </pic:cNvPicPr>
                  </pic:nvPicPr>
                  <pic:blipFill>
                    <a:blip r:embed="rId57"/>
                    <a:stretch>
                      <a:fillRect/>
                    </a:stretch>
                  </pic:blipFill>
                  <pic:spPr bwMode="auto">
                    <a:xfrm>
                      <a:off x="0" y="0"/>
                      <a:ext cx="5943600" cy="3380881"/>
                    </a:xfrm>
                    <a:prstGeom prst="rect">
                      <a:avLst/>
                    </a:prstGeom>
                    <a:noFill/>
                    <a:ln w="9525">
                      <a:noFill/>
                      <a:headEnd/>
                      <a:tailEnd/>
                    </a:ln>
                  </pic:spPr>
                </pic:pic>
              </a:graphicData>
            </a:graphic>
          </wp:inline>
        </w:drawing>
      </w:r>
    </w:p>
    <w:p>
      <w:pPr>
        <w:pStyle w:val="ImageCaption"/>
      </w:pPr>
      <w:r>
        <w:t xml:space="preserve">AI CoE Development high level architecture, part 2 of 2 — the Apigee</w:t>
      </w:r>
      <w:r>
        <w:t xml:space="preserve"> </w:t>
      </w:r>
      <w:r>
        <w:rPr>
          <w:rStyle w:val="VerbatimChar"/>
        </w:rPr>
        <w:t xml:space="preserve">llm</w:t>
      </w:r>
      <w:r>
        <w:t xml:space="preserve"> </w:t>
      </w:r>
      <w:r>
        <w:t xml:space="preserve">environment and endpoint attachment, the service tenant project carrying the four Cloud Run services with Cloud Tasks, Vector Search and BigQuery, the no-compute Vertex AI project, and the folder sink into the 400-day audit log bucket</w:t>
      </w:r>
    </w:p>
    <w:bookmarkEnd w:id="60"/>
    <w:bookmarkStart w:id="67" w:name="sandbox-standalone-vpc"/>
    <w:p>
      <w:pPr>
        <w:pStyle w:val="Heading3"/>
      </w:pPr>
      <w:r>
        <w:t xml:space="preserve">4.4.2 Sandbox — standalone VPC</w:t>
      </w:r>
    </w:p>
    <w:p>
      <w:pPr>
        <w:pStyle w:val="CaptionedFigure"/>
      </w:pPr>
      <w:r>
        <w:drawing>
          <wp:inline>
            <wp:extent cx="5943600" cy="2567940"/>
            <wp:effectExtent b="0" l="0" r="0" t="0"/>
            <wp:docPr descr="AI CoE Sandbox high level architecture, part 1 of 2 — the AI CoE developer reaching the Vertex AI Workbench and both internal load balancers through Identity-Aware Proxy on Google identities, the shared proxy-only subnet, and the four Cloud Run services with the Vector Search index" title="" id="62" name="Picture"/>
            <a:graphic>
              <a:graphicData uri="http://schemas.openxmlformats.org/drawingml/2006/picture">
                <pic:pic>
                  <pic:nvPicPr>
                    <pic:cNvPr descr="diagrams/sbx-hla-part1.png" id="63" name="Picture"/>
                    <pic:cNvPicPr>
                      <a:picLocks noChangeArrowheads="1" noChangeAspect="1"/>
                    </pic:cNvPicPr>
                  </pic:nvPicPr>
                  <pic:blipFill>
                    <a:blip r:embed="rId61"/>
                    <a:stretch>
                      <a:fillRect/>
                    </a:stretch>
                  </pic:blipFill>
                  <pic:spPr bwMode="auto">
                    <a:xfrm>
                      <a:off x="0" y="0"/>
                      <a:ext cx="5943600" cy="2567940"/>
                    </a:xfrm>
                    <a:prstGeom prst="rect">
                      <a:avLst/>
                    </a:prstGeom>
                    <a:noFill/>
                    <a:ln w="9525">
                      <a:noFill/>
                      <a:headEnd/>
                      <a:tailEnd/>
                    </a:ln>
                  </pic:spPr>
                </pic:pic>
              </a:graphicData>
            </a:graphic>
          </wp:inline>
        </w:drawing>
      </w:r>
    </w:p>
    <w:p>
      <w:pPr>
        <w:pStyle w:val="ImageCaption"/>
      </w:pPr>
      <w:r>
        <w:t xml:space="preserve">AI CoE Sandbox high level architecture, part 1 of 2 — the AI CoE developer reaching the Vertex AI Workbench and both internal load balancers through Identity-Aware Proxy on Google identities, the shared proxy-only subnet, and the four Cloud Run services with the Vector Search index</w:t>
      </w:r>
    </w:p>
    <w:p>
      <w:pPr>
        <w:pStyle w:val="CaptionedFigure"/>
      </w:pPr>
      <w:r>
        <w:drawing>
          <wp:inline>
            <wp:extent cx="5943600" cy="2272665"/>
            <wp:effectExtent b="0" l="0" r="0" t="0"/>
            <wp:docPr descr="AI CoE Sandbox high level architecture, part 2 of 2 — the Private Service Connect endpoint that is the only route to Vertex AI, Cloud Router and Cloud NAT presenting two reserved static egress addresses, and the folder sink into the Development audit log bucket" title="" id="65" name="Picture"/>
            <a:graphic>
              <a:graphicData uri="http://schemas.openxmlformats.org/drawingml/2006/picture">
                <pic:pic>
                  <pic:nvPicPr>
                    <pic:cNvPr descr="diagrams/sbx-hla-part2.png" id="66" name="Picture"/>
                    <pic:cNvPicPr>
                      <a:picLocks noChangeArrowheads="1" noChangeAspect="1"/>
                    </pic:cNvPicPr>
                  </pic:nvPicPr>
                  <pic:blipFill>
                    <a:blip r:embed="rId64"/>
                    <a:stretch>
                      <a:fillRect/>
                    </a:stretch>
                  </pic:blipFill>
                  <pic:spPr bwMode="auto">
                    <a:xfrm>
                      <a:off x="0" y="0"/>
                      <a:ext cx="5943600" cy="2272665"/>
                    </a:xfrm>
                    <a:prstGeom prst="rect">
                      <a:avLst/>
                    </a:prstGeom>
                    <a:noFill/>
                    <a:ln w="9525">
                      <a:noFill/>
                      <a:headEnd/>
                      <a:tailEnd/>
                    </a:ln>
                  </pic:spPr>
                </pic:pic>
              </a:graphicData>
            </a:graphic>
          </wp:inline>
        </w:drawing>
      </w:r>
    </w:p>
    <w:p>
      <w:pPr>
        <w:pStyle w:val="ImageCaption"/>
      </w:pPr>
      <w:r>
        <w:t xml:space="preserve">AI CoE Sandbox high level architecture, part 2 of 2 — the Private Service Connect endpoint that is the only route to Vertex AI, Cloud Router and Cloud NAT presenting two reserved static egress addresses, and the folder sink into the Development audit log bucket</w:t>
      </w:r>
    </w:p>
    <w:p>
      <w:pPr>
        <w:pStyle w:val="BlockText"/>
      </w:pPr>
      <w:r>
        <w:rPr>
          <w:b/>
          <w:bCs/>
        </w:rPr>
        <w:t xml:space="preserve">Where Sandbox logs land.</w:t>
      </w:r>
      <w:r>
        <w:t xml:space="preserve"> </w:t>
      </w:r>
      <w:r>
        <w:t xml:space="preserve">Sandbox has no</w:t>
      </w:r>
      <w:r>
        <w:t xml:space="preserve"> </w:t>
      </w:r>
      <w:r>
        <w:rPr>
          <w:rStyle w:val="VerbatimChar"/>
        </w:rPr>
        <w:t xml:space="preserve">auditlogs</w:t>
      </w:r>
      <w:r>
        <w:t xml:space="preserve"> </w:t>
      </w:r>
      <w:r>
        <w:t xml:space="preserve">project of its own. The</w:t>
      </w:r>
      <w:r>
        <w:t xml:space="preserve"> </w:t>
      </w:r>
      <w:r>
        <w:rPr>
          <w:rStyle w:val="VerbatimChar"/>
        </w:rPr>
        <w:t xml:space="preserve">AI COE</w:t>
      </w:r>
      <w:r>
        <w:t xml:space="preserve"> </w:t>
      </w:r>
      <w:r>
        <w:t xml:space="preserve">folder sink carries every child project, so Sandbox log entries are synced into the 400-day bucket in</w:t>
      </w:r>
      <w:r>
        <w:t xml:space="preserve"> </w:t>
      </w:r>
      <w:r>
        <w:rPr>
          <w:rStyle w:val="VerbatimChar"/>
        </w:rPr>
        <w:t xml:space="preserve">gclt-aicoe-dev-auditlogs</w:t>
      </w:r>
      <w:r>
        <w:t xml:space="preserve"> </w:t>
      </w:r>
      <w:r>
        <w:t xml:space="preserve">alongside Development. No third bucket, sink or CMEK key is created for Sandbox.</w:t>
      </w:r>
    </w:p>
    <w:p>
      <w:pPr>
        <w:pStyle w:val="FirstParagraph"/>
      </w:pPr>
      <w:r>
        <w:t xml:space="preserve">Sandbox reaches Vertex AI directly rather than through a gateway, because there is no Apigee in this environment. The consequence is that the per-user metering, prompt screening and token quota described in</w:t>
      </w:r>
      <w:r>
        <w:t xml:space="preserve"> </w:t>
      </w:r>
      <w:r>
        <w:rPr>
          <w:b/>
          <w:bCs/>
        </w:rPr>
        <w:t xml:space="preserve">AI Gateway and Vertex AI — Apigee</w:t>
      </w:r>
      <w:r>
        <w:rPr>
          <w:b/>
          <w:bCs/>
        </w:rPr>
        <w:t xml:space="preserve"> </w:t>
      </w:r>
      <w:r>
        <w:rPr>
          <w:rStyle w:val="VerbatimChar"/>
          <w:b/>
          <w:bCs/>
        </w:rPr>
        <w:t xml:space="preserve">llm</w:t>
      </w:r>
      <w:r>
        <w:rPr>
          <w:b/>
          <w:bCs/>
        </w:rPr>
        <w:t xml:space="preserve"> </w:t>
      </w:r>
      <w:r>
        <w:rPr>
          <w:b/>
          <w:bCs/>
        </w:rPr>
        <w:t xml:space="preserve">Environment</w:t>
      </w:r>
      <w:r>
        <w:t xml:space="preserve"> </w:t>
      </w:r>
      <w:r>
        <w:t xml:space="preserve">do not apply in Sandbox; the compensating controls are the project-level Vertex AI quota and the budget alerting described in</w:t>
      </w:r>
      <w:r>
        <w:t xml:space="preserve"> </w:t>
      </w:r>
      <w:r>
        <w:rPr>
          <w:b/>
          <w:bCs/>
        </w:rPr>
        <w:t xml:space="preserve">Security Architecture and Operations</w:t>
      </w:r>
      <w:r>
        <w:t xml:space="preserve">.</w:t>
      </w:r>
    </w:p>
    <w:bookmarkEnd w:id="67"/>
    <w:bookmarkEnd w:id="68"/>
    <w:bookmarkStart w:id="73" w:name="logical-request-flows"/>
    <w:p>
      <w:pPr>
        <w:pStyle w:val="Heading2"/>
      </w:pPr>
      <w:r>
        <w:t xml:space="preserve">4.5 Logical request flows</w:t>
      </w:r>
    </w:p>
    <w:bookmarkStart w:id="69" w:name="interactive-user-request-dev-synchronous"/>
    <w:p>
      <w:pPr>
        <w:pStyle w:val="Heading3"/>
      </w:pPr>
      <w:r>
        <w:t xml:space="preserve">4.5.1 Interactive user request — Dev, synchronous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Step</w:t>
            </w:r>
          </w:p>
        </w:tc>
        <w:tc>
          <w:tcPr>
            <w:shd w:val="clear" w:color="auto" w:fill="1F3864"/>
          </w:tcPr>
          <w:p>
            <w:pPr>
              <w:pStyle w:val="Compact"/>
              <w:jc w:val="left"/>
            </w:pPr>
            <w:r>
              <w:rPr>
                <w:b/>
                <w:color w:val="FFFFFF"/>
              </w:rPr>
              <w:t xml:space="preserve">Hop</w:t>
            </w:r>
          </w:p>
        </w:tc>
        <w:tc>
          <w:tcPr>
            <w:shd w:val="clear" w:color="auto" w:fill="1F3864"/>
          </w:tcPr>
          <w:p>
            <w:pPr>
              <w:pStyle w:val="Compact"/>
              <w:jc w:val="left"/>
            </w:pPr>
            <w:r>
              <w:rPr>
                <w:b/>
                <w:color w:val="FFFFFF"/>
              </w:rPr>
              <w:t xml:space="preserve">Behaviour</w:t>
            </w:r>
          </w:p>
        </w:tc>
      </w:tr>
      <w:tr>
        <w:tc>
          <w:tcPr/>
          <w:p>
            <w:pPr>
              <w:pStyle w:val="Compact"/>
              <w:jc w:val="left"/>
            </w:pPr>
            <w:r>
              <w:t xml:space="preserve">1</w:t>
            </w:r>
          </w:p>
        </w:tc>
        <w:tc>
          <w:tcPr/>
          <w:p>
            <w:pPr>
              <w:pStyle w:val="Compact"/>
              <w:jc w:val="left"/>
            </w:pPr>
            <w:r>
              <w:t xml:space="preserve">Browser → ZPA</w:t>
            </w:r>
          </w:p>
        </w:tc>
        <w:tc>
          <w:tcPr/>
          <w:p>
            <w:pPr>
              <w:pStyle w:val="Compact"/>
              <w:jc w:val="left"/>
            </w:pPr>
            <w:r>
              <w:t xml:space="preserve">Corporate device, ZPA tunnel. Connector source range</w:t>
            </w:r>
            <w:r>
              <w:t xml:space="preserve"> </w:t>
            </w:r>
            <w:r>
              <w:rPr>
                <w:rStyle w:val="VerbatimChar"/>
              </w:rPr>
              <w:t xml:space="preserve">10.100.209.0/29</w:t>
            </w:r>
          </w:p>
        </w:tc>
      </w:tr>
      <w:tr>
        <w:tc>
          <w:tcPr/>
          <w:p>
            <w:pPr>
              <w:pStyle w:val="Compact"/>
              <w:jc w:val="left"/>
            </w:pPr>
            <w:r>
              <w:t xml:space="preserve">2</w:t>
            </w:r>
          </w:p>
        </w:tc>
        <w:tc>
          <w:tcPr/>
          <w:p>
            <w:pPr>
              <w:pStyle w:val="Compact"/>
              <w:jc w:val="left"/>
            </w:pPr>
            <w:r>
              <w:t xml:space="preserve">ZPA → AI Hub ILB</w:t>
            </w:r>
            <w:r>
              <w:t xml:space="preserve"> </w:t>
            </w:r>
            <w:r>
              <w:rPr>
                <w:rStyle w:val="VerbatimChar"/>
              </w:rPr>
              <w:t xml:space="preserve">10.110.73.20</w:t>
            </w:r>
          </w:p>
        </w:tc>
        <w:tc>
          <w:tcPr/>
          <w:p>
            <w:pPr>
              <w:pStyle w:val="Compact"/>
              <w:jc w:val="left"/>
            </w:pPr>
            <w:r>
              <w:t xml:space="preserve">HTTPS 443, certificate for</w:t>
            </w:r>
            <w:r>
              <w:t xml:space="preserve"> </w:t>
            </w:r>
            <w:r>
              <w:rPr>
                <w:rStyle w:val="VerbatimChar"/>
              </w:rPr>
              <w:t xml:space="preserve">aihub.aicoe-dev-int.colt.net</w:t>
            </w:r>
          </w:p>
        </w:tc>
      </w:tr>
      <w:tr>
        <w:tc>
          <w:tcPr/>
          <w:p>
            <w:pPr>
              <w:pStyle w:val="Compact"/>
              <w:jc w:val="left"/>
            </w:pPr>
            <w:r>
              <w:t xml:space="preserve">3</w:t>
            </w:r>
          </w:p>
        </w:tc>
        <w:tc>
          <w:tcPr/>
          <w:p>
            <w:pPr>
              <w:pStyle w:val="Compact"/>
              <w:jc w:val="left"/>
            </w:pPr>
            <w:r>
              <w:t xml:space="preserve">ILB → IAP</w:t>
            </w:r>
          </w:p>
        </w:tc>
        <w:tc>
          <w:tcPr/>
          <w:p>
            <w:pPr>
              <w:pStyle w:val="Compact"/>
              <w:jc w:val="left"/>
            </w:pPr>
            <w:r>
              <w:t xml:space="preserve">Unauthenticated traffic is rejected</w:t>
            </w:r>
            <w:r>
              <w:t xml:space="preserve"> </w:t>
            </w:r>
            <w:r>
              <w:rPr>
                <w:b/>
                <w:bCs/>
              </w:rPr>
              <w:t xml:space="preserve">before</w:t>
            </w:r>
            <w:r>
              <w:t xml:space="preserve"> </w:t>
            </w:r>
            <w:r>
              <w:t xml:space="preserve">it reaches the container. On success IAP sets its own session cookie and adds</w:t>
            </w:r>
            <w:r>
              <w:t xml:space="preserve"> </w:t>
            </w:r>
            <w:r>
              <w:rPr>
                <w:rStyle w:val="VerbatimChar"/>
              </w:rPr>
              <w:t xml:space="preserve">x-goog-iap-jwt-assertion</w:t>
            </w:r>
          </w:p>
        </w:tc>
      </w:tr>
      <w:tr>
        <w:tc>
          <w:tcPr/>
          <w:p>
            <w:pPr>
              <w:pStyle w:val="Compact"/>
              <w:jc w:val="left"/>
            </w:pPr>
            <w:r>
              <w:t xml:space="preserve">4</w:t>
            </w:r>
          </w:p>
        </w:tc>
        <w:tc>
          <w:tcPr/>
          <w:p>
            <w:pPr>
              <w:pStyle w:val="Compact"/>
              <w:jc w:val="left"/>
            </w:pPr>
            <w:r>
              <w:t xml:space="preserve">IAP → Backend-for-Frontend</w:t>
            </w:r>
          </w:p>
        </w:tc>
        <w:tc>
          <w:tcPr/>
          <w:p>
            <w:pPr>
              <w:pStyle w:val="Compact"/>
              <w:jc w:val="left"/>
            </w:pPr>
            <w:r>
              <w:t xml:space="preserve">The IAP service agent of</w:t>
            </w:r>
            <w:r>
              <w:t xml:space="preserve"> </w:t>
            </w:r>
            <w:r>
              <w:rPr>
                <w:rStyle w:val="VerbatimChar"/>
              </w:rPr>
              <w:t xml:space="preserve">gclt-aicoe-dev-aihub-ui</w:t>
            </w:r>
            <w:r>
              <w:t xml:space="preserve"> </w:t>
            </w:r>
            <w:r>
              <w:t xml:space="preserve">invokes the service holding</w:t>
            </w:r>
            <w:r>
              <w:t xml:space="preserve"> </w:t>
            </w:r>
            <w:r>
              <w:rPr>
                <w:rStyle w:val="VerbatimChar"/>
              </w:rPr>
              <w:t xml:space="preserve">roles/run.invoker</w:t>
            </w:r>
            <w:r>
              <w:t xml:space="preserve">.</w:t>
            </w:r>
            <w:r>
              <w:t xml:space="preserve"> </w:t>
            </w:r>
            <w:r>
              <w:rPr>
                <w:b/>
                <w:bCs/>
              </w:rPr>
              <w:t xml:space="preserve">The only IAP grant in the platform</w:t>
            </w:r>
          </w:p>
        </w:tc>
      </w:tr>
      <w:tr>
        <w:tc>
          <w:tcPr/>
          <w:p>
            <w:pPr>
              <w:pStyle w:val="Compact"/>
              <w:jc w:val="left"/>
            </w:pPr>
            <w:r>
              <w:t xml:space="preserve">5</w:t>
            </w:r>
          </w:p>
        </w:tc>
        <w:tc>
          <w:tcPr/>
          <w:p>
            <w:pPr>
              <w:pStyle w:val="Compact"/>
              <w:jc w:val="left"/>
            </w:pPr>
            <w:r>
              <w:t xml:space="preserve">BFF → Firestore</w:t>
            </w:r>
          </w:p>
        </w:tc>
        <w:tc>
          <w:tcPr/>
          <w:p>
            <w:pPr>
              <w:pStyle w:val="Compact"/>
              <w:jc w:val="left"/>
            </w:pPr>
            <w:r>
              <w:t xml:space="preserve">Session lookup on the SHA-256 of the session identifier taken from the</w:t>
            </w:r>
            <w:r>
              <w:t xml:space="preserve"> </w:t>
            </w:r>
            <w:r>
              <w:rPr>
                <w:rStyle w:val="VerbatimChar"/>
              </w:rPr>
              <w:t xml:space="preserve">__Host-</w:t>
            </w:r>
            <w:r>
              <w:t xml:space="preserve"> </w:t>
            </w:r>
            <w:r>
              <w:t xml:space="preserve">prefixed cookie. Instance cache 5 to 15 s.</w:t>
            </w:r>
            <w:r>
              <w:t xml:space="preserve"> </w:t>
            </w:r>
            <w:r>
              <w:rPr>
                <w:b/>
                <w:bCs/>
              </w:rPr>
              <w:t xml:space="preserve">Fail closed with 503 if unavailable</w:t>
            </w:r>
          </w:p>
        </w:tc>
      </w:tr>
      <w:tr>
        <w:tc>
          <w:tcPr/>
          <w:p>
            <w:pPr>
              <w:pStyle w:val="Compact"/>
              <w:jc w:val="left"/>
            </w:pPr>
            <w:r>
              <w:t xml:space="preserve">6</w:t>
            </w:r>
          </w:p>
        </w:tc>
        <w:tc>
          <w:tcPr/>
          <w:p>
            <w:pPr>
              <w:pStyle w:val="Compact"/>
              <w:jc w:val="left"/>
            </w:pPr>
            <w:r>
              <w:t xml:space="preserve">BFF → Apigee</w:t>
            </w:r>
            <w:r>
              <w:t xml:space="preserve"> </w:t>
            </w:r>
            <w:r>
              <w:rPr>
                <w:rStyle w:val="VerbatimChar"/>
              </w:rPr>
              <w:t xml:space="preserve">int</w:t>
            </w:r>
            <w:r>
              <w:t xml:space="preserve"> </w:t>
            </w:r>
            <w:r>
              <w:t xml:space="preserve">at</w:t>
            </w:r>
            <w:r>
              <w:t xml:space="preserve"> </w:t>
            </w:r>
            <w:r>
              <w:rPr>
                <w:rStyle w:val="VerbatimChar"/>
              </w:rPr>
              <w:t xml:space="preserve">192.168.6.146</w:t>
            </w:r>
          </w:p>
        </w:tc>
        <w:tc>
          <w:tcPr/>
          <w:p>
            <w:pPr>
              <w:pStyle w:val="Compact"/>
              <w:jc w:val="left"/>
            </w:pPr>
            <w:r>
              <w:t xml:space="preserve">Server-side. Bearer is the Entra access token from the session; the</w:t>
            </w:r>
            <w:r>
              <w:t xml:space="preserve"> </w:t>
            </w:r>
            <w:r>
              <w:rPr>
                <w:rStyle w:val="VerbatimChar"/>
              </w:rPr>
              <w:t xml:space="preserve">Host</w:t>
            </w:r>
            <w:r>
              <w:t xml:space="preserve"> </w:t>
            </w:r>
            <w:r>
              <w:t xml:space="preserve">header selects the environment group; an Apigee client key resolves the API Product</w:t>
            </w:r>
          </w:p>
        </w:tc>
      </w:tr>
      <w:tr>
        <w:tc>
          <w:tcPr/>
          <w:p>
            <w:pPr>
              <w:pStyle w:val="Compact"/>
              <w:jc w:val="left"/>
            </w:pPr>
            <w:r>
              <w:t xml:space="preserve">7</w:t>
            </w:r>
          </w:p>
        </w:tc>
        <w:tc>
          <w:tcPr/>
          <w:p>
            <w:pPr>
              <w:pStyle w:val="Compact"/>
              <w:jc w:val="left"/>
            </w:pPr>
            <w:r>
              <w:t xml:space="preserve">Apigee</w:t>
            </w:r>
            <w:r>
              <w:t xml:space="preserve"> </w:t>
            </w:r>
            <w:r>
              <w:rPr>
                <w:rStyle w:val="VerbatimChar"/>
              </w:rPr>
              <w:t xml:space="preserve">int</w:t>
            </w:r>
            <w:r>
              <w:t xml:space="preserve"> </w:t>
            </w:r>
            <w:r>
              <w:t xml:space="preserve">policy chain</w:t>
            </w:r>
          </w:p>
        </w:tc>
        <w:tc>
          <w:tcPr/>
          <w:p>
            <w:pPr>
              <w:pStyle w:val="Compact"/>
              <w:jc w:val="left"/>
            </w:pPr>
            <w:r>
              <w:t xml:space="preserve">SpikeArrest on</w:t>
            </w:r>
            <w:r>
              <w:t xml:space="preserve"> </w:t>
            </w:r>
            <w:r>
              <w:rPr>
                <w:rStyle w:val="VerbatimChar"/>
              </w:rPr>
              <w:t xml:space="preserve">oid</w:t>
            </w:r>
            <w:r>
              <w:t xml:space="preserve"> </w:t>
            </w:r>
            <w:r>
              <w:t xml:space="preserve">→ VerifyJWT → extract</w:t>
            </w:r>
            <w:r>
              <w:t xml:space="preserve"> </w:t>
            </w:r>
            <w:r>
              <w:rPr>
                <w:rStyle w:val="VerbatimChar"/>
              </w:rPr>
              <w:t xml:space="preserve">oid</w:t>
            </w:r>
            <w:r>
              <w:t xml:space="preserve">,</w:t>
            </w:r>
            <w:r>
              <w:t xml:space="preserve"> </w:t>
            </w:r>
            <w:r>
              <w:rPr>
                <w:rStyle w:val="VerbatimChar"/>
              </w:rPr>
              <w:t xml:space="preserve">roles[]</w:t>
            </w:r>
            <w:r>
              <w:t xml:space="preserve"> </w:t>
            </w:r>
            <w:r>
              <w:t xml:space="preserve">and</w:t>
            </w:r>
            <w:r>
              <w:t xml:space="preserve"> </w:t>
            </w:r>
            <w:r>
              <w:rPr>
                <w:rStyle w:val="VerbatimChar"/>
              </w:rPr>
              <w:t xml:space="preserve">department</w:t>
            </w:r>
            <w:r>
              <w:t xml:space="preserve"> </w:t>
            </w:r>
            <w:r>
              <w:t xml:space="preserve">→ 403 if the App Role is absent → VerifyAPIKey → Quota per minute → Quota per day → strip and inject headers</w:t>
            </w:r>
          </w:p>
        </w:tc>
      </w:tr>
      <w:tr>
        <w:tc>
          <w:tcPr/>
          <w:p>
            <w:pPr>
              <w:pStyle w:val="Compact"/>
              <w:jc w:val="left"/>
            </w:pPr>
            <w:r>
              <w:t xml:space="preserve">8</w:t>
            </w:r>
          </w:p>
        </w:tc>
        <w:tc>
          <w:tcPr/>
          <w:p>
            <w:pPr>
              <w:pStyle w:val="Compact"/>
              <w:jc w:val="left"/>
            </w:pPr>
            <w:r>
              <w:t xml:space="preserve">Apigee → endpoint attachment → PSC → Backend ILB</w:t>
            </w:r>
            <w:r>
              <w:t xml:space="preserve"> </w:t>
            </w:r>
            <w:r>
              <w:rPr>
                <w:rStyle w:val="VerbatimChar"/>
              </w:rPr>
              <w:t xml:space="preserve">192.168.6.145</w:t>
            </w:r>
          </w:p>
        </w:tc>
        <w:tc>
          <w:tcPr/>
          <w:p>
            <w:pPr>
              <w:pStyle w:val="Compact"/>
              <w:jc w:val="left"/>
            </w:pPr>
            <w:r>
              <w:t xml:space="preserve">The source address presented to the load balancer originates from</w:t>
            </w:r>
            <w:r>
              <w:t xml:space="preserve"> </w:t>
            </w:r>
            <w:r>
              <w:rPr>
                <w:rStyle w:val="VerbatimChar"/>
              </w:rPr>
              <w:t xml:space="preserve">192.168.6.128/28</w:t>
            </w:r>
            <w:r>
              <w:t xml:space="preserve"> </w:t>
            </w:r>
            <w:r>
              <w:t xml:space="preserve">and carries no attribution value. Attribution is derived from the forwarded user context and the Apigee message identifier</w:t>
            </w:r>
          </w:p>
        </w:tc>
      </w:tr>
      <w:tr>
        <w:tc>
          <w:tcPr/>
          <w:p>
            <w:pPr>
              <w:pStyle w:val="Compact"/>
              <w:jc w:val="left"/>
            </w:pPr>
            <w:r>
              <w:t xml:space="preserve">9</w:t>
            </w:r>
          </w:p>
        </w:tc>
        <w:tc>
          <w:tcPr/>
          <w:p>
            <w:pPr>
              <w:pStyle w:val="Compact"/>
              <w:jc w:val="left"/>
            </w:pPr>
            <w:r>
              <w:t xml:space="preserve">Backend ILB → serverless NEG → Cloud Run backend</w:t>
            </w:r>
          </w:p>
        </w:tc>
        <w:tc>
          <w:tcPr/>
          <w:p>
            <w:pPr>
              <w:pStyle w:val="Compact"/>
              <w:jc w:val="left"/>
            </w:pPr>
            <w:r>
              <w:t xml:space="preserve">Google ID token in</w:t>
            </w:r>
            <w:r>
              <w:t xml:space="preserve"> </w:t>
            </w:r>
            <w:r>
              <w:rPr>
                <w:rStyle w:val="VerbatimChar"/>
              </w:rPr>
              <w:t xml:space="preserve">X-Serverless-Authorization</w:t>
            </w:r>
            <w:r>
              <w:t xml:space="preserve">, audience is the Cloud Run service URL, validated against</w:t>
            </w:r>
            <w:r>
              <w:t xml:space="preserve"> </w:t>
            </w:r>
            <w:r>
              <w:rPr>
                <w:rStyle w:val="VerbatimChar"/>
              </w:rPr>
              <w:t xml:space="preserve">roles/run.invoker</w:t>
            </w:r>
            <w:r>
              <w:t xml:space="preserve"> </w:t>
            </w:r>
            <w:r>
              <w:t xml:space="preserve">granted to</w:t>
            </w:r>
            <w:r>
              <w:t xml:space="preserve"> </w:t>
            </w:r>
            <w:r>
              <w:rPr>
                <w:rStyle w:val="VerbatimChar"/>
              </w:rPr>
              <w:t xml:space="preserve">apigee-int-runtime</w:t>
            </w:r>
            <w:r>
              <w:t xml:space="preserve"> </w:t>
            </w:r>
            <w:r>
              <w:t xml:space="preserve">alone</w:t>
            </w:r>
          </w:p>
        </w:tc>
      </w:tr>
      <w:tr>
        <w:tc>
          <w:tcPr/>
          <w:p>
            <w:pPr>
              <w:pStyle w:val="Compact"/>
              <w:jc w:val="left"/>
            </w:pPr>
            <w:r>
              <w:t xml:space="preserve">10</w:t>
            </w:r>
          </w:p>
        </w:tc>
        <w:tc>
          <w:tcPr/>
          <w:p>
            <w:pPr>
              <w:pStyle w:val="Compact"/>
              <w:jc w:val="left"/>
            </w:pPr>
            <w:r>
              <w:t xml:space="preserve">Backend service</w:t>
            </w:r>
          </w:p>
        </w:tc>
        <w:tc>
          <w:tcPr/>
          <w:p>
            <w:pPr>
              <w:pStyle w:val="Compact"/>
              <w:jc w:val="left"/>
            </w:pPr>
            <w:r>
              <w:t xml:space="preserve">Strips any inbound</w:t>
            </w:r>
            <w:r>
              <w:t xml:space="preserve"> </w:t>
            </w:r>
            <w:r>
              <w:rPr>
                <w:rStyle w:val="VerbatimChar"/>
              </w:rPr>
              <w:t xml:space="preserve">x-colt-*</w:t>
            </w:r>
            <w:r>
              <w:t xml:space="preserve"> </w:t>
            </w:r>
            <w:r>
              <w:t xml:space="preserve">header, reads the injected verified user context, executes</w:t>
            </w:r>
          </w:p>
        </w:tc>
      </w:tr>
    </w:tbl>
    <w:bookmarkEnd w:id="69"/>
    <w:bookmarkStart w:id="70" w:name="model-inference-dev-east-west"/>
    <w:p>
      <w:pPr>
        <w:pStyle w:val="Heading3"/>
      </w:pPr>
      <w:r>
        <w:t xml:space="preserve">4.5.2 Model inference — Dev, east-west</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Step</w:t>
            </w:r>
          </w:p>
        </w:tc>
        <w:tc>
          <w:tcPr>
            <w:shd w:val="clear" w:color="auto" w:fill="1F3864"/>
          </w:tcPr>
          <w:p>
            <w:pPr>
              <w:pStyle w:val="Compact"/>
              <w:jc w:val="left"/>
            </w:pPr>
            <w:r>
              <w:rPr>
                <w:b/>
                <w:color w:val="FFFFFF"/>
              </w:rPr>
              <w:t xml:space="preserve">Hop</w:t>
            </w:r>
          </w:p>
        </w:tc>
        <w:tc>
          <w:tcPr>
            <w:shd w:val="clear" w:color="auto" w:fill="1F3864"/>
          </w:tcPr>
          <w:p>
            <w:pPr>
              <w:pStyle w:val="Compact"/>
              <w:jc w:val="left"/>
            </w:pPr>
            <w:r>
              <w:rPr>
                <w:b/>
                <w:color w:val="FFFFFF"/>
              </w:rPr>
              <w:t xml:space="preserve">Behaviour</w:t>
            </w:r>
          </w:p>
        </w:tc>
      </w:tr>
      <w:tr>
        <w:tc>
          <w:tcPr/>
          <w:p>
            <w:pPr>
              <w:pStyle w:val="Compact"/>
              <w:jc w:val="left"/>
            </w:pPr>
            <w:r>
              <w:t xml:space="preserve">1</w:t>
            </w:r>
          </w:p>
        </w:tc>
        <w:tc>
          <w:tcPr/>
          <w:p>
            <w:pPr>
              <w:pStyle w:val="Compact"/>
              <w:jc w:val="left"/>
            </w:pPr>
            <w:r>
              <w:t xml:space="preserve">Backend service → Apigee</w:t>
            </w:r>
            <w:r>
              <w:t xml:space="preserve"> </w:t>
            </w:r>
            <w:r>
              <w:rPr>
                <w:rStyle w:val="VerbatimChar"/>
              </w:rPr>
              <w:t xml:space="preserve">llm</w:t>
            </w:r>
            <w:r>
              <w:t xml:space="preserve"> </w:t>
            </w:r>
            <w:r>
              <w:t xml:space="preserve">at</w:t>
            </w:r>
            <w:r>
              <w:t xml:space="preserve"> </w:t>
            </w:r>
            <w:r>
              <w:rPr>
                <w:rStyle w:val="VerbatimChar"/>
              </w:rPr>
              <w:t xml:space="preserve">192.168.6.146</w:t>
            </w:r>
          </w:p>
        </w:tc>
        <w:tc>
          <w:tcPr/>
          <w:p>
            <w:pPr>
              <w:pStyle w:val="Compact"/>
              <w:jc w:val="left"/>
            </w:pPr>
            <w:r>
              <w:rPr>
                <w:rStyle w:val="VerbatimChar"/>
              </w:rPr>
              <w:t xml:space="preserve">Host: llm.aicoe-dev-int.colt.net</w:t>
            </w:r>
            <w:r>
              <w:t xml:space="preserve">. Carries a Google ID token for the calling service account, an Apigee credential resolving the API Product, and the forwarded user context</w:t>
            </w:r>
          </w:p>
        </w:tc>
      </w:tr>
      <w:tr>
        <w:tc>
          <w:tcPr/>
          <w:p>
            <w:pPr>
              <w:pStyle w:val="Compact"/>
              <w:jc w:val="left"/>
            </w:pPr>
            <w:r>
              <w:t xml:space="preserve">2</w:t>
            </w:r>
          </w:p>
        </w:tc>
        <w:tc>
          <w:tcPr/>
          <w:p>
            <w:pPr>
              <w:pStyle w:val="Compact"/>
              <w:jc w:val="left"/>
            </w:pPr>
            <w:r>
              <w:t xml:space="preserve">Apigee</w:t>
            </w:r>
            <w:r>
              <w:t xml:space="preserve"> </w:t>
            </w:r>
            <w:r>
              <w:rPr>
                <w:rStyle w:val="VerbatimChar"/>
              </w:rPr>
              <w:t xml:space="preserve">llm</w:t>
            </w:r>
            <w:r>
              <w:t xml:space="preserve"> </w:t>
            </w:r>
            <w:r>
              <w:t xml:space="preserve">policy chain</w:t>
            </w:r>
          </w:p>
        </w:tc>
        <w:tc>
          <w:tcPr/>
          <w:p>
            <w:pPr>
              <w:pStyle w:val="Compact"/>
              <w:jc w:val="left"/>
            </w:pPr>
            <w:r>
              <w:t xml:space="preserve">SpikeArrest → VerifyJWT on the caller identity, checked against the permitted list → VerifyAPIKey → VerifyJWT on the forwarded assertion → key value map lookup of group to business unit → PromptTokenLimit → LLMTokenQuota</w:t>
            </w:r>
            <w:r>
              <w:t xml:space="preserve"> </w:t>
            </w:r>
            <w:r>
              <w:rPr>
                <w:b/>
                <w:bCs/>
              </w:rPr>
              <w:t xml:space="preserve">enforce</w:t>
            </w:r>
            <w:r>
              <w:t xml:space="preserve"> </w:t>
            </w:r>
            <w:r>
              <w:t xml:space="preserve">→ Model Armor prompt sanitisation → force</w:t>
            </w:r>
            <w:r>
              <w:t xml:space="preserve"> </w:t>
            </w:r>
            <w:r>
              <w:rPr>
                <w:rStyle w:val="VerbatimChar"/>
              </w:rPr>
              <w:t xml:space="preserve">safetySettings</w:t>
            </w:r>
            <w:r>
              <w:t xml:space="preserve"> </w:t>
            </w:r>
            <w:r>
              <w:t xml:space="preserve">→ key value map model selection</w:t>
            </w:r>
          </w:p>
        </w:tc>
      </w:tr>
      <w:tr>
        <w:tc>
          <w:tcPr/>
          <w:p>
            <w:pPr>
              <w:pStyle w:val="Compact"/>
              <w:jc w:val="left"/>
            </w:pPr>
            <w:r>
              <w:t xml:space="preserve">3</w:t>
            </w:r>
          </w:p>
        </w:tc>
        <w:tc>
          <w:tcPr/>
          <w:p>
            <w:pPr>
              <w:pStyle w:val="Compact"/>
              <w:jc w:val="left"/>
            </w:pPr>
            <w:r>
              <w:t xml:space="preserve">Apigee → Vertex AI in</w:t>
            </w:r>
            <w:r>
              <w:t xml:space="preserve"> </w:t>
            </w:r>
            <w:r>
              <w:rPr>
                <w:rStyle w:val="VerbatimChar"/>
              </w:rPr>
              <w:t xml:space="preserve">gclt-aicoe-dev-llm</w:t>
            </w:r>
          </w:p>
        </w:tc>
        <w:tc>
          <w:tcPr/>
          <w:p>
            <w:pPr>
              <w:pStyle w:val="Compact"/>
              <w:jc w:val="left"/>
            </w:pPr>
            <w:r>
              <w:t xml:space="preserve">Target server</w:t>
            </w:r>
            <w:r>
              <w:t xml:space="preserve"> </w:t>
            </w:r>
            <w:r>
              <w:rPr>
                <w:rStyle w:val="VerbatimChar"/>
              </w:rPr>
              <w:t xml:space="preserve">europe-west1-aiplatform.googleapis.com</w:t>
            </w:r>
            <w:r>
              <w:t xml:space="preserve">, authenticating as</w:t>
            </w:r>
            <w:r>
              <w:t xml:space="preserve"> </w:t>
            </w:r>
            <w:r>
              <w:rPr>
                <w:rStyle w:val="VerbatimChar"/>
              </w:rPr>
              <w:t xml:space="preserve">apigee-llm-runtime</w:t>
            </w:r>
            <w:r>
              <w:t xml:space="preserve">.</w:t>
            </w:r>
            <w:r>
              <w:t xml:space="preserve"> </w:t>
            </w:r>
            <w:r>
              <w:rPr>
                <w:b/>
                <w:bCs/>
              </w:rPr>
              <w:t xml:space="preserve">No workload service account can make this call</w:t>
            </w:r>
          </w:p>
        </w:tc>
      </w:tr>
      <w:tr>
        <w:tc>
          <w:tcPr/>
          <w:p>
            <w:pPr>
              <w:pStyle w:val="Compact"/>
              <w:jc w:val="left"/>
            </w:pPr>
            <w:r>
              <w:t xml:space="preserve">4</w:t>
            </w:r>
          </w:p>
        </w:tc>
        <w:tc>
          <w:tcPr/>
          <w:p>
            <w:pPr>
              <w:pStyle w:val="Compact"/>
              <w:jc w:val="left"/>
            </w:pPr>
            <w:r>
              <w:t xml:space="preserve">Response path</w:t>
            </w:r>
          </w:p>
        </w:tc>
        <w:tc>
          <w:tcPr/>
          <w:p>
            <w:pPr>
              <w:pStyle w:val="Compact"/>
              <w:jc w:val="left"/>
            </w:pPr>
            <w:r>
              <w:t xml:space="preserve">Model Armor response sanitisation → LLMTokenQuota</w:t>
            </w:r>
            <w:r>
              <w:t xml:space="preserve"> </w:t>
            </w:r>
            <w:r>
              <w:rPr>
                <w:b/>
                <w:bCs/>
              </w:rPr>
              <w:t xml:space="preserve">count</w:t>
            </w:r>
            <w:r>
              <w:t xml:space="preserve"> </w:t>
            </w:r>
            <w:r>
              <w:t xml:space="preserve">→ statistics collected by subject, business unit and product → message logging, metadata only</w:t>
            </w:r>
          </w:p>
        </w:tc>
      </w:tr>
    </w:tbl>
    <w:p>
      <w:pPr>
        <w:pStyle w:val="BodyText"/>
      </w:pPr>
      <w:r>
        <w:t xml:space="preserve">The full-detail gateway diagram is</w:t>
      </w:r>
      <w:r>
        <w:t xml:space="preserve"> </w:t>
      </w:r>
      <w:r>
        <w:rPr>
          <w:rStyle w:val="VerbatimChar"/>
        </w:rPr>
        <w:t xml:space="preserve">diagrams/aicoe-dev-llm-gateway.svg</w:t>
      </w:r>
      <w:r>
        <w:t xml:space="preserve">.</w:t>
      </w:r>
    </w:p>
    <w:bookmarkEnd w:id="70"/>
    <w:bookmarkStart w:id="71" w:name="asynchronous-translation-sandbox-and-dev"/>
    <w:p>
      <w:pPr>
        <w:pStyle w:val="Heading3"/>
      </w:pPr>
      <w:r>
        <w:t xml:space="preserve">4.5.3 Asynchronous translation — Sandbox and Dev</w:t>
      </w:r>
    </w:p>
    <w:p>
      <w:pPr>
        <w:pStyle w:val="FirstParagraph"/>
      </w:pPr>
      <w:r>
        <w:t xml:space="preserve">Neither AI service holds a client connection open for the duration of the work it performs. A translation of a large document and a sales-agent research run are both long-running, and both APIs accept work and report on it rather than completing it inline. Several controls elsewhere in this design only make sense against that contract.</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Step</w:t>
            </w:r>
          </w:p>
        </w:tc>
        <w:tc>
          <w:tcPr>
            <w:shd w:val="clear" w:color="auto" w:fill="1F3864"/>
          </w:tcPr>
          <w:p>
            <w:pPr>
              <w:pStyle w:val="Compact"/>
              <w:jc w:val="left"/>
            </w:pPr>
            <w:r>
              <w:rPr>
                <w:b/>
                <w:color w:val="FFFFFF"/>
              </w:rPr>
              <w:t xml:space="preserve">Behaviour</w:t>
            </w:r>
          </w:p>
        </w:tc>
      </w:tr>
      <w:tr>
        <w:tc>
          <w:tcPr/>
          <w:p>
            <w:pPr>
              <w:pStyle w:val="Compact"/>
              <w:jc w:val="left"/>
            </w:pPr>
            <w:r>
              <w:t xml:space="preserve">1</w:t>
            </w:r>
          </w:p>
        </w:tc>
        <w:tc>
          <w:tcPr/>
          <w:p>
            <w:pPr>
              <w:pStyle w:val="Compact"/>
              <w:jc w:val="left"/>
            </w:pPr>
            <w:r>
              <w:rPr>
                <w:rStyle w:val="VerbatimChar"/>
              </w:rPr>
              <w:t xml:space="preserve">translation-api-service</w:t>
            </w:r>
            <w:r>
              <w:t xml:space="preserve"> </w:t>
            </w:r>
            <w:r>
              <w:t xml:space="preserve">receives the request with the verified user context</w:t>
            </w:r>
          </w:p>
        </w:tc>
      </w:tr>
      <w:tr>
        <w:tc>
          <w:tcPr/>
          <w:p>
            <w:pPr>
              <w:pStyle w:val="Compact"/>
              <w:jc w:val="left"/>
            </w:pPr>
            <w:r>
              <w:t xml:space="preserve">2</w:t>
            </w:r>
          </w:p>
        </w:tc>
        <w:tc>
          <w:tcPr/>
          <w:p>
            <w:pPr>
              <w:pStyle w:val="Compact"/>
              <w:jc w:val="left"/>
            </w:pPr>
            <w:r>
              <w:t xml:space="preserve">It</w:t>
            </w:r>
            <w:r>
              <w:t xml:space="preserve"> </w:t>
            </w:r>
            <w:r>
              <w:rPr>
                <w:b/>
                <w:bCs/>
              </w:rPr>
              <w:t xml:space="preserve">persists the user identifier and department into the Firestore job record at creation, immutable after write</w:t>
            </w:r>
            <w:r>
              <w:t xml:space="preserve"> </w:t>
            </w:r>
            <w:r>
              <w:t xml:space="preserve">— the access token will have expired by the time the worker runs</w:t>
            </w:r>
          </w:p>
        </w:tc>
      </w:tr>
      <w:tr>
        <w:tc>
          <w:tcPr/>
          <w:p>
            <w:pPr>
              <w:pStyle w:val="Compact"/>
              <w:jc w:val="left"/>
            </w:pPr>
            <w:r>
              <w:t xml:space="preserve">3</w:t>
            </w:r>
          </w:p>
        </w:tc>
        <w:tc>
          <w:tcPr/>
          <w:p>
            <w:pPr>
              <w:pStyle w:val="Compact"/>
              <w:jc w:val="left"/>
            </w:pPr>
            <w:r>
              <w:t xml:space="preserve">It writes an idempotency document from the client-supplied key, so a retried submission does not run twice</w:t>
            </w:r>
          </w:p>
        </w:tc>
      </w:tr>
      <w:tr>
        <w:tc>
          <w:tcPr/>
          <w:p>
            <w:pPr>
              <w:pStyle w:val="Compact"/>
              <w:jc w:val="left"/>
            </w:pPr>
            <w:r>
              <w:t xml:space="preserve">4</w:t>
            </w:r>
          </w:p>
        </w:tc>
        <w:tc>
          <w:tcPr/>
          <w:p>
            <w:pPr>
              <w:pStyle w:val="Compact"/>
              <w:jc w:val="left"/>
            </w:pPr>
            <w:r>
              <w:t xml:space="preserve">It enqueues to Cloud Tasks at 5 dispatches per second, 10 concurrent, 3 attempts and a 3,600 s retry duration, acting through the worker invoker service account</w:t>
            </w:r>
          </w:p>
        </w:tc>
      </w:tr>
      <w:tr>
        <w:tc>
          <w:tcPr/>
          <w:p>
            <w:pPr>
              <w:pStyle w:val="Compact"/>
              <w:jc w:val="left"/>
            </w:pPr>
            <w:r>
              <w:t xml:space="preserve">5</w:t>
            </w:r>
          </w:p>
        </w:tc>
        <w:tc>
          <w:tcPr/>
          <w:p>
            <w:pPr>
              <w:pStyle w:val="Compact"/>
              <w:jc w:val="left"/>
            </w:pPr>
            <w:r>
              <w:t xml:space="preserve">Cloud Tasks dispatches to</w:t>
            </w:r>
            <w:r>
              <w:t xml:space="preserve"> </w:t>
            </w:r>
            <w:r>
              <w:rPr>
                <w:rStyle w:val="VerbatimChar"/>
              </w:rPr>
              <w:t xml:space="preserve">translation-worker-service</w:t>
            </w:r>
            <w:r>
              <w:t xml:space="preserve">, which sets</w:t>
            </w:r>
            <w:r>
              <w:t xml:space="preserve"> </w:t>
            </w:r>
            <w:r>
              <w:rPr>
                <w:rStyle w:val="VerbatimChar"/>
              </w:rPr>
              <w:t xml:space="preserve">ingress=internal</w:t>
            </w:r>
            <w:r>
              <w:t xml:space="preserve"> </w:t>
            </w:r>
            <w:r>
              <w:t xml:space="preserve">and grants</w:t>
            </w:r>
            <w:r>
              <w:t xml:space="preserve"> </w:t>
            </w:r>
            <w:r>
              <w:rPr>
                <w:rStyle w:val="VerbatimChar"/>
              </w:rPr>
              <w:t xml:space="preserve">roles/run.invoker</w:t>
            </w:r>
            <w:r>
              <w:t xml:space="preserve"> </w:t>
            </w:r>
            <w:r>
              <w:t xml:space="preserve">to the worker invoker service account alone</w:t>
            </w:r>
          </w:p>
        </w:tc>
      </w:tr>
      <w:tr>
        <w:tc>
          <w:tcPr/>
          <w:p>
            <w:pPr>
              <w:pStyle w:val="Compact"/>
              <w:jc w:val="left"/>
            </w:pPr>
            <w:r>
              <w:t xml:space="preserve">6</w:t>
            </w:r>
          </w:p>
        </w:tc>
        <w:tc>
          <w:tcPr/>
          <w:p>
            <w:pPr>
              <w:pStyle w:val="Compact"/>
              <w:jc w:val="left"/>
            </w:pPr>
            <w:r>
              <w:t xml:space="preserve">The worker reads identity from the immutable job record and calls the model with it.</w:t>
            </w:r>
            <w:r>
              <w:t xml:space="preserve"> </w:t>
            </w:r>
            <w:r>
              <w:rPr>
                <w:b/>
                <w:bCs/>
              </w:rPr>
              <w:t xml:space="preserve">Attribution here is asserted from a trusted store rather than proven from a token</w:t>
            </w:r>
            <w:r>
              <w:t xml:space="preserve">, and that distinction is part of the design record</w:t>
            </w:r>
          </w:p>
        </w:tc>
      </w:tr>
      <w:tr>
        <w:tc>
          <w:tcPr/>
          <w:p>
            <w:pPr>
              <w:pStyle w:val="Compact"/>
              <w:jc w:val="left"/>
            </w:pPr>
            <w:r>
              <w:t xml:space="preserve">7</w:t>
            </w:r>
          </w:p>
        </w:tc>
        <w:tc>
          <w:tcPr/>
          <w:p>
            <w:pPr>
              <w:pStyle w:val="Compact"/>
              <w:jc w:val="left"/>
            </w:pPr>
            <w:r>
              <w:t xml:space="preserve">The worker has a 3,600 s request timeout. A 429 must be handled with</w:t>
            </w:r>
            <w:r>
              <w:t xml:space="preserve"> </w:t>
            </w:r>
            <w:r>
              <w:rPr>
                <w:rStyle w:val="VerbatimChar"/>
              </w:rPr>
              <w:t xml:space="preserve">Retry-After</w:t>
            </w:r>
            <w:r>
              <w:t xml:space="preserve">, or quota exhaustion becomes a stuck job</w:t>
            </w:r>
          </w:p>
        </w:tc>
      </w:tr>
      <w:tr>
        <w:tc>
          <w:tcPr/>
          <w:p>
            <w:pPr>
              <w:pStyle w:val="Compact"/>
              <w:jc w:val="left"/>
            </w:pPr>
            <w:r>
              <w:t xml:space="preserve">8</w:t>
            </w:r>
          </w:p>
        </w:tc>
        <w:tc>
          <w:tcPr/>
          <w:p>
            <w:pPr>
              <w:pStyle w:val="Compact"/>
              <w:jc w:val="left"/>
            </w:pPr>
            <w:r>
              <w:t xml:space="preserve">The caller polls for completion and receives a secure download link on success</w:t>
            </w:r>
          </w:p>
        </w:tc>
      </w:tr>
    </w:tbl>
    <w:bookmarkEnd w:id="71"/>
    <w:bookmarkStart w:id="72" w:name="user-access-sandbox"/>
    <w:p>
      <w:pPr>
        <w:pStyle w:val="Heading3"/>
      </w:pPr>
      <w:r>
        <w:t xml:space="preserve">4.5.4 User access — Sandbox</w:t>
      </w:r>
    </w:p>
    <w:p>
      <w:pPr>
        <w:pStyle w:val="FirstParagraph"/>
      </w:pPr>
      <w:r>
        <w:t xml:space="preserve">Sandbox has no AI Hub, no Backend-for-Frontend and no Apigee. Each Cloud Run service sits behind its own internal Application Load Balancer with Identity-Aware Proxy enabled on the backend service, and a developer reaches it by resolving the hostname in the private zone.</w:t>
      </w:r>
    </w:p>
    <w:p>
      <w:pPr>
        <w:pStyle w:val="BodyText"/>
      </w:pPr>
      <w:r>
        <w:rPr>
          <w:b/>
          <w:bCs/>
        </w:rPr>
        <w:t xml:space="preserve">The identity model differs from Development.</w:t>
      </w:r>
      <w:r>
        <w:t xml:space="preserve"> </w:t>
      </w:r>
      <w:r>
        <w:t xml:space="preserve">IAP in Sandbox authenticates</w:t>
      </w:r>
      <w:r>
        <w:t xml:space="preserve"> </w:t>
      </w:r>
      <w:r>
        <w:rPr>
          <w:b/>
          <w:bCs/>
        </w:rPr>
        <w:t xml:space="preserve">Google identities directly</w:t>
      </w:r>
      <w:r>
        <w:t xml:space="preserve"> </w:t>
      </w:r>
      <w:r>
        <w:t xml:space="preserve">— there is no workforce pool and no Entra ID federation. A developer signs in with their Google account and IAP checks</w:t>
      </w:r>
      <w:r>
        <w:t xml:space="preserve"> </w:t>
      </w:r>
      <w:r>
        <w:rPr>
          <w:rStyle w:val="VerbatimChar"/>
        </w:rPr>
        <w:t xml:space="preserve">roles/iap.httpsResourceAccessor</w:t>
      </w:r>
      <w:r>
        <w:t xml:space="preserve"> </w:t>
      </w:r>
      <w:r>
        <w:t xml:space="preserve">on the backend service. Development and Production instead federate Entra ID through a workforce pool, so that a Colt user signs in with their corporate credential and carries App Roles into the request. The consequence is that entitlement in Sandbox is a Google IAM grant, not an Entra App Role, and it is managed separately.</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Service</w:t>
            </w:r>
          </w:p>
        </w:tc>
        <w:tc>
          <w:tcPr>
            <w:shd w:val="clear" w:color="auto" w:fill="1F3864"/>
          </w:tcPr>
          <w:p>
            <w:pPr>
              <w:pStyle w:val="Compact"/>
              <w:jc w:val="left"/>
            </w:pPr>
            <w:r>
              <w:rPr>
                <w:b/>
                <w:color w:val="FFFFFF"/>
              </w:rPr>
              <w:t xml:space="preserve">Cloud Run service</w:t>
            </w:r>
          </w:p>
        </w:tc>
        <w:tc>
          <w:tcPr>
            <w:shd w:val="clear" w:color="auto" w:fill="1F3864"/>
          </w:tcPr>
          <w:p>
            <w:pPr>
              <w:pStyle w:val="Compact"/>
              <w:jc w:val="left"/>
            </w:pPr>
            <w:r>
              <w:rPr>
                <w:b/>
                <w:color w:val="FFFFFF"/>
              </w:rPr>
              <w:t xml:space="preserve">DNS hostname</w:t>
            </w:r>
          </w:p>
        </w:tc>
        <w:tc>
          <w:tcPr>
            <w:shd w:val="clear" w:color="auto" w:fill="1F3864"/>
          </w:tcPr>
          <w:p>
            <w:pPr>
              <w:pStyle w:val="Compact"/>
              <w:jc w:val="left"/>
            </w:pPr>
            <w:r>
              <w:rPr>
                <w:b/>
                <w:color w:val="FFFFFF"/>
              </w:rPr>
              <w:t xml:space="preserve">Protection</w:t>
            </w:r>
          </w:p>
        </w:tc>
      </w:tr>
      <w:tr>
        <w:tc>
          <w:tcPr/>
          <w:p>
            <w:pPr>
              <w:pStyle w:val="Compact"/>
              <w:jc w:val="left"/>
            </w:pPr>
            <w:r>
              <w:t xml:space="preserve">Translation API</w:t>
            </w:r>
          </w:p>
        </w:tc>
        <w:tc>
          <w:tcPr/>
          <w:p>
            <w:pPr>
              <w:pStyle w:val="Compact"/>
              <w:jc w:val="left"/>
            </w:pPr>
            <w:r>
              <w:rPr>
                <w:rStyle w:val="VerbatimChar"/>
              </w:rPr>
              <w:t xml:space="preserve">translation-api-service</w:t>
            </w:r>
          </w:p>
        </w:tc>
        <w:tc>
          <w:tcPr/>
          <w:p>
            <w:pPr>
              <w:pStyle w:val="Compact"/>
              <w:jc w:val="left"/>
            </w:pPr>
            <w:r>
              <w:rPr>
                <w:rStyle w:val="VerbatimChar"/>
              </w:rPr>
              <w:t xml:space="preserve">translation.aicoesandox-int.colt.net</w:t>
            </w:r>
          </w:p>
        </w:tc>
        <w:tc>
          <w:tcPr/>
          <w:p>
            <w:pPr>
              <w:pStyle w:val="Compact"/>
              <w:jc w:val="left"/>
            </w:pPr>
            <w:r>
              <w:t xml:space="preserve">ILB with IAP, Google identity</w:t>
            </w:r>
          </w:p>
        </w:tc>
      </w:tr>
      <w:tr>
        <w:tc>
          <w:tcPr/>
          <w:p>
            <w:pPr>
              <w:pStyle w:val="Compact"/>
              <w:jc w:val="left"/>
            </w:pPr>
            <w:r>
              <w:t xml:space="preserve">Sales Agent API</w:t>
            </w:r>
          </w:p>
        </w:tc>
        <w:tc>
          <w:tcPr/>
          <w:p>
            <w:pPr>
              <w:pStyle w:val="Compact"/>
              <w:jc w:val="left"/>
            </w:pPr>
            <w:r>
              <w:rPr>
                <w:rStyle w:val="VerbatimChar"/>
              </w:rPr>
              <w:t xml:space="preserve">sales-research-application</w:t>
            </w:r>
          </w:p>
        </w:tc>
        <w:tc>
          <w:tcPr/>
          <w:p>
            <w:pPr>
              <w:pStyle w:val="Compact"/>
              <w:jc w:val="left"/>
            </w:pPr>
            <w:r>
              <w:rPr>
                <w:rStyle w:val="VerbatimChar"/>
              </w:rPr>
              <w:t xml:space="preserve">salesagent.aicoesandox-int.colt.net</w:t>
            </w:r>
          </w:p>
        </w:tc>
        <w:tc>
          <w:tcPr/>
          <w:p>
            <w:pPr>
              <w:pStyle w:val="Compact"/>
              <w:jc w:val="left"/>
            </w:pPr>
            <w:r>
              <w:t xml:space="preserve">ILB with IAP, Google identity</w:t>
            </w:r>
          </w:p>
        </w:tc>
      </w:tr>
    </w:tbl>
    <w:p>
      <w:pPr>
        <w:pStyle w:val="BodyText"/>
      </w:pPr>
      <w:r>
        <w:rPr>
          <w:b/>
          <w:bCs/>
        </w:rPr>
        <w:t xml:space="preserve">Direct access to a Cloud Run service is not possible, and neither is publishing one.</w:t>
      </w:r>
      <w:r>
        <w:t xml:space="preserve"> </w:t>
      </w:r>
      <w:r>
        <w:t xml:space="preserve">Two organisation policies inherited from the</w:t>
      </w:r>
      <w:r>
        <w:t xml:space="preserve"> </w:t>
      </w:r>
      <w:r>
        <w:rPr>
          <w:rStyle w:val="VerbatimChar"/>
        </w:rPr>
        <w:t xml:space="preserve">AI COE</w:t>
      </w:r>
      <w:r>
        <w:t xml:space="preserve"> </w:t>
      </w:r>
      <w:r>
        <w:t xml:space="preserve">folder enforce this. Both are set by the</w:t>
      </w:r>
      <w:r>
        <w:t xml:space="preserve"> </w:t>
      </w:r>
      <w:r>
        <w:rPr>
          <w:b/>
          <w:bCs/>
        </w:rPr>
        <w:t xml:space="preserve">Colt Cloud CoE</w:t>
      </w:r>
      <w:r>
        <w:t xml:space="preserve"> </w:t>
      </w:r>
      <w:r>
        <w:t xml:space="preserve">as centralised enterprise controls, so neither the project nor the AICOE Platform Team can turn one off:</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Policy</w:t>
            </w:r>
          </w:p>
        </w:tc>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Effect in Sandbox</w:t>
            </w:r>
          </w:p>
        </w:tc>
      </w:tr>
      <w:tr>
        <w:tc>
          <w:tcPr/>
          <w:p>
            <w:pPr>
              <w:pStyle w:val="Compact"/>
              <w:jc w:val="left"/>
            </w:pPr>
            <w:r>
              <w:rPr>
                <w:rStyle w:val="VerbatimChar"/>
              </w:rPr>
              <w:t xml:space="preserve">run.allowedIngress</w:t>
            </w:r>
          </w:p>
        </w:tc>
        <w:tc>
          <w:tcPr/>
          <w:p>
            <w:pPr>
              <w:pStyle w:val="Compact"/>
              <w:jc w:val="left"/>
            </w:pPr>
            <w:r>
              <w:t xml:space="preserve">Custom — allow</w:t>
            </w:r>
            <w:r>
              <w:t xml:space="preserve"> </w:t>
            </w:r>
            <w:r>
              <w:rPr>
                <w:rStyle w:val="VerbatimChar"/>
              </w:rPr>
              <w:t xml:space="preserve">internal-and-cloud-load-balancing</w:t>
            </w:r>
            <w:r>
              <w:t xml:space="preserve"> </w:t>
            </w:r>
            <w:r>
              <w:t xml:space="preserve">only</w:t>
            </w:r>
          </w:p>
        </w:tc>
        <w:tc>
          <w:tcPr/>
          <w:p>
            <w:pPr>
              <w:pStyle w:val="Compact"/>
              <w:jc w:val="left"/>
            </w:pPr>
            <w:r>
              <w:t xml:space="preserve">A Cloud Run service cannot accept traffic from outside the VPC or from anything other than the load balancer. The</w:t>
            </w:r>
            <w:r>
              <w:t xml:space="preserve"> </w:t>
            </w:r>
            <w:r>
              <w:rPr>
                <w:rStyle w:val="VerbatimChar"/>
              </w:rPr>
              <w:t xml:space="preserve">.run.app</w:t>
            </w:r>
            <w:r>
              <w:t xml:space="preserve"> </w:t>
            </w:r>
            <w:r>
              <w:t xml:space="preserve">URL is unreachable</w:t>
            </w:r>
          </w:p>
        </w:tc>
      </w:tr>
      <w:tr>
        <w:tc>
          <w:tcPr/>
          <w:p>
            <w:pPr>
              <w:pStyle w:val="Compact"/>
              <w:jc w:val="left"/>
            </w:pPr>
            <w:r>
              <w:rPr>
                <w:rStyle w:val="VerbatimChar"/>
              </w:rPr>
              <w:t xml:space="preserve">iam.allowedPolicyMemberDomains</w:t>
            </w:r>
          </w:p>
        </w:tc>
        <w:tc>
          <w:tcPr/>
          <w:p>
            <w:pPr>
              <w:pStyle w:val="Compact"/>
              <w:jc w:val="left"/>
            </w:pPr>
            <w:r>
              <w:t xml:space="preserve">Allow only Colt’s customer identifier</w:t>
            </w:r>
          </w:p>
        </w:tc>
        <w:tc>
          <w:tcPr/>
          <w:p>
            <w:pPr>
              <w:pStyle w:val="Compact"/>
              <w:jc w:val="left"/>
            </w:pPr>
            <w:r>
              <w:t xml:space="preserve">An</w:t>
            </w:r>
            <w:r>
              <w:t xml:space="preserve"> </w:t>
            </w:r>
            <w:r>
              <w:rPr>
                <w:rStyle w:val="VerbatimChar"/>
              </w:rPr>
              <w:t xml:space="preserve">allUsers</w:t>
            </w:r>
            <w:r>
              <w:t xml:space="preserve"> </w:t>
            </w:r>
            <w:r>
              <w:t xml:space="preserve">or</w:t>
            </w:r>
            <w:r>
              <w:t xml:space="preserve"> </w:t>
            </w:r>
            <w:r>
              <w:rPr>
                <w:rStyle w:val="VerbatimChar"/>
              </w:rPr>
              <w:t xml:space="preserve">allAuthenticatedUsers</w:t>
            </w:r>
            <w:r>
              <w:t xml:space="preserve"> </w:t>
            </w:r>
            <w:r>
              <w:t xml:space="preserve">binding cannot be added to any Cloud Run service, so a service cannot be made public even by an operator with project-level rights</w:t>
            </w:r>
          </w:p>
        </w:tc>
      </w:tr>
    </w:tbl>
    <w:p>
      <w:pPr>
        <w:pStyle w:val="BodyText"/>
      </w:pPr>
      <w:r>
        <w:rPr>
          <w:rStyle w:val="VerbatimChar"/>
        </w:rPr>
        <w:t xml:space="preserve">iam.allowedPolicyMemberDomains</w:t>
      </w:r>
      <w:r>
        <w:t xml:space="preserve"> </w:t>
      </w:r>
      <w:r>
        <w:t xml:space="preserve">is the policy that makes the public Cloud Run option impossible, and that is intentional. Removing it is not available as a workaround — it is owned by the Colt Cloud CoE and any change would go through their change process, affecting every project under the folder. Both policies are listed in full in</w:t>
      </w:r>
      <w:r>
        <w:t xml:space="preserve"> </w:t>
      </w:r>
      <w:r>
        <w:rPr>
          <w:b/>
          <w:bCs/>
        </w:rPr>
        <w:t xml:space="preserve">Security Architecture and Operations</w:t>
      </w:r>
      <w:r>
        <w:t xml:space="preserve"> </w:t>
      </w:r>
      <w:r>
        <w:t xml:space="preserve">under Organisation Policies.</w:t>
      </w:r>
    </w:p>
    <w:bookmarkEnd w:id="72"/>
    <w:bookmarkEnd w:id="73"/>
    <w:bookmarkStart w:id="74" w:name="gcp-service-integration-matrix"/>
    <w:p>
      <w:pPr>
        <w:pStyle w:val="Heading2"/>
      </w:pPr>
      <w:r>
        <w:t xml:space="preserve">4.6 GCP service integration matrix</w:t>
      </w:r>
    </w:p>
    <w:p>
      <w:pPr>
        <w:pStyle w:val="FirstParagraph"/>
      </w:pPr>
      <w:r>
        <w:t xml:space="preserve">Project names below are given by function. The full identifier is</w:t>
      </w:r>
      <w:r>
        <w:t xml:space="preserve"> </w:t>
      </w:r>
      <w:r>
        <w:rPr>
          <w:rStyle w:val="VerbatimChar"/>
        </w:rPr>
        <w:t xml:space="preserve">gclt-aicoe-{env}-{function}</w:t>
      </w:r>
      <w:r>
        <w:t xml:space="preserve"> </w:t>
      </w:r>
      <w:r>
        <w:t xml:space="preserve">— so</w:t>
      </w:r>
      <w:r>
        <w:t xml:space="preserve"> </w:t>
      </w:r>
      <w:r>
        <w:rPr>
          <w:rStyle w:val="VerbatimChar"/>
        </w:rPr>
        <w:t xml:space="preserve">network</w:t>
      </w:r>
      <w:r>
        <w:t xml:space="preserve"> </w:t>
      </w:r>
      <w:r>
        <w:t xml:space="preserve">means</w:t>
      </w:r>
      <w:r>
        <w:t xml:space="preserve"> </w:t>
      </w:r>
      <w:r>
        <w:rPr>
          <w:rStyle w:val="VerbatimChar"/>
        </w:rPr>
        <w:t xml:space="preserve">gclt-aicoe-dev-network</w:t>
      </w:r>
      <w:r>
        <w:t xml:space="preserve"> </w:t>
      </w:r>
      <w:r>
        <w:t xml:space="preserve">in Development and</w:t>
      </w:r>
      <w:r>
        <w:t xml:space="preserve"> </w:t>
      </w:r>
      <w:r>
        <w:rPr>
          <w:rStyle w:val="VerbatimChar"/>
        </w:rPr>
        <w:t xml:space="preserve">gclt-aicoe-prod-network</w:t>
      </w:r>
      <w:r>
        <w:t xml:space="preserve"> </w:t>
      </w:r>
      <w:r>
        <w:t xml:space="preserve">in Production.</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GCP service</w:t>
            </w:r>
          </w:p>
        </w:tc>
        <w:tc>
          <w:tcPr>
            <w:shd w:val="clear" w:color="auto" w:fill="1F3864"/>
          </w:tcPr>
          <w:p>
            <w:pPr>
              <w:pStyle w:val="Compact"/>
              <w:jc w:val="left"/>
            </w:pPr>
            <w:r>
              <w:rPr>
                <w:b/>
                <w:color w:val="FFFFFF"/>
              </w:rPr>
              <w:t xml:space="preserve">Role on this platform</w:t>
            </w:r>
          </w:p>
        </w:tc>
        <w:tc>
          <w:tcPr>
            <w:shd w:val="clear" w:color="auto" w:fill="1F3864"/>
          </w:tcPr>
          <w:p>
            <w:pPr>
              <w:pStyle w:val="Compact"/>
              <w:jc w:val="left"/>
            </w:pPr>
            <w:r>
              <w:rPr>
                <w:b/>
                <w:color w:val="FFFFFF"/>
              </w:rPr>
              <w:t xml:space="preserve">Environment</w:t>
            </w:r>
          </w:p>
        </w:tc>
        <w:tc>
          <w:tcPr>
            <w:shd w:val="clear" w:color="auto" w:fill="1F3864"/>
          </w:tcPr>
          <w:p>
            <w:pPr>
              <w:pStyle w:val="Compact"/>
              <w:jc w:val="left"/>
            </w:pPr>
            <w:r>
              <w:rPr>
                <w:b/>
                <w:color w:val="FFFFFF"/>
              </w:rPr>
              <w:t xml:space="preserve">Project(s)</w:t>
            </w:r>
          </w:p>
        </w:tc>
        <w:tc>
          <w:tcPr>
            <w:shd w:val="clear" w:color="auto" w:fill="1F3864"/>
          </w:tcPr>
          <w:p>
            <w:pPr>
              <w:pStyle w:val="Compact"/>
              <w:jc w:val="left"/>
            </w:pPr>
            <w:r>
              <w:rPr>
                <w:b/>
                <w:color w:val="FFFFFF"/>
              </w:rPr>
              <w:t xml:space="preserve">Terraform stage</w:t>
            </w:r>
          </w:p>
        </w:tc>
      </w:tr>
      <w:tr>
        <w:tc>
          <w:tcPr/>
          <w:p>
            <w:pPr>
              <w:pStyle w:val="Compact"/>
              <w:jc w:val="left"/>
            </w:pPr>
            <w:r>
              <w:t xml:space="preserve">Shared VPC</w:t>
            </w:r>
          </w:p>
        </w:tc>
        <w:tc>
          <w:tcPr/>
          <w:p>
            <w:pPr>
              <w:pStyle w:val="Compact"/>
              <w:jc w:val="left"/>
            </w:pPr>
            <w:r>
              <w:t xml:space="preserve">One network, three attached service projects</w:t>
            </w:r>
          </w:p>
        </w:tc>
        <w:tc>
          <w:tcPr/>
          <w:p>
            <w:pPr>
              <w:pStyle w:val="Compact"/>
              <w:jc w:val="left"/>
            </w:pPr>
            <w:r>
              <w:t xml:space="preserve">Dev, Prod</w:t>
            </w:r>
          </w:p>
        </w:tc>
        <w:tc>
          <w:tcPr/>
          <w:p>
            <w:pPr>
              <w:pStyle w:val="Compact"/>
              <w:jc w:val="left"/>
            </w:pPr>
            <w:r>
              <w:rPr>
                <w:rStyle w:val="VerbatimChar"/>
              </w:rPr>
              <w:t xml:space="preserve">network</w:t>
            </w:r>
            <w:r>
              <w:t xml:space="preserve"> </w:t>
            </w:r>
            <w:r>
              <w:t xml:space="preserve">(host)</w:t>
            </w:r>
          </w:p>
        </w:tc>
        <w:tc>
          <w:tcPr/>
          <w:p>
            <w:pPr>
              <w:pStyle w:val="Compact"/>
              <w:jc w:val="left"/>
            </w:pPr>
            <w:r>
              <w:rPr>
                <w:rStyle w:val="VerbatimChar"/>
              </w:rPr>
              <w:t xml:space="preserve">3-network</w:t>
            </w:r>
            <w:r>
              <w:t xml:space="preserve"> </w:t>
            </w:r>
            <w:r>
              <w:t xml:space="preserve">— host enablement and every service-project attachment</w:t>
            </w:r>
          </w:p>
        </w:tc>
      </w:tr>
      <w:tr>
        <w:tc>
          <w:tcPr/>
          <w:p>
            <w:pPr>
              <w:pStyle w:val="Compact"/>
              <w:jc w:val="left"/>
            </w:pPr>
            <w:r>
              <w:t xml:space="preserve">VPC, subnets, firewall, DNS</w:t>
            </w:r>
          </w:p>
        </w:tc>
        <w:tc>
          <w:tcPr/>
          <w:p>
            <w:pPr>
              <w:pStyle w:val="Compact"/>
              <w:jc w:val="left"/>
            </w:pPr>
            <w:r>
              <w:t xml:space="preserve">Network fabric</w:t>
            </w:r>
          </w:p>
        </w:tc>
        <w:tc>
          <w:tcPr/>
          <w:p>
            <w:pPr>
              <w:pStyle w:val="Compact"/>
              <w:jc w:val="left"/>
            </w:pPr>
            <w:r>
              <w:t xml:space="preserve">Sandbox, Dev, Prod</w:t>
            </w:r>
          </w:p>
        </w:tc>
        <w:tc>
          <w:tcPr/>
          <w:p>
            <w:pPr>
              <w:pStyle w:val="Compact"/>
              <w:jc w:val="left"/>
            </w:pPr>
            <w:r>
              <w:rPr>
                <w:rStyle w:val="VerbatimChar"/>
              </w:rPr>
              <w:t xml:space="preserve">network</w:t>
            </w:r>
            <w:r>
              <w:t xml:space="preserve">;</w:t>
            </w:r>
            <w:r>
              <w:t xml:space="preserve"> </w:t>
            </w:r>
            <w:r>
              <w:rPr>
                <w:rStyle w:val="VerbatimChar"/>
              </w:rPr>
              <w:t xml:space="preserve">aicoesandox</w:t>
            </w:r>
          </w:p>
        </w:tc>
        <w:tc>
          <w:tcPr/>
          <w:p>
            <w:pPr>
              <w:pStyle w:val="Compact"/>
              <w:jc w:val="left"/>
            </w:pPr>
            <w:r>
              <w:rPr>
                <w:rStyle w:val="VerbatimChar"/>
              </w:rPr>
              <w:t xml:space="preserve">3-network</w:t>
            </w:r>
          </w:p>
        </w:tc>
      </w:tr>
      <w:tr>
        <w:tc>
          <w:tcPr/>
          <w:p>
            <w:pPr>
              <w:pStyle w:val="Compact"/>
              <w:jc w:val="left"/>
            </w:pPr>
            <w:r>
              <w:t xml:space="preserve">Cloud Router and Cloud NAT</w:t>
            </w:r>
          </w:p>
        </w:tc>
        <w:tc>
          <w:tcPr/>
          <w:p>
            <w:pPr>
              <w:pStyle w:val="Compact"/>
              <w:jc w:val="left"/>
            </w:pPr>
            <w:r>
              <w:t xml:space="preserve">Deterministic outbound egress from two fixed addresses</w:t>
            </w:r>
          </w:p>
        </w:tc>
        <w:tc>
          <w:tcPr/>
          <w:p>
            <w:pPr>
              <w:pStyle w:val="Compact"/>
              <w:jc w:val="left"/>
            </w:pPr>
            <w:r>
              <w:rPr>
                <w:b/>
                <w:bCs/>
              </w:rPr>
              <w:t xml:space="preserve">Sandbox only</w:t>
            </w:r>
          </w:p>
        </w:tc>
        <w:tc>
          <w:tcPr/>
          <w:p>
            <w:pPr>
              <w:pStyle w:val="Compact"/>
              <w:jc w:val="left"/>
            </w:pPr>
            <w:r>
              <w:rPr>
                <w:rStyle w:val="VerbatimChar"/>
              </w:rPr>
              <w:t xml:space="preserve">aicoesandox</w:t>
            </w:r>
          </w:p>
        </w:tc>
        <w:tc>
          <w:tcPr/>
          <w:p>
            <w:pPr>
              <w:pStyle w:val="Compact"/>
              <w:jc w:val="left"/>
            </w:pPr>
            <w:r>
              <w:rPr>
                <w:rStyle w:val="VerbatimChar"/>
              </w:rPr>
              <w:t xml:space="preserve">3-network</w:t>
            </w:r>
          </w:p>
        </w:tc>
      </w:tr>
      <w:tr>
        <w:tc>
          <w:tcPr/>
          <w:p>
            <w:pPr>
              <w:pStyle w:val="Compact"/>
              <w:jc w:val="left"/>
            </w:pPr>
            <w:r>
              <w:t xml:space="preserve">Private Service Connect</w:t>
            </w:r>
          </w:p>
        </w:tc>
        <w:tc>
          <w:tcPr/>
          <w:p>
            <w:pPr>
              <w:pStyle w:val="Compact"/>
              <w:jc w:val="left"/>
            </w:pPr>
            <w:r>
              <w:t xml:space="preserve">Google APIs; Apigee northbound service endpoint; Apigee southbound to the Backend ILB; Vector Search</w:t>
            </w:r>
          </w:p>
        </w:tc>
        <w:tc>
          <w:tcPr/>
          <w:p>
            <w:pPr>
              <w:pStyle w:val="Compact"/>
              <w:jc w:val="left"/>
            </w:pPr>
            <w:r>
              <w:t xml:space="preserve">Sandbox, Dev, Prod</w:t>
            </w:r>
          </w:p>
        </w:tc>
        <w:tc>
          <w:tcPr/>
          <w:p>
            <w:pPr>
              <w:pStyle w:val="Compact"/>
              <w:jc w:val="left"/>
            </w:pPr>
            <w:r>
              <w:rPr>
                <w:rStyle w:val="VerbatimChar"/>
              </w:rPr>
              <w:t xml:space="preserve">network</w:t>
            </w:r>
            <w:r>
              <w:t xml:space="preserve">;</w:t>
            </w:r>
            <w:r>
              <w:t xml:space="preserve"> </w:t>
            </w:r>
            <w:r>
              <w:rPr>
                <w:rStyle w:val="VerbatimChar"/>
              </w:rPr>
              <w:t xml:space="preserve">aicoesandox</w:t>
            </w:r>
          </w:p>
        </w:tc>
        <w:tc>
          <w:tcPr/>
          <w:p>
            <w:pPr>
              <w:pStyle w:val="Compact"/>
              <w:jc w:val="left"/>
            </w:pPr>
            <w:r>
              <w:rPr>
                <w:rStyle w:val="VerbatimChar"/>
              </w:rPr>
              <w:t xml:space="preserve">5-network-psc</w:t>
            </w:r>
            <w:r>
              <w:t xml:space="preserve">,</w:t>
            </w:r>
            <w:r>
              <w:t xml:space="preserve"> </w:t>
            </w:r>
            <w:r>
              <w:rPr>
                <w:rStyle w:val="VerbatimChar"/>
              </w:rPr>
              <w:t xml:space="preserve">6c-ingress</w:t>
            </w:r>
            <w:r>
              <w:t xml:space="preserve"> </w:t>
            </w:r>
            <w:r>
              <w:t xml:space="preserve">(southbound attachment)</w:t>
            </w:r>
          </w:p>
        </w:tc>
      </w:tr>
      <w:tr>
        <w:tc>
          <w:tcPr/>
          <w:p>
            <w:pPr>
              <w:pStyle w:val="Compact"/>
              <w:jc w:val="left"/>
            </w:pPr>
            <w:r>
              <w:t xml:space="preserve">Cloud DNS</w:t>
            </w:r>
          </w:p>
        </w:tc>
        <w:tc>
          <w:tcPr/>
          <w:p>
            <w:pPr>
              <w:pStyle w:val="Compact"/>
              <w:jc w:val="left"/>
            </w:pPr>
            <w:r>
              <w:t xml:space="preserve">Private zones for platform hostnames, the</w:t>
            </w:r>
            <w:r>
              <w:t xml:space="preserve"> </w:t>
            </w:r>
            <w:r>
              <w:rPr>
                <w:rStyle w:val="VerbatimChar"/>
              </w:rPr>
              <w:t xml:space="preserve">googleapis.com</w:t>
            </w:r>
            <w:r>
              <w:t xml:space="preserve"> </w:t>
            </w:r>
            <w:r>
              <w:t xml:space="preserve">redirect and</w:t>
            </w:r>
            <w:r>
              <w:t xml:space="preserve"> </w:t>
            </w:r>
            <w:r>
              <w:rPr>
                <w:rStyle w:val="VerbatimChar"/>
              </w:rPr>
              <w:t xml:space="preserve">run.app</w:t>
            </w:r>
          </w:p>
        </w:tc>
        <w:tc>
          <w:tcPr/>
          <w:p>
            <w:pPr>
              <w:pStyle w:val="Compact"/>
              <w:jc w:val="left"/>
            </w:pPr>
            <w:r>
              <w:t xml:space="preserve">Sandbox, Dev, Prod</w:t>
            </w:r>
          </w:p>
        </w:tc>
        <w:tc>
          <w:tcPr/>
          <w:p>
            <w:pPr>
              <w:pStyle w:val="Compact"/>
              <w:jc w:val="left"/>
            </w:pPr>
            <w:r>
              <w:rPr>
                <w:rStyle w:val="VerbatimChar"/>
              </w:rPr>
              <w:t xml:space="preserve">network</w:t>
            </w:r>
            <w:r>
              <w:t xml:space="preserve">;</w:t>
            </w:r>
            <w:r>
              <w:t xml:space="preserve"> </w:t>
            </w:r>
            <w:r>
              <w:rPr>
                <w:rStyle w:val="VerbatimChar"/>
              </w:rPr>
              <w:t xml:space="preserve">aicoesandox</w:t>
            </w:r>
          </w:p>
        </w:tc>
        <w:tc>
          <w:tcPr/>
          <w:p>
            <w:pPr>
              <w:pStyle w:val="Compact"/>
              <w:jc w:val="left"/>
            </w:pPr>
            <w:r>
              <w:rPr>
                <w:rStyle w:val="VerbatimChar"/>
              </w:rPr>
              <w:t xml:space="preserve">3-network</w:t>
            </w:r>
            <w:r>
              <w:t xml:space="preserve">,</w:t>
            </w:r>
            <w:r>
              <w:t xml:space="preserve"> </w:t>
            </w:r>
            <w:r>
              <w:rPr>
                <w:rStyle w:val="VerbatimChar"/>
              </w:rPr>
              <w:t xml:space="preserve">5-network-psc</w:t>
            </w:r>
          </w:p>
        </w:tc>
      </w:tr>
      <w:tr>
        <w:tc>
          <w:tcPr/>
          <w:p>
            <w:pPr>
              <w:pStyle w:val="Compact"/>
              <w:jc w:val="left"/>
            </w:pPr>
            <w:r>
              <w:t xml:space="preserve">Internal Application Load Balancer</w:t>
            </w:r>
          </w:p>
        </w:tc>
        <w:tc>
          <w:tcPr/>
          <w:p>
            <w:pPr>
              <w:pStyle w:val="Compact"/>
              <w:jc w:val="left"/>
            </w:pPr>
            <w:r>
              <w:t xml:space="preserve">AI Hub front door and machine-only Backend ILB in Dev; translation and sales-agent ILBs in Sandbox</w:t>
            </w:r>
          </w:p>
        </w:tc>
        <w:tc>
          <w:tcPr/>
          <w:p>
            <w:pPr>
              <w:pStyle w:val="Compact"/>
              <w:jc w:val="left"/>
            </w:pPr>
            <w:r>
              <w:t xml:space="preserve">Sandbox, Dev, Prod</w:t>
            </w:r>
          </w:p>
        </w:tc>
        <w:tc>
          <w:tcPr/>
          <w:p>
            <w:pPr>
              <w:pStyle w:val="Compact"/>
              <w:jc w:val="left"/>
            </w:pPr>
            <w:r>
              <w:rPr>
                <w:rStyle w:val="VerbatimChar"/>
              </w:rPr>
              <w:t xml:space="preserve">ingress</w:t>
            </w:r>
            <w:r>
              <w:t xml:space="preserve"> </w:t>
            </w:r>
            <w:r>
              <w:t xml:space="preserve">(frontends),</w:t>
            </w:r>
            <w:r>
              <w:t xml:space="preserve"> </w:t>
            </w:r>
            <w:r>
              <w:rPr>
                <w:rStyle w:val="VerbatimChar"/>
              </w:rPr>
              <w:t xml:space="preserve">aihub-ui</w:t>
            </w:r>
            <w:r>
              <w:t xml:space="preserve"> </w:t>
            </w:r>
            <w:r>
              <w:t xml:space="preserve">and</w:t>
            </w:r>
            <w:r>
              <w:t xml:space="preserve"> </w:t>
            </w:r>
            <w:r>
              <w:rPr>
                <w:rStyle w:val="VerbatimChar"/>
              </w:rPr>
              <w:t xml:space="preserve">st</w:t>
            </w:r>
            <w:r>
              <w:t xml:space="preserve"> </w:t>
            </w:r>
            <w:r>
              <w:t xml:space="preserve">(backend services and NEGs)</w:t>
            </w:r>
          </w:p>
        </w:tc>
        <w:tc>
          <w:tcPr/>
          <w:p>
            <w:pPr>
              <w:pStyle w:val="Compact"/>
              <w:jc w:val="left"/>
            </w:pPr>
            <w:r>
              <w:rPr>
                <w:rStyle w:val="VerbatimChar"/>
              </w:rPr>
              <w:t xml:space="preserve">6-workloads</w:t>
            </w:r>
            <w:r>
              <w:t xml:space="preserve">,</w:t>
            </w:r>
            <w:r>
              <w:t xml:space="preserve"> </w:t>
            </w:r>
            <w:r>
              <w:rPr>
                <w:rStyle w:val="VerbatimChar"/>
              </w:rPr>
              <w:t xml:space="preserve">6c-ingress</w:t>
            </w:r>
          </w:p>
        </w:tc>
      </w:tr>
      <w:tr>
        <w:tc>
          <w:tcPr/>
          <w:p>
            <w:pPr>
              <w:pStyle w:val="Compact"/>
              <w:jc w:val="left"/>
            </w:pPr>
            <w:r>
              <w:t xml:space="preserve">Identity-Aware Proxy</w:t>
            </w:r>
          </w:p>
        </w:tc>
        <w:tc>
          <w:tcPr/>
          <w:p>
            <w:pPr>
              <w:pStyle w:val="Compact"/>
              <w:jc w:val="left"/>
            </w:pPr>
            <w:r>
              <w:t xml:space="preserve">Authenticates people on the AI Hub backend service.</w:t>
            </w:r>
            <w:r>
              <w:t xml:space="preserve"> </w:t>
            </w:r>
            <w:r>
              <w:rPr>
                <w:b/>
                <w:bCs/>
              </w:rPr>
              <w:t xml:space="preserve">One place only</w:t>
            </w:r>
          </w:p>
        </w:tc>
        <w:tc>
          <w:tcPr/>
          <w:p>
            <w:pPr>
              <w:pStyle w:val="Compact"/>
              <w:jc w:val="left"/>
            </w:pPr>
            <w:r>
              <w:t xml:space="preserve">Dev, Prod</w:t>
            </w:r>
          </w:p>
        </w:tc>
        <w:tc>
          <w:tcPr/>
          <w:p>
            <w:pPr>
              <w:pStyle w:val="Compact"/>
              <w:jc w:val="left"/>
            </w:pPr>
            <w:r>
              <w:rPr>
                <w:rStyle w:val="VerbatimChar"/>
              </w:rPr>
              <w:t xml:space="preserve">aihub-ui</w:t>
            </w:r>
          </w:p>
        </w:tc>
        <w:tc>
          <w:tcPr/>
          <w:p>
            <w:pPr>
              <w:pStyle w:val="Compact"/>
              <w:jc w:val="left"/>
            </w:pPr>
            <w:r>
              <w:rPr>
                <w:rStyle w:val="VerbatimChar"/>
              </w:rPr>
              <w:t xml:space="preserve">6-workloads</w:t>
            </w:r>
          </w:p>
        </w:tc>
      </w:tr>
      <w:tr>
        <w:tc>
          <w:tcPr/>
          <w:p>
            <w:pPr>
              <w:pStyle w:val="Compact"/>
              <w:jc w:val="left"/>
            </w:pPr>
            <w:r>
              <w:t xml:space="preserve">Cloud Run</w:t>
            </w:r>
          </w:p>
        </w:tc>
        <w:tc>
          <w:tcPr/>
          <w:p>
            <w:pPr>
              <w:pStyle w:val="Compact"/>
              <w:jc w:val="left"/>
            </w:pPr>
            <w:r>
              <w:t xml:space="preserve">Backend-for-Frontend, translation API and worker, Sales Agent, future MCP server</w:t>
            </w:r>
          </w:p>
        </w:tc>
        <w:tc>
          <w:tcPr/>
          <w:p>
            <w:pPr>
              <w:pStyle w:val="Compact"/>
              <w:jc w:val="left"/>
            </w:pPr>
            <w:r>
              <w:t xml:space="preserve">Sandbox, Dev, Prod</w:t>
            </w:r>
          </w:p>
        </w:tc>
        <w:tc>
          <w:tcPr/>
          <w:p>
            <w:pPr>
              <w:pStyle w:val="Compact"/>
              <w:jc w:val="left"/>
            </w:pPr>
            <w:r>
              <w:rPr>
                <w:rStyle w:val="VerbatimChar"/>
              </w:rPr>
              <w:t xml:space="preserve">aihub-ui</w:t>
            </w:r>
            <w:r>
              <w:t xml:space="preserve">,</w:t>
            </w:r>
            <w:r>
              <w:t xml:space="preserve"> </w:t>
            </w:r>
            <w:r>
              <w:rPr>
                <w:rStyle w:val="VerbatimChar"/>
              </w:rPr>
              <w:t xml:space="preserve">st</w:t>
            </w:r>
            <w:r>
              <w:t xml:space="preserve">;</w:t>
            </w:r>
            <w:r>
              <w:t xml:space="preserve"> </w:t>
            </w:r>
            <w:r>
              <w:rPr>
                <w:rStyle w:val="VerbatimChar"/>
              </w:rPr>
              <w:t xml:space="preserve">aicoesandox</w:t>
            </w:r>
          </w:p>
        </w:tc>
        <w:tc>
          <w:tcPr/>
          <w:p>
            <w:pPr>
              <w:pStyle w:val="Compact"/>
              <w:jc w:val="left"/>
            </w:pPr>
            <w:r>
              <w:rPr>
                <w:rStyle w:val="VerbatimChar"/>
              </w:rPr>
              <w:t xml:space="preserve">6-workloads</w:t>
            </w:r>
            <w:r>
              <w:t xml:space="preserve"> </w:t>
            </w:r>
            <w:r>
              <w:t xml:space="preserve">provisions backend services and NEGs.</w:t>
            </w:r>
            <w:r>
              <w:t xml:space="preserve"> </w:t>
            </w:r>
            <w:r>
              <w:rPr>
                <w:b/>
                <w:bCs/>
              </w:rPr>
              <w:t xml:space="preserve">The services themselves are application code, deployed by the pipeline, not Terraform</w:t>
            </w:r>
          </w:p>
        </w:tc>
      </w:tr>
      <w:tr>
        <w:tc>
          <w:tcPr/>
          <w:p>
            <w:pPr>
              <w:pStyle w:val="Compact"/>
              <w:jc w:val="left"/>
            </w:pPr>
            <w:r>
              <w:t xml:space="preserve">Vertex AI Workbench</w:t>
            </w:r>
          </w:p>
        </w:tc>
        <w:tc>
          <w:tcPr/>
          <w:p>
            <w:pPr>
              <w:pStyle w:val="Compact"/>
              <w:jc w:val="left"/>
            </w:pPr>
            <w:r>
              <w:t xml:space="preserve">Interactive data science compute</w:t>
            </w:r>
          </w:p>
        </w:tc>
        <w:tc>
          <w:tcPr/>
          <w:p>
            <w:pPr>
              <w:pStyle w:val="Compact"/>
              <w:jc w:val="left"/>
            </w:pPr>
            <w:r>
              <w:rPr>
                <w:b/>
                <w:bCs/>
              </w:rPr>
              <w:t xml:space="preserve">Sandbox only</w:t>
            </w:r>
          </w:p>
        </w:tc>
        <w:tc>
          <w:tcPr/>
          <w:p>
            <w:pPr>
              <w:pStyle w:val="Compact"/>
              <w:jc w:val="left"/>
            </w:pPr>
            <w:r>
              <w:rPr>
                <w:rStyle w:val="VerbatimChar"/>
              </w:rPr>
              <w:t xml:space="preserve">aicoesandox</w:t>
            </w:r>
          </w:p>
        </w:tc>
        <w:tc>
          <w:tcPr/>
          <w:p>
            <w:pPr>
              <w:pStyle w:val="Compact"/>
              <w:jc w:val="left"/>
            </w:pPr>
            <w:r>
              <w:rPr>
                <w:rStyle w:val="VerbatimChar"/>
              </w:rPr>
              <w:t xml:space="preserve">2-foundations</w:t>
            </w:r>
          </w:p>
        </w:tc>
      </w:tr>
      <w:tr>
        <w:tc>
          <w:tcPr/>
          <w:p>
            <w:pPr>
              <w:pStyle w:val="Compact"/>
              <w:jc w:val="left"/>
            </w:pPr>
            <w:r>
              <w:t xml:space="preserve">Apigee X</w:t>
            </w:r>
          </w:p>
        </w:tc>
        <w:tc>
          <w:tcPr/>
          <w:p>
            <w:pPr>
              <w:pStyle w:val="Compact"/>
              <w:jc w:val="left"/>
            </w:pPr>
            <w:r>
              <w:t xml:space="preserve">API gateway (</w:t>
            </w:r>
            <w:r>
              <w:rPr>
                <w:rStyle w:val="VerbatimChar"/>
              </w:rPr>
              <w:t xml:space="preserve">int</w:t>
            </w:r>
            <w:r>
              <w:t xml:space="preserve">) and AI gateway (</w:t>
            </w:r>
            <w:r>
              <w:rPr>
                <w:rStyle w:val="VerbatimChar"/>
              </w:rPr>
              <w:t xml:space="preserve">llm</w:t>
            </w:r>
            <w:r>
              <w:t xml:space="preserve">)</w:t>
            </w:r>
          </w:p>
        </w:tc>
        <w:tc>
          <w:tcPr/>
          <w:p>
            <w:pPr>
              <w:pStyle w:val="Compact"/>
              <w:jc w:val="left"/>
            </w:pPr>
            <w:r>
              <w:t xml:space="preserve">Dev, Prod</w:t>
            </w:r>
          </w:p>
        </w:tc>
        <w:tc>
          <w:tcPr/>
          <w:p>
            <w:pPr>
              <w:pStyle w:val="Compact"/>
              <w:jc w:val="left"/>
            </w:pPr>
            <w:r>
              <w:rPr>
                <w:rStyle w:val="VerbatimChar"/>
              </w:rPr>
              <w:t xml:space="preserve">apigee</w:t>
            </w:r>
          </w:p>
        </w:tc>
        <w:tc>
          <w:tcPr/>
          <w:p>
            <w:pPr>
              <w:pStyle w:val="Compact"/>
              <w:jc w:val="left"/>
            </w:pPr>
            <w:r>
              <w:rPr>
                <w:rStyle w:val="VerbatimChar"/>
              </w:rPr>
              <w:t xml:space="preserve">4-apigee</w:t>
            </w:r>
            <w:r>
              <w:t xml:space="preserve"> </w:t>
            </w:r>
            <w:r>
              <w:t xml:space="preserve">(organisation, instance, environments, environment groups — manual gate),</w:t>
            </w:r>
            <w:r>
              <w:t xml:space="preserve"> </w:t>
            </w:r>
            <w:r>
              <w:rPr>
                <w:rStyle w:val="VerbatimChar"/>
              </w:rPr>
              <w:t xml:space="preserve">7-apigee-runtime</w:t>
            </w:r>
            <w:r>
              <w:t xml:space="preserve"> </w:t>
            </w:r>
            <w:r>
              <w:t xml:space="preserve">(endpoint attachment, key value map containers). Proxy bundles and products are deployed by</w:t>
            </w:r>
            <w:r>
              <w:t xml:space="preserve"> </w:t>
            </w:r>
            <w:r>
              <w:rPr>
                <w:rStyle w:val="VerbatimChar"/>
              </w:rPr>
              <w:t xml:space="preserve">apigeecli</w:t>
            </w:r>
            <w:r>
              <w:t xml:space="preserve">, not Terraform</w:t>
            </w:r>
          </w:p>
        </w:tc>
      </w:tr>
      <w:tr>
        <w:tc>
          <w:tcPr/>
          <w:p>
            <w:pPr>
              <w:pStyle w:val="Compact"/>
              <w:jc w:val="left"/>
            </w:pPr>
            <w:r>
              <w:t xml:space="preserve">Vertex AI</w:t>
            </w:r>
          </w:p>
        </w:tc>
        <w:tc>
          <w:tcPr/>
          <w:p>
            <w:pPr>
              <w:pStyle w:val="Compact"/>
              <w:jc w:val="left"/>
            </w:pPr>
            <w:r>
              <w:t xml:space="preserve">Model inference; Vector Search index and endpoint</w:t>
            </w:r>
          </w:p>
        </w:tc>
        <w:tc>
          <w:tcPr/>
          <w:p>
            <w:pPr>
              <w:pStyle w:val="Compact"/>
              <w:jc w:val="left"/>
            </w:pPr>
            <w:r>
              <w:t xml:space="preserve">Sandbox, Dev, Prod</w:t>
            </w:r>
          </w:p>
        </w:tc>
        <w:tc>
          <w:tcPr/>
          <w:p>
            <w:pPr>
              <w:pStyle w:val="Compact"/>
              <w:jc w:val="left"/>
            </w:pPr>
            <w:r>
              <w:rPr>
                <w:rStyle w:val="VerbatimChar"/>
              </w:rPr>
              <w:t xml:space="preserve">llm</w:t>
            </w:r>
            <w:r>
              <w:t xml:space="preserve"> </w:t>
            </w:r>
            <w:r>
              <w:t xml:space="preserve">(models),</w:t>
            </w:r>
            <w:r>
              <w:t xml:space="preserve"> </w:t>
            </w:r>
            <w:r>
              <w:rPr>
                <w:rStyle w:val="VerbatimChar"/>
              </w:rPr>
              <w:t xml:space="preserve">st</w:t>
            </w:r>
            <w:r>
              <w:t xml:space="preserve"> </w:t>
            </w:r>
            <w:r>
              <w:t xml:space="preserve">(Vector Search);</w:t>
            </w:r>
            <w:r>
              <w:t xml:space="preserve"> </w:t>
            </w:r>
            <w:r>
              <w:rPr>
                <w:rStyle w:val="VerbatimChar"/>
              </w:rPr>
              <w:t xml:space="preserve">aicoesandox</w:t>
            </w:r>
          </w:p>
        </w:tc>
        <w:tc>
          <w:tcPr/>
          <w:p>
            <w:pPr>
              <w:pStyle w:val="Compact"/>
              <w:jc w:val="left"/>
            </w:pPr>
            <w:r>
              <w:rPr>
                <w:rStyle w:val="VerbatimChar"/>
              </w:rPr>
              <w:t xml:space="preserve">2-foundations</w:t>
            </w:r>
            <w:r>
              <w:t xml:space="preserve">,</w:t>
            </w:r>
            <w:r>
              <w:t xml:space="preserve"> </w:t>
            </w:r>
            <w:r>
              <w:rPr>
                <w:rStyle w:val="VerbatimChar"/>
              </w:rPr>
              <w:t xml:space="preserve">6-workloads</w:t>
            </w:r>
          </w:p>
        </w:tc>
      </w:tr>
      <w:tr>
        <w:tc>
          <w:tcPr/>
          <w:p>
            <w:pPr>
              <w:pStyle w:val="Compact"/>
              <w:jc w:val="left"/>
            </w:pPr>
            <w:r>
              <w:t xml:space="preserve">Model Armor</w:t>
            </w:r>
          </w:p>
        </w:tc>
        <w:tc>
          <w:tcPr/>
          <w:p>
            <w:pPr>
              <w:pStyle w:val="Compact"/>
              <w:jc w:val="left"/>
            </w:pPr>
            <w:r>
              <w:t xml:space="preserve">Prompt and response screening, two templates</w:t>
            </w:r>
          </w:p>
        </w:tc>
        <w:tc>
          <w:tcPr/>
          <w:p>
            <w:pPr>
              <w:pStyle w:val="Compact"/>
              <w:jc w:val="left"/>
            </w:pPr>
            <w:r>
              <w:t xml:space="preserve">Dev, Prod</w:t>
            </w:r>
          </w:p>
        </w:tc>
        <w:tc>
          <w:tcPr/>
          <w:p>
            <w:pPr>
              <w:pStyle w:val="Compact"/>
              <w:jc w:val="left"/>
            </w:pPr>
            <w:r>
              <w:rPr>
                <w:rStyle w:val="VerbatimChar"/>
              </w:rPr>
              <w:t xml:space="preserve">llm</w:t>
            </w:r>
          </w:p>
        </w:tc>
        <w:tc>
          <w:tcPr/>
          <w:p>
            <w:pPr>
              <w:pStyle w:val="Compact"/>
              <w:jc w:val="left"/>
            </w:pPr>
            <w:r>
              <w:rPr>
                <w:rStyle w:val="VerbatimChar"/>
              </w:rPr>
              <w:t xml:space="preserve">2-foundations</w:t>
            </w:r>
          </w:p>
        </w:tc>
      </w:tr>
      <w:tr>
        <w:tc>
          <w:tcPr/>
          <w:p>
            <w:pPr>
              <w:pStyle w:val="Compact"/>
              <w:jc w:val="left"/>
            </w:pPr>
            <w:r>
              <w:t xml:space="preserve">Sensitive Data Protection</w:t>
            </w:r>
          </w:p>
        </w:tc>
        <w:tc>
          <w:tcPr/>
          <w:p>
            <w:pPr>
              <w:pStyle w:val="Compact"/>
              <w:jc w:val="left"/>
            </w:pPr>
            <w:r>
              <w:t xml:space="preserve">Inspection and de-identification templates behind Model Armor’s sensitive-data filter</w:t>
            </w:r>
          </w:p>
        </w:tc>
        <w:tc>
          <w:tcPr/>
          <w:p>
            <w:pPr>
              <w:pStyle w:val="Compact"/>
              <w:jc w:val="left"/>
            </w:pPr>
            <w:r>
              <w:t xml:space="preserve">Dev, Prod</w:t>
            </w:r>
          </w:p>
        </w:tc>
        <w:tc>
          <w:tcPr/>
          <w:p>
            <w:pPr>
              <w:pStyle w:val="Compact"/>
              <w:jc w:val="left"/>
            </w:pPr>
            <w:r>
              <w:rPr>
                <w:rStyle w:val="VerbatimChar"/>
              </w:rPr>
              <w:t xml:space="preserve">llm</w:t>
            </w:r>
          </w:p>
        </w:tc>
        <w:tc>
          <w:tcPr/>
          <w:p>
            <w:pPr>
              <w:pStyle w:val="Compact"/>
              <w:jc w:val="left"/>
            </w:pPr>
            <w:r>
              <w:rPr>
                <w:rStyle w:val="VerbatimChar"/>
              </w:rPr>
              <w:t xml:space="preserve">2-foundations</w:t>
            </w:r>
          </w:p>
        </w:tc>
      </w:tr>
      <w:tr>
        <w:tc>
          <w:tcPr/>
          <w:p>
            <w:pPr>
              <w:pStyle w:val="Compact"/>
              <w:jc w:val="left"/>
            </w:pPr>
            <w:r>
              <w:t xml:space="preserve">Firestore (Native)</w:t>
            </w:r>
          </w:p>
        </w:tc>
        <w:tc>
          <w:tcPr/>
          <w:p>
            <w:pPr>
              <w:pStyle w:val="Compact"/>
              <w:jc w:val="left"/>
            </w:pPr>
            <w:r>
              <w:t xml:space="preserve">Session store, job records, idempotency keys</w:t>
            </w:r>
          </w:p>
        </w:tc>
        <w:tc>
          <w:tcPr/>
          <w:p>
            <w:pPr>
              <w:pStyle w:val="Compact"/>
              <w:jc w:val="left"/>
            </w:pPr>
            <w:r>
              <w:t xml:space="preserve">Dev, Prod</w:t>
            </w:r>
          </w:p>
        </w:tc>
        <w:tc>
          <w:tcPr/>
          <w:p>
            <w:pPr>
              <w:pStyle w:val="Compact"/>
              <w:jc w:val="left"/>
            </w:pPr>
            <w:r>
              <w:rPr>
                <w:rStyle w:val="VerbatimChar"/>
              </w:rPr>
              <w:t xml:space="preserve">aihub-ui</w:t>
            </w:r>
          </w:p>
        </w:tc>
        <w:tc>
          <w:tcPr/>
          <w:p>
            <w:pPr>
              <w:pStyle w:val="Compact"/>
              <w:jc w:val="left"/>
            </w:pPr>
            <w:r>
              <w:rPr>
                <w:rStyle w:val="VerbatimChar"/>
              </w:rPr>
              <w:t xml:space="preserve">2-foundations</w:t>
            </w:r>
            <w:r>
              <w:t xml:space="preserve"> </w:t>
            </w:r>
            <w:r>
              <w:t xml:space="preserve">(database), application (documents)</w:t>
            </w:r>
          </w:p>
        </w:tc>
      </w:tr>
      <w:tr>
        <w:tc>
          <w:tcPr/>
          <w:p>
            <w:pPr>
              <w:pStyle w:val="Compact"/>
              <w:jc w:val="left"/>
            </w:pPr>
            <w:r>
              <w:t xml:space="preserve">Cloud Tasks</w:t>
            </w:r>
          </w:p>
        </w:tc>
        <w:tc>
          <w:tcPr/>
          <w:p>
            <w:pPr>
              <w:pStyle w:val="Compact"/>
              <w:jc w:val="left"/>
            </w:pPr>
            <w:r>
              <w:t xml:space="preserve">Asynchronous translation dispatch and backpressure</w:t>
            </w:r>
          </w:p>
        </w:tc>
        <w:tc>
          <w:tcPr/>
          <w:p>
            <w:pPr>
              <w:pStyle w:val="Compact"/>
              <w:jc w:val="left"/>
            </w:pPr>
            <w:r>
              <w:t xml:space="preserve">Sandbox, Dev, Prod</w:t>
            </w:r>
          </w:p>
        </w:tc>
        <w:tc>
          <w:tcPr/>
          <w:p>
            <w:pPr>
              <w:pStyle w:val="Compact"/>
              <w:jc w:val="left"/>
            </w:pPr>
            <w:r>
              <w:rPr>
                <w:rStyle w:val="VerbatimChar"/>
              </w:rPr>
              <w:t xml:space="preserve">st</w:t>
            </w:r>
            <w:r>
              <w:t xml:space="preserve">;</w:t>
            </w:r>
            <w:r>
              <w:t xml:space="preserve"> </w:t>
            </w:r>
            <w:r>
              <w:rPr>
                <w:rStyle w:val="VerbatimChar"/>
              </w:rPr>
              <w:t xml:space="preserve">aicoesandox</w:t>
            </w:r>
          </w:p>
        </w:tc>
        <w:tc>
          <w:tcPr/>
          <w:p>
            <w:pPr>
              <w:pStyle w:val="Compact"/>
              <w:jc w:val="left"/>
            </w:pPr>
            <w:r>
              <w:rPr>
                <w:rStyle w:val="VerbatimChar"/>
              </w:rPr>
              <w:t xml:space="preserve">2-foundations</w:t>
            </w:r>
          </w:p>
        </w:tc>
      </w:tr>
      <w:tr>
        <w:tc>
          <w:tcPr/>
          <w:p>
            <w:pPr>
              <w:pStyle w:val="Compact"/>
              <w:jc w:val="left"/>
            </w:pPr>
            <w:r>
              <w:t xml:space="preserve">Cloud Storage</w:t>
            </w:r>
          </w:p>
        </w:tc>
        <w:tc>
          <w:tcPr/>
          <w:p>
            <w:pPr>
              <w:pStyle w:val="Compact"/>
              <w:jc w:val="left"/>
            </w:pPr>
            <w:r>
              <w:t xml:space="preserve">Uploaded documents, embedding source data, Terraform state</w:t>
            </w:r>
          </w:p>
        </w:tc>
        <w:tc>
          <w:tcPr/>
          <w:p>
            <w:pPr>
              <w:pStyle w:val="Compact"/>
              <w:jc w:val="left"/>
            </w:pPr>
            <w:r>
              <w:t xml:space="preserve">Sandbox, Dev, Prod</w:t>
            </w:r>
          </w:p>
        </w:tc>
        <w:tc>
          <w:tcPr/>
          <w:p>
            <w:pPr>
              <w:pStyle w:val="Compact"/>
              <w:jc w:val="left"/>
            </w:pPr>
            <w:r>
              <w:rPr>
                <w:rStyle w:val="VerbatimChar"/>
              </w:rPr>
              <w:t xml:space="preserve">st</w:t>
            </w:r>
            <w:r>
              <w:t xml:space="preserve">, state bucket;</w:t>
            </w:r>
            <w:r>
              <w:t xml:space="preserve"> </w:t>
            </w:r>
            <w:r>
              <w:rPr>
                <w:rStyle w:val="VerbatimChar"/>
              </w:rPr>
              <w:t xml:space="preserve">aicoesandox</w:t>
            </w:r>
          </w:p>
        </w:tc>
        <w:tc>
          <w:tcPr/>
          <w:p>
            <w:pPr>
              <w:pStyle w:val="Compact"/>
              <w:jc w:val="left"/>
            </w:pPr>
            <w:r>
              <w:rPr>
                <w:rStyle w:val="VerbatimChar"/>
              </w:rPr>
              <w:t xml:space="preserve">2-foundations</w:t>
            </w:r>
            <w:r>
              <w:t xml:space="preserve">;</w:t>
            </w:r>
            <w:r>
              <w:t xml:space="preserve"> </w:t>
            </w:r>
            <w:r>
              <w:rPr>
                <w:rStyle w:val="VerbatimChar"/>
              </w:rPr>
              <w:t xml:space="preserve">0-bootstrap</w:t>
            </w:r>
            <w:r>
              <w:t xml:space="preserve"> </w:t>
            </w:r>
            <w:r>
              <w:t xml:space="preserve">for the state bucket in</w:t>
            </w:r>
            <w:r>
              <w:t xml:space="preserve"> </w:t>
            </w:r>
            <w:r>
              <w:rPr>
                <w:rStyle w:val="VerbatimChar"/>
              </w:rPr>
              <w:t xml:space="preserve">aicoe-sharedwif</w:t>
            </w:r>
          </w:p>
        </w:tc>
      </w:tr>
      <w:tr>
        <w:tc>
          <w:tcPr/>
          <w:p>
            <w:pPr>
              <w:pStyle w:val="Compact"/>
              <w:jc w:val="left"/>
            </w:pPr>
            <w:r>
              <w:t xml:space="preserve">BigQuery</w:t>
            </w:r>
          </w:p>
        </w:tc>
        <w:tc>
          <w:tcPr/>
          <w:p>
            <w:pPr>
              <w:pStyle w:val="Compact"/>
              <w:jc w:val="left"/>
            </w:pPr>
            <w:r>
              <w:t xml:space="preserve">Usage and job telemetry; the log bucket’s linked analytics dataset</w:t>
            </w:r>
          </w:p>
        </w:tc>
        <w:tc>
          <w:tcPr/>
          <w:p>
            <w:pPr>
              <w:pStyle w:val="Compact"/>
              <w:jc w:val="left"/>
            </w:pPr>
            <w:r>
              <w:t xml:space="preserve">Sandbox, Dev, Prod</w:t>
            </w:r>
          </w:p>
        </w:tc>
        <w:tc>
          <w:tcPr/>
          <w:p>
            <w:pPr>
              <w:pStyle w:val="Compact"/>
              <w:jc w:val="left"/>
            </w:pPr>
            <w:r>
              <w:rPr>
                <w:rStyle w:val="VerbatimChar"/>
              </w:rPr>
              <w:t xml:space="preserve">st</w:t>
            </w:r>
            <w:r>
              <w:t xml:space="preserve">,</w:t>
            </w:r>
            <w:r>
              <w:t xml:space="preserve"> </w:t>
            </w:r>
            <w:r>
              <w:rPr>
                <w:rStyle w:val="VerbatimChar"/>
              </w:rPr>
              <w:t xml:space="preserve">auditlogs</w:t>
            </w:r>
            <w:r>
              <w:t xml:space="preserve">;</w:t>
            </w:r>
            <w:r>
              <w:t xml:space="preserve"> </w:t>
            </w:r>
            <w:r>
              <w:rPr>
                <w:rStyle w:val="VerbatimChar"/>
              </w:rPr>
              <w:t xml:space="preserve">aicoesandox</w:t>
            </w:r>
          </w:p>
        </w:tc>
        <w:tc>
          <w:tcPr/>
          <w:p>
            <w:pPr>
              <w:pStyle w:val="Compact"/>
              <w:jc w:val="left"/>
            </w:pPr>
            <w:r>
              <w:rPr>
                <w:rStyle w:val="VerbatimChar"/>
              </w:rPr>
              <w:t xml:space="preserve">2-foundations</w:t>
            </w:r>
          </w:p>
        </w:tc>
      </w:tr>
      <w:tr>
        <w:tc>
          <w:tcPr/>
          <w:p>
            <w:pPr>
              <w:pStyle w:val="Compact"/>
              <w:jc w:val="left"/>
            </w:pPr>
            <w:r>
              <w:t xml:space="preserve">Cloud KMS</w:t>
            </w:r>
          </w:p>
        </w:tc>
        <w:tc>
          <w:tcPr/>
          <w:p>
            <w:pPr>
              <w:pStyle w:val="Compact"/>
              <w:jc w:val="left"/>
            </w:pPr>
            <w:r>
              <w:t xml:space="preserve">CMEK across the platform, plus the Binary Authorization asymmetric signing key</w:t>
            </w:r>
          </w:p>
        </w:tc>
        <w:tc>
          <w:tcPr/>
          <w:p>
            <w:pPr>
              <w:pStyle w:val="Compact"/>
              <w:jc w:val="left"/>
            </w:pPr>
            <w:r>
              <w:t xml:space="preserve">Sandbox, Dev, Prod</w:t>
            </w:r>
          </w:p>
        </w:tc>
        <w:tc>
          <w:tcPr/>
          <w:p>
            <w:pPr>
              <w:pStyle w:val="Compact"/>
              <w:jc w:val="left"/>
            </w:pPr>
            <w:r>
              <w:t xml:space="preserve">All except the state-only key in</w:t>
            </w:r>
            <w:r>
              <w:t xml:space="preserve"> </w:t>
            </w:r>
            <w:r>
              <w:rPr>
                <w:rStyle w:val="VerbatimChar"/>
              </w:rPr>
              <w:t xml:space="preserve">aicoe-sharedwif</w:t>
            </w:r>
          </w:p>
        </w:tc>
        <w:tc>
          <w:tcPr/>
          <w:p>
            <w:pPr>
              <w:pStyle w:val="Compact"/>
              <w:jc w:val="left"/>
            </w:pPr>
            <w:r>
              <w:rPr>
                <w:rStyle w:val="VerbatimChar"/>
              </w:rPr>
              <w:t xml:space="preserve">0-bootstrap</w:t>
            </w:r>
            <w:r>
              <w:t xml:space="preserve"> </w:t>
            </w:r>
            <w:r>
              <w:t xml:space="preserve">(state key),</w:t>
            </w:r>
            <w:r>
              <w:t xml:space="preserve"> </w:t>
            </w:r>
            <w:r>
              <w:rPr>
                <w:rStyle w:val="VerbatimChar"/>
              </w:rPr>
              <w:t xml:space="preserve">4-apigee</w:t>
            </w:r>
            <w:r>
              <w:t xml:space="preserve">,</w:t>
            </w:r>
            <w:r>
              <w:t xml:space="preserve"> </w:t>
            </w:r>
            <w:r>
              <w:rPr>
                <w:rStyle w:val="VerbatimChar"/>
              </w:rPr>
              <w:t xml:space="preserve">2-foundations</w:t>
            </w:r>
          </w:p>
        </w:tc>
      </w:tr>
      <w:tr>
        <w:tc>
          <w:tcPr/>
          <w:p>
            <w:pPr>
              <w:pStyle w:val="Compact"/>
              <w:jc w:val="left"/>
            </w:pPr>
            <w:r>
              <w:t xml:space="preserve">Secret Manager</w:t>
            </w:r>
          </w:p>
        </w:tc>
        <w:tc>
          <w:tcPr/>
          <w:p>
            <w:pPr>
              <w:pStyle w:val="Compact"/>
              <w:jc w:val="left"/>
            </w:pPr>
            <w:r>
              <w:t xml:space="preserve">Certificates, the Entra client secret, Apigee credentials, session key reference</w:t>
            </w:r>
          </w:p>
        </w:tc>
        <w:tc>
          <w:tcPr/>
          <w:p>
            <w:pPr>
              <w:pStyle w:val="Compact"/>
              <w:jc w:val="left"/>
            </w:pPr>
            <w:r>
              <w:t xml:space="preserve">Sandbox, Dev, Prod</w:t>
            </w:r>
          </w:p>
        </w:tc>
        <w:tc>
          <w:tcPr/>
          <w:p>
            <w:pPr>
              <w:pStyle w:val="Compact"/>
              <w:jc w:val="left"/>
            </w:pPr>
            <w:r>
              <w:rPr>
                <w:rStyle w:val="VerbatimChar"/>
              </w:rPr>
              <w:t xml:space="preserve">st</w:t>
            </w:r>
            <w:r>
              <w:t xml:space="preserve">,</w:t>
            </w:r>
            <w:r>
              <w:t xml:space="preserve"> </w:t>
            </w:r>
            <w:r>
              <w:rPr>
                <w:rStyle w:val="VerbatimChar"/>
              </w:rPr>
              <w:t xml:space="preserve">aihub-ui</w:t>
            </w:r>
            <w:r>
              <w:t xml:space="preserve">;</w:t>
            </w:r>
            <w:r>
              <w:t xml:space="preserve"> </w:t>
            </w:r>
            <w:r>
              <w:rPr>
                <w:rStyle w:val="VerbatimChar"/>
              </w:rPr>
              <w:t xml:space="preserve">aicoesandox</w:t>
            </w:r>
          </w:p>
        </w:tc>
        <w:tc>
          <w:tcPr/>
          <w:p>
            <w:pPr>
              <w:pStyle w:val="Compact"/>
              <w:jc w:val="left"/>
            </w:pPr>
            <w:r>
              <w:rPr>
                <w:rStyle w:val="VerbatimChar"/>
              </w:rPr>
              <w:t xml:space="preserve">2-foundations</w:t>
            </w:r>
            <w:r>
              <w:t xml:space="preserve"> </w:t>
            </w:r>
            <w:r>
              <w:t xml:space="preserve">(containers), pipeline (versions)</w:t>
            </w:r>
          </w:p>
        </w:tc>
      </w:tr>
      <w:tr>
        <w:tc>
          <w:tcPr/>
          <w:p>
            <w:pPr>
              <w:pStyle w:val="Compact"/>
              <w:jc w:val="left"/>
            </w:pPr>
            <w:r>
              <w:t xml:space="preserve">Artifact Registry</w:t>
            </w:r>
          </w:p>
        </w:tc>
        <w:tc>
          <w:tcPr/>
          <w:p>
            <w:pPr>
              <w:pStyle w:val="Compact"/>
              <w:jc w:val="left"/>
            </w:pPr>
            <w:r>
              <w:t xml:space="preserve">Container images, CMEK, immutable tags</w:t>
            </w:r>
          </w:p>
        </w:tc>
        <w:tc>
          <w:tcPr/>
          <w:p>
            <w:pPr>
              <w:pStyle w:val="Compact"/>
              <w:jc w:val="left"/>
            </w:pPr>
            <w:r>
              <w:t xml:space="preserve">Sandbox, Dev, Prod</w:t>
            </w:r>
          </w:p>
        </w:tc>
        <w:tc>
          <w:tcPr/>
          <w:p>
            <w:pPr>
              <w:pStyle w:val="Compact"/>
              <w:jc w:val="left"/>
            </w:pPr>
            <w:r>
              <w:rPr>
                <w:rStyle w:val="VerbatimChar"/>
              </w:rPr>
              <w:t xml:space="preserve">aihub-ui</w:t>
            </w:r>
            <w:r>
              <w:t xml:space="preserve">,</w:t>
            </w:r>
            <w:r>
              <w:t xml:space="preserve"> </w:t>
            </w:r>
            <w:r>
              <w:rPr>
                <w:rStyle w:val="VerbatimChar"/>
              </w:rPr>
              <w:t xml:space="preserve">st</w:t>
            </w:r>
            <w:r>
              <w:t xml:space="preserve">;</w:t>
            </w:r>
            <w:r>
              <w:t xml:space="preserve"> </w:t>
            </w:r>
            <w:r>
              <w:rPr>
                <w:rStyle w:val="VerbatimChar"/>
              </w:rPr>
              <w:t xml:space="preserve">aicoesandox</w:t>
            </w:r>
          </w:p>
        </w:tc>
        <w:tc>
          <w:tcPr/>
          <w:p>
            <w:pPr>
              <w:pStyle w:val="Compact"/>
              <w:jc w:val="left"/>
            </w:pPr>
            <w:r>
              <w:rPr>
                <w:rStyle w:val="VerbatimChar"/>
              </w:rPr>
              <w:t xml:space="preserve">2-foundations</w:t>
            </w:r>
          </w:p>
        </w:tc>
      </w:tr>
      <w:tr>
        <w:tc>
          <w:tcPr/>
          <w:p>
            <w:pPr>
              <w:pStyle w:val="Compact"/>
              <w:jc w:val="left"/>
            </w:pPr>
            <w:r>
              <w:t xml:space="preserve">Binary Authorization</w:t>
            </w:r>
          </w:p>
        </w:tc>
        <w:tc>
          <w:tcPr/>
          <w:p>
            <w:pPr>
              <w:pStyle w:val="Compact"/>
              <w:jc w:val="left"/>
            </w:pPr>
            <w:r>
              <w:t xml:space="preserve">Attestor and enforce policy</w:t>
            </w:r>
          </w:p>
        </w:tc>
        <w:tc>
          <w:tcPr/>
          <w:p>
            <w:pPr>
              <w:pStyle w:val="Compact"/>
              <w:jc w:val="left"/>
            </w:pPr>
            <w:r>
              <w:t xml:space="preserve">Sandbox, Dev, Prod</w:t>
            </w:r>
          </w:p>
        </w:tc>
        <w:tc>
          <w:tcPr/>
          <w:p>
            <w:pPr>
              <w:pStyle w:val="Compact"/>
              <w:jc w:val="left"/>
            </w:pPr>
            <w:r>
              <w:rPr>
                <w:rStyle w:val="VerbatimChar"/>
              </w:rPr>
              <w:t xml:space="preserve">ingress</w:t>
            </w:r>
            <w:r>
              <w:t xml:space="preserve"> </w:t>
            </w:r>
            <w:r>
              <w:t xml:space="preserve">(attestor),</w:t>
            </w:r>
            <w:r>
              <w:t xml:space="preserve"> </w:t>
            </w:r>
            <w:r>
              <w:rPr>
                <w:rStyle w:val="VerbatimChar"/>
              </w:rPr>
              <w:t xml:space="preserve">aihub-ui</w:t>
            </w:r>
            <w:r>
              <w:t xml:space="preserve"> </w:t>
            </w:r>
            <w:r>
              <w:t xml:space="preserve">and</w:t>
            </w:r>
            <w:r>
              <w:t xml:space="preserve"> </w:t>
            </w:r>
            <w:r>
              <w:rPr>
                <w:rStyle w:val="VerbatimChar"/>
              </w:rPr>
              <w:t xml:space="preserve">st</w:t>
            </w:r>
            <w:r>
              <w:t xml:space="preserve"> </w:t>
            </w:r>
            <w:r>
              <w:t xml:space="preserve">(policy)</w:t>
            </w:r>
          </w:p>
        </w:tc>
        <w:tc>
          <w:tcPr/>
          <w:p>
            <w:pPr>
              <w:pStyle w:val="Compact"/>
              <w:jc w:val="left"/>
            </w:pPr>
            <w:r>
              <w:rPr>
                <w:rStyle w:val="VerbatimChar"/>
              </w:rPr>
              <w:t xml:space="preserve">2-foundations</w:t>
            </w:r>
          </w:p>
        </w:tc>
      </w:tr>
      <w:tr>
        <w:tc>
          <w:tcPr/>
          <w:p>
            <w:pPr>
              <w:pStyle w:val="Compact"/>
              <w:jc w:val="left"/>
            </w:pPr>
            <w:r>
              <w:t xml:space="preserve">Cloud Logging</w:t>
            </w:r>
          </w:p>
        </w:tc>
        <w:tc>
          <w:tcPr/>
          <w:p>
            <w:pPr>
              <w:pStyle w:val="Compact"/>
              <w:jc w:val="left"/>
            </w:pPr>
            <w:r>
              <w:t xml:space="preserve">400-day user-defined bucket, three folder sinks, folder audit configuration, log-based metrics</w:t>
            </w:r>
          </w:p>
        </w:tc>
        <w:tc>
          <w:tcPr/>
          <w:p>
            <w:pPr>
              <w:pStyle w:val="Compact"/>
              <w:jc w:val="left"/>
            </w:pPr>
            <w:r>
              <w:t xml:space="preserve">Sandbox, Dev, Prod</w:t>
            </w:r>
          </w:p>
        </w:tc>
        <w:tc>
          <w:tcPr/>
          <w:p>
            <w:pPr>
              <w:pStyle w:val="Compact"/>
              <w:jc w:val="left"/>
            </w:pPr>
            <w:r>
              <w:rPr>
                <w:rStyle w:val="VerbatimChar"/>
              </w:rPr>
              <w:t xml:space="preserve">auditlogs</w:t>
            </w:r>
            <w:r>
              <w:t xml:space="preserve">, folder</w:t>
            </w:r>
          </w:p>
        </w:tc>
        <w:tc>
          <w:tcPr/>
          <w:p>
            <w:pPr>
              <w:pStyle w:val="Compact"/>
              <w:jc w:val="left"/>
            </w:pPr>
            <w:r>
              <w:rPr>
                <w:rStyle w:val="VerbatimChar"/>
              </w:rPr>
              <w:t xml:space="preserve">2-foundations</w:t>
            </w:r>
          </w:p>
        </w:tc>
      </w:tr>
      <w:tr>
        <w:tc>
          <w:tcPr/>
          <w:p>
            <w:pPr>
              <w:pStyle w:val="Compact"/>
              <w:jc w:val="left"/>
            </w:pPr>
            <w:r>
              <w:t xml:space="preserve">Cloud Monitoring</w:t>
            </w:r>
          </w:p>
        </w:tc>
        <w:tc>
          <w:tcPr/>
          <w:p>
            <w:pPr>
              <w:pStyle w:val="Compact"/>
              <w:jc w:val="left"/>
            </w:pPr>
            <w:r>
              <w:t xml:space="preserve">Alerting policies and the synthetic end-to-end check</w:t>
            </w:r>
          </w:p>
        </w:tc>
        <w:tc>
          <w:tcPr/>
          <w:p>
            <w:pPr>
              <w:pStyle w:val="Compact"/>
              <w:jc w:val="left"/>
            </w:pPr>
            <w:r>
              <w:t xml:space="preserve">Sandbox, Dev, Prod</w:t>
            </w:r>
          </w:p>
        </w:tc>
        <w:tc>
          <w:tcPr/>
          <w:p>
            <w:pPr>
              <w:pStyle w:val="Compact"/>
              <w:jc w:val="left"/>
            </w:pPr>
            <w:r>
              <w:rPr>
                <w:rStyle w:val="VerbatimChar"/>
              </w:rPr>
              <w:t xml:space="preserve">auditlogs</w:t>
            </w:r>
          </w:p>
        </w:tc>
        <w:tc>
          <w:tcPr/>
          <w:p>
            <w:pPr>
              <w:pStyle w:val="Compact"/>
              <w:jc w:val="left"/>
            </w:pPr>
            <w:r>
              <w:rPr>
                <w:rStyle w:val="VerbatimChar"/>
              </w:rPr>
              <w:t xml:space="preserve">2-foundations</w:t>
            </w:r>
          </w:p>
        </w:tc>
      </w:tr>
      <w:tr>
        <w:tc>
          <w:tcPr/>
          <w:p>
            <w:pPr>
              <w:pStyle w:val="Compact"/>
              <w:jc w:val="left"/>
            </w:pPr>
            <w:r>
              <w:t xml:space="preserve">Pub/Sub</w:t>
            </w:r>
          </w:p>
        </w:tc>
        <w:tc>
          <w:tcPr/>
          <w:p>
            <w:pPr>
              <w:pStyle w:val="Compact"/>
              <w:jc w:val="left"/>
            </w:pPr>
            <w:r>
              <w:t xml:space="preserve">The security-log topic feeding Microsoft Sentinel</w:t>
            </w:r>
          </w:p>
        </w:tc>
        <w:tc>
          <w:tcPr/>
          <w:p>
            <w:pPr>
              <w:pStyle w:val="Compact"/>
              <w:jc w:val="left"/>
            </w:pPr>
            <w:r>
              <w:t xml:space="preserve">Sandbox, Dev, Prod</w:t>
            </w:r>
          </w:p>
        </w:tc>
        <w:tc>
          <w:tcPr/>
          <w:p>
            <w:pPr>
              <w:pStyle w:val="Compact"/>
              <w:jc w:val="left"/>
            </w:pPr>
            <w:r>
              <w:rPr>
                <w:rStyle w:val="VerbatimChar"/>
              </w:rPr>
              <w:t xml:space="preserve">auditlogs</w:t>
            </w:r>
          </w:p>
        </w:tc>
        <w:tc>
          <w:tcPr/>
          <w:p>
            <w:pPr>
              <w:pStyle w:val="Compact"/>
              <w:jc w:val="left"/>
            </w:pPr>
            <w:r>
              <w:rPr>
                <w:rStyle w:val="VerbatimChar"/>
              </w:rPr>
              <w:t xml:space="preserve">2-foundations</w:t>
            </w:r>
          </w:p>
        </w:tc>
      </w:tr>
      <w:tr>
        <w:tc>
          <w:tcPr/>
          <w:p>
            <w:pPr>
              <w:pStyle w:val="Compact"/>
              <w:jc w:val="left"/>
            </w:pPr>
            <w:r>
              <w:t xml:space="preserve">Workforce Identity Federation</w:t>
            </w:r>
          </w:p>
        </w:tc>
        <w:tc>
          <w:tcPr/>
          <w:p>
            <w:pPr>
              <w:pStyle w:val="Compact"/>
              <w:jc w:val="left"/>
            </w:pPr>
            <w:r>
              <w:t xml:space="preserve">Entra ID sign-in for people</w:t>
            </w:r>
          </w:p>
        </w:tc>
        <w:tc>
          <w:tcPr/>
          <w:p>
            <w:pPr>
              <w:pStyle w:val="Compact"/>
              <w:jc w:val="left"/>
            </w:pPr>
            <w:r>
              <w:t xml:space="preserve">Dev, Prod</w:t>
            </w:r>
          </w:p>
        </w:tc>
        <w:tc>
          <w:tcPr/>
          <w:p>
            <w:pPr>
              <w:pStyle w:val="Compact"/>
              <w:jc w:val="left"/>
            </w:pPr>
            <w:r>
              <w:t xml:space="preserve">Organisation</w:t>
            </w:r>
          </w:p>
        </w:tc>
        <w:tc>
          <w:tcPr/>
          <w:p>
            <w:pPr>
              <w:pStyle w:val="Compact"/>
              <w:jc w:val="left"/>
            </w:pPr>
            <w:r>
              <w:t xml:space="preserve">Provisioned outside Terraform</w:t>
            </w:r>
          </w:p>
        </w:tc>
      </w:tr>
      <w:tr>
        <w:tc>
          <w:tcPr/>
          <w:p>
            <w:pPr>
              <w:pStyle w:val="Compact"/>
              <w:jc w:val="left"/>
            </w:pPr>
            <w:r>
              <w:t xml:space="preserve">Workload Identity Federation</w:t>
            </w:r>
          </w:p>
        </w:tc>
        <w:tc>
          <w:tcPr/>
          <w:p>
            <w:pPr>
              <w:pStyle w:val="Compact"/>
              <w:jc w:val="left"/>
            </w:pPr>
            <w:r>
              <w:t xml:space="preserve">GitLab CI machine authentication</w:t>
            </w:r>
          </w:p>
        </w:tc>
        <w:tc>
          <w:tcPr/>
          <w:p>
            <w:pPr>
              <w:pStyle w:val="Compact"/>
              <w:jc w:val="left"/>
            </w:pPr>
            <w:r>
              <w:t xml:space="preserve">Sandbox, Dev, Prod</w:t>
            </w:r>
          </w:p>
        </w:tc>
        <w:tc>
          <w:tcPr/>
          <w:p>
            <w:pPr>
              <w:pStyle w:val="Compact"/>
              <w:jc w:val="left"/>
            </w:pPr>
            <w:r>
              <w:rPr>
                <w:rStyle w:val="VerbatimChar"/>
              </w:rPr>
              <w:t xml:space="preserve">aicoe-sharedwif</w:t>
            </w:r>
          </w:p>
        </w:tc>
        <w:tc>
          <w:tcPr/>
          <w:p>
            <w:pPr>
              <w:pStyle w:val="Compact"/>
              <w:jc w:val="left"/>
            </w:pPr>
            <w:r>
              <w:rPr>
                <w:rStyle w:val="VerbatimChar"/>
              </w:rPr>
              <w:t xml:space="preserve">0-bootstrap</w:t>
            </w:r>
            <w:r>
              <w:t xml:space="preserve"> </w:t>
            </w:r>
            <w:r>
              <w:t xml:space="preserve">— manual, once</w:t>
            </w:r>
          </w:p>
        </w:tc>
      </w:tr>
      <w:tr>
        <w:tc>
          <w:tcPr/>
          <w:p>
            <w:pPr>
              <w:pStyle w:val="Compact"/>
              <w:jc w:val="left"/>
            </w:pPr>
            <w:r>
              <w:t xml:space="preserve">Organisation Policy</w:t>
            </w:r>
          </w:p>
        </w:tc>
        <w:tc>
          <w:tcPr/>
          <w:p>
            <w:pPr>
              <w:pStyle w:val="Compact"/>
              <w:jc w:val="left"/>
            </w:pPr>
            <w:r>
              <w:t xml:space="preserve">Guardrails at the</w:t>
            </w:r>
            <w:r>
              <w:t xml:space="preserve"> </w:t>
            </w:r>
            <w:r>
              <w:rPr>
                <w:rStyle w:val="VerbatimChar"/>
              </w:rPr>
              <w:t xml:space="preserve">AI COE</w:t>
            </w:r>
            <w:r>
              <w:t xml:space="preserve"> </w:t>
            </w:r>
            <w:r>
              <w:t xml:space="preserve">folder, plus a hierarchical firewall policy at the same folder</w:t>
            </w:r>
          </w:p>
        </w:tc>
        <w:tc>
          <w:tcPr/>
          <w:p>
            <w:pPr>
              <w:pStyle w:val="Compact"/>
              <w:jc w:val="left"/>
            </w:pPr>
            <w:r>
              <w:t xml:space="preserve">Sandbox, Dev, Prod</w:t>
            </w:r>
          </w:p>
        </w:tc>
        <w:tc>
          <w:tcPr/>
          <w:p>
            <w:pPr>
              <w:pStyle w:val="Compact"/>
              <w:jc w:val="left"/>
            </w:pPr>
            <w:r>
              <w:t xml:space="preserve">Folder</w:t>
            </w:r>
          </w:p>
        </w:tc>
        <w:tc>
          <w:tcPr/>
          <w:p>
            <w:pPr>
              <w:pStyle w:val="Compact"/>
              <w:jc w:val="left"/>
            </w:pPr>
            <w:r>
              <w:rPr>
                <w:b/>
                <w:bCs/>
              </w:rPr>
              <w:t xml:space="preserve">Not Terraform-managed.</w:t>
            </w:r>
            <w:r>
              <w:t xml:space="preserve"> </w:t>
            </w:r>
            <w:r>
              <w:t xml:space="preserve">Applied and maintained directly by the Colt Cloud CoE Team</w:t>
            </w:r>
          </w:p>
        </w:tc>
      </w:tr>
      <w:tr>
        <w:tc>
          <w:tcPr/>
          <w:p>
            <w:pPr>
              <w:pStyle w:val="Compact"/>
              <w:jc w:val="left"/>
            </w:pPr>
            <w:r>
              <w:t xml:space="preserve">GitLab CI</w:t>
            </w:r>
          </w:p>
        </w:tc>
        <w:tc>
          <w:tcPr/>
          <w:p>
            <w:pPr>
              <w:pStyle w:val="Compact"/>
              <w:jc w:val="left"/>
            </w:pPr>
            <w:r>
              <w:t xml:space="preserve">Pipeline execution</w:t>
            </w:r>
          </w:p>
        </w:tc>
        <w:tc>
          <w:tcPr/>
          <w:p>
            <w:pPr>
              <w:pStyle w:val="Compact"/>
              <w:jc w:val="left"/>
            </w:pPr>
            <w:r>
              <w:t xml:space="preserve">Sandbox, Dev, Prod</w:t>
            </w:r>
          </w:p>
        </w:tc>
        <w:tc>
          <w:tcPr/>
          <w:p>
            <w:pPr>
              <w:pStyle w:val="Compact"/>
              <w:jc w:val="left"/>
            </w:pPr>
            <w:r>
              <w:t xml:space="preserve">External</w:t>
            </w:r>
          </w:p>
        </w:tc>
        <w:tc>
          <w:tcPr/>
          <w:p>
            <w:pPr>
              <w:pStyle w:val="Compact"/>
              <w:jc w:val="left"/>
            </w:pPr>
            <w:r>
              <w:t xml:space="preserve">External</w:t>
            </w:r>
          </w:p>
        </w:tc>
      </w:tr>
    </w:tbl>
    <w:p>
      <w:r>
        <w:pict>
          <v:rect style="width:0;height:1.5pt" o:hralign="center" o:hrstd="t" o:hr="t"/>
        </w:pict>
      </w:r>
    </w:p>
    <w:bookmarkEnd w:id="74"/>
    <w:bookmarkEnd w:id="75"/>
    <w:bookmarkStart w:id="109" w:name="networking"/>
    <w:p>
      <w:pPr>
        <w:pStyle w:val="Heading1"/>
      </w:pPr>
      <w:r>
        <w:t xml:space="preserve">5. Networking</w:t>
      </w:r>
    </w:p>
    <w:bookmarkStart w:id="76" w:name="network-models"/>
    <w:p>
      <w:pPr>
        <w:pStyle w:val="Heading2"/>
      </w:pPr>
      <w:r>
        <w:t xml:space="preserve">5.1 Network models</w:t>
      </w:r>
    </w:p>
    <w:p>
      <w:pPr>
        <w:pStyle w:val="FirstParagraph"/>
      </w:pPr>
      <w:r>
        <w:t xml:space="preserve">The two environments use different network models, and the difference is not cosmetic.</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pPr>
          </w:p>
        </w:tc>
        <w:tc>
          <w:tcPr>
            <w:shd w:val="clear" w:color="auto" w:fill="1F3864"/>
          </w:tcPr>
          <w:p>
            <w:pPr>
              <w:pStyle w:val="Compact"/>
              <w:jc w:val="left"/>
            </w:pPr>
            <w:r>
              <w:rPr>
                <w:b/>
                <w:color w:val="FFFFFF"/>
              </w:rPr>
              <w:t xml:space="preserve">Sandbox</w:t>
            </w:r>
          </w:p>
        </w:tc>
        <w:tc>
          <w:tcPr>
            <w:shd w:val="clear" w:color="auto" w:fill="1F3864"/>
          </w:tcPr>
          <w:p>
            <w:pPr>
              <w:pStyle w:val="Compact"/>
              <w:jc w:val="left"/>
            </w:pPr>
            <w:r>
              <w:rPr>
                <w:b/>
                <w:color w:val="FFFFFF"/>
              </w:rPr>
              <w:t xml:space="preserve">Dev and Prod</w:t>
            </w:r>
          </w:p>
        </w:tc>
      </w:tr>
      <w:tr>
        <w:tc>
          <w:tcPr/>
          <w:p>
            <w:pPr>
              <w:pStyle w:val="Compact"/>
              <w:jc w:val="left"/>
            </w:pPr>
            <w:r>
              <w:t xml:space="preserve">Model</w:t>
            </w:r>
          </w:p>
        </w:tc>
        <w:tc>
          <w:tcPr/>
          <w:p>
            <w:pPr>
              <w:pStyle w:val="Compact"/>
              <w:jc w:val="left"/>
            </w:pPr>
            <w:r>
              <w:t xml:space="preserve">One standalone custom-mode VPC inside one project</w:t>
            </w:r>
          </w:p>
        </w:tc>
        <w:tc>
          <w:tcPr/>
          <w:p>
            <w:pPr>
              <w:pStyle w:val="Compact"/>
              <w:jc w:val="left"/>
            </w:pPr>
            <w:r>
              <w:t xml:space="preserve">Shared VPC — one host project owns the network, service projects attach to it</w:t>
            </w:r>
          </w:p>
        </w:tc>
      </w:tr>
      <w:tr>
        <w:tc>
          <w:tcPr/>
          <w:p>
            <w:pPr>
              <w:pStyle w:val="Compact"/>
              <w:jc w:val="left"/>
            </w:pPr>
            <w:r>
              <w:t xml:space="preserve">Subnets</w:t>
            </w:r>
          </w:p>
        </w:tc>
        <w:tc>
          <w:tcPr/>
          <w:p>
            <w:pPr>
              <w:pStyle w:val="Compact"/>
              <w:jc w:val="left"/>
            </w:pPr>
            <w:r>
              <w:t xml:space="preserve">Two</w:t>
            </w:r>
          </w:p>
        </w:tc>
        <w:tc>
          <w:tcPr/>
          <w:p>
            <w:pPr>
              <w:pStyle w:val="Compact"/>
              <w:jc w:val="left"/>
            </w:pPr>
            <w:r>
              <w:t xml:space="preserve">Five</w:t>
            </w:r>
          </w:p>
        </w:tc>
      </w:tr>
      <w:tr>
        <w:tc>
          <w:tcPr/>
          <w:p>
            <w:pPr>
              <w:pStyle w:val="Compact"/>
              <w:jc w:val="left"/>
            </w:pPr>
            <w:r>
              <w:t xml:space="preserve">Internet egress</w:t>
            </w:r>
          </w:p>
        </w:tc>
        <w:tc>
          <w:tcPr/>
          <w:p>
            <w:pPr>
              <w:pStyle w:val="Compact"/>
              <w:jc w:val="left"/>
            </w:pPr>
            <w:r>
              <w:t xml:space="preserve">Cloud NAT, two reserved static addresses</w:t>
            </w:r>
          </w:p>
        </w:tc>
        <w:tc>
          <w:tcPr/>
          <w:p>
            <w:pPr>
              <w:pStyle w:val="Compact"/>
              <w:jc w:val="left"/>
            </w:pPr>
            <w:r>
              <w:t xml:space="preserve">None. Default-deny egress stands</w:t>
            </w:r>
          </w:p>
        </w:tc>
      </w:tr>
      <w:tr>
        <w:tc>
          <w:tcPr/>
          <w:p>
            <w:pPr>
              <w:pStyle w:val="Compact"/>
              <w:jc w:val="left"/>
            </w:pPr>
            <w:r>
              <w:t xml:space="preserve">User-reachable address</w:t>
            </w:r>
          </w:p>
        </w:tc>
        <w:tc>
          <w:tcPr/>
          <w:p>
            <w:pPr>
              <w:pStyle w:val="Compact"/>
              <w:jc w:val="left"/>
            </w:pPr>
            <w:r>
              <w:t xml:space="preserve">None routed from the Colt network; developers reach load balancers from inside</w:t>
            </w:r>
          </w:p>
        </w:tc>
        <w:tc>
          <w:tcPr/>
          <w:p>
            <w:pPr>
              <w:pStyle w:val="Compact"/>
              <w:jc w:val="left"/>
            </w:pPr>
            <w:r>
              <w:t xml:space="preserve">Exactly one —</w:t>
            </w:r>
            <w:r>
              <w:t xml:space="preserve"> </w:t>
            </w:r>
            <w:r>
              <w:rPr>
                <w:rStyle w:val="VerbatimChar"/>
              </w:rPr>
              <w:t xml:space="preserve">10.110.73.20</w:t>
            </w:r>
          </w:p>
        </w:tc>
      </w:tr>
      <w:tr>
        <w:tc>
          <w:tcPr/>
          <w:p>
            <w:pPr>
              <w:pStyle w:val="Compact"/>
              <w:jc w:val="left"/>
            </w:pPr>
            <w:r>
              <w:t xml:space="preserve">Google API access</w:t>
            </w:r>
          </w:p>
        </w:tc>
        <w:tc>
          <w:tcPr/>
          <w:p>
            <w:pPr>
              <w:pStyle w:val="Compact"/>
              <w:jc w:val="left"/>
            </w:pPr>
            <w:r>
              <w:t xml:space="preserve">PSC endpoint, Private Google Access off</w:t>
            </w:r>
          </w:p>
        </w:tc>
        <w:tc>
          <w:tcPr/>
          <w:p>
            <w:pPr>
              <w:pStyle w:val="Compact"/>
              <w:jc w:val="left"/>
            </w:pPr>
            <w:r>
              <w:t xml:space="preserve">PSC endpoint, Private Google Access off</w:t>
            </w:r>
          </w:p>
        </w:tc>
      </w:tr>
    </w:tbl>
    <w:bookmarkEnd w:id="76"/>
    <w:bookmarkStart w:id="77" w:name="shared-vpc-model-dev-and-prod"/>
    <w:p>
      <w:pPr>
        <w:pStyle w:val="Heading2"/>
      </w:pPr>
      <w:r>
        <w:t xml:space="preserve">5.2 Shared VPC model — Dev and Prod</w:t>
      </w:r>
    </w:p>
    <w:p>
      <w:pPr>
        <w:pStyle w:val="FirstParagraph"/>
      </w:pPr>
      <w:r>
        <w:t xml:space="preserve">One VPC in the network host project, with three service projects attached. Workloads in the service projects consume the host project’s subnets directly — no peering, no gateways, one set of firewall rules and one address plan.</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 (Dev)</w:t>
            </w:r>
          </w:p>
        </w:tc>
      </w:tr>
      <w:tr>
        <w:tc>
          <w:tcPr/>
          <w:p>
            <w:pPr>
              <w:pStyle w:val="Compact"/>
              <w:jc w:val="left"/>
            </w:pPr>
            <w:r>
              <w:t xml:space="preserve">VPC name</w:t>
            </w:r>
          </w:p>
        </w:tc>
        <w:tc>
          <w:tcPr/>
          <w:p>
            <w:pPr>
              <w:pStyle w:val="Compact"/>
              <w:jc w:val="left"/>
            </w:pPr>
            <w:r>
              <w:rPr>
                <w:rStyle w:val="VerbatimChar"/>
              </w:rPr>
              <w:t xml:space="preserve">gclt-aicoe-dev-vpc</w:t>
            </w:r>
          </w:p>
        </w:tc>
      </w:tr>
      <w:tr>
        <w:tc>
          <w:tcPr/>
          <w:p>
            <w:pPr>
              <w:pStyle w:val="Compact"/>
              <w:jc w:val="left"/>
            </w:pPr>
            <w:r>
              <w:t xml:space="preserve">Subnet creation mode</w:t>
            </w:r>
          </w:p>
        </w:tc>
        <w:tc>
          <w:tcPr/>
          <w:p>
            <w:pPr>
              <w:pStyle w:val="Compact"/>
              <w:jc w:val="left"/>
            </w:pPr>
            <w:r>
              <w:t xml:space="preserve">Custom</w:t>
            </w:r>
          </w:p>
        </w:tc>
      </w:tr>
      <w:tr>
        <w:tc>
          <w:tcPr/>
          <w:p>
            <w:pPr>
              <w:pStyle w:val="Compact"/>
              <w:jc w:val="left"/>
            </w:pPr>
            <w:r>
              <w:t xml:space="preserve">Dynamic routing mode</w:t>
            </w:r>
          </w:p>
        </w:tc>
        <w:tc>
          <w:tcPr/>
          <w:p>
            <w:pPr>
              <w:pStyle w:val="Compact"/>
              <w:jc w:val="left"/>
            </w:pPr>
            <w:r>
              <w:t xml:space="preserve">Regional</w:t>
            </w:r>
          </w:p>
        </w:tc>
      </w:tr>
      <w:tr>
        <w:tc>
          <w:tcPr/>
          <w:p>
            <w:pPr>
              <w:pStyle w:val="Compact"/>
              <w:jc w:val="left"/>
            </w:pPr>
            <w:r>
              <w:rPr>
                <w:b/>
                <w:bCs/>
              </w:rPr>
              <w:t xml:space="preserve">Private Google Access</w:t>
            </w:r>
          </w:p>
        </w:tc>
        <w:tc>
          <w:tcPr/>
          <w:p>
            <w:pPr>
              <w:pStyle w:val="Compact"/>
              <w:jc w:val="left"/>
            </w:pPr>
            <w:r>
              <w:rPr>
                <w:b/>
                <w:bCs/>
              </w:rPr>
              <w:t xml:space="preserve">Off</w:t>
            </w:r>
          </w:p>
        </w:tc>
      </w:tr>
      <w:tr>
        <w:tc>
          <w:tcPr/>
          <w:p>
            <w:pPr>
              <w:pStyle w:val="Compact"/>
              <w:jc w:val="left"/>
            </w:pPr>
            <w:r>
              <w:t xml:space="preserve">Flow logs</w:t>
            </w:r>
          </w:p>
        </w:tc>
        <w:tc>
          <w:tcPr/>
          <w:p>
            <w:pPr>
              <w:pStyle w:val="Compact"/>
              <w:jc w:val="left"/>
            </w:pPr>
            <w:r>
              <w:t xml:space="preserve">On, sample rate</w:t>
            </w:r>
            <w:r>
              <w:t xml:space="preserve"> </w:t>
            </w:r>
            <w:r>
              <w:rPr>
                <w:rStyle w:val="VerbatimChar"/>
              </w:rPr>
              <w:t xml:space="preserve">0.1</w:t>
            </w:r>
            <w:r>
              <w:t xml:space="preserve">, aggregation interval 15 minutes</w:t>
            </w:r>
          </w:p>
        </w:tc>
      </w:tr>
      <w:tr>
        <w:tc>
          <w:tcPr/>
          <w:p>
            <w:pPr>
              <w:pStyle w:val="Compact"/>
              <w:jc w:val="left"/>
            </w:pPr>
            <w:r>
              <w:t xml:space="preserve">Host project</w:t>
            </w:r>
          </w:p>
        </w:tc>
        <w:tc>
          <w:tcPr/>
          <w:p>
            <w:pPr>
              <w:pStyle w:val="Compact"/>
              <w:jc w:val="left"/>
            </w:pPr>
            <w:r>
              <w:rPr>
                <w:rStyle w:val="VerbatimChar"/>
              </w:rPr>
              <w:t xml:space="preserve">gclt-aicoe-dev-network</w:t>
            </w:r>
          </w:p>
        </w:tc>
      </w:tr>
      <w:tr>
        <w:tc>
          <w:tcPr/>
          <w:p>
            <w:pPr>
              <w:pStyle w:val="Compact"/>
              <w:jc w:val="left"/>
            </w:pPr>
            <w:r>
              <w:t xml:space="preserve">Attached service projects</w:t>
            </w:r>
          </w:p>
        </w:tc>
        <w:tc>
          <w:tcPr/>
          <w:p>
            <w:pPr>
              <w:pStyle w:val="Compact"/>
              <w:jc w:val="left"/>
            </w:pPr>
            <w:r>
              <w:rPr>
                <w:rStyle w:val="VerbatimChar"/>
              </w:rPr>
              <w:t xml:space="preserve">gclt-aicoe-dev-ingress</w:t>
            </w:r>
            <w:r>
              <w:t xml:space="preserve">,</w:t>
            </w:r>
            <w:r>
              <w:t xml:space="preserve"> </w:t>
            </w:r>
            <w:r>
              <w:rPr>
                <w:rStyle w:val="VerbatimChar"/>
              </w:rPr>
              <w:t xml:space="preserve">gclt-aicoe-dev-aihub-ui</w:t>
            </w:r>
            <w:r>
              <w:t xml:space="preserve">,</w:t>
            </w:r>
            <w:r>
              <w:t xml:space="preserve"> </w:t>
            </w:r>
            <w:r>
              <w:rPr>
                <w:rStyle w:val="VerbatimChar"/>
              </w:rPr>
              <w:t xml:space="preserve">gclt-aicoe-dev-st</w:t>
            </w:r>
          </w:p>
        </w:tc>
      </w:tr>
      <w:tr>
        <w:tc>
          <w:tcPr/>
          <w:p>
            <w:pPr>
              <w:pStyle w:val="Compact"/>
              <w:jc w:val="left"/>
            </w:pPr>
            <w:r>
              <w:t xml:space="preserve">Not attached</w:t>
            </w:r>
          </w:p>
        </w:tc>
        <w:tc>
          <w:tcPr/>
          <w:p>
            <w:pPr>
              <w:pStyle w:val="Compact"/>
              <w:jc w:val="left"/>
            </w:pPr>
            <w:r>
              <w:rPr>
                <w:rStyle w:val="VerbatimChar"/>
              </w:rPr>
              <w:t xml:space="preserve">gclt-aicoe-dev-apigee</w:t>
            </w:r>
            <w:r>
              <w:t xml:space="preserve"> </w:t>
            </w:r>
            <w:r>
              <w:t xml:space="preserve">(reaches the platform over PSC),</w:t>
            </w:r>
            <w:r>
              <w:t xml:space="preserve"> </w:t>
            </w:r>
            <w:r>
              <w:rPr>
                <w:rStyle w:val="VerbatimChar"/>
              </w:rPr>
              <w:t xml:space="preserve">gclt-aicoe-dev-llm</w:t>
            </w:r>
            <w:r>
              <w:t xml:space="preserve"> </w:t>
            </w:r>
            <w:r>
              <w:t xml:space="preserve">(no compute),</w:t>
            </w:r>
            <w:r>
              <w:t xml:space="preserve"> </w:t>
            </w:r>
            <w:r>
              <w:rPr>
                <w:rStyle w:val="VerbatimChar"/>
              </w:rPr>
              <w:t xml:space="preserve">gclt-aicoe-dev-auditlogs</w:t>
            </w:r>
            <w:r>
              <w:t xml:space="preserve">,</w:t>
            </w:r>
            <w:r>
              <w:t xml:space="preserve"> </w:t>
            </w:r>
            <w:r>
              <w:rPr>
                <w:rStyle w:val="VerbatimChar"/>
              </w:rPr>
              <w:t xml:space="preserve">aicoe-sharedwif</w:t>
            </w:r>
          </w:p>
        </w:tc>
      </w:tr>
    </w:tbl>
    <w:p>
      <w:pPr>
        <w:pStyle w:val="BodyText"/>
      </w:pPr>
      <w:r>
        <w:rPr>
          <w:b/>
          <w:bCs/>
        </w:rPr>
        <w:t xml:space="preserve">Why Private Google Access is off.</w:t>
      </w:r>
      <w:r>
        <w:t xml:space="preserve"> </w:t>
      </w:r>
      <w:r>
        <w:t xml:space="preserve">Every call to a Google API must travel through one endpoint the platform controls, so it can be logged and restricted at a single point. Private Google Access would give workloads a second, invisible route to the same APIs.</w:t>
      </w:r>
    </w:p>
    <w:p>
      <w:pPr>
        <w:pStyle w:val="BodyText"/>
      </w:pPr>
      <w:r>
        <w:rPr>
          <w:b/>
          <w:bCs/>
        </w:rPr>
        <w:t xml:space="preserve">Why flow logs are sampled.</w:t>
      </w:r>
      <w:r>
        <w:t xml:space="preserve"> </w:t>
      </w:r>
      <w:r>
        <w:t xml:space="preserve">Full-rate flow logs on a busy subnet can cost more than the workload. 10% sampling with a 15-minute aggregation interval still shows traffic patterns and denied connections.</w:t>
      </w:r>
    </w:p>
    <w:p>
      <w:pPr>
        <w:pStyle w:val="BodyText"/>
      </w:pPr>
      <w:r>
        <w:rPr>
          <w:b/>
          <w:bCs/>
        </w:rPr>
        <w:t xml:space="preserve">A permission that is easy to miss.</w:t>
      </w:r>
      <w:r>
        <w:t xml:space="preserve"> </w:t>
      </w:r>
      <w:r>
        <w:t xml:space="preserve">Creating a Private Service Connect endpoint</w:t>
      </w:r>
      <w:r>
        <w:t xml:space="preserve"> </w:t>
      </w:r>
      <w:r>
        <w:rPr>
          <w:b/>
          <w:bCs/>
        </w:rPr>
        <w:t xml:space="preserve">in a service project against a subnet in the host project</w:t>
      </w:r>
      <w:r>
        <w:t xml:space="preserve"> </w:t>
      </w:r>
      <w:r>
        <w:t xml:space="preserve">needs additional roles granted</w:t>
      </w:r>
      <w:r>
        <w:t xml:space="preserve"> </w:t>
      </w:r>
      <w:r>
        <w:rPr>
          <w:b/>
          <w:bCs/>
        </w:rPr>
        <w:t xml:space="preserve">on the host project</w:t>
      </w:r>
      <w:r>
        <w:t xml:space="preserve">, not just the service project. Three of the four PSC flows described in Private Service Connect below do this.</w:t>
      </w:r>
    </w:p>
    <w:bookmarkEnd w:id="77"/>
    <w:bookmarkStart w:id="78" w:name="sandbox-standalone-vpc-1"/>
    <w:p>
      <w:pPr>
        <w:pStyle w:val="Heading2"/>
      </w:pPr>
      <w:r>
        <w:t xml:space="preserve">5.3 Sandbox standalone VPC</w:t>
      </w:r>
    </w:p>
    <w:p>
      <w:pPr>
        <w:pStyle w:val="FirstParagraph"/>
      </w:pPr>
      <w:r>
        <w:t xml:space="preserve">Sandbox owns its network outright. There is no host project and nothing to attach, because there is only one project.</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w:t>
            </w:r>
          </w:p>
        </w:tc>
      </w:tr>
      <w:tr>
        <w:tc>
          <w:tcPr/>
          <w:p>
            <w:pPr>
              <w:pStyle w:val="Compact"/>
              <w:jc w:val="left"/>
            </w:pPr>
            <w:r>
              <w:t xml:space="preserve">VPC name</w:t>
            </w:r>
          </w:p>
        </w:tc>
        <w:tc>
          <w:tcPr/>
          <w:p>
            <w:pPr>
              <w:pStyle w:val="Compact"/>
              <w:jc w:val="left"/>
            </w:pPr>
            <w:r>
              <w:rPr>
                <w:rStyle w:val="VerbatimChar"/>
              </w:rPr>
              <w:t xml:space="preserve">aicoesandox-vpc</w:t>
            </w:r>
          </w:p>
        </w:tc>
      </w:tr>
      <w:tr>
        <w:tc>
          <w:tcPr/>
          <w:p>
            <w:pPr>
              <w:pStyle w:val="Compact"/>
              <w:jc w:val="left"/>
            </w:pPr>
            <w:r>
              <w:t xml:space="preserve">Project</w:t>
            </w:r>
          </w:p>
        </w:tc>
        <w:tc>
          <w:tcPr/>
          <w:p>
            <w:pPr>
              <w:pStyle w:val="Compact"/>
              <w:jc w:val="left"/>
            </w:pPr>
            <w:r>
              <w:rPr>
                <w:rStyle w:val="VerbatimChar"/>
              </w:rPr>
              <w:t xml:space="preserve">aicoesandox</w:t>
            </w:r>
          </w:p>
        </w:tc>
      </w:tr>
      <w:tr>
        <w:tc>
          <w:tcPr/>
          <w:p>
            <w:pPr>
              <w:pStyle w:val="Compact"/>
              <w:jc w:val="left"/>
            </w:pPr>
            <w:r>
              <w:t xml:space="preserve">Subnet creation mode</w:t>
            </w:r>
          </w:p>
        </w:tc>
        <w:tc>
          <w:tcPr/>
          <w:p>
            <w:pPr>
              <w:pStyle w:val="Compact"/>
              <w:jc w:val="left"/>
            </w:pPr>
            <w:r>
              <w:t xml:space="preserve">Custom</w:t>
            </w:r>
          </w:p>
        </w:tc>
      </w:tr>
      <w:tr>
        <w:tc>
          <w:tcPr/>
          <w:p>
            <w:pPr>
              <w:pStyle w:val="Compact"/>
              <w:jc w:val="left"/>
            </w:pPr>
            <w:r>
              <w:t xml:space="preserve">Dynamic routing mode</w:t>
            </w:r>
          </w:p>
        </w:tc>
        <w:tc>
          <w:tcPr/>
          <w:p>
            <w:pPr>
              <w:pStyle w:val="Compact"/>
              <w:jc w:val="left"/>
            </w:pPr>
            <w:r>
              <w:t xml:space="preserve">Regional</w:t>
            </w:r>
          </w:p>
        </w:tc>
      </w:tr>
      <w:tr>
        <w:tc>
          <w:tcPr/>
          <w:p>
            <w:pPr>
              <w:pStyle w:val="Compact"/>
              <w:jc w:val="left"/>
            </w:pPr>
            <w:r>
              <w:rPr>
                <w:b/>
                <w:bCs/>
              </w:rPr>
              <w:t xml:space="preserve">Private Google Access</w:t>
            </w:r>
          </w:p>
        </w:tc>
        <w:tc>
          <w:tcPr/>
          <w:p>
            <w:pPr>
              <w:pStyle w:val="Compact"/>
              <w:jc w:val="left"/>
            </w:pPr>
            <w:r>
              <w:rPr>
                <w:b/>
                <w:bCs/>
              </w:rPr>
              <w:t xml:space="preserve">Off</w:t>
            </w:r>
            <w:r>
              <w:t xml:space="preserve"> </w:t>
            </w:r>
            <w:r>
              <w:t xml:space="preserve">— same reasoning as Dev</w:t>
            </w:r>
          </w:p>
        </w:tc>
      </w:tr>
      <w:tr>
        <w:tc>
          <w:tcPr/>
          <w:p>
            <w:pPr>
              <w:pStyle w:val="Compact"/>
              <w:jc w:val="left"/>
            </w:pPr>
            <w:r>
              <w:t xml:space="preserve">Flow logs</w:t>
            </w:r>
          </w:p>
        </w:tc>
        <w:tc>
          <w:tcPr/>
          <w:p>
            <w:pPr>
              <w:pStyle w:val="Compact"/>
              <w:jc w:val="left"/>
            </w:pPr>
            <w:r>
              <w:t xml:space="preserve">On, sample rate</w:t>
            </w:r>
            <w:r>
              <w:t xml:space="preserve"> </w:t>
            </w:r>
            <w:r>
              <w:rPr>
                <w:rStyle w:val="VerbatimChar"/>
              </w:rPr>
              <w:t xml:space="preserve">0.1</w:t>
            </w:r>
            <w:r>
              <w:t xml:space="preserve">, aggregation interval 15 minutes</w:t>
            </w:r>
          </w:p>
        </w:tc>
      </w:tr>
      <w:tr>
        <w:tc>
          <w:tcPr/>
          <w:p>
            <w:pPr>
              <w:pStyle w:val="Compact"/>
              <w:jc w:val="left"/>
            </w:pPr>
            <w:r>
              <w:t xml:space="preserve">Internet egress</w:t>
            </w:r>
          </w:p>
        </w:tc>
        <w:tc>
          <w:tcPr/>
          <w:p>
            <w:pPr>
              <w:pStyle w:val="Compact"/>
              <w:jc w:val="left"/>
            </w:pPr>
            <w:r>
              <w:t xml:space="preserve">Cloud Router and Cloud NAT with two reserved static addresses</w:t>
            </w:r>
          </w:p>
        </w:tc>
      </w:tr>
    </w:tbl>
    <w:p>
      <w:pPr>
        <w:pStyle w:val="BodyText"/>
      </w:pPr>
      <w:r>
        <w:rPr>
          <w:b/>
          <w:bCs/>
        </w:rPr>
        <w:t xml:space="preserve">Why Sandbox is not attached to the Shared VPC.</w:t>
      </w:r>
      <w:r>
        <w:t xml:space="preserve"> </w:t>
      </w:r>
      <w:r>
        <w:t xml:space="preserve">A Sandbox workload is by definition unproven. Attaching it to the platform network would place experimental code inside the same firewall and routing domain as the platform, and a Shared VPC attachment cannot be scoped to</w:t>
      </w:r>
      <w:r>
        <w:t xml:space="preserve"> </w:t>
      </w:r>
      <w:r>
        <w:t xml:space="preserve">“</w:t>
      </w:r>
      <w:r>
        <w:t xml:space="preserve">only this subnet, only these rules</w:t>
      </w:r>
      <w:r>
        <w:t xml:space="preserve">”</w:t>
      </w:r>
      <w:r>
        <w:t xml:space="preserve">. Keeping Sandbox in its own VPC means a mistake there has no path into Dev.</w:t>
      </w:r>
    </w:p>
    <w:bookmarkEnd w:id="78"/>
    <w:bookmarkStart w:id="84" w:name="ip-addressing-plan"/>
    <w:p>
      <w:pPr>
        <w:pStyle w:val="Heading2"/>
      </w:pPr>
      <w:r>
        <w:t xml:space="preserve">5.4 IP addressing plan</w:t>
      </w:r>
    </w:p>
    <w:bookmarkStart w:id="79" w:name="X9507d4eb26c6a0b9fb08269d1fa34470463347c"/>
    <w:p>
      <w:pPr>
        <w:pStyle w:val="Heading3"/>
      </w:pPr>
      <w:r>
        <w:t xml:space="preserve">5.4.1 The two ranges in Dev, and why the split is a security control</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Range</w:t>
            </w:r>
          </w:p>
        </w:tc>
        <w:tc>
          <w:tcPr>
            <w:shd w:val="clear" w:color="auto" w:fill="1F3864"/>
          </w:tcPr>
          <w:p>
            <w:pPr>
              <w:pStyle w:val="Compact"/>
              <w:jc w:val="left"/>
            </w:pPr>
            <w:r>
              <w:rPr>
                <w:b/>
                <w:color w:val="FFFFFF"/>
              </w:rPr>
              <w:t xml:space="preserve">Routed from the Colt network?</w:t>
            </w:r>
          </w:p>
        </w:tc>
        <w:tc>
          <w:tcPr>
            <w:shd w:val="clear" w:color="auto" w:fill="1F3864"/>
          </w:tcPr>
          <w:p>
            <w:pPr>
              <w:pStyle w:val="Compact"/>
              <w:jc w:val="left"/>
            </w:pPr>
            <w:r>
              <w:rPr>
                <w:b/>
                <w:color w:val="FFFFFF"/>
              </w:rPr>
              <w:t xml:space="preserve">Contents</w:t>
            </w:r>
          </w:p>
        </w:tc>
      </w:tr>
      <w:tr>
        <w:tc>
          <w:tcPr/>
          <w:p>
            <w:pPr>
              <w:pStyle w:val="Compact"/>
              <w:jc w:val="left"/>
            </w:pPr>
            <w:r>
              <w:rPr>
                <w:rStyle w:val="VerbatimChar"/>
              </w:rPr>
              <w:t xml:space="preserve">10.110.73.0/24</w:t>
            </w:r>
          </w:p>
        </w:tc>
        <w:tc>
          <w:tcPr/>
          <w:p>
            <w:pPr>
              <w:pStyle w:val="Compact"/>
              <w:jc w:val="left"/>
            </w:pPr>
            <w:r>
              <w:rPr>
                <w:b/>
                <w:bCs/>
              </w:rPr>
              <w:t xml:space="preserve">Yes.</w:t>
            </w:r>
            <w:r>
              <w:t xml:space="preserve"> </w:t>
            </w:r>
            <w:r>
              <w:t xml:space="preserve">Colt routes it; CSOC opens the firewall for individual addresses on request</w:t>
            </w:r>
          </w:p>
        </w:tc>
        <w:tc>
          <w:tcPr/>
          <w:p>
            <w:pPr>
              <w:pStyle w:val="Compact"/>
              <w:jc w:val="left"/>
            </w:pPr>
            <w:r>
              <w:rPr>
                <w:b/>
                <w:bCs/>
              </w:rPr>
              <w:t xml:space="preserve">Only</w:t>
            </w:r>
            <w:r>
              <w:t xml:space="preserve"> </w:t>
            </w:r>
            <w:r>
              <w:t xml:space="preserve">addresses real users must reach. Today exactly one:</w:t>
            </w:r>
            <w:r>
              <w:t xml:space="preserve"> </w:t>
            </w:r>
            <w:r>
              <w:rPr>
                <w:rStyle w:val="VerbatimChar"/>
              </w:rPr>
              <w:t xml:space="preserve">10.110.73.20</w:t>
            </w:r>
          </w:p>
        </w:tc>
      </w:tr>
      <w:tr>
        <w:tc>
          <w:tcPr/>
          <w:p>
            <w:pPr>
              <w:pStyle w:val="Compact"/>
              <w:jc w:val="left"/>
            </w:pPr>
            <w:r>
              <w:rPr>
                <w:rStyle w:val="VerbatimChar"/>
              </w:rPr>
              <w:t xml:space="preserve">192.168.4.0/22</w:t>
            </w:r>
          </w:p>
        </w:tc>
        <w:tc>
          <w:tcPr/>
          <w:p>
            <w:pPr>
              <w:pStyle w:val="Compact"/>
              <w:jc w:val="left"/>
            </w:pPr>
            <w:r>
              <w:rPr>
                <w:b/>
                <w:bCs/>
              </w:rPr>
              <w:t xml:space="preserve">No.</w:t>
            </w:r>
            <w:r>
              <w:t xml:space="preserve"> </w:t>
            </w:r>
            <w:r>
              <w:t xml:space="preserve">There is no route from the Colt network into it</w:t>
            </w:r>
          </w:p>
        </w:tc>
        <w:tc>
          <w:tcPr/>
          <w:p>
            <w:pPr>
              <w:pStyle w:val="Compact"/>
              <w:jc w:val="left"/>
            </w:pPr>
            <w:r>
              <w:t xml:space="preserve">Everything else — Cloud Run instances, load balancer machinery, every PSC endpoint</w:t>
            </w:r>
          </w:p>
        </w:tc>
      </w:tr>
    </w:tbl>
    <w:p>
      <w:pPr>
        <w:pStyle w:val="BodyText"/>
      </w:pPr>
      <w:r>
        <w:t xml:space="preserve">The separation is a security control rather than an addressing convention. An address in the unrouted range remains unreachable from the corporate network</w:t>
      </w:r>
      <w:r>
        <w:t xml:space="preserve"> </w:t>
      </w:r>
      <w:r>
        <w:rPr>
          <w:b/>
          <w:bCs/>
        </w:rPr>
        <w:t xml:space="preserve">even if a firewall rule is opened in error</w:t>
      </w:r>
      <w:r>
        <w:t xml:space="preserve">, because no route exists to carry the traffic.</w:t>
      </w:r>
    </w:p>
    <w:p>
      <w:pPr>
        <w:pStyle w:val="BodyText"/>
      </w:pPr>
      <w:r>
        <w:t xml:space="preserve">Sandbox has no equivalent split, because it has no user-routed range at all — every Sandbox address is machine-only and reached from inside the VPC.</w:t>
      </w:r>
    </w:p>
    <w:p>
      <w:pPr>
        <w:pStyle w:val="BodyText"/>
      </w:pPr>
      <w:r>
        <w:rPr>
          <w:b/>
          <w:bCs/>
        </w:rPr>
        <w:t xml:space="preserve">Why a</w:t>
      </w:r>
      <w:r>
        <w:rPr>
          <w:b/>
          <w:bCs/>
        </w:rPr>
        <w:t xml:space="preserve"> </w:t>
      </w:r>
      <w:r>
        <w:rPr>
          <w:rStyle w:val="VerbatimChar"/>
          <w:b/>
          <w:bCs/>
        </w:rPr>
        <w:t xml:space="preserve">/22</w:t>
      </w:r>
      <w:r>
        <w:rPr>
          <w:b/>
          <w:bCs/>
        </w:rPr>
        <w:t xml:space="preserve"> </w:t>
      </w:r>
      <w:r>
        <w:rPr>
          <w:b/>
          <w:bCs/>
        </w:rPr>
        <w:t xml:space="preserve">and not a</w:t>
      </w:r>
      <w:r>
        <w:rPr>
          <w:b/>
          <w:bCs/>
        </w:rPr>
        <w:t xml:space="preserve"> </w:t>
      </w:r>
      <w:r>
        <w:rPr>
          <w:rStyle w:val="VerbatimChar"/>
          <w:b/>
          <w:bCs/>
        </w:rPr>
        <w:t xml:space="preserve">/24</w:t>
      </w:r>
      <w:r>
        <w:rPr>
          <w:b/>
          <w:bCs/>
        </w:rPr>
        <w:t xml:space="preserve">.</w:t>
      </w:r>
      <w:r>
        <w:t xml:space="preserve"> </w:t>
      </w:r>
      <w:r>
        <w:t xml:space="preserve">The unrouted range is sized for the use cases that will be added to Development after Day 1, not only for the five services built here. A</w:t>
      </w:r>
      <w:r>
        <w:t xml:space="preserve"> </w:t>
      </w:r>
      <w:r>
        <w:rPr>
          <w:rStyle w:val="VerbatimChar"/>
        </w:rPr>
        <w:t xml:space="preserve">/22</w:t>
      </w:r>
      <w:r>
        <w:t xml:space="preserve"> </w:t>
      </w:r>
      <w:r>
        <w:t xml:space="preserve">carries 1,024 addresses against the roughly 100 the Day-1 platform consumes, so a new use case can be given its own workload subnet without renumbering anything that already exists — and, per I7 (Development subnet ranges), renumbering after the fact is the outcome the size is chosen to avoid.</w:t>
      </w:r>
    </w:p>
    <w:bookmarkEnd w:id="79"/>
    <w:bookmarkStart w:id="80" w:name="dev-subnets"/>
    <w:p>
      <w:pPr>
        <w:pStyle w:val="Heading3"/>
      </w:pPr>
      <w:r>
        <w:t xml:space="preserve">5.4.2 Dev subnets</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Subnet name</w:t>
            </w:r>
          </w:p>
        </w:tc>
        <w:tc>
          <w:tcPr>
            <w:shd w:val="clear" w:color="auto" w:fill="1F3864"/>
          </w:tcPr>
          <w:p>
            <w:pPr>
              <w:pStyle w:val="Compact"/>
              <w:jc w:val="left"/>
            </w:pPr>
            <w:r>
              <w:rPr>
                <w:b/>
                <w:color w:val="FFFFFF"/>
              </w:rPr>
              <w:t xml:space="preserve">Range</w:t>
            </w:r>
          </w:p>
        </w:tc>
        <w:tc>
          <w:tcPr>
            <w:shd w:val="clear" w:color="auto" w:fill="1F3864"/>
          </w:tcPr>
          <w:p>
            <w:pPr>
              <w:pStyle w:val="Compact"/>
              <w:jc w:val="left"/>
            </w:pPr>
            <w:r>
              <w:rPr>
                <w:b/>
                <w:color w:val="FFFFFF"/>
              </w:rPr>
              <w:t xml:space="preserve">Purpose</w:t>
            </w:r>
          </w:p>
        </w:tc>
        <w:tc>
          <w:tcPr>
            <w:shd w:val="clear" w:color="auto" w:fill="1F3864"/>
          </w:tcPr>
          <w:p>
            <w:pPr>
              <w:pStyle w:val="Compact"/>
              <w:jc w:val="left"/>
            </w:pPr>
            <w:r>
              <w:rPr>
                <w:b/>
                <w:color w:val="FFFFFF"/>
              </w:rPr>
              <w:t xml:space="preserve">Usable</w:t>
            </w:r>
          </w:p>
        </w:tc>
        <w:tc>
          <w:tcPr>
            <w:shd w:val="clear" w:color="auto" w:fill="1F3864"/>
          </w:tcPr>
          <w:p>
            <w:pPr>
              <w:pStyle w:val="Compact"/>
              <w:jc w:val="left"/>
            </w:pPr>
            <w:r>
              <w:rPr>
                <w:b/>
                <w:color w:val="FFFFFF"/>
              </w:rPr>
              <w:t xml:space="preserve">For</w:t>
            </w:r>
          </w:p>
        </w:tc>
      </w:tr>
      <w:tr>
        <w:tc>
          <w:tcPr/>
          <w:p>
            <w:pPr>
              <w:pStyle w:val="Compact"/>
              <w:jc w:val="left"/>
            </w:pPr>
            <w:r>
              <w:rPr>
                <w:rStyle w:val="VerbatimChar"/>
              </w:rPr>
              <w:t xml:space="preserve">gclt-aicoe-dev-subnet-ew1</w:t>
            </w:r>
          </w:p>
        </w:tc>
        <w:tc>
          <w:tcPr/>
          <w:p>
            <w:pPr>
              <w:pStyle w:val="Compact"/>
              <w:jc w:val="left"/>
            </w:pPr>
            <w:r>
              <w:rPr>
                <w:rStyle w:val="VerbatimChar"/>
              </w:rPr>
              <w:t xml:space="preserve">10.110.73.0/24</w:t>
            </w:r>
          </w:p>
        </w:tc>
        <w:tc>
          <w:tcPr/>
          <w:p>
            <w:pPr>
              <w:pStyle w:val="Compact"/>
              <w:jc w:val="left"/>
            </w:pPr>
            <w:r>
              <w:t xml:space="preserve">Private (normal)</w:t>
            </w:r>
          </w:p>
        </w:tc>
        <w:tc>
          <w:tcPr/>
          <w:p>
            <w:pPr>
              <w:pStyle w:val="Compact"/>
              <w:jc w:val="left"/>
            </w:pPr>
            <w:r>
              <w:t xml:space="preserve">—</w:t>
            </w:r>
          </w:p>
        </w:tc>
        <w:tc>
          <w:tcPr/>
          <w:p>
            <w:pPr>
              <w:pStyle w:val="Compact"/>
              <w:jc w:val="left"/>
            </w:pPr>
            <w:r>
              <w:t xml:space="preserve">User-facing load balancer addresses</w:t>
            </w:r>
          </w:p>
        </w:tc>
      </w:tr>
      <w:tr>
        <w:tc>
          <w:tcPr/>
          <w:p>
            <w:pPr>
              <w:pStyle w:val="Compact"/>
              <w:jc w:val="left"/>
            </w:pPr>
            <w:r>
              <w:rPr>
                <w:rStyle w:val="VerbatimChar"/>
              </w:rPr>
              <w:t xml:space="preserve">gclt-aicoe-dev-cloudrun-ew1</w:t>
            </w:r>
          </w:p>
        </w:tc>
        <w:tc>
          <w:tcPr/>
          <w:p>
            <w:pPr>
              <w:pStyle w:val="Compact"/>
              <w:jc w:val="left"/>
            </w:pPr>
            <w:r>
              <w:rPr>
                <w:rStyle w:val="VerbatimChar"/>
              </w:rPr>
              <w:t xml:space="preserve">192.168.4.0/23</w:t>
            </w:r>
          </w:p>
        </w:tc>
        <w:tc>
          <w:tcPr/>
          <w:p>
            <w:pPr>
              <w:pStyle w:val="Compact"/>
              <w:jc w:val="left"/>
            </w:pPr>
            <w:r>
              <w:t xml:space="preserve">Private (normal)</w:t>
            </w:r>
          </w:p>
        </w:tc>
        <w:tc>
          <w:tcPr/>
          <w:p>
            <w:pPr>
              <w:pStyle w:val="Compact"/>
              <w:jc w:val="left"/>
            </w:pPr>
            <w:r>
              <w:rPr>
                <w:b/>
                <w:bCs/>
              </w:rPr>
              <w:t xml:space="preserve">508</w:t>
            </w:r>
          </w:p>
        </w:tc>
        <w:tc>
          <w:tcPr/>
          <w:p>
            <w:pPr>
              <w:pStyle w:val="Compact"/>
              <w:jc w:val="left"/>
            </w:pPr>
            <w:r>
              <w:t xml:space="preserve">Cloud Run direct VPC egress.</w:t>
            </w:r>
            <w:r>
              <w:t xml:space="preserve"> </w:t>
            </w:r>
            <w:r>
              <w:rPr>
                <w:b/>
                <w:bCs/>
              </w:rPr>
              <w:t xml:space="preserve">The binding constraint on the instance budget</w:t>
            </w:r>
          </w:p>
        </w:tc>
      </w:tr>
      <w:tr>
        <w:tc>
          <w:tcPr/>
          <w:p>
            <w:pPr>
              <w:pStyle w:val="Compact"/>
              <w:jc w:val="left"/>
            </w:pPr>
            <w:r>
              <w:rPr>
                <w:rStyle w:val="VerbatimChar"/>
              </w:rPr>
              <w:t xml:space="preserve">gclt-aicoe-dev-proxy-ew1</w:t>
            </w:r>
          </w:p>
        </w:tc>
        <w:tc>
          <w:tcPr/>
          <w:p>
            <w:pPr>
              <w:pStyle w:val="Compact"/>
              <w:jc w:val="left"/>
            </w:pPr>
            <w:r>
              <w:rPr>
                <w:rStyle w:val="VerbatimChar"/>
              </w:rPr>
              <w:t xml:space="preserve">192.168.6.0/26</w:t>
            </w:r>
          </w:p>
        </w:tc>
        <w:tc>
          <w:tcPr/>
          <w:p>
            <w:pPr>
              <w:pStyle w:val="Compact"/>
              <w:jc w:val="left"/>
            </w:pPr>
            <w:r>
              <w:rPr>
                <w:b/>
                <w:bCs/>
              </w:rPr>
              <w:t xml:space="preserve">Regional Managed Proxy</w:t>
            </w:r>
          </w:p>
        </w:tc>
        <w:tc>
          <w:tcPr/>
          <w:p>
            <w:pPr>
              <w:pStyle w:val="Compact"/>
              <w:jc w:val="left"/>
            </w:pPr>
            <w:r>
              <w:t xml:space="preserve">—</w:t>
            </w:r>
          </w:p>
        </w:tc>
        <w:tc>
          <w:tcPr/>
          <w:p>
            <w:pPr>
              <w:pStyle w:val="Compact"/>
              <w:jc w:val="left"/>
            </w:pPr>
            <w:r>
              <w:t xml:space="preserve">Google’s Envoy fleet for both load balancers.</w:t>
            </w:r>
            <w:r>
              <w:t xml:space="preserve"> </w:t>
            </w:r>
            <w:r>
              <w:rPr>
                <w:b/>
                <w:bCs/>
              </w:rPr>
              <w:t xml:space="preserve">Active</w:t>
            </w:r>
          </w:p>
        </w:tc>
      </w:tr>
      <w:tr>
        <w:tc>
          <w:tcPr/>
          <w:p>
            <w:pPr>
              <w:pStyle w:val="Compact"/>
              <w:jc w:val="left"/>
            </w:pPr>
            <w:r>
              <w:rPr>
                <w:i/>
                <w:iCs/>
              </w:rPr>
              <w:t xml:space="preserve">(reserved)</w:t>
            </w:r>
          </w:p>
        </w:tc>
        <w:tc>
          <w:tcPr/>
          <w:p>
            <w:pPr>
              <w:pStyle w:val="Compact"/>
              <w:jc w:val="left"/>
            </w:pPr>
            <w:r>
              <w:rPr>
                <w:rStyle w:val="VerbatimChar"/>
              </w:rPr>
              <w:t xml:space="preserve">192.168.6.64/26</w:t>
            </w:r>
          </w:p>
        </w:tc>
        <w:tc>
          <w:tcPr/>
          <w:p>
            <w:pPr>
              <w:pStyle w:val="Compact"/>
              <w:jc w:val="left"/>
            </w:pPr>
            <w:r>
              <w:rPr>
                <w:b/>
                <w:bCs/>
              </w:rPr>
              <w:t xml:space="preserve">Not a subnet</w:t>
            </w:r>
          </w:p>
        </w:tc>
        <w:tc>
          <w:tcPr/>
          <w:p>
            <w:pPr>
              <w:pStyle w:val="Compact"/>
              <w:jc w:val="left"/>
            </w:pPr>
            <w:r>
              <w:t xml:space="preserve">—</w:t>
            </w:r>
          </w:p>
        </w:tc>
        <w:tc>
          <w:tcPr/>
          <w:p>
            <w:pPr>
              <w:pStyle w:val="Compact"/>
              <w:jc w:val="left"/>
            </w:pPr>
            <w:r>
              <w:t xml:space="preserve">Held empty for the proxy-only subnet’s role-swap. A proxy-only subnet cannot be resized in place, so growing the Envoy fleet means creating a second proxy-only subnet here, marking it</w:t>
            </w:r>
            <w:r>
              <w:t xml:space="preserve"> </w:t>
            </w:r>
            <w:r>
              <w:rPr>
                <w:rStyle w:val="VerbatimChar"/>
              </w:rPr>
              <w:t xml:space="preserve">ACTIVE</w:t>
            </w:r>
            <w:r>
              <w:t xml:space="preserve"> </w:t>
            </w:r>
            <w:r>
              <w:t xml:space="preserve">and the original</w:t>
            </w:r>
            <w:r>
              <w:t xml:space="preserve"> </w:t>
            </w:r>
            <w:r>
              <w:rPr>
                <w:rStyle w:val="VerbatimChar"/>
              </w:rPr>
              <w:t xml:space="preserve">BACKUP</w:t>
            </w:r>
            <w:r>
              <w:t xml:space="preserve">, then decommissioning the original — never an in-place expansion</w:t>
            </w:r>
          </w:p>
        </w:tc>
      </w:tr>
      <w:tr>
        <w:tc>
          <w:tcPr/>
          <w:p>
            <w:pPr>
              <w:pStyle w:val="Compact"/>
              <w:jc w:val="left"/>
            </w:pPr>
            <w:r>
              <w:rPr>
                <w:rStyle w:val="VerbatimChar"/>
              </w:rPr>
              <w:t xml:space="preserve">gclt-aicoe-dev-pscnat-ew1</w:t>
            </w:r>
          </w:p>
        </w:tc>
        <w:tc>
          <w:tcPr/>
          <w:p>
            <w:pPr>
              <w:pStyle w:val="Compact"/>
              <w:jc w:val="left"/>
            </w:pPr>
            <w:r>
              <w:rPr>
                <w:rStyle w:val="VerbatimChar"/>
              </w:rPr>
              <w:t xml:space="preserve">192.168.6.128/28</w:t>
            </w:r>
          </w:p>
        </w:tc>
        <w:tc>
          <w:tcPr/>
          <w:p>
            <w:pPr>
              <w:pStyle w:val="Compact"/>
              <w:jc w:val="left"/>
            </w:pPr>
            <w:r>
              <w:rPr>
                <w:b/>
                <w:bCs/>
              </w:rPr>
              <w:t xml:space="preserve">Private Service Connect</w:t>
            </w:r>
          </w:p>
        </w:tc>
        <w:tc>
          <w:tcPr/>
          <w:p>
            <w:pPr>
              <w:pStyle w:val="Compact"/>
              <w:jc w:val="left"/>
            </w:pPr>
            <w:r>
              <w:t xml:space="preserve">—</w:t>
            </w:r>
          </w:p>
        </w:tc>
        <w:tc>
          <w:tcPr/>
          <w:p>
            <w:pPr>
              <w:pStyle w:val="Compact"/>
              <w:jc w:val="left"/>
            </w:pPr>
            <w:r>
              <w:t xml:space="preserve">NAT for the southbound service attachment. Can hold nothing else</w:t>
            </w:r>
          </w:p>
        </w:tc>
      </w:tr>
      <w:tr>
        <w:tc>
          <w:tcPr/>
          <w:p>
            <w:pPr>
              <w:pStyle w:val="Compact"/>
              <w:jc w:val="left"/>
            </w:pPr>
            <w:r>
              <w:rPr>
                <w:rStyle w:val="VerbatimChar"/>
              </w:rPr>
              <w:t xml:space="preserve">gclt-aicoe-dev-internal-ew1</w:t>
            </w:r>
          </w:p>
        </w:tc>
        <w:tc>
          <w:tcPr/>
          <w:p>
            <w:pPr>
              <w:pStyle w:val="Compact"/>
              <w:jc w:val="left"/>
            </w:pPr>
            <w:r>
              <w:rPr>
                <w:rStyle w:val="VerbatimChar"/>
              </w:rPr>
              <w:t xml:space="preserve">192.168.6.144/28</w:t>
            </w:r>
          </w:p>
        </w:tc>
        <w:tc>
          <w:tcPr/>
          <w:p>
            <w:pPr>
              <w:pStyle w:val="Compact"/>
              <w:jc w:val="left"/>
            </w:pPr>
            <w:r>
              <w:t xml:space="preserve">Private (normal)</w:t>
            </w:r>
          </w:p>
        </w:tc>
        <w:tc>
          <w:tcPr/>
          <w:p>
            <w:pPr>
              <w:pStyle w:val="Compact"/>
              <w:jc w:val="left"/>
            </w:pPr>
            <w:r>
              <w:t xml:space="preserve">—</w:t>
            </w:r>
          </w:p>
        </w:tc>
        <w:tc>
          <w:tcPr/>
          <w:p>
            <w:pPr>
              <w:pStyle w:val="Compact"/>
              <w:jc w:val="left"/>
            </w:pPr>
            <w:r>
              <w:t xml:space="preserve">Machine-only load balancer VIPs and PSC endpoint addresses</w:t>
            </w:r>
          </w:p>
        </w:tc>
      </w:tr>
      <w:tr>
        <w:tc>
          <w:tcPr/>
          <w:p>
            <w:pPr>
              <w:pStyle w:val="Compact"/>
              <w:jc w:val="left"/>
            </w:pPr>
            <w:r>
              <w:rPr>
                <w:i/>
                <w:iCs/>
              </w:rPr>
              <w:t xml:space="preserve">(deliberately empty)</w:t>
            </w:r>
          </w:p>
        </w:tc>
        <w:tc>
          <w:tcPr/>
          <w:p>
            <w:pPr>
              <w:pStyle w:val="Compact"/>
              <w:jc w:val="left"/>
            </w:pPr>
            <w:r>
              <w:rPr>
                <w:rStyle w:val="VerbatimChar"/>
              </w:rPr>
              <w:t xml:space="preserve">192.168.6.160/28</w:t>
            </w:r>
          </w:p>
        </w:tc>
        <w:tc>
          <w:tcPr/>
          <w:p>
            <w:pPr>
              <w:pStyle w:val="Compact"/>
              <w:jc w:val="left"/>
            </w:pPr>
            <w:r>
              <w:rPr>
                <w:b/>
                <w:bCs/>
              </w:rPr>
              <w:t xml:space="preserve">Not a subnet</w:t>
            </w:r>
          </w:p>
        </w:tc>
        <w:tc>
          <w:tcPr/>
          <w:p>
            <w:pPr>
              <w:pStyle w:val="Compact"/>
              <w:jc w:val="left"/>
            </w:pPr>
            <w:r>
              <w:t xml:space="preserve">—</w:t>
            </w:r>
          </w:p>
        </w:tc>
        <w:tc>
          <w:tcPr/>
          <w:p>
            <w:pPr>
              <w:pStyle w:val="Compact"/>
              <w:jc w:val="left"/>
            </w:pPr>
            <w:r>
              <w:t xml:space="preserve">Holds the</w:t>
            </w:r>
            <w:r>
              <w:t xml:space="preserve"> </w:t>
            </w:r>
            <w:r>
              <w:rPr>
                <w:b/>
                <w:bCs/>
              </w:rPr>
              <w:t xml:space="preserve">global</w:t>
            </w:r>
            <w:r>
              <w:t xml:space="preserve"> </w:t>
            </w:r>
            <w:r>
              <w:t xml:space="preserve">PSC address for Google APIs, which must not sit inside any subnet</w:t>
            </w:r>
          </w:p>
        </w:tc>
      </w:tr>
      <w:tr>
        <w:tc>
          <w:tcPr/>
          <w:p>
            <w:pPr>
              <w:pStyle w:val="Compact"/>
              <w:jc w:val="left"/>
            </w:pPr>
            <w:r>
              <w:rPr>
                <w:i/>
                <w:iCs/>
              </w:rPr>
              <w:t xml:space="preserve">(reserved)</w:t>
            </w:r>
          </w:p>
        </w:tc>
        <w:tc>
          <w:tcPr/>
          <w:p>
            <w:pPr>
              <w:pStyle w:val="Compact"/>
              <w:jc w:val="left"/>
            </w:pPr>
            <w:r>
              <w:rPr>
                <w:rStyle w:val="VerbatimChar"/>
              </w:rPr>
              <w:t xml:space="preserve">192.168.6.176/28</w:t>
            </w:r>
            <w:r>
              <w:t xml:space="preserve"> </w:t>
            </w:r>
            <w:r>
              <w:t xml:space="preserve">–</w:t>
            </w:r>
            <w:r>
              <w:t xml:space="preserve"> </w:t>
            </w:r>
            <w:r>
              <w:rPr>
                <w:rStyle w:val="VerbatimChar"/>
              </w:rPr>
              <w:t xml:space="preserve">192.168.6.255</w:t>
            </w:r>
          </w:p>
        </w:tc>
        <w:tc>
          <w:tcPr/>
          <w:p>
            <w:pPr>
              <w:pStyle w:val="Compact"/>
              <w:jc w:val="left"/>
            </w:pPr>
            <w:r>
              <w:t xml:space="preserve">—</w:t>
            </w:r>
          </w:p>
        </w:tc>
        <w:tc>
          <w:tcPr/>
          <w:p>
            <w:pPr>
              <w:pStyle w:val="Compact"/>
              <w:jc w:val="left"/>
            </w:pPr>
            <w:r>
              <w:t xml:space="preserve">—</w:t>
            </w:r>
          </w:p>
        </w:tc>
        <w:tc>
          <w:tcPr/>
          <w:p>
            <w:pPr>
              <w:pStyle w:val="Compact"/>
              <w:jc w:val="left"/>
            </w:pPr>
            <w:r>
              <w:t xml:space="preserve">Growth for further platform subnets</w:t>
            </w:r>
          </w:p>
        </w:tc>
      </w:tr>
      <w:tr>
        <w:tc>
          <w:tcPr/>
          <w:p>
            <w:pPr>
              <w:pStyle w:val="Compact"/>
              <w:jc w:val="left"/>
            </w:pPr>
            <w:r>
              <w:rPr>
                <w:i/>
                <w:iCs/>
              </w:rPr>
              <w:t xml:space="preserve">(reserved)</w:t>
            </w:r>
          </w:p>
        </w:tc>
        <w:tc>
          <w:tcPr/>
          <w:p>
            <w:pPr>
              <w:pStyle w:val="Compact"/>
              <w:jc w:val="left"/>
            </w:pPr>
            <w:r>
              <w:rPr>
                <w:rStyle w:val="VerbatimChar"/>
              </w:rPr>
              <w:t xml:space="preserve">192.168.7.0/24</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Future use cases.</w:t>
            </w:r>
            <w:r>
              <w:t xml:space="preserve"> </w:t>
            </w:r>
            <w:r>
              <w:t xml:space="preserve">Held unallocated so a new use case can be given its own workload subnet without renumbering</w:t>
            </w:r>
          </w:p>
        </w:tc>
      </w:tr>
    </w:tbl>
    <w:p>
      <w:pPr>
        <w:pStyle w:val="BodyText"/>
      </w:pPr>
      <w:r>
        <w:rPr>
          <w:b/>
          <w:bCs/>
        </w:rPr>
        <w:t xml:space="preserve">Dev address space in use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Range</w:t>
            </w:r>
          </w:p>
        </w:tc>
        <w:tc>
          <w:tcPr>
            <w:shd w:val="clear" w:color="auto" w:fill="1F3864"/>
          </w:tcPr>
          <w:p>
            <w:pPr>
              <w:pStyle w:val="Compact"/>
              <w:jc w:val="left"/>
            </w:pPr>
            <w:r>
              <w:rPr>
                <w:b/>
                <w:color w:val="FFFFFF"/>
              </w:rPr>
              <w:t xml:space="preserve">Allocated to</w:t>
            </w:r>
          </w:p>
        </w:tc>
      </w:tr>
      <w:tr>
        <w:tc>
          <w:tcPr/>
          <w:p>
            <w:pPr>
              <w:pStyle w:val="Compact"/>
              <w:jc w:val="left"/>
            </w:pPr>
            <w:r>
              <w:rPr>
                <w:rStyle w:val="VerbatimChar"/>
              </w:rPr>
              <w:t xml:space="preserve">192.168.4.0</w:t>
            </w:r>
            <w:r>
              <w:t xml:space="preserve"> </w:t>
            </w:r>
            <w:r>
              <w:t xml:space="preserve">–</w:t>
            </w:r>
            <w:r>
              <w:t xml:space="preserve"> </w:t>
            </w:r>
            <w:r>
              <w:rPr>
                <w:rStyle w:val="VerbatimChar"/>
              </w:rPr>
              <w:t xml:space="preserve">192.168.5.255</w:t>
            </w:r>
          </w:p>
        </w:tc>
        <w:tc>
          <w:tcPr/>
          <w:p>
            <w:pPr>
              <w:pStyle w:val="Compact"/>
              <w:jc w:val="left"/>
            </w:pPr>
            <w:r>
              <w:rPr>
                <w:rStyle w:val="VerbatimChar"/>
              </w:rPr>
              <w:t xml:space="preserve">gclt-aicoe-dev-cloudrun-ew1</w:t>
            </w:r>
            <w:r>
              <w:t xml:space="preserve"> </w:t>
            </w:r>
            <w:r>
              <w:t xml:space="preserve">— the workload subnet</w:t>
            </w:r>
          </w:p>
        </w:tc>
      </w:tr>
      <w:tr>
        <w:tc>
          <w:tcPr/>
          <w:p>
            <w:pPr>
              <w:pStyle w:val="Compact"/>
              <w:jc w:val="left"/>
            </w:pPr>
            <w:r>
              <w:rPr>
                <w:rStyle w:val="VerbatimChar"/>
              </w:rPr>
              <w:t xml:space="preserve">192.168.6.0</w:t>
            </w:r>
            <w:r>
              <w:t xml:space="preserve"> </w:t>
            </w:r>
            <w:r>
              <w:t xml:space="preserve">–</w:t>
            </w:r>
            <w:r>
              <w:t xml:space="preserve"> </w:t>
            </w:r>
            <w:r>
              <w:rPr>
                <w:rStyle w:val="VerbatimChar"/>
              </w:rPr>
              <w:t xml:space="preserve">192.168.6.63</w:t>
            </w:r>
          </w:p>
        </w:tc>
        <w:tc>
          <w:tcPr/>
          <w:p>
            <w:pPr>
              <w:pStyle w:val="Compact"/>
              <w:jc w:val="left"/>
            </w:pPr>
            <w:r>
              <w:rPr>
                <w:rStyle w:val="VerbatimChar"/>
              </w:rPr>
              <w:t xml:space="preserve">gclt-aicoe-dev-proxy-ew1</w:t>
            </w:r>
            <w:r>
              <w:t xml:space="preserve"> </w:t>
            </w:r>
            <w:r>
              <w:t xml:space="preserve">— the regional managed proxy subnet (active)</w:t>
            </w:r>
          </w:p>
        </w:tc>
      </w:tr>
      <w:tr>
        <w:tc>
          <w:tcPr/>
          <w:p>
            <w:pPr>
              <w:pStyle w:val="Compact"/>
              <w:jc w:val="left"/>
            </w:pPr>
            <w:r>
              <w:rPr>
                <w:rStyle w:val="VerbatimChar"/>
              </w:rPr>
              <w:t xml:space="preserve">192.168.6.64</w:t>
            </w:r>
            <w:r>
              <w:t xml:space="preserve"> </w:t>
            </w:r>
            <w:r>
              <w:t xml:space="preserve">–</w:t>
            </w:r>
            <w:r>
              <w:t xml:space="preserve"> </w:t>
            </w:r>
            <w:r>
              <w:rPr>
                <w:rStyle w:val="VerbatimChar"/>
              </w:rPr>
              <w:t xml:space="preserve">192.168.6.127</w:t>
            </w:r>
          </w:p>
        </w:tc>
        <w:tc>
          <w:tcPr/>
          <w:p>
            <w:pPr>
              <w:pStyle w:val="Compact"/>
              <w:jc w:val="left"/>
            </w:pPr>
            <w:r>
              <w:t xml:space="preserve">Unallocated by design. Reserved for the proxy-only subnet’s role-swap pair</w:t>
            </w:r>
          </w:p>
        </w:tc>
      </w:tr>
      <w:tr>
        <w:tc>
          <w:tcPr/>
          <w:p>
            <w:pPr>
              <w:pStyle w:val="Compact"/>
              <w:jc w:val="left"/>
            </w:pPr>
            <w:r>
              <w:rPr>
                <w:rStyle w:val="VerbatimChar"/>
              </w:rPr>
              <w:t xml:space="preserve">192.168.6.128</w:t>
            </w:r>
            <w:r>
              <w:t xml:space="preserve"> </w:t>
            </w:r>
            <w:r>
              <w:t xml:space="preserve">–</w:t>
            </w:r>
            <w:r>
              <w:t xml:space="preserve"> </w:t>
            </w:r>
            <w:r>
              <w:rPr>
                <w:rStyle w:val="VerbatimChar"/>
              </w:rPr>
              <w:t xml:space="preserve">192.168.6.143</w:t>
            </w:r>
          </w:p>
        </w:tc>
        <w:tc>
          <w:tcPr/>
          <w:p>
            <w:pPr>
              <w:pStyle w:val="Compact"/>
              <w:jc w:val="left"/>
            </w:pPr>
            <w:r>
              <w:rPr>
                <w:rStyle w:val="VerbatimChar"/>
              </w:rPr>
              <w:t xml:space="preserve">gclt-aicoe-dev-pscnat-ew1</w:t>
            </w:r>
            <w:r>
              <w:t xml:space="preserve"> </w:t>
            </w:r>
            <w:r>
              <w:t xml:space="preserve">— the Private Service Connect NAT subnet</w:t>
            </w:r>
          </w:p>
        </w:tc>
      </w:tr>
      <w:tr>
        <w:tc>
          <w:tcPr/>
          <w:p>
            <w:pPr>
              <w:pStyle w:val="Compact"/>
              <w:jc w:val="left"/>
            </w:pPr>
            <w:r>
              <w:rPr>
                <w:rStyle w:val="VerbatimChar"/>
              </w:rPr>
              <w:t xml:space="preserve">192.168.6.144</w:t>
            </w:r>
            <w:r>
              <w:t xml:space="preserve"> </w:t>
            </w:r>
            <w:r>
              <w:t xml:space="preserve">–</w:t>
            </w:r>
            <w:r>
              <w:t xml:space="preserve"> </w:t>
            </w:r>
            <w:r>
              <w:rPr>
                <w:rStyle w:val="VerbatimChar"/>
              </w:rPr>
              <w:t xml:space="preserve">192.168.6.159</w:t>
            </w:r>
          </w:p>
        </w:tc>
        <w:tc>
          <w:tcPr/>
          <w:p>
            <w:pPr>
              <w:pStyle w:val="Compact"/>
              <w:jc w:val="left"/>
            </w:pPr>
            <w:r>
              <w:rPr>
                <w:rStyle w:val="VerbatimChar"/>
              </w:rPr>
              <w:t xml:space="preserve">gclt-aicoe-dev-internal-ew1</w:t>
            </w:r>
            <w:r>
              <w:t xml:space="preserve"> </w:t>
            </w:r>
            <w:r>
              <w:t xml:space="preserve">— machine-only VIPs and PSC endpoints</w:t>
            </w:r>
          </w:p>
        </w:tc>
      </w:tr>
      <w:tr>
        <w:tc>
          <w:tcPr/>
          <w:p>
            <w:pPr>
              <w:pStyle w:val="Compact"/>
              <w:jc w:val="left"/>
            </w:pPr>
            <w:r>
              <w:rPr>
                <w:rStyle w:val="VerbatimChar"/>
              </w:rPr>
              <w:t xml:space="preserve">192.168.6.160</w:t>
            </w:r>
            <w:r>
              <w:t xml:space="preserve"> </w:t>
            </w:r>
            <w:r>
              <w:t xml:space="preserve">–</w:t>
            </w:r>
            <w:r>
              <w:t xml:space="preserve"> </w:t>
            </w:r>
            <w:r>
              <w:rPr>
                <w:rStyle w:val="VerbatimChar"/>
              </w:rPr>
              <w:t xml:space="preserve">192.168.6.175</w:t>
            </w:r>
          </w:p>
        </w:tc>
        <w:tc>
          <w:tcPr/>
          <w:p>
            <w:pPr>
              <w:pStyle w:val="Compact"/>
              <w:jc w:val="left"/>
            </w:pPr>
            <w:r>
              <w:t xml:space="preserve">Unallocated by design. Holds the global PSC address</w:t>
            </w:r>
            <w:r>
              <w:t xml:space="preserve"> </w:t>
            </w:r>
            <w:r>
              <w:rPr>
                <w:rStyle w:val="VerbatimChar"/>
              </w:rPr>
              <w:t xml:space="preserve">192.168.6.164</w:t>
            </w:r>
          </w:p>
        </w:tc>
      </w:tr>
      <w:tr>
        <w:tc>
          <w:tcPr/>
          <w:p>
            <w:pPr>
              <w:pStyle w:val="Compact"/>
              <w:jc w:val="left"/>
            </w:pPr>
            <w:r>
              <w:rPr>
                <w:rStyle w:val="VerbatimChar"/>
              </w:rPr>
              <w:t xml:space="preserve">192.168.6.176</w:t>
            </w:r>
            <w:r>
              <w:t xml:space="preserve"> </w:t>
            </w:r>
            <w:r>
              <w:t xml:space="preserve">–</w:t>
            </w:r>
            <w:r>
              <w:t xml:space="preserve"> </w:t>
            </w:r>
            <w:r>
              <w:rPr>
                <w:rStyle w:val="VerbatimChar"/>
              </w:rPr>
              <w:t xml:space="preserve">192.168.6.255</w:t>
            </w:r>
          </w:p>
        </w:tc>
        <w:tc>
          <w:tcPr/>
          <w:p>
            <w:pPr>
              <w:pStyle w:val="Compact"/>
              <w:jc w:val="left"/>
            </w:pPr>
            <w:r>
              <w:t xml:space="preserve">Unallocated. Growth for further platform subnets</w:t>
            </w:r>
          </w:p>
        </w:tc>
      </w:tr>
      <w:tr>
        <w:tc>
          <w:tcPr/>
          <w:p>
            <w:pPr>
              <w:pStyle w:val="Compact"/>
              <w:jc w:val="left"/>
            </w:pPr>
            <w:r>
              <w:rPr>
                <w:rStyle w:val="VerbatimChar"/>
              </w:rPr>
              <w:t xml:space="preserve">192.168.7.0</w:t>
            </w:r>
            <w:r>
              <w:t xml:space="preserve"> </w:t>
            </w:r>
            <w:r>
              <w:t xml:space="preserve">–</w:t>
            </w:r>
            <w:r>
              <w:t xml:space="preserve"> </w:t>
            </w:r>
            <w:r>
              <w:rPr>
                <w:rStyle w:val="VerbatimChar"/>
              </w:rPr>
              <w:t xml:space="preserve">192.168.7.255</w:t>
            </w:r>
          </w:p>
        </w:tc>
        <w:tc>
          <w:tcPr/>
          <w:p>
            <w:pPr>
              <w:pStyle w:val="Compact"/>
              <w:jc w:val="left"/>
            </w:pPr>
            <w:r>
              <w:t xml:space="preserve">Unallocated. Reserved for future use-case workload subnets</w:t>
            </w:r>
          </w:p>
        </w:tc>
      </w:tr>
    </w:tbl>
    <w:bookmarkEnd w:id="80"/>
    <w:bookmarkStart w:id="81" w:name="sandbox-subnets"/>
    <w:p>
      <w:pPr>
        <w:pStyle w:val="Heading3"/>
      </w:pPr>
      <w:r>
        <w:t xml:space="preserve">5.4.3 Sandbox subnets</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Subnet name</w:t>
            </w:r>
          </w:p>
        </w:tc>
        <w:tc>
          <w:tcPr>
            <w:shd w:val="clear" w:color="auto" w:fill="1F3864"/>
          </w:tcPr>
          <w:p>
            <w:pPr>
              <w:pStyle w:val="Compact"/>
              <w:jc w:val="left"/>
            </w:pPr>
            <w:r>
              <w:rPr>
                <w:b/>
                <w:color w:val="FFFFFF"/>
              </w:rPr>
              <w:t xml:space="preserve">Range</w:t>
            </w:r>
          </w:p>
        </w:tc>
        <w:tc>
          <w:tcPr>
            <w:shd w:val="clear" w:color="auto" w:fill="1F3864"/>
          </w:tcPr>
          <w:p>
            <w:pPr>
              <w:pStyle w:val="Compact"/>
              <w:jc w:val="left"/>
            </w:pPr>
            <w:r>
              <w:rPr>
                <w:b/>
                <w:color w:val="FFFFFF"/>
              </w:rPr>
              <w:t xml:space="preserve">Purpose</w:t>
            </w:r>
          </w:p>
        </w:tc>
        <w:tc>
          <w:tcPr>
            <w:shd w:val="clear" w:color="auto" w:fill="1F3864"/>
          </w:tcPr>
          <w:p>
            <w:pPr>
              <w:pStyle w:val="Compact"/>
              <w:jc w:val="left"/>
            </w:pPr>
            <w:r>
              <w:rPr>
                <w:b/>
                <w:color w:val="FFFFFF"/>
              </w:rPr>
              <w:t xml:space="preserve">For</w:t>
            </w:r>
          </w:p>
        </w:tc>
      </w:tr>
      <w:tr>
        <w:tc>
          <w:tcPr/>
          <w:p>
            <w:pPr>
              <w:pStyle w:val="Compact"/>
              <w:jc w:val="left"/>
            </w:pPr>
            <w:r>
              <w:rPr>
                <w:rStyle w:val="VerbatimChar"/>
              </w:rPr>
              <w:t xml:space="preserve">aicoesandox-subnet-ew1</w:t>
            </w:r>
          </w:p>
        </w:tc>
        <w:tc>
          <w:tcPr/>
          <w:p>
            <w:pPr>
              <w:pStyle w:val="Compact"/>
              <w:jc w:val="left"/>
            </w:pPr>
            <w:r>
              <w:rPr>
                <w:rStyle w:val="VerbatimChar"/>
              </w:rPr>
              <w:t xml:space="preserve">192.168.1.0/25</w:t>
            </w:r>
            <w:r>
              <w:t xml:space="preserve"> </w:t>
            </w:r>
            <w:r>
              <w:t xml:space="preserve">—</w:t>
            </w:r>
            <w:r>
              <w:t xml:space="preserve"> </w:t>
            </w:r>
            <w:r>
              <w:rPr>
                <w:rStyle w:val="VerbatimChar"/>
              </w:rPr>
              <w:t xml:space="preserve">192.168.1.0</w:t>
            </w:r>
            <w:r>
              <w:t xml:space="preserve"> </w:t>
            </w:r>
            <w:r>
              <w:t xml:space="preserve">to</w:t>
            </w:r>
            <w:r>
              <w:t xml:space="preserve"> </w:t>
            </w:r>
            <w:r>
              <w:rPr>
                <w:rStyle w:val="VerbatimChar"/>
              </w:rPr>
              <w:t xml:space="preserve">192.168.1.127</w:t>
            </w:r>
          </w:p>
        </w:tc>
        <w:tc>
          <w:tcPr/>
          <w:p>
            <w:pPr>
              <w:pStyle w:val="Compact"/>
              <w:jc w:val="left"/>
            </w:pPr>
            <w:r>
              <w:t xml:space="preserve">Private (normal)</w:t>
            </w:r>
          </w:p>
        </w:tc>
        <w:tc>
          <w:tcPr/>
          <w:p>
            <w:pPr>
              <w:pStyle w:val="Compact"/>
              <w:jc w:val="left"/>
            </w:pPr>
            <w:r>
              <w:t xml:space="preserve">Cloud Run direct VPC egress, the Workbench, load balancer VIPs, the Vector Search endpoint</w:t>
            </w:r>
          </w:p>
        </w:tc>
      </w:tr>
      <w:tr>
        <w:tc>
          <w:tcPr/>
          <w:p>
            <w:pPr>
              <w:pStyle w:val="Compact"/>
              <w:jc w:val="left"/>
            </w:pPr>
            <w:r>
              <w:rPr>
                <w:rStyle w:val="VerbatimChar"/>
              </w:rPr>
              <w:t xml:space="preserve">aicoesandox-proxy-ew1</w:t>
            </w:r>
          </w:p>
        </w:tc>
        <w:tc>
          <w:tcPr/>
          <w:p>
            <w:pPr>
              <w:pStyle w:val="Compact"/>
              <w:jc w:val="left"/>
            </w:pPr>
            <w:r>
              <w:rPr>
                <w:rStyle w:val="VerbatimChar"/>
              </w:rPr>
              <w:t xml:space="preserve">192.168.1.128/26</w:t>
            </w:r>
            <w:r>
              <w:t xml:space="preserve"> </w:t>
            </w:r>
            <w:r>
              <w:t xml:space="preserve">—</w:t>
            </w:r>
            <w:r>
              <w:t xml:space="preserve"> </w:t>
            </w:r>
            <w:r>
              <w:rPr>
                <w:rStyle w:val="VerbatimChar"/>
              </w:rPr>
              <w:t xml:space="preserve">192.168.1.128</w:t>
            </w:r>
            <w:r>
              <w:t xml:space="preserve"> </w:t>
            </w:r>
            <w:r>
              <w:t xml:space="preserve">to</w:t>
            </w:r>
            <w:r>
              <w:t xml:space="preserve"> </w:t>
            </w:r>
            <w:r>
              <w:rPr>
                <w:rStyle w:val="VerbatimChar"/>
              </w:rPr>
              <w:t xml:space="preserve">192.168.1.191</w:t>
            </w:r>
          </w:p>
        </w:tc>
        <w:tc>
          <w:tcPr/>
          <w:p>
            <w:pPr>
              <w:pStyle w:val="Compact"/>
              <w:jc w:val="left"/>
            </w:pPr>
            <w:r>
              <w:rPr>
                <w:b/>
                <w:bCs/>
              </w:rPr>
              <w:t xml:space="preserve">Regional Managed Proxy</w:t>
            </w:r>
          </w:p>
        </w:tc>
        <w:tc>
          <w:tcPr/>
          <w:p>
            <w:pPr>
              <w:pStyle w:val="Compact"/>
              <w:jc w:val="left"/>
            </w:pPr>
            <w:r>
              <w:t xml:space="preserve">Google’s Envoy fleet for both Sandbox load balancers</w:t>
            </w:r>
          </w:p>
        </w:tc>
      </w:tr>
    </w:tbl>
    <w:p>
      <w:pPr>
        <w:pStyle w:val="BodyText"/>
      </w:pPr>
      <w:r>
        <w:t xml:space="preserve">Sandbox is addressed from two ranges.</w:t>
      </w:r>
      <w:r>
        <w:t xml:space="preserve"> </w:t>
      </w:r>
      <w:r>
        <w:rPr>
          <w:rStyle w:val="VerbatimChar"/>
        </w:rPr>
        <w:t xml:space="preserve">192.168.1.0/24</w:t>
      </w:r>
      <w:r>
        <w:t xml:space="preserve"> </w:t>
      </w:r>
      <w:r>
        <w:t xml:space="preserve">carries both subnets above.</w:t>
      </w:r>
      <w:r>
        <w:t xml:space="preserve"> </w:t>
      </w:r>
      <w:r>
        <w:rPr>
          <w:rStyle w:val="VerbatimChar"/>
        </w:rPr>
        <w:t xml:space="preserve">192.168.2.0/24</w:t>
      </w:r>
      <w:r>
        <w:t xml:space="preserve"> </w:t>
      </w:r>
      <w:r>
        <w:t xml:space="preserve">carries no subnet at all and exists solely to hold Private Service Connect addresses.</w:t>
      </w:r>
    </w:p>
    <w:p>
      <w:pPr>
        <w:pStyle w:val="BlockText"/>
      </w:pPr>
      <w:r>
        <w:rPr>
          <w:b/>
          <w:bCs/>
        </w:rPr>
        <w:t xml:space="preserve">These ranges are as-built and must be confirmed against the live VPC before sign-off.</w:t>
      </w:r>
      <w:r>
        <w:t xml:space="preserve"> </w:t>
      </w:r>
      <w:r>
        <w:t xml:space="preserve">Sandbox is already deployed, so the values above describe an environment that exists rather than one to be created, and per I8 (Sandbox subnet ranges) a subnet range cannot be moved once set. The application subnet and the Private Service Connect address are recorded from the build. The proxy-only subnet’s exact range is the value here most likely to differ from the deployed environment, because it is referenced by no firewall rule, DNS record or target server and so is not cross-checked anywhere else in this document. Read it back from the live VPC and correct this table if it differs; do not move the deployed subnet to match the table.</w:t>
      </w:r>
    </w:p>
    <w:p>
      <w:pPr>
        <w:pStyle w:val="BlockText"/>
      </w:pPr>
      <w:r>
        <w:rPr>
          <w:b/>
          <w:bCs/>
        </w:rPr>
        <w:t xml:space="preserve">The PSC endpoint sits outside both subnets, by design.</w:t>
      </w:r>
      <w:r>
        <w:t xml:space="preserve"> </w:t>
      </w:r>
      <w:r>
        <w:t xml:space="preserve">A Private Service Connect endpoint for Google APIs uses a</w:t>
      </w:r>
      <w:r>
        <w:t xml:space="preserve"> </w:t>
      </w:r>
      <w:r>
        <w:rPr>
          <w:b/>
          <w:bCs/>
        </w:rPr>
        <w:t xml:space="preserve">global</w:t>
      </w:r>
      <w:r>
        <w:t xml:space="preserve"> </w:t>
      </w:r>
      <w:r>
        <w:t xml:space="preserve">internal address, and Google requires it to sit outside every subnet range in the VPC. Holding</w:t>
      </w:r>
      <w:r>
        <w:t xml:space="preserve"> </w:t>
      </w:r>
      <w:r>
        <w:rPr>
          <w:rStyle w:val="VerbatimChar"/>
        </w:rPr>
        <w:t xml:space="preserve">192.168.2.0/24</w:t>
      </w:r>
      <w:r>
        <w:t xml:space="preserve"> </w:t>
      </w:r>
      <w:r>
        <w:t xml:space="preserve">entirely free of subnets satisfies that constraint by construction rather than by leaving a gap inside a range that is otherwise being carved up:</w:t>
      </w:r>
      <w:r>
        <w:t xml:space="preserve"> </w:t>
      </w:r>
      <w:r>
        <w:rPr>
          <w:rStyle w:val="VerbatimChar"/>
        </w:rPr>
        <w:t xml:space="preserve">192.168.2.3</w:t>
      </w:r>
      <w:r>
        <w:t xml:space="preserve"> </w:t>
      </w:r>
      <w:r>
        <w:t xml:space="preserve">cannot collide with a subnet because no subnet may be created in that range. The equivalent in Dev is</w:t>
      </w:r>
      <w:r>
        <w:t xml:space="preserve"> </w:t>
      </w:r>
      <w:r>
        <w:rPr>
          <w:rStyle w:val="VerbatimChar"/>
        </w:rPr>
        <w:t xml:space="preserve">192.168.6.164</w:t>
      </w:r>
      <w:r>
        <w:t xml:space="preserve">, held in the deliberately unallocated</w:t>
      </w:r>
      <w:r>
        <w:t xml:space="preserve"> </w:t>
      </w:r>
      <w:r>
        <w:rPr>
          <w:rStyle w:val="VerbatimChar"/>
        </w:rPr>
        <w:t xml:space="preserve">192.168.6.160/28</w:t>
      </w:r>
      <w:r>
        <w:t xml:space="preserve">.</w:t>
      </w:r>
    </w:p>
    <w:p>
      <w:pPr>
        <w:pStyle w:val="FirstParagraph"/>
      </w:pPr>
      <w:r>
        <w:rPr>
          <w:b/>
          <w:bCs/>
        </w:rPr>
        <w:t xml:space="preserve">Address space in use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Range</w:t>
            </w:r>
          </w:p>
        </w:tc>
        <w:tc>
          <w:tcPr>
            <w:shd w:val="clear" w:color="auto" w:fill="1F3864"/>
          </w:tcPr>
          <w:p>
            <w:pPr>
              <w:pStyle w:val="Compact"/>
              <w:jc w:val="left"/>
            </w:pPr>
            <w:r>
              <w:rPr>
                <w:b/>
                <w:color w:val="FFFFFF"/>
              </w:rPr>
              <w:t xml:space="preserve">Allocated to</w:t>
            </w:r>
          </w:p>
        </w:tc>
      </w:tr>
      <w:tr>
        <w:tc>
          <w:tcPr/>
          <w:p>
            <w:pPr>
              <w:pStyle w:val="Compact"/>
              <w:jc w:val="left"/>
            </w:pPr>
            <w:r>
              <w:rPr>
                <w:rStyle w:val="VerbatimChar"/>
              </w:rPr>
              <w:t xml:space="preserve">192.168.1.0</w:t>
            </w:r>
            <w:r>
              <w:t xml:space="preserve"> </w:t>
            </w:r>
            <w:r>
              <w:t xml:space="preserve">–</w:t>
            </w:r>
            <w:r>
              <w:t xml:space="preserve"> </w:t>
            </w:r>
            <w:r>
              <w:rPr>
                <w:rStyle w:val="VerbatimChar"/>
              </w:rPr>
              <w:t xml:space="preserve">192.168.1.127</w:t>
            </w:r>
          </w:p>
        </w:tc>
        <w:tc>
          <w:tcPr/>
          <w:p>
            <w:pPr>
              <w:pStyle w:val="Compact"/>
              <w:jc w:val="left"/>
            </w:pPr>
            <w:r>
              <w:rPr>
                <w:rStyle w:val="VerbatimChar"/>
              </w:rPr>
              <w:t xml:space="preserve">aicoesandox-subnet-ew1</w:t>
            </w:r>
            <w:r>
              <w:t xml:space="preserve"> </w:t>
            </w:r>
            <w:r>
              <w:t xml:space="preserve">— the application subnet</w:t>
            </w:r>
          </w:p>
        </w:tc>
      </w:tr>
      <w:tr>
        <w:tc>
          <w:tcPr/>
          <w:p>
            <w:pPr>
              <w:pStyle w:val="Compact"/>
              <w:jc w:val="left"/>
            </w:pPr>
            <w:r>
              <w:rPr>
                <w:rStyle w:val="VerbatimChar"/>
              </w:rPr>
              <w:t xml:space="preserve">192.168.1.128</w:t>
            </w:r>
            <w:r>
              <w:t xml:space="preserve"> </w:t>
            </w:r>
            <w:r>
              <w:t xml:space="preserve">–</w:t>
            </w:r>
            <w:r>
              <w:t xml:space="preserve"> </w:t>
            </w:r>
            <w:r>
              <w:rPr>
                <w:rStyle w:val="VerbatimChar"/>
              </w:rPr>
              <w:t xml:space="preserve">192.168.1.191</w:t>
            </w:r>
          </w:p>
        </w:tc>
        <w:tc>
          <w:tcPr/>
          <w:p>
            <w:pPr>
              <w:pStyle w:val="Compact"/>
              <w:jc w:val="left"/>
            </w:pPr>
            <w:r>
              <w:rPr>
                <w:rStyle w:val="VerbatimChar"/>
              </w:rPr>
              <w:t xml:space="preserve">aicoesandox-proxy-ew1</w:t>
            </w:r>
            <w:r>
              <w:t xml:space="preserve"> </w:t>
            </w:r>
            <w:r>
              <w:t xml:space="preserve">— the regional managed proxy subnet</w:t>
            </w:r>
          </w:p>
        </w:tc>
      </w:tr>
      <w:tr>
        <w:tc>
          <w:tcPr/>
          <w:p>
            <w:pPr>
              <w:pStyle w:val="Compact"/>
              <w:jc w:val="left"/>
            </w:pPr>
            <w:r>
              <w:rPr>
                <w:rStyle w:val="VerbatimChar"/>
              </w:rPr>
              <w:t xml:space="preserve">192.168.1.192</w:t>
            </w:r>
            <w:r>
              <w:t xml:space="preserve"> </w:t>
            </w:r>
            <w:r>
              <w:t xml:space="preserve">–</w:t>
            </w:r>
            <w:r>
              <w:t xml:space="preserve"> </w:t>
            </w:r>
            <w:r>
              <w:rPr>
                <w:rStyle w:val="VerbatimChar"/>
              </w:rPr>
              <w:t xml:space="preserve">192.168.1.255</w:t>
            </w:r>
          </w:p>
        </w:tc>
        <w:tc>
          <w:tcPr/>
          <w:p>
            <w:pPr>
              <w:pStyle w:val="Compact"/>
              <w:jc w:val="left"/>
            </w:pPr>
            <w:r>
              <w:t xml:space="preserve">Unallocated. Growth for further Sandbox subnets</w:t>
            </w:r>
          </w:p>
        </w:tc>
      </w:tr>
      <w:tr>
        <w:tc>
          <w:tcPr/>
          <w:p>
            <w:pPr>
              <w:pStyle w:val="Compact"/>
              <w:jc w:val="left"/>
            </w:pPr>
            <w:r>
              <w:rPr>
                <w:rStyle w:val="VerbatimChar"/>
              </w:rPr>
              <w:t xml:space="preserve">192.168.2.0</w:t>
            </w:r>
            <w:r>
              <w:t xml:space="preserve"> </w:t>
            </w:r>
            <w:r>
              <w:t xml:space="preserve">–</w:t>
            </w:r>
            <w:r>
              <w:t xml:space="preserve"> </w:t>
            </w:r>
            <w:r>
              <w:rPr>
                <w:rStyle w:val="VerbatimChar"/>
              </w:rPr>
              <w:t xml:space="preserve">192.168.2.255</w:t>
            </w:r>
          </w:p>
        </w:tc>
        <w:tc>
          <w:tcPr/>
          <w:p>
            <w:pPr>
              <w:pStyle w:val="Compact"/>
              <w:jc w:val="left"/>
            </w:pPr>
            <w:r>
              <w:rPr>
                <w:b/>
                <w:bCs/>
              </w:rPr>
              <w:t xml:space="preserve">No subnet may be created here.</w:t>
            </w:r>
            <w:r>
              <w:t xml:space="preserve"> </w:t>
            </w:r>
            <w:r>
              <w:t xml:space="preserve">Reserved for Private Service Connect addresses. Holds</w:t>
            </w:r>
            <w:r>
              <w:t xml:space="preserve"> </w:t>
            </w:r>
            <w:r>
              <w:rPr>
                <w:rStyle w:val="VerbatimChar"/>
              </w:rPr>
              <w:t xml:space="preserve">192.168.2.3</w:t>
            </w:r>
            <w:r>
              <w:t xml:space="preserve">; the remainder is growth for further PSC endpoints</w:t>
            </w:r>
          </w:p>
        </w:tc>
      </w:tr>
    </w:tbl>
    <w:p>
      <w:pPr>
        <w:pStyle w:val="BodyText"/>
      </w:pPr>
      <w:r>
        <w:rPr>
          <w:b/>
          <w:bCs/>
        </w:rPr>
        <w:t xml:space="preserve">Sandbox address reservations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Purpose</w:t>
            </w:r>
          </w:p>
        </w:tc>
        <w:tc>
          <w:tcPr>
            <w:shd w:val="clear" w:color="auto" w:fill="1F3864"/>
          </w:tcPr>
          <w:p>
            <w:pPr>
              <w:pStyle w:val="Compact"/>
              <w:jc w:val="left"/>
            </w:pPr>
            <w:r>
              <w:rPr>
                <w:b/>
                <w:color w:val="FFFFFF"/>
              </w:rPr>
              <w:t xml:space="preserve">Address</w:t>
            </w:r>
          </w:p>
        </w:tc>
        <w:tc>
          <w:tcPr>
            <w:shd w:val="clear" w:color="auto" w:fill="1F3864"/>
          </w:tcPr>
          <w:p>
            <w:pPr>
              <w:pStyle w:val="Compact"/>
              <w:jc w:val="left"/>
            </w:pPr>
            <w:r>
              <w:rPr>
                <w:b/>
                <w:color w:val="FFFFFF"/>
              </w:rPr>
              <w:t xml:space="preserve">Note</w:t>
            </w:r>
          </w:p>
        </w:tc>
      </w:tr>
      <w:tr>
        <w:tc>
          <w:tcPr/>
          <w:p>
            <w:pPr>
              <w:pStyle w:val="Compact"/>
              <w:jc w:val="left"/>
            </w:pPr>
            <w:r>
              <w:t xml:space="preserve">PSC endpoint for Google APIs</w:t>
            </w:r>
          </w:p>
        </w:tc>
        <w:tc>
          <w:tcPr/>
          <w:p>
            <w:pPr>
              <w:pStyle w:val="Compact"/>
              <w:jc w:val="left"/>
            </w:pPr>
            <w:r>
              <w:rPr>
                <w:rStyle w:val="VerbatimChar"/>
              </w:rPr>
              <w:t xml:space="preserve">192.168.2.3</w:t>
            </w:r>
          </w:p>
        </w:tc>
        <w:tc>
          <w:tcPr/>
          <w:p>
            <w:pPr>
              <w:pStyle w:val="Compact"/>
              <w:jc w:val="left"/>
            </w:pPr>
            <w:r>
              <w:t xml:space="preserve">Global internal address, outside every subnet</w:t>
            </w:r>
          </w:p>
        </w:tc>
      </w:tr>
      <w:tr>
        <w:tc>
          <w:tcPr/>
          <w:p>
            <w:pPr>
              <w:pStyle w:val="Compact"/>
              <w:jc w:val="left"/>
            </w:pPr>
            <w:r>
              <w:t xml:space="preserve">Vertex AI Workbench</w:t>
            </w:r>
          </w:p>
        </w:tc>
        <w:tc>
          <w:tcPr/>
          <w:p>
            <w:pPr>
              <w:pStyle w:val="Compact"/>
              <w:jc w:val="left"/>
            </w:pPr>
            <w:r>
              <w:t xml:space="preserve">Reserved from</w:t>
            </w:r>
            <w:r>
              <w:t xml:space="preserve"> </w:t>
            </w:r>
            <w:r>
              <w:rPr>
                <w:rStyle w:val="VerbatimChar"/>
              </w:rPr>
              <w:t xml:space="preserve">192.168.1.0/25</w:t>
            </w:r>
          </w:p>
        </w:tc>
        <w:tc>
          <w:tcPr/>
          <w:p>
            <w:pPr>
              <w:pStyle w:val="Compact"/>
              <w:jc w:val="left"/>
            </w:pPr>
            <w:r>
              <w:t xml:space="preserve">Address to be recorded from the live instance</w:t>
            </w:r>
          </w:p>
        </w:tc>
      </w:tr>
      <w:tr>
        <w:tc>
          <w:tcPr/>
          <w:p>
            <w:pPr>
              <w:pStyle w:val="Compact"/>
              <w:jc w:val="left"/>
            </w:pPr>
            <w:r>
              <w:t xml:space="preserve">Translation ILB VIP</w:t>
            </w:r>
          </w:p>
        </w:tc>
        <w:tc>
          <w:tcPr/>
          <w:p>
            <w:pPr>
              <w:pStyle w:val="Compact"/>
              <w:jc w:val="left"/>
            </w:pPr>
            <w:r>
              <w:t xml:space="preserve">Reserved from</w:t>
            </w:r>
            <w:r>
              <w:t xml:space="preserve"> </w:t>
            </w:r>
            <w:r>
              <w:rPr>
                <w:rStyle w:val="VerbatimChar"/>
              </w:rPr>
              <w:t xml:space="preserve">192.168.1.0/25</w:t>
            </w:r>
          </w:p>
        </w:tc>
        <w:tc>
          <w:tcPr/>
          <w:p>
            <w:pPr>
              <w:pStyle w:val="Compact"/>
              <w:jc w:val="left"/>
            </w:pPr>
            <w:r>
              <w:t xml:space="preserve">Address to be recorded from the live instance</w:t>
            </w:r>
          </w:p>
        </w:tc>
      </w:tr>
      <w:tr>
        <w:tc>
          <w:tcPr/>
          <w:p>
            <w:pPr>
              <w:pStyle w:val="Compact"/>
              <w:jc w:val="left"/>
            </w:pPr>
            <w:r>
              <w:t xml:space="preserve">Sales Agent ILB VIP</w:t>
            </w:r>
          </w:p>
        </w:tc>
        <w:tc>
          <w:tcPr/>
          <w:p>
            <w:pPr>
              <w:pStyle w:val="Compact"/>
              <w:jc w:val="left"/>
            </w:pPr>
            <w:r>
              <w:t xml:space="preserve">Reserved from</w:t>
            </w:r>
            <w:r>
              <w:t xml:space="preserve"> </w:t>
            </w:r>
            <w:r>
              <w:rPr>
                <w:rStyle w:val="VerbatimChar"/>
              </w:rPr>
              <w:t xml:space="preserve">192.168.1.0/25</w:t>
            </w:r>
          </w:p>
        </w:tc>
        <w:tc>
          <w:tcPr/>
          <w:p>
            <w:pPr>
              <w:pStyle w:val="Compact"/>
              <w:jc w:val="left"/>
            </w:pPr>
            <w:r>
              <w:t xml:space="preserve">Address to be recorded from the live instance</w:t>
            </w:r>
          </w:p>
        </w:tc>
      </w:tr>
      <w:tr>
        <w:tc>
          <w:tcPr/>
          <w:p>
            <w:pPr>
              <w:pStyle w:val="Compact"/>
              <w:jc w:val="left"/>
            </w:pPr>
            <w:r>
              <w:t xml:space="preserve">Vector Search endpoint</w:t>
            </w:r>
          </w:p>
        </w:tc>
        <w:tc>
          <w:tcPr/>
          <w:p>
            <w:pPr>
              <w:pStyle w:val="Compact"/>
              <w:jc w:val="left"/>
            </w:pPr>
            <w:r>
              <w:t xml:space="preserve">Allocated from</w:t>
            </w:r>
            <w:r>
              <w:t xml:space="preserve"> </w:t>
            </w:r>
            <w:r>
              <w:rPr>
                <w:rStyle w:val="VerbatimChar"/>
              </w:rPr>
              <w:t xml:space="preserve">192.168.1.0/25</w:t>
            </w:r>
            <w:r>
              <w:t xml:space="preserve"> </w:t>
            </w:r>
            <w:r>
              <w:t xml:space="preserve">by the service connection policy</w:t>
            </w:r>
          </w:p>
        </w:tc>
        <w:tc>
          <w:tcPr/>
          <w:p>
            <w:pPr>
              <w:pStyle w:val="Compact"/>
              <w:jc w:val="left"/>
            </w:pPr>
            <w:r>
              <w:t xml:space="preserve">Address to be recorded after index deployment</w:t>
            </w:r>
          </w:p>
        </w:tc>
      </w:tr>
      <w:tr>
        <w:tc>
          <w:tcPr/>
          <w:p>
            <w:pPr>
              <w:pStyle w:val="Compact"/>
              <w:jc w:val="left"/>
            </w:pPr>
            <w:r>
              <w:t xml:space="preserve">Cloud Run instances</w:t>
            </w:r>
          </w:p>
        </w:tc>
        <w:tc>
          <w:tcPr/>
          <w:p>
            <w:pPr>
              <w:pStyle w:val="Compact"/>
              <w:jc w:val="left"/>
            </w:pPr>
            <w:r>
              <w:t xml:space="preserve">Ephemeral, from</w:t>
            </w:r>
            <w:r>
              <w:t xml:space="preserve"> </w:t>
            </w:r>
            <w:r>
              <w:rPr>
                <w:rStyle w:val="VerbatimChar"/>
              </w:rPr>
              <w:t xml:space="preserve">192.168.1.0/25</w:t>
            </w:r>
          </w:p>
        </w:tc>
        <w:tc>
          <w:tcPr/>
          <w:p>
            <w:pPr>
              <w:pStyle w:val="Compact"/>
              <w:jc w:val="left"/>
            </w:pPr>
            <w:r>
              <w:t xml:space="preserve">Never reference individual addresses</w:t>
            </w:r>
          </w:p>
        </w:tc>
      </w:tr>
      <w:tr>
        <w:tc>
          <w:tcPr/>
          <w:p>
            <w:pPr>
              <w:pStyle w:val="Compact"/>
              <w:jc w:val="left"/>
            </w:pPr>
            <w:r>
              <w:t xml:space="preserve">Cloud NAT egress</w:t>
            </w:r>
          </w:p>
        </w:tc>
        <w:tc>
          <w:tcPr/>
          <w:p>
            <w:pPr>
              <w:pStyle w:val="Compact"/>
              <w:jc w:val="left"/>
            </w:pPr>
            <w:r>
              <w:rPr>
                <w:rStyle w:val="VerbatimChar"/>
              </w:rPr>
              <w:t xml:space="preserve">34.22.137.242</w:t>
            </w:r>
            <w:r>
              <w:t xml:space="preserve">,</w:t>
            </w:r>
            <w:r>
              <w:t xml:space="preserve"> </w:t>
            </w:r>
            <w:r>
              <w:rPr>
                <w:rStyle w:val="VerbatimChar"/>
              </w:rPr>
              <w:t xml:space="preserve">34.53.217.166</w:t>
            </w:r>
          </w:p>
        </w:tc>
        <w:tc>
          <w:tcPr/>
          <w:p>
            <w:pPr>
              <w:pStyle w:val="Compact"/>
              <w:jc w:val="left"/>
            </w:pPr>
            <w:r>
              <w:t xml:space="preserve">Reserved static addresses</w:t>
            </w:r>
          </w:p>
        </w:tc>
      </w:tr>
    </w:tbl>
    <w:bookmarkEnd w:id="81"/>
    <w:bookmarkStart w:id="82" w:name="address-allocation-who-actually-chooses"/>
    <w:p>
      <w:pPr>
        <w:pStyle w:val="Heading3"/>
      </w:pPr>
      <w:r>
        <w:t xml:space="preserve">5.4.4 Address allocation — who actually chooses</w:t>
      </w:r>
    </w:p>
    <w:p>
      <w:pPr>
        <w:pStyle w:val="FirstParagraph"/>
      </w:pPr>
      <w:r>
        <w:rPr>
          <w:b/>
          <w:bCs/>
        </w:rPr>
        <w:t xml:space="preserve">Only one address on the Dev platform is genuinely a free choice</w:t>
      </w:r>
      <w:r>
        <w:t xml:space="preserve"> </w:t>
      </w:r>
      <w:r>
        <w:t xml:space="preserve">—</w:t>
      </w:r>
      <w:r>
        <w:t xml:space="preserve"> </w:t>
      </w:r>
      <w:r>
        <w:rPr>
          <w:rStyle w:val="VerbatimChar"/>
        </w:rPr>
        <w:t xml:space="preserve">10.110.73.20</w:t>
      </w:r>
      <w:r>
        <w:t xml:space="preserve">, the front door. Two more are addresses the platform team creates rather than chooses in any meaningful sense, and the subnet ranges themselves are the real allocation decision.</w:t>
      </w:r>
      <w:r>
        <w:t xml:space="preserve"> </w:t>
      </w:r>
      <w:r>
        <w:rPr>
          <w:b/>
          <w:bCs/>
        </w:rPr>
        <w:t xml:space="preserve">Everything else is allocated by the service being connected to</w:t>
      </w:r>
      <w:r>
        <w:t xml:space="preserve">, and the platform team’s job is to reserve space and record what was given.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Address / range</w:t>
            </w:r>
          </w:p>
        </w:tc>
        <w:tc>
          <w:tcPr>
            <w:shd w:val="clear" w:color="auto" w:fill="1F3864"/>
          </w:tcPr>
          <w:p>
            <w:pPr>
              <w:pStyle w:val="Compact"/>
              <w:jc w:val="left"/>
            </w:pPr>
            <w:r>
              <w:rPr>
                <w:b/>
                <w:color w:val="FFFFFF"/>
              </w:rPr>
              <w:t xml:space="preserve">What</w:t>
            </w:r>
          </w:p>
        </w:tc>
        <w:tc>
          <w:tcPr>
            <w:shd w:val="clear" w:color="auto" w:fill="1F3864"/>
          </w:tcPr>
          <w:p>
            <w:pPr>
              <w:pStyle w:val="Compact"/>
              <w:jc w:val="left"/>
            </w:pPr>
            <w:r>
              <w:rPr>
                <w:b/>
                <w:color w:val="FFFFFF"/>
              </w:rPr>
              <w:t xml:space="preserve">Allocated by</w:t>
            </w:r>
          </w:p>
        </w:tc>
      </w:tr>
      <w:tr>
        <w:tc>
          <w:tcPr/>
          <w:p>
            <w:pPr>
              <w:pStyle w:val="Compact"/>
              <w:jc w:val="left"/>
            </w:pPr>
            <w:r>
              <w:rPr>
                <w:rStyle w:val="VerbatimChar"/>
              </w:rPr>
              <w:t xml:space="preserve">10.110.73.20</w:t>
            </w:r>
          </w:p>
        </w:tc>
        <w:tc>
          <w:tcPr/>
          <w:p>
            <w:pPr>
              <w:pStyle w:val="Compact"/>
              <w:jc w:val="left"/>
            </w:pPr>
            <w:r>
              <w:t xml:space="preserve">AI Hub ILB front door</w:t>
            </w:r>
          </w:p>
        </w:tc>
        <w:tc>
          <w:tcPr/>
          <w:p>
            <w:pPr>
              <w:pStyle w:val="Compact"/>
              <w:jc w:val="left"/>
            </w:pPr>
            <w:r>
              <w:rPr>
                <w:b/>
                <w:bCs/>
              </w:rPr>
              <w:t xml:space="preserve">You.</w:t>
            </w:r>
            <w:r>
              <w:t xml:space="preserve"> </w:t>
            </w:r>
            <w:r>
              <w:t xml:space="preserve">Static reservation</w:t>
            </w:r>
            <w:r>
              <w:t xml:space="preserve"> </w:t>
            </w:r>
            <w:r>
              <w:rPr>
                <w:rStyle w:val="VerbatimChar"/>
              </w:rPr>
              <w:t xml:space="preserve">aihub-ilb-vip</w:t>
            </w:r>
            <w:r>
              <w:t xml:space="preserve">. The one address CSOC opens</w:t>
            </w:r>
          </w:p>
        </w:tc>
      </w:tr>
      <w:tr>
        <w:tc>
          <w:tcPr/>
          <w:p>
            <w:pPr>
              <w:pStyle w:val="Compact"/>
              <w:jc w:val="left"/>
            </w:pPr>
            <w:r>
              <w:rPr>
                <w:rStyle w:val="VerbatimChar"/>
              </w:rPr>
              <w:t xml:space="preserve">192.168.6.145</w:t>
            </w:r>
          </w:p>
        </w:tc>
        <w:tc>
          <w:tcPr/>
          <w:p>
            <w:pPr>
              <w:pStyle w:val="Compact"/>
              <w:jc w:val="left"/>
            </w:pPr>
            <w:r>
              <w:t xml:space="preserve">Backend ILB VIP</w:t>
            </w:r>
          </w:p>
        </w:tc>
        <w:tc>
          <w:tcPr/>
          <w:p>
            <w:pPr>
              <w:pStyle w:val="Compact"/>
              <w:jc w:val="left"/>
            </w:pPr>
            <w:r>
              <w:rPr>
                <w:b/>
                <w:bCs/>
              </w:rPr>
              <w:t xml:space="preserve">You.</w:t>
            </w:r>
            <w:r>
              <w:t xml:space="preserve"> </w:t>
            </w:r>
            <w:r>
              <w:t xml:space="preserve">Static reservation</w:t>
            </w:r>
            <w:r>
              <w:t xml:space="preserve"> </w:t>
            </w:r>
            <w:r>
              <w:rPr>
                <w:rStyle w:val="VerbatimChar"/>
              </w:rPr>
              <w:t xml:space="preserve">backend-ilb-vip</w:t>
            </w:r>
            <w:r>
              <w:t xml:space="preserve"> </w:t>
            </w:r>
            <w:r>
              <w:t xml:space="preserve">in</w:t>
            </w:r>
            <w:r>
              <w:t xml:space="preserve"> </w:t>
            </w:r>
            <w:r>
              <w:rPr>
                <w:rStyle w:val="VerbatimChar"/>
              </w:rPr>
              <w:t xml:space="preserve">gclt-aicoe-dev-internal-ew1</w:t>
            </w:r>
            <w:r>
              <w:t xml:space="preserve">. No CSOC request — nothing routes to it</w:t>
            </w:r>
          </w:p>
        </w:tc>
      </w:tr>
      <w:tr>
        <w:tc>
          <w:tcPr/>
          <w:p>
            <w:pPr>
              <w:pStyle w:val="Compact"/>
              <w:jc w:val="left"/>
            </w:pPr>
            <w:r>
              <w:rPr>
                <w:rStyle w:val="VerbatimChar"/>
              </w:rPr>
              <w:t xml:space="preserve">192.168.6.164</w:t>
            </w:r>
          </w:p>
        </w:tc>
        <w:tc>
          <w:tcPr/>
          <w:p>
            <w:pPr>
              <w:pStyle w:val="Compact"/>
              <w:jc w:val="left"/>
            </w:pPr>
            <w:r>
              <w:t xml:space="preserve">PSC to Google APIs</w:t>
            </w:r>
          </w:p>
        </w:tc>
        <w:tc>
          <w:tcPr/>
          <w:p>
            <w:pPr>
              <w:pStyle w:val="Compact"/>
              <w:jc w:val="left"/>
            </w:pPr>
            <w:r>
              <w:rPr>
                <w:b/>
                <w:bCs/>
              </w:rPr>
              <w:t xml:space="preserve">You.</w:t>
            </w:r>
            <w:r>
              <w:t xml:space="preserve"> </w:t>
            </w:r>
            <w:r>
              <w:t xml:space="preserve">A</w:t>
            </w:r>
            <w:r>
              <w:t xml:space="preserve"> </w:t>
            </w:r>
            <w:r>
              <w:rPr>
                <w:b/>
                <w:bCs/>
              </w:rPr>
              <w:t xml:space="preserve">global</w:t>
            </w:r>
            <w:r>
              <w:t xml:space="preserve"> </w:t>
            </w:r>
            <w:r>
              <w:t xml:space="preserve">internal address named</w:t>
            </w:r>
            <w:r>
              <w:t xml:space="preserve"> </w:t>
            </w:r>
            <w:r>
              <w:rPr>
                <w:rStyle w:val="VerbatimChar"/>
              </w:rPr>
              <w:t xml:space="preserve">psc-google-apis-ip</w:t>
            </w:r>
            <w:r>
              <w:t xml:space="preserve">, outside every subnet</w:t>
            </w:r>
          </w:p>
        </w:tc>
      </w:tr>
      <w:tr>
        <w:tc>
          <w:tcPr/>
          <w:p>
            <w:pPr>
              <w:pStyle w:val="Compact"/>
              <w:jc w:val="left"/>
            </w:pPr>
            <w:r>
              <w:t xml:space="preserve">Apigee service endpoint</w:t>
            </w:r>
            <w:r>
              <w:t xml:space="preserve"> </w:t>
            </w:r>
            <w:r>
              <w:rPr>
                <w:i/>
                <w:iCs/>
              </w:rPr>
              <w:t xml:space="preserve">(</w:t>
            </w:r>
            <w:r>
              <w:rPr>
                <w:i/>
                <w:iCs/>
              </w:rPr>
              <w:t xml:space="preserve"> </w:t>
            </w:r>
            <w:r>
              <w:rPr>
                <w:rStyle w:val="VerbatimChar"/>
                <w:i/>
                <w:iCs/>
              </w:rPr>
              <w:t xml:space="preserve">192.168.6.146</w:t>
            </w:r>
            <w:r>
              <w:rPr>
                <w:i/>
                <w:iCs/>
              </w:rPr>
              <w:t xml:space="preserve">)</w:t>
            </w:r>
          </w:p>
        </w:tc>
        <w:tc>
          <w:tcPr/>
          <w:p>
            <w:pPr>
              <w:pStyle w:val="Compact"/>
              <w:jc w:val="left"/>
            </w:pPr>
            <w:r>
              <w:t xml:space="preserve">Reached by the Backend-for-Frontend and by the backends</w:t>
            </w:r>
          </w:p>
        </w:tc>
        <w:tc>
          <w:tcPr/>
          <w:p>
            <w:pPr>
              <w:pStyle w:val="Compact"/>
              <w:jc w:val="left"/>
            </w:pPr>
            <w:r>
              <w:rPr>
                <w:b/>
                <w:bCs/>
              </w:rPr>
              <w:t xml:space="preserve">Apigee’s provisioning flow.</w:t>
            </w:r>
            <w:r>
              <w:t xml:space="preserve"> </w:t>
            </w:r>
            <w:r>
              <w:t xml:space="preserve">Select internal routing with the service endpoint option, then look the address up</w:t>
            </w:r>
          </w:p>
        </w:tc>
      </w:tr>
      <w:tr>
        <w:tc>
          <w:tcPr/>
          <w:p>
            <w:pPr>
              <w:pStyle w:val="Compact"/>
              <w:jc w:val="left"/>
            </w:pPr>
            <w:r>
              <w:t xml:space="preserve">Vector Search endpoint</w:t>
            </w:r>
            <w:r>
              <w:t xml:space="preserve"> </w:t>
            </w:r>
            <w:r>
              <w:rPr>
                <w:i/>
                <w:iCs/>
              </w:rPr>
              <w:t xml:space="preserve">(</w:t>
            </w:r>
            <w:r>
              <w:rPr>
                <w:i/>
                <w:iCs/>
              </w:rPr>
              <w:t xml:space="preserve"> </w:t>
            </w:r>
            <w:r>
              <w:rPr>
                <w:rStyle w:val="VerbatimChar"/>
                <w:i/>
                <w:iCs/>
              </w:rPr>
              <w:t xml:space="preserve">192.168.6.147</w:t>
            </w:r>
            <w:r>
              <w:rPr>
                <w:i/>
                <w:iCs/>
              </w:rPr>
              <w:t xml:space="preserve">)</w:t>
            </w:r>
          </w:p>
        </w:tc>
        <w:tc>
          <w:tcPr/>
          <w:p>
            <w:pPr>
              <w:pStyle w:val="Compact"/>
              <w:jc w:val="left"/>
            </w:pPr>
            <w:r>
              <w:t xml:space="preserve">Reached by the Sales Agent</w:t>
            </w:r>
          </w:p>
        </w:tc>
        <w:tc>
          <w:tcPr/>
          <w:p>
            <w:pPr>
              <w:pStyle w:val="Compact"/>
              <w:jc w:val="left"/>
            </w:pPr>
            <w:r>
              <w:rPr>
                <w:b/>
                <w:bCs/>
              </w:rPr>
              <w:t xml:space="preserve">A service connection policy</w:t>
            </w:r>
            <w:r>
              <w:t xml:space="preserve">, in automatic mode. Only manual mode lets you pick</w:t>
            </w:r>
          </w:p>
        </w:tc>
      </w:tr>
      <w:tr>
        <w:tc>
          <w:tcPr/>
          <w:p>
            <w:pPr>
              <w:pStyle w:val="Compact"/>
              <w:jc w:val="left"/>
            </w:pPr>
            <w:r>
              <w:rPr>
                <w:rStyle w:val="VerbatimChar"/>
              </w:rPr>
              <w:t xml:space="preserve">192.168.4.0/23</w:t>
            </w:r>
          </w:p>
        </w:tc>
        <w:tc>
          <w:tcPr/>
          <w:p>
            <w:pPr>
              <w:pStyle w:val="Compact"/>
              <w:jc w:val="left"/>
            </w:pPr>
            <w:r>
              <w:t xml:space="preserve">Cloud Run instances</w:t>
            </w:r>
          </w:p>
        </w:tc>
        <w:tc>
          <w:tcPr/>
          <w:p>
            <w:pPr>
              <w:pStyle w:val="Compact"/>
              <w:jc w:val="left"/>
            </w:pPr>
            <w:r>
              <w:rPr>
                <w:b/>
                <w:bCs/>
              </w:rPr>
              <w:t xml:space="preserve">Cloud Run</w:t>
            </w:r>
            <w:r>
              <w:t xml:space="preserve">, ephemerally, from the whole subnet. Never reference individual addresses</w:t>
            </w:r>
          </w:p>
        </w:tc>
      </w:tr>
    </w:tbl>
    <w:p>
      <w:pPr>
        <w:pStyle w:val="BlockText"/>
      </w:pPr>
      <w:r>
        <w:t xml:space="preserve">Read</w:t>
      </w:r>
      <w:r>
        <w:t xml:space="preserve"> </w:t>
      </w:r>
      <w:r>
        <w:rPr>
          <w:rStyle w:val="VerbatimChar"/>
        </w:rPr>
        <w:t xml:space="preserve">192.168.6.146</w:t>
      </w:r>
      <w:r>
        <w:t xml:space="preserve"> </w:t>
      </w:r>
      <w:r>
        <w:t xml:space="preserve">and</w:t>
      </w:r>
      <w:r>
        <w:t xml:space="preserve"> </w:t>
      </w:r>
      <w:r>
        <w:rPr>
          <w:rStyle w:val="VerbatimChar"/>
        </w:rPr>
        <w:t xml:space="preserve">192.168.6.147</w:t>
      </w:r>
      <w:r>
        <w:t xml:space="preserve"> </w:t>
      </w:r>
      <w:r>
        <w:t xml:space="preserve">throughout this document as</w:t>
      </w:r>
      <w:r>
        <w:t xml:space="preserve"> </w:t>
      </w:r>
      <w:r>
        <w:rPr>
          <w:i/>
          <w:iCs/>
        </w:rPr>
        <w:t xml:space="preserve">the address that was allocated, recorded here</w:t>
      </w:r>
      <w:r>
        <w:t xml:space="preserve">. Printing them as decisions would produce a firewall rule, a DNS record and a target server all pointing at addresses the platform never assigned.</w:t>
      </w:r>
    </w:p>
    <w:bookmarkEnd w:id="82"/>
    <w:bookmarkStart w:id="83" w:name="allocation-register"/>
    <w:p>
      <w:pPr>
        <w:pStyle w:val="Heading3"/>
      </w:pPr>
      <w:r>
        <w:t xml:space="preserve">5.4.5 Allocation register</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Purpose</w:t>
            </w:r>
          </w:p>
        </w:tc>
        <w:tc>
          <w:tcPr>
            <w:shd w:val="clear" w:color="auto" w:fill="1F3864"/>
          </w:tcPr>
          <w:p>
            <w:pPr>
              <w:pStyle w:val="Compact"/>
              <w:jc w:val="left"/>
            </w:pPr>
            <w:r>
              <w:rPr>
                <w:b/>
                <w:color w:val="FFFFFF"/>
              </w:rPr>
              <w:t xml:space="preserve">Environment</w:t>
            </w:r>
          </w:p>
        </w:tc>
        <w:tc>
          <w:tcPr>
            <w:shd w:val="clear" w:color="auto" w:fill="1F3864"/>
          </w:tcPr>
          <w:p>
            <w:pPr>
              <w:pStyle w:val="Compact"/>
              <w:jc w:val="left"/>
            </w:pPr>
            <w:r>
              <w:rPr>
                <w:b/>
                <w:color w:val="FFFFFF"/>
              </w:rPr>
              <w:t xml:space="preserve">Reserved from</w:t>
            </w:r>
          </w:p>
        </w:tc>
        <w:tc>
          <w:tcPr>
            <w:shd w:val="clear" w:color="auto" w:fill="1F3864"/>
          </w:tcPr>
          <w:p>
            <w:pPr>
              <w:pStyle w:val="Compact"/>
              <w:jc w:val="left"/>
            </w:pPr>
            <w:r>
              <w:rPr>
                <w:b/>
                <w:color w:val="FFFFFF"/>
              </w:rPr>
              <w:t xml:space="preserve">Actual address</w:t>
            </w:r>
          </w:p>
        </w:tc>
        <w:tc>
          <w:tcPr>
            <w:shd w:val="clear" w:color="auto" w:fill="1F3864"/>
          </w:tcPr>
          <w:p>
            <w:pPr>
              <w:pStyle w:val="Compact"/>
              <w:jc w:val="left"/>
            </w:pPr>
            <w:r>
              <w:rPr>
                <w:b/>
                <w:color w:val="FFFFFF"/>
              </w:rPr>
              <w:t xml:space="preserve">Recorded into</w:t>
            </w:r>
          </w:p>
        </w:tc>
      </w:tr>
      <w:tr>
        <w:tc>
          <w:tcPr/>
          <w:p>
            <w:pPr>
              <w:pStyle w:val="Compact"/>
              <w:jc w:val="left"/>
            </w:pPr>
            <w:r>
              <w:t xml:space="preserve">Apigee service endpoint</w:t>
            </w:r>
          </w:p>
        </w:tc>
        <w:tc>
          <w:tcPr/>
          <w:p>
            <w:pPr>
              <w:pStyle w:val="Compact"/>
              <w:jc w:val="left"/>
            </w:pPr>
            <w:r>
              <w:t xml:space="preserve">Dev</w:t>
            </w:r>
          </w:p>
        </w:tc>
        <w:tc>
          <w:tcPr/>
          <w:p>
            <w:pPr>
              <w:pStyle w:val="Compact"/>
              <w:jc w:val="left"/>
            </w:pPr>
            <w:r>
              <w:rPr>
                <w:rStyle w:val="VerbatimChar"/>
              </w:rPr>
              <w:t xml:space="preserve">192.168.6.144/28</w:t>
            </w:r>
          </w:p>
        </w:tc>
        <w:tc>
          <w:tcPr/>
          <w:p>
            <w:pPr>
              <w:pStyle w:val="Compact"/>
              <w:jc w:val="left"/>
            </w:pPr>
            <w:r>
              <w:rPr>
                <w:i/>
                <w:iCs/>
              </w:rPr>
              <w:t xml:space="preserve">(record after Apigee provisioning)</w:t>
            </w:r>
          </w:p>
        </w:tc>
        <w:tc>
          <w:tcPr/>
          <w:p>
            <w:pPr>
              <w:pStyle w:val="Compact"/>
              <w:jc w:val="left"/>
            </w:pPr>
            <w:r>
              <w:t xml:space="preserve">DNS, firewall rule 2, Apigee target servers</w:t>
            </w:r>
          </w:p>
        </w:tc>
      </w:tr>
      <w:tr>
        <w:tc>
          <w:tcPr/>
          <w:p>
            <w:pPr>
              <w:pStyle w:val="Compact"/>
              <w:jc w:val="left"/>
            </w:pPr>
            <w:r>
              <w:t xml:space="preserve">Vector Search endpoint</w:t>
            </w:r>
          </w:p>
        </w:tc>
        <w:tc>
          <w:tcPr/>
          <w:p>
            <w:pPr>
              <w:pStyle w:val="Compact"/>
              <w:jc w:val="left"/>
            </w:pPr>
            <w:r>
              <w:t xml:space="preserve">Dev</w:t>
            </w:r>
          </w:p>
        </w:tc>
        <w:tc>
          <w:tcPr/>
          <w:p>
            <w:pPr>
              <w:pStyle w:val="Compact"/>
              <w:jc w:val="left"/>
            </w:pPr>
            <w:r>
              <w:rPr>
                <w:rStyle w:val="VerbatimChar"/>
              </w:rPr>
              <w:t xml:space="preserve">192.168.6.144/28</w:t>
            </w:r>
          </w:p>
        </w:tc>
        <w:tc>
          <w:tcPr/>
          <w:p>
            <w:pPr>
              <w:pStyle w:val="Compact"/>
              <w:jc w:val="left"/>
            </w:pPr>
            <w:r>
              <w:rPr>
                <w:i/>
                <w:iCs/>
              </w:rPr>
              <w:t xml:space="preserve">(record after index deployment)</w:t>
            </w:r>
          </w:p>
        </w:tc>
        <w:tc>
          <w:tcPr/>
          <w:p>
            <w:pPr>
              <w:pStyle w:val="Compact"/>
              <w:jc w:val="left"/>
            </w:pPr>
            <w:r>
              <w:t xml:space="preserve">Firewall rule 2, optionally DNS</w:t>
            </w:r>
          </w:p>
        </w:tc>
      </w:tr>
      <w:tr>
        <w:tc>
          <w:tcPr/>
          <w:p>
            <w:pPr>
              <w:pStyle w:val="Compact"/>
              <w:jc w:val="left"/>
            </w:pPr>
            <w:r>
              <w:t xml:space="preserve">PSC endpoint for Google APIs</w:t>
            </w:r>
          </w:p>
        </w:tc>
        <w:tc>
          <w:tcPr/>
          <w:p>
            <w:pPr>
              <w:pStyle w:val="Compact"/>
              <w:jc w:val="left"/>
            </w:pPr>
            <w:r>
              <w:t xml:space="preserve">Sandbox</w:t>
            </w:r>
          </w:p>
        </w:tc>
        <w:tc>
          <w:tcPr/>
          <w:p>
            <w:pPr>
              <w:pStyle w:val="Compact"/>
              <w:jc w:val="left"/>
            </w:pPr>
            <w:r>
              <w:t xml:space="preserve">Outside every subnet</w:t>
            </w:r>
          </w:p>
        </w:tc>
        <w:tc>
          <w:tcPr/>
          <w:p>
            <w:pPr>
              <w:pStyle w:val="Compact"/>
              <w:jc w:val="left"/>
            </w:pPr>
            <w:r>
              <w:rPr>
                <w:rStyle w:val="VerbatimChar"/>
              </w:rPr>
              <w:t xml:space="preserve">192.168.2.3</w:t>
            </w:r>
          </w:p>
        </w:tc>
        <w:tc>
          <w:tcPr/>
          <w:p>
            <w:pPr>
              <w:pStyle w:val="Compact"/>
              <w:jc w:val="left"/>
            </w:pPr>
            <w:r>
              <w:t xml:space="preserve">DNS, firewall —</w:t>
            </w:r>
            <w:r>
              <w:t xml:space="preserve"> </w:t>
            </w:r>
            <w:r>
              <w:rPr>
                <w:b/>
                <w:bCs/>
              </w:rPr>
              <w:t xml:space="preserve">allocated</w:t>
            </w:r>
          </w:p>
        </w:tc>
      </w:tr>
      <w:tr>
        <w:tc>
          <w:tcPr/>
          <w:p>
            <w:pPr>
              <w:pStyle w:val="Compact"/>
              <w:jc w:val="left"/>
            </w:pPr>
            <w:r>
              <w:t xml:space="preserve">Workbench address</w:t>
            </w:r>
          </w:p>
        </w:tc>
        <w:tc>
          <w:tcPr/>
          <w:p>
            <w:pPr>
              <w:pStyle w:val="Compact"/>
              <w:jc w:val="left"/>
            </w:pPr>
            <w:r>
              <w:t xml:space="preserve">Sandbox</w:t>
            </w:r>
          </w:p>
        </w:tc>
        <w:tc>
          <w:tcPr/>
          <w:p>
            <w:pPr>
              <w:pStyle w:val="Compact"/>
              <w:jc w:val="left"/>
            </w:pPr>
            <w:r>
              <w:rPr>
                <w:rStyle w:val="VerbatimChar"/>
              </w:rPr>
              <w:t xml:space="preserve">192.168.1.0/25</w:t>
            </w:r>
          </w:p>
        </w:tc>
        <w:tc>
          <w:tcPr/>
          <w:p>
            <w:pPr>
              <w:pStyle w:val="Compact"/>
              <w:jc w:val="left"/>
            </w:pPr>
            <w:r>
              <w:rPr>
                <w:i/>
                <w:iCs/>
              </w:rPr>
              <w:t xml:space="preserve">(read back from the live instance)</w:t>
            </w:r>
          </w:p>
        </w:tc>
        <w:tc>
          <w:tcPr/>
          <w:p>
            <w:pPr>
              <w:pStyle w:val="Compact"/>
              <w:jc w:val="left"/>
            </w:pPr>
            <w:r>
              <w:t xml:space="preserve">Firewall</w:t>
            </w:r>
          </w:p>
        </w:tc>
      </w:tr>
      <w:tr>
        <w:tc>
          <w:tcPr/>
          <w:p>
            <w:pPr>
              <w:pStyle w:val="Compact"/>
              <w:jc w:val="left"/>
            </w:pPr>
            <w:r>
              <w:t xml:space="preserve">Translation and Sales Agent ILB VIPs</w:t>
            </w:r>
          </w:p>
        </w:tc>
        <w:tc>
          <w:tcPr/>
          <w:p>
            <w:pPr>
              <w:pStyle w:val="Compact"/>
              <w:jc w:val="left"/>
            </w:pPr>
            <w:r>
              <w:t xml:space="preserve">Sandbox</w:t>
            </w:r>
          </w:p>
        </w:tc>
        <w:tc>
          <w:tcPr/>
          <w:p>
            <w:pPr>
              <w:pStyle w:val="Compact"/>
              <w:jc w:val="left"/>
            </w:pPr>
            <w:r>
              <w:rPr>
                <w:rStyle w:val="VerbatimChar"/>
              </w:rPr>
              <w:t xml:space="preserve">192.168.1.0/25</w:t>
            </w:r>
          </w:p>
        </w:tc>
        <w:tc>
          <w:tcPr/>
          <w:p>
            <w:pPr>
              <w:pStyle w:val="Compact"/>
              <w:jc w:val="left"/>
            </w:pPr>
            <w:r>
              <w:rPr>
                <w:i/>
                <w:iCs/>
              </w:rPr>
              <w:t xml:space="preserve">(read back from the live load balancers)</w:t>
            </w:r>
          </w:p>
        </w:tc>
        <w:tc>
          <w:tcPr/>
          <w:p>
            <w:pPr>
              <w:pStyle w:val="Compact"/>
              <w:jc w:val="left"/>
            </w:pPr>
            <w:r>
              <w:t xml:space="preserve">DNS</w:t>
            </w:r>
          </w:p>
        </w:tc>
      </w:tr>
      <w:tr>
        <w:tc>
          <w:tcPr/>
          <w:p>
            <w:pPr>
              <w:pStyle w:val="Compact"/>
              <w:jc w:val="left"/>
            </w:pPr>
            <w:r>
              <w:t xml:space="preserve">Vector Search endpoint</w:t>
            </w:r>
          </w:p>
        </w:tc>
        <w:tc>
          <w:tcPr/>
          <w:p>
            <w:pPr>
              <w:pStyle w:val="Compact"/>
              <w:jc w:val="left"/>
            </w:pPr>
            <w:r>
              <w:t xml:space="preserve">Sandbox</w:t>
            </w:r>
          </w:p>
        </w:tc>
        <w:tc>
          <w:tcPr/>
          <w:p>
            <w:pPr>
              <w:pStyle w:val="Compact"/>
              <w:jc w:val="left"/>
            </w:pPr>
            <w:r>
              <w:rPr>
                <w:rStyle w:val="VerbatimChar"/>
              </w:rPr>
              <w:t xml:space="preserve">192.168.1.0/25</w:t>
            </w:r>
          </w:p>
        </w:tc>
        <w:tc>
          <w:tcPr/>
          <w:p>
            <w:pPr>
              <w:pStyle w:val="Compact"/>
              <w:jc w:val="left"/>
            </w:pPr>
            <w:r>
              <w:rPr>
                <w:i/>
                <w:iCs/>
              </w:rPr>
              <w:t xml:space="preserve">(record after index deployment)</w:t>
            </w:r>
          </w:p>
        </w:tc>
        <w:tc>
          <w:tcPr/>
          <w:p>
            <w:pPr>
              <w:pStyle w:val="Compact"/>
              <w:jc w:val="left"/>
            </w:pPr>
            <w:r>
              <w:t xml:space="preserve">Firewall</w:t>
            </w:r>
          </w:p>
        </w:tc>
      </w:tr>
    </w:tbl>
    <w:bookmarkEnd w:id="83"/>
    <w:bookmarkEnd w:id="84"/>
    <w:bookmarkStart w:id="85" w:name="cloud-router-and-cloud-nat-sandbox-only"/>
    <w:p>
      <w:pPr>
        <w:pStyle w:val="Heading2"/>
      </w:pPr>
      <w:r>
        <w:t xml:space="preserve">5.5 Cloud Router and Cloud NAT — Sandbox only</w:t>
      </w:r>
    </w:p>
    <w:p>
      <w:pPr>
        <w:pStyle w:val="FirstParagraph"/>
      </w:pPr>
      <w:r>
        <w:t xml:space="preserve">Cloud NAT provides outbound internet access for workloads that have no public address; Cloud Router is the control-plane component that programs it. It exists in Sandbox alone, so that experimental workloads can reach package registries and partner endpoints through a small, fixed, allow-listable set of addresses.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Parameter</w:t>
            </w:r>
          </w:p>
        </w:tc>
        <w:tc>
          <w:tcPr>
            <w:shd w:val="clear" w:color="auto" w:fill="1F3864"/>
          </w:tcPr>
          <w:p>
            <w:pPr>
              <w:pStyle w:val="Compact"/>
              <w:jc w:val="left"/>
            </w:pPr>
            <w:r>
              <w:rPr>
                <w:b/>
                <w:color w:val="FFFFFF"/>
              </w:rPr>
              <w:t xml:space="preserve">Value</w:t>
            </w:r>
          </w:p>
        </w:tc>
      </w:tr>
      <w:tr>
        <w:tc>
          <w:tcPr/>
          <w:p>
            <w:pPr>
              <w:pStyle w:val="Compact"/>
              <w:jc w:val="left"/>
            </w:pPr>
            <w:r>
              <w:t xml:space="preserve">Environments</w:t>
            </w:r>
          </w:p>
        </w:tc>
        <w:tc>
          <w:tcPr/>
          <w:p>
            <w:pPr>
              <w:pStyle w:val="Compact"/>
              <w:jc w:val="left"/>
            </w:pPr>
            <w:r>
              <w:rPr>
                <w:b/>
                <w:bCs/>
              </w:rPr>
              <w:t xml:space="preserve">Sandbox only</w:t>
            </w:r>
          </w:p>
        </w:tc>
      </w:tr>
      <w:tr>
        <w:tc>
          <w:tcPr/>
          <w:p>
            <w:pPr>
              <w:pStyle w:val="Compact"/>
              <w:jc w:val="left"/>
            </w:pPr>
            <w:r>
              <w:t xml:space="preserve">Router</w:t>
            </w:r>
          </w:p>
        </w:tc>
        <w:tc>
          <w:tcPr/>
          <w:p>
            <w:pPr>
              <w:pStyle w:val="Compact"/>
              <w:jc w:val="left"/>
            </w:pPr>
            <w:r>
              <w:rPr>
                <w:rStyle w:val="VerbatimChar"/>
              </w:rPr>
              <w:t xml:space="preserve">aicoesandox-cloudrouter</w:t>
            </w:r>
          </w:p>
        </w:tc>
      </w:tr>
      <w:tr>
        <w:tc>
          <w:tcPr/>
          <w:p>
            <w:pPr>
              <w:pStyle w:val="Compact"/>
              <w:jc w:val="left"/>
            </w:pPr>
            <w:r>
              <w:t xml:space="preserve">NAT gateway</w:t>
            </w:r>
          </w:p>
        </w:tc>
        <w:tc>
          <w:tcPr/>
          <w:p>
            <w:pPr>
              <w:pStyle w:val="Compact"/>
              <w:jc w:val="left"/>
            </w:pPr>
            <w:r>
              <w:rPr>
                <w:rStyle w:val="VerbatimChar"/>
              </w:rPr>
              <w:t xml:space="preserve">aicoesandox-cloudnat</w:t>
            </w:r>
          </w:p>
        </w:tc>
      </w:tr>
      <w:tr>
        <w:tc>
          <w:tcPr/>
          <w:p>
            <w:pPr>
              <w:pStyle w:val="Compact"/>
              <w:jc w:val="left"/>
            </w:pPr>
            <w:r>
              <w:t xml:space="preserve">Reserved addresses</w:t>
            </w:r>
          </w:p>
        </w:tc>
        <w:tc>
          <w:tcPr/>
          <w:p>
            <w:pPr>
              <w:pStyle w:val="Compact"/>
              <w:jc w:val="left"/>
            </w:pPr>
            <w:r>
              <w:rPr>
                <w:rStyle w:val="VerbatimChar"/>
              </w:rPr>
              <w:t xml:space="preserve">aicoesandox-staticip-nat-1</w:t>
            </w:r>
            <w:r>
              <w:t xml:space="preserve"> </w:t>
            </w:r>
            <w:r>
              <w:t xml:space="preserve">=</w:t>
            </w:r>
            <w:r>
              <w:t xml:space="preserve"> </w:t>
            </w:r>
            <w:r>
              <w:rPr>
                <w:rStyle w:val="VerbatimChar"/>
              </w:rPr>
              <w:t xml:space="preserve">34.22.137.242</w:t>
            </w:r>
            <w:r>
              <w:t xml:space="preserve">,</w:t>
            </w:r>
            <w:r>
              <w:t xml:space="preserve"> </w:t>
            </w:r>
            <w:r>
              <w:rPr>
                <w:rStyle w:val="VerbatimChar"/>
              </w:rPr>
              <w:t xml:space="preserve">aicoesandox-staticip-nat-2</w:t>
            </w:r>
            <w:r>
              <w:t xml:space="preserve"> </w:t>
            </w:r>
            <w:r>
              <w:t xml:space="preserve">=</w:t>
            </w:r>
            <w:r>
              <w:t xml:space="preserve"> </w:t>
            </w:r>
            <w:r>
              <w:rPr>
                <w:rStyle w:val="VerbatimChar"/>
              </w:rPr>
              <w:t xml:space="preserve">34.53.217.166</w:t>
            </w:r>
          </w:p>
        </w:tc>
      </w:tr>
      <w:tr>
        <w:tc>
          <w:tcPr/>
          <w:p>
            <w:pPr>
              <w:pStyle w:val="Compact"/>
              <w:jc w:val="left"/>
            </w:pPr>
            <w:r>
              <w:t xml:space="preserve">Source subnets</w:t>
            </w:r>
          </w:p>
        </w:tc>
        <w:tc>
          <w:tcPr/>
          <w:p>
            <w:pPr>
              <w:pStyle w:val="Compact"/>
              <w:jc w:val="left"/>
            </w:pPr>
            <w:r>
              <w:t xml:space="preserve">All subnets in the VPC</w:t>
            </w:r>
          </w:p>
        </w:tc>
      </w:tr>
      <w:tr>
        <w:tc>
          <w:tcPr/>
          <w:p>
            <w:pPr>
              <w:pStyle w:val="Compact"/>
              <w:jc w:val="left"/>
            </w:pPr>
            <w:r>
              <w:t xml:space="preserve">Purpose</w:t>
            </w:r>
          </w:p>
        </w:tc>
        <w:tc>
          <w:tcPr/>
          <w:p>
            <w:pPr>
              <w:pStyle w:val="Compact"/>
              <w:jc w:val="left"/>
            </w:pPr>
            <w:r>
              <w:t xml:space="preserve">Deterministic, allow-listable outbound egress</w:t>
            </w:r>
          </w:p>
        </w:tc>
      </w:tr>
    </w:tbl>
    <w:p>
      <w:pPr>
        <w:pStyle w:val="BodyText"/>
      </w:pPr>
      <w:r>
        <w:rPr>
          <w:b/>
          <w:bCs/>
        </w:rPr>
        <w:t xml:space="preserve">Dev and Prod deploy neither.</w:t>
      </w:r>
      <w:r>
        <w:t xml:space="preserve"> </w:t>
      </w:r>
      <w:r>
        <w:t xml:space="preserve">Default-deny egress stands, and no platform workload requires outbound internet access. Google APIs are reached over PSC.</w:t>
      </w:r>
    </w:p>
    <w:bookmarkEnd w:id="85"/>
    <w:bookmarkStart w:id="89" w:name="firewall"/>
    <w:p>
      <w:pPr>
        <w:pStyle w:val="Heading2"/>
      </w:pPr>
      <w:r>
        <w:t xml:space="preserve">5.6 Firewall</w:t>
      </w:r>
    </w:p>
    <w:p>
      <w:pPr>
        <w:pStyle w:val="FirstParagraph"/>
      </w:pPr>
      <w:r>
        <w:t xml:space="preserve">The principle in both environments is</w:t>
      </w:r>
      <w:r>
        <w:t xml:space="preserve"> </w:t>
      </w:r>
      <w:r>
        <w:rPr>
          <w:b/>
          <w:bCs/>
        </w:rPr>
        <w:t xml:space="preserve">deny everything outbound by default, then allow the few destinations that are genuinely needed</w:t>
      </w:r>
      <w:r>
        <w:t xml:space="preserve">. A compromised service cannot phone home because there is nowhere to phone.</w:t>
      </w:r>
    </w:p>
    <w:bookmarkStart w:id="86" w:name="dev-and-prod-rules"/>
    <w:p>
      <w:pPr>
        <w:pStyle w:val="Heading3"/>
      </w:pPr>
      <w:r>
        <w:t xml:space="preserve">5.6.1 Dev and Prod rules</w:t>
      </w:r>
    </w:p>
    <w:tbl>
      <w:tblPr>
        <w:tblStyle w:val="TableGrid"/>
        <w:tblW w:type="pct" w:w="5000"/>
        <w:jc w:val="start"/>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Rule</w:t>
            </w:r>
          </w:p>
        </w:tc>
        <w:tc>
          <w:tcPr>
            <w:shd w:val="clear" w:color="auto" w:fill="1F3864"/>
          </w:tcPr>
          <w:p>
            <w:pPr>
              <w:pStyle w:val="Compact"/>
              <w:jc w:val="left"/>
            </w:pPr>
            <w:r>
              <w:rPr>
                <w:b/>
                <w:color w:val="FFFFFF"/>
              </w:rPr>
              <w:t xml:space="preserve">Direction</w:t>
            </w:r>
          </w:p>
        </w:tc>
        <w:tc>
          <w:tcPr>
            <w:shd w:val="clear" w:color="auto" w:fill="1F3864"/>
          </w:tcPr>
          <w:p>
            <w:pPr>
              <w:pStyle w:val="Compact"/>
              <w:jc w:val="left"/>
            </w:pPr>
            <w:r>
              <w:rPr>
                <w:b/>
                <w:color w:val="FFFFFF"/>
              </w:rPr>
              <w:t xml:space="preserve">Action</w:t>
            </w:r>
          </w:p>
        </w:tc>
        <w:tc>
          <w:tcPr>
            <w:shd w:val="clear" w:color="auto" w:fill="1F3864"/>
          </w:tcPr>
          <w:p>
            <w:pPr>
              <w:pStyle w:val="Compact"/>
              <w:jc w:val="left"/>
            </w:pPr>
            <w:r>
              <w:rPr>
                <w:b/>
                <w:color w:val="FFFFFF"/>
              </w:rPr>
              <w:t xml:space="preserve">Target</w:t>
            </w:r>
          </w:p>
        </w:tc>
        <w:tc>
          <w:tcPr>
            <w:shd w:val="clear" w:color="auto" w:fill="1F3864"/>
          </w:tcPr>
          <w:p>
            <w:pPr>
              <w:pStyle w:val="Compact"/>
              <w:jc w:val="left"/>
            </w:pPr>
            <w:r>
              <w:rPr>
                <w:b/>
                <w:color w:val="FFFFFF"/>
              </w:rPr>
              <w:t xml:space="preserve">Filter</w:t>
            </w:r>
          </w:p>
        </w:tc>
        <w:tc>
          <w:tcPr>
            <w:shd w:val="clear" w:color="auto" w:fill="1F3864"/>
          </w:tcPr>
          <w:p>
            <w:pPr>
              <w:pStyle w:val="Compact"/>
              <w:jc w:val="left"/>
            </w:pPr>
            <w:r>
              <w:rPr>
                <w:b/>
                <w:color w:val="FFFFFF"/>
              </w:rPr>
              <w:t xml:space="preserve">Protocol / port</w:t>
            </w:r>
          </w:p>
        </w:tc>
        <w:tc>
          <w:tcPr>
            <w:shd w:val="clear" w:color="auto" w:fill="1F3864"/>
          </w:tcPr>
          <w:p>
            <w:pPr>
              <w:pStyle w:val="Compact"/>
              <w:jc w:val="left"/>
            </w:pPr>
            <w:r>
              <w:rPr>
                <w:b/>
                <w:color w:val="FFFFFF"/>
              </w:rPr>
              <w:t xml:space="preserve">Priority</w:t>
            </w:r>
          </w:p>
        </w:tc>
        <w:tc>
          <w:tcPr>
            <w:shd w:val="clear" w:color="auto" w:fill="1F3864"/>
          </w:tcPr>
          <w:p>
            <w:pPr>
              <w:pStyle w:val="Compact"/>
              <w:jc w:val="left"/>
            </w:pPr>
            <w:r>
              <w:rPr>
                <w:b/>
                <w:color w:val="FFFFFF"/>
              </w:rPr>
              <w:t xml:space="preserve">Logs</w:t>
            </w:r>
          </w:p>
        </w:tc>
      </w:tr>
      <w:tr>
        <w:tc>
          <w:tcPr/>
          <w:p>
            <w:pPr>
              <w:pStyle w:val="Compact"/>
              <w:jc w:val="left"/>
            </w:pPr>
            <w:r>
              <w:t xml:space="preserve">1</w:t>
            </w:r>
          </w:p>
        </w:tc>
        <w:tc>
          <w:tcPr/>
          <w:p>
            <w:pPr>
              <w:pStyle w:val="Compact"/>
              <w:jc w:val="left"/>
            </w:pPr>
            <w:r>
              <w:rPr>
                <w:rStyle w:val="VerbatimChar"/>
              </w:rPr>
              <w:t xml:space="preserve">egress-deny-all</w:t>
            </w:r>
          </w:p>
        </w:tc>
        <w:tc>
          <w:tcPr/>
          <w:p>
            <w:pPr>
              <w:pStyle w:val="Compact"/>
              <w:jc w:val="left"/>
            </w:pPr>
            <w:r>
              <w:t xml:space="preserve">Egress</w:t>
            </w:r>
          </w:p>
        </w:tc>
        <w:tc>
          <w:tcPr/>
          <w:p>
            <w:pPr>
              <w:pStyle w:val="Compact"/>
              <w:jc w:val="left"/>
            </w:pPr>
            <w:r>
              <w:rPr>
                <w:b/>
                <w:bCs/>
              </w:rPr>
              <w:t xml:space="preserve">Deny</w:t>
            </w:r>
          </w:p>
        </w:tc>
        <w:tc>
          <w:tcPr/>
          <w:p>
            <w:pPr>
              <w:pStyle w:val="Compact"/>
              <w:jc w:val="left"/>
            </w:pPr>
            <w:r>
              <w:t xml:space="preserve">All instances in the network</w:t>
            </w:r>
          </w:p>
        </w:tc>
        <w:tc>
          <w:tcPr/>
          <w:p>
            <w:pPr>
              <w:pStyle w:val="Compact"/>
              <w:jc w:val="left"/>
            </w:pPr>
            <w:r>
              <w:t xml:space="preserve">Destination</w:t>
            </w:r>
            <w:r>
              <w:t xml:space="preserve"> </w:t>
            </w:r>
            <w:r>
              <w:rPr>
                <w:rStyle w:val="VerbatimChar"/>
              </w:rPr>
              <w:t xml:space="preserve">0.0.0.0/0</w:t>
            </w:r>
          </w:p>
        </w:tc>
        <w:tc>
          <w:tcPr/>
          <w:p>
            <w:pPr>
              <w:pStyle w:val="Compact"/>
              <w:jc w:val="left"/>
            </w:pPr>
            <w:r>
              <w:t xml:space="preserve">all</w:t>
            </w:r>
          </w:p>
        </w:tc>
        <w:tc>
          <w:tcPr/>
          <w:p>
            <w:pPr>
              <w:pStyle w:val="Compact"/>
              <w:jc w:val="left"/>
            </w:pPr>
            <w:r>
              <w:rPr>
                <w:rStyle w:val="VerbatimChar"/>
              </w:rPr>
              <w:t xml:space="preserve">65000</w:t>
            </w:r>
          </w:p>
        </w:tc>
        <w:tc>
          <w:tcPr/>
          <w:p>
            <w:pPr>
              <w:pStyle w:val="Compact"/>
              <w:jc w:val="left"/>
            </w:pPr>
            <w:r>
              <w:t xml:space="preserve">On</w:t>
            </w:r>
          </w:p>
        </w:tc>
      </w:tr>
      <w:tr>
        <w:tc>
          <w:tcPr/>
          <w:p>
            <w:pPr>
              <w:pStyle w:val="Compact"/>
              <w:jc w:val="left"/>
            </w:pPr>
            <w:r>
              <w:t xml:space="preserve">2</w:t>
            </w:r>
          </w:p>
        </w:tc>
        <w:tc>
          <w:tcPr/>
          <w:p>
            <w:pPr>
              <w:pStyle w:val="Compact"/>
              <w:jc w:val="left"/>
            </w:pPr>
            <w:r>
              <w:rPr>
                <w:rStyle w:val="VerbatimChar"/>
              </w:rPr>
              <w:t xml:space="preserve">egress-allow-psc</w:t>
            </w:r>
          </w:p>
        </w:tc>
        <w:tc>
          <w:tcPr/>
          <w:p>
            <w:pPr>
              <w:pStyle w:val="Compact"/>
              <w:jc w:val="left"/>
            </w:pPr>
            <w:r>
              <w:t xml:space="preserve">Egress</w:t>
            </w:r>
          </w:p>
        </w:tc>
        <w:tc>
          <w:tcPr/>
          <w:p>
            <w:pPr>
              <w:pStyle w:val="Compact"/>
              <w:jc w:val="left"/>
            </w:pPr>
            <w:r>
              <w:t xml:space="preserve">Allow</w:t>
            </w:r>
          </w:p>
        </w:tc>
        <w:tc>
          <w:tcPr/>
          <w:p>
            <w:pPr>
              <w:pStyle w:val="Compact"/>
              <w:jc w:val="left"/>
            </w:pPr>
            <w:r>
              <w:t xml:space="preserve">All instances in the network</w:t>
            </w:r>
          </w:p>
        </w:tc>
        <w:tc>
          <w:tcPr/>
          <w:p>
            <w:pPr>
              <w:pStyle w:val="Compact"/>
              <w:jc w:val="left"/>
            </w:pPr>
            <w:r>
              <w:t xml:space="preserve">Destination</w:t>
            </w:r>
            <w:r>
              <w:t xml:space="preserve"> </w:t>
            </w:r>
            <w:r>
              <w:rPr>
                <w:rStyle w:val="VerbatimChar"/>
              </w:rPr>
              <w:t xml:space="preserve">192.168.6.164/32</w:t>
            </w:r>
            <w:r>
              <w:t xml:space="preserve">, the Apigee service endpoint</w:t>
            </w:r>
            <w:r>
              <w:t xml:space="preserve"> </w:t>
            </w:r>
            <w:r>
              <w:rPr>
                <w:rStyle w:val="VerbatimChar"/>
              </w:rPr>
              <w:t xml:space="preserve">/32</w:t>
            </w:r>
            <w:r>
              <w:t xml:space="preserve">, the Vector Search endpoint</w:t>
            </w:r>
            <w:r>
              <w:t xml:space="preserve"> </w:t>
            </w:r>
            <w:r>
              <w:rPr>
                <w:rStyle w:val="VerbatimChar"/>
              </w:rPr>
              <w:t xml:space="preserve">/32</w:t>
            </w:r>
          </w:p>
        </w:tc>
        <w:tc>
          <w:tcPr/>
          <w:p>
            <w:pPr>
              <w:pStyle w:val="Compact"/>
              <w:jc w:val="left"/>
            </w:pPr>
            <w:r>
              <w:t xml:space="preserve">TCP</w:t>
            </w:r>
            <w:r>
              <w:t xml:space="preserve"> </w:t>
            </w:r>
            <w:r>
              <w:rPr>
                <w:rStyle w:val="VerbatimChar"/>
              </w:rPr>
              <w:t xml:space="preserve">443</w:t>
            </w:r>
          </w:p>
        </w:tc>
        <w:tc>
          <w:tcPr/>
          <w:p>
            <w:pPr>
              <w:pStyle w:val="Compact"/>
              <w:jc w:val="left"/>
            </w:pPr>
            <w:r>
              <w:rPr>
                <w:rStyle w:val="VerbatimChar"/>
              </w:rPr>
              <w:t xml:space="preserve">1000</w:t>
            </w:r>
          </w:p>
        </w:tc>
        <w:tc>
          <w:tcPr/>
          <w:p>
            <w:pPr>
              <w:pStyle w:val="Compact"/>
              <w:jc w:val="left"/>
            </w:pPr>
            <w:r>
              <w:t xml:space="preserve">On</w:t>
            </w:r>
          </w:p>
        </w:tc>
      </w:tr>
      <w:tr>
        <w:tc>
          <w:tcPr/>
          <w:p>
            <w:pPr>
              <w:pStyle w:val="Compact"/>
              <w:jc w:val="left"/>
            </w:pPr>
            <w:r>
              <w:t xml:space="preserve">3</w:t>
            </w:r>
          </w:p>
        </w:tc>
        <w:tc>
          <w:tcPr/>
          <w:p>
            <w:pPr>
              <w:pStyle w:val="Compact"/>
              <w:jc w:val="left"/>
            </w:pPr>
            <w:r>
              <w:rPr>
                <w:rStyle w:val="VerbatimChar"/>
              </w:rPr>
              <w:t xml:space="preserve">ingress-allow-proxy-subnet</w:t>
            </w:r>
          </w:p>
        </w:tc>
        <w:tc>
          <w:tcPr/>
          <w:p>
            <w:pPr>
              <w:pStyle w:val="Compact"/>
              <w:jc w:val="left"/>
            </w:pPr>
            <w:r>
              <w:t xml:space="preserve">Ingress</w:t>
            </w:r>
          </w:p>
        </w:tc>
        <w:tc>
          <w:tcPr/>
          <w:p>
            <w:pPr>
              <w:pStyle w:val="Compact"/>
              <w:jc w:val="left"/>
            </w:pPr>
            <w:r>
              <w:t xml:space="preserve">Allow</w:t>
            </w:r>
          </w:p>
        </w:tc>
        <w:tc>
          <w:tcPr/>
          <w:p>
            <w:pPr>
              <w:pStyle w:val="Compact"/>
              <w:jc w:val="left"/>
            </w:pPr>
            <w:r>
              <w:t xml:space="preserve">All instances in the network</w:t>
            </w:r>
          </w:p>
        </w:tc>
        <w:tc>
          <w:tcPr/>
          <w:p>
            <w:pPr>
              <w:pStyle w:val="Compact"/>
              <w:jc w:val="left"/>
            </w:pPr>
            <w:r>
              <w:t xml:space="preserve">Source</w:t>
            </w:r>
            <w:r>
              <w:t xml:space="preserve"> </w:t>
            </w:r>
            <w:r>
              <w:rPr>
                <w:rStyle w:val="VerbatimChar"/>
              </w:rPr>
              <w:t xml:space="preserve">192.168.6.0/26</w:t>
            </w:r>
          </w:p>
        </w:tc>
        <w:tc>
          <w:tcPr/>
          <w:p>
            <w:pPr>
              <w:pStyle w:val="Compact"/>
              <w:jc w:val="left"/>
            </w:pPr>
            <w:r>
              <w:t xml:space="preserve">TCP</w:t>
            </w:r>
            <w:r>
              <w:t xml:space="preserve"> </w:t>
            </w:r>
            <w:r>
              <w:rPr>
                <w:rStyle w:val="VerbatimChar"/>
              </w:rPr>
              <w:t xml:space="preserve">443</w:t>
            </w:r>
          </w:p>
        </w:tc>
        <w:tc>
          <w:tcPr/>
          <w:p>
            <w:pPr>
              <w:pStyle w:val="Compact"/>
              <w:jc w:val="left"/>
            </w:pPr>
            <w:r>
              <w:rPr>
                <w:rStyle w:val="VerbatimChar"/>
              </w:rPr>
              <w:t xml:space="preserve">1000</w:t>
            </w:r>
          </w:p>
        </w:tc>
        <w:tc>
          <w:tcPr/>
          <w:p>
            <w:pPr>
              <w:pStyle w:val="Compact"/>
              <w:jc w:val="left"/>
            </w:pPr>
            <w:r>
              <w:t xml:space="preserve">On</w:t>
            </w:r>
          </w:p>
        </w:tc>
      </w:tr>
    </w:tbl>
    <w:p>
      <w:pPr>
        <w:pStyle w:val="BodyText"/>
      </w:pPr>
      <w:r>
        <w:rPr>
          <w:b/>
          <w:bCs/>
        </w:rPr>
        <w:t xml:space="preserve">Lower priority number wins</w:t>
      </w:r>
      <w:r>
        <w:t xml:space="preserve">, so rule 2 takes precedence over rule 1.</w:t>
      </w:r>
    </w:p>
    <w:p>
      <w:pPr>
        <w:pStyle w:val="BodyText"/>
      </w:pPr>
      <w:r>
        <w:rPr>
          <w:b/>
          <w:bCs/>
        </w:rPr>
        <w:t xml:space="preserve">Rule 2 must be revisited after provisioning.</w:t>
      </w:r>
      <w:r>
        <w:t xml:space="preserve"> </w:t>
      </w:r>
      <w:r>
        <w:t xml:space="preserve">Two of its three destinations do not exist until Apigee and Vector Search have been created. Where egress deny rules exist, a specific egress allow rule to the endpoint’s internal address is required — so an unrevised rule 2 is the most likely cause of a</w:t>
      </w:r>
      <w:r>
        <w:t xml:space="preserve"> </w:t>
      </w:r>
      <w:r>
        <w:t xml:space="preserve">“</w:t>
      </w:r>
      <w:r>
        <w:t xml:space="preserve">cannot reach the gateway</w:t>
      </w:r>
      <w:r>
        <w:t xml:space="preserve">”</w:t>
      </w:r>
      <w:r>
        <w:t xml:space="preserve"> </w:t>
      </w:r>
      <w:r>
        <w:t xml:space="preserve">fault. Create it initially against the reserved block</w:t>
      </w:r>
      <w:r>
        <w:t xml:space="preserve"> </w:t>
      </w:r>
      <w:r>
        <w:rPr>
          <w:rStyle w:val="VerbatimChar"/>
        </w:rPr>
        <w:t xml:space="preserve">192.168.6.144/28</w:t>
      </w:r>
      <w:r>
        <w:t xml:space="preserve">, then tighten to the actual</w:t>
      </w:r>
      <w:r>
        <w:t xml:space="preserve"> </w:t>
      </w:r>
      <w:r>
        <w:rPr>
          <w:rStyle w:val="VerbatimChar"/>
        </w:rPr>
        <w:t xml:space="preserve">/32</w:t>
      </w:r>
      <w:r>
        <w:t xml:space="preserve"> </w:t>
      </w:r>
      <w:r>
        <w:t xml:space="preserve">addresses.</w:t>
      </w:r>
    </w:p>
    <w:p>
      <w:pPr>
        <w:pStyle w:val="BodyText"/>
      </w:pPr>
      <w:r>
        <w:rPr>
          <w:b/>
          <w:bCs/>
        </w:rPr>
        <w:t xml:space="preserve">Rule 3 is defensive rather than strictly required.</w:t>
      </w:r>
      <w:r>
        <w:t xml:space="preserve"> </w:t>
      </w:r>
      <w:r>
        <w:t xml:space="preserve">Every load balancer backend on this platform is Cloud Run, which sits outside the VPC, so VPC firewall rules do not govern that traffic and health checks are not used. The rule costs nothing and becomes necessary the moment anyone adds a VM backend.</w:t>
      </w:r>
    </w:p>
    <w:bookmarkEnd w:id="86"/>
    <w:bookmarkStart w:id="87" w:name="sandbox-rules"/>
    <w:p>
      <w:pPr>
        <w:pStyle w:val="Heading3"/>
      </w:pPr>
      <w:r>
        <w:t xml:space="preserve">5.6.2 Sandbox rules</w:t>
      </w:r>
    </w:p>
    <w:p>
      <w:pPr>
        <w:pStyle w:val="FirstParagraph"/>
      </w:pPr>
      <w:r>
        <w:t xml:space="preserve">Sandbox carries the same default-deny baseline plus the narrow set of paths a development environment genuinely needs. Every additional rule here is a deliberate widening relative to Dev, and each is scoped to a named destination rather than to the internet.</w:t>
      </w:r>
    </w:p>
    <w:tbl>
      <w:tblPr>
        <w:tblStyle w:val="TableGrid"/>
        <w:tblW w:type="pct" w:w="5000"/>
        <w:jc w:val="start"/>
        <w:tblLook w:firstRow="1" w:lastRow="0" w:firstColumn="0" w:lastColumn="0" w:noHBand="0" w:noVBand="0" w:val="0020"/>
      </w:tblPr>
      <w:tblGrid>
        <w:gridCol w:w="990"/>
        <w:gridCol w:w="990"/>
        <w:gridCol w:w="990"/>
        <w:gridCol w:w="990"/>
        <w:gridCol w:w="990"/>
        <w:gridCol w:w="990"/>
        <w:gridCol w:w="990"/>
        <w:gridCol w:w="99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Rule</w:t>
            </w:r>
          </w:p>
        </w:tc>
        <w:tc>
          <w:tcPr>
            <w:shd w:val="clear" w:color="auto" w:fill="1F3864"/>
          </w:tcPr>
          <w:p>
            <w:pPr>
              <w:pStyle w:val="Compact"/>
              <w:jc w:val="left"/>
            </w:pPr>
            <w:r>
              <w:rPr>
                <w:b/>
                <w:color w:val="FFFFFF"/>
              </w:rPr>
              <w:t xml:space="preserve">Direction</w:t>
            </w:r>
          </w:p>
        </w:tc>
        <w:tc>
          <w:tcPr>
            <w:shd w:val="clear" w:color="auto" w:fill="1F3864"/>
          </w:tcPr>
          <w:p>
            <w:pPr>
              <w:pStyle w:val="Compact"/>
              <w:jc w:val="left"/>
            </w:pPr>
            <w:r>
              <w:rPr>
                <w:b/>
                <w:color w:val="FFFFFF"/>
              </w:rPr>
              <w:t xml:space="preserve">Action</w:t>
            </w:r>
          </w:p>
        </w:tc>
        <w:tc>
          <w:tcPr>
            <w:shd w:val="clear" w:color="auto" w:fill="1F3864"/>
          </w:tcPr>
          <w:p>
            <w:pPr>
              <w:pStyle w:val="Compact"/>
              <w:jc w:val="left"/>
            </w:pPr>
            <w:r>
              <w:rPr>
                <w:b/>
                <w:color w:val="FFFFFF"/>
              </w:rPr>
              <w:t xml:space="preserve">Filter</w:t>
            </w:r>
          </w:p>
        </w:tc>
        <w:tc>
          <w:tcPr>
            <w:shd w:val="clear" w:color="auto" w:fill="1F3864"/>
          </w:tcPr>
          <w:p>
            <w:pPr>
              <w:pStyle w:val="Compact"/>
              <w:jc w:val="left"/>
            </w:pPr>
            <w:r>
              <w:rPr>
                <w:b/>
                <w:color w:val="FFFFFF"/>
              </w:rPr>
              <w:t xml:space="preserve">Protocol / port</w:t>
            </w:r>
          </w:p>
        </w:tc>
        <w:tc>
          <w:tcPr>
            <w:shd w:val="clear" w:color="auto" w:fill="1F3864"/>
          </w:tcPr>
          <w:p>
            <w:pPr>
              <w:pStyle w:val="Compact"/>
              <w:jc w:val="left"/>
            </w:pPr>
            <w:r>
              <w:rPr>
                <w:b/>
                <w:color w:val="FFFFFF"/>
              </w:rPr>
              <w:t xml:space="preserve">Priority</w:t>
            </w:r>
          </w:p>
        </w:tc>
        <w:tc>
          <w:tcPr>
            <w:shd w:val="clear" w:color="auto" w:fill="1F3864"/>
          </w:tcPr>
          <w:p>
            <w:pPr>
              <w:pStyle w:val="Compact"/>
              <w:jc w:val="left"/>
            </w:pPr>
            <w:r>
              <w:rPr>
                <w:b/>
                <w:color w:val="FFFFFF"/>
              </w:rPr>
              <w:t xml:space="preserve">Logs</w:t>
            </w:r>
          </w:p>
        </w:tc>
      </w:tr>
      <w:tr>
        <w:tc>
          <w:tcPr/>
          <w:p>
            <w:pPr>
              <w:pStyle w:val="Compact"/>
              <w:jc w:val="left"/>
            </w:pPr>
            <w:r>
              <w:t xml:space="preserve">1</w:t>
            </w:r>
          </w:p>
        </w:tc>
        <w:tc>
          <w:tcPr/>
          <w:p>
            <w:pPr>
              <w:pStyle w:val="Compact"/>
              <w:jc w:val="left"/>
            </w:pPr>
            <w:r>
              <w:rPr>
                <w:rStyle w:val="VerbatimChar"/>
              </w:rPr>
              <w:t xml:space="preserve">egress-deny-all</w:t>
            </w:r>
          </w:p>
        </w:tc>
        <w:tc>
          <w:tcPr/>
          <w:p>
            <w:pPr>
              <w:pStyle w:val="Compact"/>
              <w:jc w:val="left"/>
            </w:pPr>
            <w:r>
              <w:t xml:space="preserve">Egress</w:t>
            </w:r>
          </w:p>
        </w:tc>
        <w:tc>
          <w:tcPr/>
          <w:p>
            <w:pPr>
              <w:pStyle w:val="Compact"/>
              <w:jc w:val="left"/>
            </w:pPr>
            <w:r>
              <w:rPr>
                <w:b/>
                <w:bCs/>
              </w:rPr>
              <w:t xml:space="preserve">Deny</w:t>
            </w:r>
          </w:p>
        </w:tc>
        <w:tc>
          <w:tcPr/>
          <w:p>
            <w:pPr>
              <w:pStyle w:val="Compact"/>
              <w:jc w:val="left"/>
            </w:pPr>
            <w:r>
              <w:t xml:space="preserve">Destination</w:t>
            </w:r>
            <w:r>
              <w:t xml:space="preserve"> </w:t>
            </w:r>
            <w:r>
              <w:rPr>
                <w:rStyle w:val="VerbatimChar"/>
              </w:rPr>
              <w:t xml:space="preserve">0.0.0.0/0</w:t>
            </w:r>
          </w:p>
        </w:tc>
        <w:tc>
          <w:tcPr/>
          <w:p>
            <w:pPr>
              <w:pStyle w:val="Compact"/>
              <w:jc w:val="left"/>
            </w:pPr>
            <w:r>
              <w:t xml:space="preserve">all</w:t>
            </w:r>
          </w:p>
        </w:tc>
        <w:tc>
          <w:tcPr/>
          <w:p>
            <w:pPr>
              <w:pStyle w:val="Compact"/>
              <w:jc w:val="left"/>
            </w:pPr>
            <w:r>
              <w:rPr>
                <w:rStyle w:val="VerbatimChar"/>
              </w:rPr>
              <w:t xml:space="preserve">65000</w:t>
            </w:r>
          </w:p>
        </w:tc>
        <w:tc>
          <w:tcPr/>
          <w:p>
            <w:pPr>
              <w:pStyle w:val="Compact"/>
              <w:jc w:val="left"/>
            </w:pPr>
            <w:r>
              <w:t xml:space="preserve">On</w:t>
            </w:r>
          </w:p>
        </w:tc>
      </w:tr>
      <w:tr>
        <w:tc>
          <w:tcPr/>
          <w:p>
            <w:pPr>
              <w:pStyle w:val="Compact"/>
              <w:jc w:val="left"/>
            </w:pPr>
            <w:r>
              <w:t xml:space="preserve">2</w:t>
            </w:r>
          </w:p>
        </w:tc>
        <w:tc>
          <w:tcPr/>
          <w:p>
            <w:pPr>
              <w:pStyle w:val="Compact"/>
              <w:jc w:val="left"/>
            </w:pPr>
            <w:r>
              <w:rPr>
                <w:rStyle w:val="VerbatimChar"/>
              </w:rPr>
              <w:t xml:space="preserve">egress-allow-psc</w:t>
            </w:r>
          </w:p>
        </w:tc>
        <w:tc>
          <w:tcPr/>
          <w:p>
            <w:pPr>
              <w:pStyle w:val="Compact"/>
              <w:jc w:val="left"/>
            </w:pPr>
            <w:r>
              <w:t xml:space="preserve">Egress</w:t>
            </w:r>
          </w:p>
        </w:tc>
        <w:tc>
          <w:tcPr/>
          <w:p>
            <w:pPr>
              <w:pStyle w:val="Compact"/>
              <w:jc w:val="left"/>
            </w:pPr>
            <w:r>
              <w:t xml:space="preserve">Allow</w:t>
            </w:r>
          </w:p>
        </w:tc>
        <w:tc>
          <w:tcPr/>
          <w:p>
            <w:pPr>
              <w:pStyle w:val="Compact"/>
              <w:jc w:val="left"/>
            </w:pPr>
            <w:r>
              <w:t xml:space="preserve">Destination</w:t>
            </w:r>
            <w:r>
              <w:t xml:space="preserve"> </w:t>
            </w:r>
            <w:r>
              <w:rPr>
                <w:rStyle w:val="VerbatimChar"/>
              </w:rPr>
              <w:t xml:space="preserve">192.168.2.3/32</w:t>
            </w:r>
            <w:r>
              <w:t xml:space="preserve"> </w:t>
            </w:r>
            <w:r>
              <w:t xml:space="preserve">and the Vector Search endpoint</w:t>
            </w:r>
            <w:r>
              <w:t xml:space="preserve"> </w:t>
            </w:r>
            <w:r>
              <w:rPr>
                <w:rStyle w:val="VerbatimChar"/>
              </w:rPr>
              <w:t xml:space="preserve">/32</w:t>
            </w:r>
          </w:p>
        </w:tc>
        <w:tc>
          <w:tcPr/>
          <w:p>
            <w:pPr>
              <w:pStyle w:val="Compact"/>
              <w:jc w:val="left"/>
            </w:pPr>
            <w:r>
              <w:t xml:space="preserve">TCP</w:t>
            </w:r>
            <w:r>
              <w:t xml:space="preserve"> </w:t>
            </w:r>
            <w:r>
              <w:rPr>
                <w:rStyle w:val="VerbatimChar"/>
              </w:rPr>
              <w:t xml:space="preserve">443</w:t>
            </w:r>
          </w:p>
        </w:tc>
        <w:tc>
          <w:tcPr/>
          <w:p>
            <w:pPr>
              <w:pStyle w:val="Compact"/>
              <w:jc w:val="left"/>
            </w:pPr>
            <w:r>
              <w:rPr>
                <w:rStyle w:val="VerbatimChar"/>
              </w:rPr>
              <w:t xml:space="preserve">1000</w:t>
            </w:r>
          </w:p>
        </w:tc>
        <w:tc>
          <w:tcPr/>
          <w:p>
            <w:pPr>
              <w:pStyle w:val="Compact"/>
              <w:jc w:val="left"/>
            </w:pPr>
            <w:r>
              <w:t xml:space="preserve">On</w:t>
            </w:r>
          </w:p>
        </w:tc>
      </w:tr>
      <w:tr>
        <w:tc>
          <w:tcPr/>
          <w:p>
            <w:pPr>
              <w:pStyle w:val="Compact"/>
              <w:jc w:val="left"/>
            </w:pPr>
            <w:r>
              <w:t xml:space="preserve">3</w:t>
            </w:r>
          </w:p>
        </w:tc>
        <w:tc>
          <w:tcPr/>
          <w:p>
            <w:pPr>
              <w:pStyle w:val="Compact"/>
              <w:jc w:val="left"/>
            </w:pPr>
            <w:r>
              <w:rPr>
                <w:rStyle w:val="VerbatimChar"/>
              </w:rPr>
              <w:t xml:space="preserve">ingress-allow-proxy-subnet</w:t>
            </w:r>
          </w:p>
        </w:tc>
        <w:tc>
          <w:tcPr/>
          <w:p>
            <w:pPr>
              <w:pStyle w:val="Compact"/>
              <w:jc w:val="left"/>
            </w:pPr>
            <w:r>
              <w:t xml:space="preserve">Ingress</w:t>
            </w:r>
          </w:p>
        </w:tc>
        <w:tc>
          <w:tcPr/>
          <w:p>
            <w:pPr>
              <w:pStyle w:val="Compact"/>
              <w:jc w:val="left"/>
            </w:pPr>
            <w:r>
              <w:t xml:space="preserve">Allow</w:t>
            </w:r>
          </w:p>
        </w:tc>
        <w:tc>
          <w:tcPr/>
          <w:p>
            <w:pPr>
              <w:pStyle w:val="Compact"/>
              <w:jc w:val="left"/>
            </w:pPr>
            <w:r>
              <w:t xml:space="preserve">Source</w:t>
            </w:r>
            <w:r>
              <w:t xml:space="preserve"> </w:t>
            </w:r>
            <w:r>
              <w:rPr>
                <w:rStyle w:val="VerbatimChar"/>
              </w:rPr>
              <w:t xml:space="preserve">192.168.1.128/26</w:t>
            </w:r>
          </w:p>
        </w:tc>
        <w:tc>
          <w:tcPr/>
          <w:p>
            <w:pPr>
              <w:pStyle w:val="Compact"/>
              <w:jc w:val="left"/>
            </w:pPr>
            <w:r>
              <w:t xml:space="preserve">TCP</w:t>
            </w:r>
            <w:r>
              <w:t xml:space="preserve"> </w:t>
            </w:r>
            <w:r>
              <w:rPr>
                <w:rStyle w:val="VerbatimChar"/>
              </w:rPr>
              <w:t xml:space="preserve">443</w:t>
            </w:r>
          </w:p>
        </w:tc>
        <w:tc>
          <w:tcPr/>
          <w:p>
            <w:pPr>
              <w:pStyle w:val="Compact"/>
              <w:jc w:val="left"/>
            </w:pPr>
            <w:r>
              <w:rPr>
                <w:rStyle w:val="VerbatimChar"/>
              </w:rPr>
              <w:t xml:space="preserve">1000</w:t>
            </w:r>
          </w:p>
        </w:tc>
        <w:tc>
          <w:tcPr/>
          <w:p>
            <w:pPr>
              <w:pStyle w:val="Compact"/>
              <w:jc w:val="left"/>
            </w:pPr>
            <w:r>
              <w:t xml:space="preserve">On</w:t>
            </w:r>
          </w:p>
        </w:tc>
      </w:tr>
      <w:tr>
        <w:tc>
          <w:tcPr/>
          <w:p>
            <w:pPr>
              <w:pStyle w:val="Compact"/>
              <w:jc w:val="left"/>
            </w:pPr>
            <w:r>
              <w:t xml:space="preserve">4</w:t>
            </w:r>
          </w:p>
        </w:tc>
        <w:tc>
          <w:tcPr/>
          <w:p>
            <w:pPr>
              <w:pStyle w:val="Compact"/>
              <w:jc w:val="left"/>
            </w:pPr>
            <w:r>
              <w:rPr>
                <w:rStyle w:val="VerbatimChar"/>
              </w:rPr>
              <w:t xml:space="preserve">ingress-allow-iap-ssh</w:t>
            </w:r>
          </w:p>
        </w:tc>
        <w:tc>
          <w:tcPr/>
          <w:p>
            <w:pPr>
              <w:pStyle w:val="Compact"/>
              <w:jc w:val="left"/>
            </w:pPr>
            <w:r>
              <w:t xml:space="preserve">Ingress</w:t>
            </w:r>
          </w:p>
        </w:tc>
        <w:tc>
          <w:tcPr/>
          <w:p>
            <w:pPr>
              <w:pStyle w:val="Compact"/>
              <w:jc w:val="left"/>
            </w:pPr>
            <w:r>
              <w:t xml:space="preserve">Allow</w:t>
            </w:r>
          </w:p>
        </w:tc>
        <w:tc>
          <w:tcPr/>
          <w:p>
            <w:pPr>
              <w:pStyle w:val="Compact"/>
              <w:jc w:val="left"/>
            </w:pPr>
            <w:r>
              <w:t xml:space="preserve">Source</w:t>
            </w:r>
            <w:r>
              <w:t xml:space="preserve"> </w:t>
            </w:r>
            <w:r>
              <w:rPr>
                <w:rStyle w:val="VerbatimChar"/>
              </w:rPr>
              <w:t xml:space="preserve">35.235.240.0/20</w:t>
            </w:r>
          </w:p>
        </w:tc>
        <w:tc>
          <w:tcPr/>
          <w:p>
            <w:pPr>
              <w:pStyle w:val="Compact"/>
              <w:jc w:val="left"/>
            </w:pPr>
            <w:r>
              <w:t xml:space="preserve">TCP</w:t>
            </w:r>
            <w:r>
              <w:t xml:space="preserve"> </w:t>
            </w:r>
            <w:r>
              <w:rPr>
                <w:rStyle w:val="VerbatimChar"/>
              </w:rPr>
              <w:t xml:space="preserve">22</w:t>
            </w:r>
          </w:p>
        </w:tc>
        <w:tc>
          <w:tcPr/>
          <w:p>
            <w:pPr>
              <w:pStyle w:val="Compact"/>
              <w:jc w:val="left"/>
            </w:pPr>
            <w:r>
              <w:rPr>
                <w:rStyle w:val="VerbatimChar"/>
              </w:rPr>
              <w:t xml:space="preserve">1000</w:t>
            </w:r>
          </w:p>
        </w:tc>
        <w:tc>
          <w:tcPr/>
          <w:p>
            <w:pPr>
              <w:pStyle w:val="Compact"/>
              <w:jc w:val="left"/>
            </w:pPr>
            <w:r>
              <w:t xml:space="preserve">On</w:t>
            </w:r>
          </w:p>
        </w:tc>
      </w:tr>
      <w:tr>
        <w:tc>
          <w:tcPr/>
          <w:p>
            <w:pPr>
              <w:pStyle w:val="Compact"/>
              <w:jc w:val="left"/>
            </w:pPr>
            <w:r>
              <w:t xml:space="preserve">5</w:t>
            </w:r>
          </w:p>
        </w:tc>
        <w:tc>
          <w:tcPr/>
          <w:p>
            <w:pPr>
              <w:pStyle w:val="Compact"/>
              <w:jc w:val="left"/>
            </w:pPr>
            <w:r>
              <w:rPr>
                <w:rStyle w:val="VerbatimChar"/>
              </w:rPr>
              <w:t xml:space="preserve">egress-allow-gitlab-runner</w:t>
            </w:r>
          </w:p>
        </w:tc>
        <w:tc>
          <w:tcPr/>
          <w:p>
            <w:pPr>
              <w:pStyle w:val="Compact"/>
              <w:jc w:val="left"/>
            </w:pPr>
            <w:r>
              <w:t xml:space="preserve">Egress</w:t>
            </w:r>
          </w:p>
        </w:tc>
        <w:tc>
          <w:tcPr/>
          <w:p>
            <w:pPr>
              <w:pStyle w:val="Compact"/>
              <w:jc w:val="left"/>
            </w:pPr>
            <w:r>
              <w:t xml:space="preserve">Allow</w:t>
            </w:r>
          </w:p>
        </w:tc>
        <w:tc>
          <w:tcPr/>
          <w:p>
            <w:pPr>
              <w:pStyle w:val="Compact"/>
              <w:jc w:val="left"/>
            </w:pPr>
            <w:r>
              <w:t xml:space="preserve">GitLab CI endpoints</w:t>
            </w:r>
          </w:p>
        </w:tc>
        <w:tc>
          <w:tcPr/>
          <w:p>
            <w:pPr>
              <w:pStyle w:val="Compact"/>
              <w:jc w:val="left"/>
            </w:pPr>
            <w:r>
              <w:t xml:space="preserve">TCP</w:t>
            </w:r>
            <w:r>
              <w:t xml:space="preserve"> </w:t>
            </w:r>
            <w:r>
              <w:rPr>
                <w:rStyle w:val="VerbatimChar"/>
              </w:rPr>
              <w:t xml:space="preserve">443</w:t>
            </w:r>
          </w:p>
        </w:tc>
        <w:tc>
          <w:tcPr/>
          <w:p>
            <w:pPr>
              <w:pStyle w:val="Compact"/>
              <w:jc w:val="left"/>
            </w:pPr>
            <w:r>
              <w:rPr>
                <w:rStyle w:val="VerbatimChar"/>
              </w:rPr>
              <w:t xml:space="preserve">1100</w:t>
            </w:r>
          </w:p>
        </w:tc>
        <w:tc>
          <w:tcPr/>
          <w:p>
            <w:pPr>
              <w:pStyle w:val="Compact"/>
              <w:jc w:val="left"/>
            </w:pPr>
            <w:r>
              <w:t xml:space="preserve">On</w:t>
            </w:r>
          </w:p>
        </w:tc>
      </w:tr>
      <w:tr>
        <w:tc>
          <w:tcPr/>
          <w:p>
            <w:pPr>
              <w:pStyle w:val="Compact"/>
              <w:jc w:val="left"/>
            </w:pPr>
            <w:r>
              <w:t xml:space="preserve">6</w:t>
            </w:r>
          </w:p>
        </w:tc>
        <w:tc>
          <w:tcPr/>
          <w:p>
            <w:pPr>
              <w:pStyle w:val="Compact"/>
              <w:jc w:val="left"/>
            </w:pPr>
            <w:r>
              <w:rPr>
                <w:rStyle w:val="VerbatimChar"/>
              </w:rPr>
              <w:t xml:space="preserve">ingress-allow-gitlab-runner</w:t>
            </w:r>
          </w:p>
        </w:tc>
        <w:tc>
          <w:tcPr/>
          <w:p>
            <w:pPr>
              <w:pStyle w:val="Compact"/>
              <w:jc w:val="left"/>
            </w:pPr>
            <w:r>
              <w:t xml:space="preserve">Ingress</w:t>
            </w:r>
          </w:p>
        </w:tc>
        <w:tc>
          <w:tcPr/>
          <w:p>
            <w:pPr>
              <w:pStyle w:val="Compact"/>
              <w:jc w:val="left"/>
            </w:pPr>
            <w:r>
              <w:t xml:space="preserve">Allow</w:t>
            </w:r>
          </w:p>
        </w:tc>
        <w:tc>
          <w:tcPr/>
          <w:p>
            <w:pPr>
              <w:pStyle w:val="Compact"/>
              <w:jc w:val="left"/>
            </w:pPr>
            <w:r>
              <w:t xml:space="preserve">Self-hosted runner source range</w:t>
            </w:r>
          </w:p>
        </w:tc>
        <w:tc>
          <w:tcPr/>
          <w:p>
            <w:pPr>
              <w:pStyle w:val="Compact"/>
              <w:jc w:val="left"/>
            </w:pPr>
            <w:r>
              <w:t xml:space="preserve">TCP</w:t>
            </w:r>
            <w:r>
              <w:t xml:space="preserve"> </w:t>
            </w:r>
            <w:r>
              <w:rPr>
                <w:rStyle w:val="VerbatimChar"/>
              </w:rPr>
              <w:t xml:space="preserve">443</w:t>
            </w:r>
          </w:p>
        </w:tc>
        <w:tc>
          <w:tcPr/>
          <w:p>
            <w:pPr>
              <w:pStyle w:val="Compact"/>
              <w:jc w:val="left"/>
            </w:pPr>
            <w:r>
              <w:rPr>
                <w:rStyle w:val="VerbatimChar"/>
              </w:rPr>
              <w:t xml:space="preserve">1100</w:t>
            </w:r>
          </w:p>
        </w:tc>
        <w:tc>
          <w:tcPr/>
          <w:p>
            <w:pPr>
              <w:pStyle w:val="Compact"/>
              <w:jc w:val="left"/>
            </w:pPr>
            <w:r>
              <w:t xml:space="preserve">On</w:t>
            </w:r>
          </w:p>
        </w:tc>
      </w:tr>
      <w:tr>
        <w:tc>
          <w:tcPr/>
          <w:p>
            <w:pPr>
              <w:pStyle w:val="Compact"/>
              <w:jc w:val="left"/>
            </w:pPr>
            <w:r>
              <w:t xml:space="preserve">7</w:t>
            </w:r>
          </w:p>
        </w:tc>
        <w:tc>
          <w:tcPr/>
          <w:p>
            <w:pPr>
              <w:pStyle w:val="Compact"/>
              <w:jc w:val="left"/>
            </w:pPr>
            <w:r>
              <w:rPr>
                <w:rStyle w:val="VerbatimChar"/>
              </w:rPr>
              <w:t xml:space="preserve">egress-allow-pypi-fastly</w:t>
            </w:r>
          </w:p>
        </w:tc>
        <w:tc>
          <w:tcPr/>
          <w:p>
            <w:pPr>
              <w:pStyle w:val="Compact"/>
              <w:jc w:val="left"/>
            </w:pPr>
            <w:r>
              <w:t xml:space="preserve">Egress</w:t>
            </w:r>
          </w:p>
        </w:tc>
        <w:tc>
          <w:tcPr/>
          <w:p>
            <w:pPr>
              <w:pStyle w:val="Compact"/>
              <w:jc w:val="left"/>
            </w:pPr>
            <w:r>
              <w:t xml:space="preserve">Allow</w:t>
            </w:r>
          </w:p>
        </w:tc>
        <w:tc>
          <w:tcPr/>
          <w:p>
            <w:pPr>
              <w:pStyle w:val="Compact"/>
              <w:jc w:val="left"/>
            </w:pPr>
            <w:r>
              <w:t xml:space="preserve">Fastly CDN ranges serving PyPI</w:t>
            </w:r>
          </w:p>
        </w:tc>
        <w:tc>
          <w:tcPr/>
          <w:p>
            <w:pPr>
              <w:pStyle w:val="Compact"/>
              <w:jc w:val="left"/>
            </w:pPr>
            <w:r>
              <w:t xml:space="preserve">TCP</w:t>
            </w:r>
            <w:r>
              <w:t xml:space="preserve"> </w:t>
            </w:r>
            <w:r>
              <w:rPr>
                <w:rStyle w:val="VerbatimChar"/>
              </w:rPr>
              <w:t xml:space="preserve">443</w:t>
            </w:r>
          </w:p>
        </w:tc>
        <w:tc>
          <w:tcPr/>
          <w:p>
            <w:pPr>
              <w:pStyle w:val="Compact"/>
              <w:jc w:val="left"/>
            </w:pPr>
            <w:r>
              <w:rPr>
                <w:rStyle w:val="VerbatimChar"/>
              </w:rPr>
              <w:t xml:space="preserve">1100</w:t>
            </w:r>
          </w:p>
        </w:tc>
        <w:tc>
          <w:tcPr/>
          <w:p>
            <w:pPr>
              <w:pStyle w:val="Compact"/>
              <w:jc w:val="left"/>
            </w:pPr>
            <w:r>
              <w:t xml:space="preserve">On</w:t>
            </w:r>
          </w:p>
        </w:tc>
      </w:tr>
    </w:tbl>
    <w:p>
      <w:pPr>
        <w:pStyle w:val="BodyText"/>
      </w:pPr>
      <w:r>
        <w:rPr>
          <w:b/>
          <w:bCs/>
        </w:rPr>
        <w:t xml:space="preserve">Rule 4 is the sole access path to the Workbench.</w:t>
      </w:r>
      <w:r>
        <w:t xml:space="preserve"> </w:t>
      </w:r>
      <w:r>
        <w:t xml:space="preserve">The instance has no public address and OS Login is disabled, so</w:t>
      </w:r>
      <w:r>
        <w:t xml:space="preserve"> </w:t>
      </w:r>
      <w:r>
        <w:rPr>
          <w:rStyle w:val="VerbatimChar"/>
        </w:rPr>
        <w:t xml:space="preserve">35.235.240.0/20</w:t>
      </w:r>
      <w:r>
        <w:t xml:space="preserve"> </w:t>
      </w:r>
      <w:r>
        <w:t xml:space="preserve">— the IAP TCP forwarding range — is the only source that can open an SSH session. Restricting it to that range forces every administrative connection through IAP’s authenticated, logged tunnel.</w:t>
      </w:r>
    </w:p>
    <w:p>
      <w:pPr>
        <w:pStyle w:val="BodyText"/>
      </w:pPr>
      <w:r>
        <w:rPr>
          <w:b/>
          <w:bCs/>
        </w:rPr>
        <w:t xml:space="preserve">Rules 5 to 7 exist in Sandbox only.</w:t>
      </w:r>
      <w:r>
        <w:t xml:space="preserve"> </w:t>
      </w:r>
      <w:r>
        <w:t xml:space="preserve">Pipeline execution and package installation happen here; Dev and Prod pull only from Artifact Registry, which is reached over PSC. Scoping the PyPI rule to the Fastly ranges rather than to</w:t>
      </w:r>
      <w:r>
        <w:t xml:space="preserve"> </w:t>
      </w:r>
      <w:r>
        <w:rPr>
          <w:rStyle w:val="VerbatimChar"/>
        </w:rPr>
        <w:t xml:space="preserve">0.0.0.0/0</w:t>
      </w:r>
      <w:r>
        <w:t xml:space="preserve"> </w:t>
      </w:r>
      <w:r>
        <w:t xml:space="preserve">means a dependency fetch cannot become a general internet egress path.</w:t>
      </w:r>
    </w:p>
    <w:bookmarkEnd w:id="87"/>
    <w:bookmarkStart w:id="88" w:name="X788b02d72e9002e2184f3d037c7213b86f06de5"/>
    <w:p>
      <w:pPr>
        <w:pStyle w:val="Heading3"/>
      </w:pPr>
      <w:r>
        <w:t xml:space="preserve">5.6.3 Hierarchical firewall policy at the folder</w:t>
      </w:r>
    </w:p>
    <w:p>
      <w:pPr>
        <w:pStyle w:val="FirstParagraph"/>
      </w:pPr>
      <w:r>
        <w:t xml:space="preserve">A hierarchical firewall policy is attached at the</w:t>
      </w:r>
      <w:r>
        <w:t xml:space="preserve"> </w:t>
      </w:r>
      <w:r>
        <w:rPr>
          <w:rStyle w:val="VerbatimChar"/>
        </w:rPr>
        <w:t xml:space="preserve">AI COE</w:t>
      </w:r>
      <w:r>
        <w:t xml:space="preserve"> </w:t>
      </w:r>
      <w:r>
        <w:t xml:space="preserve">folder, above every project in the estate, so</w:t>
      </w:r>
      <w:r>
        <w:t xml:space="preserve"> </w:t>
      </w:r>
      <w:r>
        <w:rPr>
          <w:rStyle w:val="VerbatimChar"/>
        </w:rPr>
        <w:t xml:space="preserve">shared</w:t>
      </w:r>
      <w:r>
        <w:t xml:space="preserve">,</w:t>
      </w:r>
      <w:r>
        <w:t xml:space="preserve"> </w:t>
      </w:r>
      <w:r>
        <w:rPr>
          <w:rStyle w:val="VerbatimChar"/>
        </w:rPr>
        <w:t xml:space="preserve">Dev</w:t>
      </w:r>
      <w:r>
        <w:t xml:space="preserve">,</w:t>
      </w:r>
      <w:r>
        <w:t xml:space="preserve"> </w:t>
      </w:r>
      <w:r>
        <w:rPr>
          <w:rStyle w:val="VerbatimChar"/>
        </w:rPr>
        <w:t xml:space="preserve">Prod</w:t>
      </w:r>
      <w:r>
        <w:t xml:space="preserve"> </w:t>
      </w:r>
      <w:r>
        <w:t xml:space="preserve">and</w:t>
      </w:r>
      <w:r>
        <w:t xml:space="preserve"> </w:t>
      </w:r>
      <w:r>
        <w:rPr>
          <w:rStyle w:val="VerbatimChar"/>
        </w:rPr>
        <w:t xml:space="preserve">Sandbox</w:t>
      </w:r>
      <w:r>
        <w:t xml:space="preserve"> </w:t>
      </w:r>
      <w:r>
        <w:t xml:space="preserve">all inherit it. It is a second, folder-level control layered on top of the VPC rules above; the two are evaluated together, not as alternatives.</w:t>
      </w:r>
    </w:p>
    <w:p>
      <w:pPr>
        <w:pStyle w:val="BodyText"/>
      </w:pPr>
      <w:r>
        <w:t xml:space="preserve">Its rules are owned and maintained by the</w:t>
      </w:r>
      <w:r>
        <w:t xml:space="preserve"> </w:t>
      </w:r>
      <w:r>
        <w:rPr>
          <w:b/>
          <w:bCs/>
        </w:rPr>
        <w:t xml:space="preserve">Colt Cloud CoE</w:t>
      </w:r>
      <w:r>
        <w:t xml:space="preserve">, outside this document and outside Terraform — the same operating model as the organisation policy at the same folder. This design records that it exists and where it attaches, because it changes how a connectivity fault should be triaged: the VPC rules above are not the only place a packet can be dropped, and this document alone will not show what the folder policy permits.</w:t>
      </w:r>
      <w:r>
        <w:t xml:space="preserve"> </w:t>
      </w:r>
      <w:r>
        <w:rPr>
          <w:b/>
          <w:bCs/>
        </w:rPr>
        <w:t xml:space="preserve">Confirming its exact rule set with the Colt Cloud CoE is an open item before go-live.</w:t>
      </w:r>
    </w:p>
    <w:bookmarkEnd w:id="88"/>
    <w:bookmarkEnd w:id="89"/>
    <w:bookmarkStart w:id="98" w:name="private-service-connect"/>
    <w:p>
      <w:pPr>
        <w:pStyle w:val="Heading2"/>
      </w:pPr>
      <w:r>
        <w:t xml:space="preserve">5.7 Private Service Connect</w:t>
      </w:r>
    </w:p>
    <w:p>
      <w:pPr>
        <w:pStyle w:val="FirstParagraph"/>
      </w:pPr>
      <w:r>
        <w:t xml:space="preserve">Dev has four distinct PSC flows in two directions. They are not symmetric and are easy to conflate. Sandbox has two.</w:t>
      </w:r>
    </w:p>
    <w:p>
      <w:pPr>
        <w:pStyle w:val="CaptionedFigure"/>
      </w:pPr>
      <w:r>
        <w:drawing>
          <wp:inline>
            <wp:extent cx="5943600" cy="3962400"/>
            <wp:effectExtent b="0" l="0" r="0" t="0"/>
            <wp:docPr descr="Private Service Connect topology — four PSC flows between Cloud Run services, Google APIs, Apigee runtime and Vector Search inside gclt-aicoe-dev-vpc" title="" id="91" name="Picture"/>
            <a:graphic>
              <a:graphicData uri="http://schemas.openxmlformats.org/drawingml/2006/picture">
                <pic:pic>
                  <pic:nvPicPr>
                    <pic:cNvPr descr="diagrams/psc-topology.png" id="92" name="Picture"/>
                    <pic:cNvPicPr>
                      <a:picLocks noChangeArrowheads="1" noChangeAspect="1"/>
                    </pic:cNvPicPr>
                  </pic:nvPicPr>
                  <pic:blipFill>
                    <a:blip r:embed="rId90"/>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Private Service Connect topology — four PSC flows between Cloud Run services, Google APIs, Apigee runtime and Vector Search inside gclt-aicoe-dev-vpc</w:t>
      </w:r>
    </w:p>
    <w:bookmarkStart w:id="93" w:name="X0aaa7381a6ec14021442d092fd88fccfeeca336"/>
    <w:p>
      <w:pPr>
        <w:pStyle w:val="Heading3"/>
      </w:pPr>
      <w:r>
        <w:t xml:space="preserve">5.7.1 Why Private Service Connect and not VPC peering</w:t>
      </w:r>
    </w:p>
    <w:p>
      <w:pPr>
        <w:pStyle w:val="FirstParagraph"/>
      </w:pPr>
      <w:r>
        <w:t xml:space="preserve">Apigee X offers two networking models and the choice is made once, at organisation creation.</w:t>
      </w:r>
      <w:r>
        <w:t xml:space="preserve"> </w:t>
      </w:r>
      <w:r>
        <w:rPr>
          <w:b/>
          <w:bCs/>
        </w:rPr>
        <w:t xml:space="preserve">Peered</w:t>
      </w:r>
      <w:r>
        <w:t xml:space="preserve"> </w:t>
      </w:r>
      <w:r>
        <w:t xml:space="preserve">uses Private Services Access: Apigee’s Google-managed tenant project is peered to the VPC, its runtime takes addresses from a range allocated for it, and traffic in both directions is native routing.</w:t>
      </w:r>
      <w:r>
        <w:t xml:space="preserve"> </w:t>
      </w:r>
      <w:r>
        <w:rPr>
          <w:b/>
          <w:bCs/>
        </w:rPr>
        <w:t xml:space="preserve">Non-peered</w:t>
      </w:r>
      <w:r>
        <w:t xml:space="preserve"> </w:t>
      </w:r>
      <w:r>
        <w:t xml:space="preserve">uses Private Service Connect throughout — the model in this design. Private Service Connect is selected because an Apigee organisation can peer with exactly one VPC network, and peering is non-transitive. A second usecase network could not peer to Apigee, because Apigee is already peered elsewhere, and could not route through this platform’s VPC either, because peering does not chain. The gateway would be permanently captive to one network. With PSC, any VPC in the organisation creates its own endpoint and is admitted by adding its project to the accept list.</w:t>
      </w:r>
    </w:p>
    <w:bookmarkEnd w:id="93"/>
    <w:bookmarkStart w:id="94" w:name="flow-1-google-apis"/>
    <w:p>
      <w:pPr>
        <w:pStyle w:val="Heading3"/>
      </w:pPr>
      <w:r>
        <w:t xml:space="preserve">5.7.2 Flow 1 — Google APIs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Dev</w:t>
            </w:r>
          </w:p>
        </w:tc>
        <w:tc>
          <w:tcPr>
            <w:shd w:val="clear" w:color="auto" w:fill="1F3864"/>
          </w:tcPr>
          <w:p>
            <w:pPr>
              <w:pStyle w:val="Compact"/>
              <w:jc w:val="left"/>
            </w:pPr>
            <w:r>
              <w:rPr>
                <w:b/>
                <w:color w:val="FFFFFF"/>
              </w:rPr>
              <w:t xml:space="preserve">Sandbox</w:t>
            </w:r>
          </w:p>
        </w:tc>
      </w:tr>
      <w:tr>
        <w:tc>
          <w:tcPr/>
          <w:p>
            <w:pPr>
              <w:pStyle w:val="Compact"/>
              <w:jc w:val="left"/>
            </w:pPr>
            <w:r>
              <w:t xml:space="preserve">Endpoint name</w:t>
            </w:r>
          </w:p>
        </w:tc>
        <w:tc>
          <w:tcPr/>
          <w:p>
            <w:pPr>
              <w:pStyle w:val="Compact"/>
              <w:jc w:val="left"/>
            </w:pPr>
            <w:r>
              <w:rPr>
                <w:rStyle w:val="VerbatimChar"/>
              </w:rPr>
              <w:t xml:space="preserve">psc-google-apis</w:t>
            </w:r>
          </w:p>
        </w:tc>
        <w:tc>
          <w:tcPr/>
          <w:p>
            <w:pPr>
              <w:pStyle w:val="Compact"/>
              <w:jc w:val="left"/>
            </w:pPr>
            <w:r>
              <w:rPr>
                <w:rStyle w:val="VerbatimChar"/>
              </w:rPr>
              <w:t xml:space="preserve">aicoesandox-pscapis</w:t>
            </w:r>
          </w:p>
        </w:tc>
      </w:tr>
      <w:tr>
        <w:tc>
          <w:tcPr/>
          <w:p>
            <w:pPr>
              <w:pStyle w:val="Compact"/>
              <w:jc w:val="left"/>
            </w:pPr>
            <w:r>
              <w:t xml:space="preserve">Target</w:t>
            </w:r>
          </w:p>
        </w:tc>
        <w:tc>
          <w:tcPr/>
          <w:p>
            <w:pPr>
              <w:pStyle w:val="Compact"/>
              <w:jc w:val="left"/>
            </w:pPr>
            <w:r>
              <w:rPr>
                <w:b/>
                <w:bCs/>
              </w:rPr>
              <w:t xml:space="preserve">All Google APIs</w:t>
            </w:r>
            <w:r>
              <w:t xml:space="preserve">, service bundle</w:t>
            </w:r>
            <w:r>
              <w:t xml:space="preserve"> </w:t>
            </w:r>
            <w:r>
              <w:rPr>
                <w:rStyle w:val="VerbatimChar"/>
                <w:b/>
                <w:bCs/>
              </w:rPr>
              <w:t xml:space="preserve">vpc-sc</w:t>
            </w:r>
            <w:r>
              <w:t xml:space="preserve"> </w:t>
            </w:r>
            <w:r>
              <w:t xml:space="preserve">in preference to</w:t>
            </w:r>
            <w:r>
              <w:t xml:space="preserve"> </w:t>
            </w:r>
            <w:r>
              <w:rPr>
                <w:rStyle w:val="VerbatimChar"/>
              </w:rPr>
              <w:t xml:space="preserve">all-apis</w:t>
            </w:r>
          </w:p>
        </w:tc>
        <w:tc>
          <w:tcPr/>
          <w:p>
            <w:pPr>
              <w:pStyle w:val="Compact"/>
              <w:jc w:val="left"/>
            </w:pPr>
            <w:r>
              <w:t xml:space="preserve">Same</w:t>
            </w:r>
          </w:p>
        </w:tc>
      </w:tr>
      <w:tr>
        <w:tc>
          <w:tcPr/>
          <w:p>
            <w:pPr>
              <w:pStyle w:val="Compact"/>
              <w:jc w:val="left"/>
            </w:pPr>
            <w:r>
              <w:t xml:space="preserve">Address</w:t>
            </w:r>
          </w:p>
        </w:tc>
        <w:tc>
          <w:tcPr/>
          <w:p>
            <w:pPr>
              <w:pStyle w:val="Compact"/>
              <w:jc w:val="left"/>
            </w:pPr>
            <w:r>
              <w:rPr>
                <w:rStyle w:val="VerbatimChar"/>
              </w:rPr>
              <w:t xml:space="preserve">192.168.6.164</w:t>
            </w:r>
            <w:r>
              <w:t xml:space="preserve">, a</w:t>
            </w:r>
            <w:r>
              <w:t xml:space="preserve"> </w:t>
            </w:r>
            <w:r>
              <w:rPr>
                <w:b/>
                <w:bCs/>
              </w:rPr>
              <w:t xml:space="preserve">global</w:t>
            </w:r>
            <w:r>
              <w:t xml:space="preserve"> </w:t>
            </w:r>
            <w:r>
              <w:t xml:space="preserve">internal address outside every subnet</w:t>
            </w:r>
          </w:p>
        </w:tc>
        <w:tc>
          <w:tcPr/>
          <w:p>
            <w:pPr>
              <w:pStyle w:val="Compact"/>
              <w:jc w:val="left"/>
            </w:pPr>
            <w:r>
              <w:rPr>
                <w:rStyle w:val="VerbatimChar"/>
              </w:rPr>
              <w:t xml:space="preserve">192.168.2.3</w:t>
            </w:r>
            <w:r>
              <w:t xml:space="preserve">, a</w:t>
            </w:r>
            <w:r>
              <w:t xml:space="preserve"> </w:t>
            </w:r>
            <w:r>
              <w:rPr>
                <w:b/>
                <w:bCs/>
              </w:rPr>
              <w:t xml:space="preserve">global</w:t>
            </w:r>
            <w:r>
              <w:t xml:space="preserve"> </w:t>
            </w:r>
            <w:r>
              <w:t xml:space="preserve">internal address outside every subnet</w:t>
            </w:r>
          </w:p>
        </w:tc>
      </w:tr>
      <w:tr>
        <w:tc>
          <w:tcPr/>
          <w:p>
            <w:pPr>
              <w:pStyle w:val="Compact"/>
              <w:jc w:val="left"/>
            </w:pPr>
            <w:r>
              <w:t xml:space="preserve">Paired with</w:t>
            </w:r>
          </w:p>
        </w:tc>
        <w:tc>
          <w:tcPr/>
          <w:p>
            <w:pPr>
              <w:pStyle w:val="Compact"/>
              <w:jc w:val="left"/>
            </w:pPr>
            <w:r>
              <w:t xml:space="preserve">Private DNS zone for</w:t>
            </w:r>
            <w:r>
              <w:t xml:space="preserve"> </w:t>
            </w:r>
            <w:r>
              <w:rPr>
                <w:rStyle w:val="VerbatimChar"/>
              </w:rPr>
              <w:t xml:space="preserve">googleapis.com</w:t>
            </w:r>
            <w:r>
              <w:t xml:space="preserve">, wildcard and root A records</w:t>
            </w:r>
          </w:p>
        </w:tc>
        <w:tc>
          <w:tcPr/>
          <w:p>
            <w:pPr>
              <w:pStyle w:val="Compact"/>
              <w:jc w:val="left"/>
            </w:pPr>
            <w:r>
              <w:t xml:space="preserve">Same, resolving to</w:t>
            </w:r>
            <w:r>
              <w:t xml:space="preserve"> </w:t>
            </w:r>
            <w:r>
              <w:rPr>
                <w:rStyle w:val="VerbatimChar"/>
              </w:rPr>
              <w:t xml:space="preserve">192.168.2.3</w:t>
            </w:r>
          </w:p>
        </w:tc>
      </w:tr>
    </w:tbl>
    <w:p>
      <w:pPr>
        <w:pStyle w:val="BodyText"/>
      </w:pPr>
      <w:r>
        <w:rPr>
          <w:b/>
          <w:bCs/>
        </w:rPr>
        <w:t xml:space="preserve">Why</w:t>
      </w:r>
      <w:r>
        <w:rPr>
          <w:b/>
          <w:bCs/>
        </w:rPr>
        <w:t xml:space="preserve"> </w:t>
      </w:r>
      <w:r>
        <w:rPr>
          <w:rStyle w:val="VerbatimChar"/>
          <w:b/>
          <w:bCs/>
        </w:rPr>
        <w:t xml:space="preserve">vpc-sc</w:t>
      </w:r>
      <w:r>
        <w:rPr>
          <w:b/>
          <w:bCs/>
        </w:rPr>
        <w:t xml:space="preserve"> </w:t>
      </w:r>
      <w:r>
        <w:rPr>
          <w:b/>
          <w:bCs/>
        </w:rPr>
        <w:t xml:space="preserve">over</w:t>
      </w:r>
      <w:r>
        <w:rPr>
          <w:b/>
          <w:bCs/>
        </w:rPr>
        <w:t xml:space="preserve"> </w:t>
      </w:r>
      <w:r>
        <w:rPr>
          <w:rStyle w:val="VerbatimChar"/>
          <w:b/>
          <w:bCs/>
        </w:rPr>
        <w:t xml:space="preserve">all-apis</w:t>
      </w:r>
      <w:r>
        <w:rPr>
          <w:b/>
          <w:bCs/>
        </w:rPr>
        <w:t xml:space="preserve">.</w:t>
      </w:r>
      <w:r>
        <w:t xml:space="preserve"> </w:t>
      </w:r>
      <w:r>
        <w:t xml:space="preserve">The</w:t>
      </w:r>
      <w:r>
        <w:t xml:space="preserve"> </w:t>
      </w:r>
      <w:r>
        <w:rPr>
          <w:rStyle w:val="VerbatimChar"/>
        </w:rPr>
        <w:t xml:space="preserve">vpc-sc</w:t>
      </w:r>
      <w:r>
        <w:t xml:space="preserve"> </w:t>
      </w:r>
      <w:r>
        <w:t xml:space="preserve">bundle resolves only Google APIs that support perimeter protection, so under the Colt Cloud CoE perimeter a workload cannot slip data out through an unprotected API.</w:t>
      </w:r>
    </w:p>
    <w:p>
      <w:pPr>
        <w:pStyle w:val="BodyText"/>
      </w:pPr>
      <w:r>
        <w:rPr>
          <w:b/>
          <w:bCs/>
        </w:rPr>
        <w:t xml:space="preserve">Ordering.</w:t>
      </w:r>
      <w:r>
        <w:t xml:space="preserve"> </w:t>
      </w:r>
      <w:r>
        <w:t xml:space="preserve">Create the endpoint</w:t>
      </w:r>
      <w:r>
        <w:t xml:space="preserve"> </w:t>
      </w:r>
      <w:r>
        <w:rPr>
          <w:b/>
          <w:bCs/>
        </w:rPr>
        <w:t xml:space="preserve">before</w:t>
      </w:r>
      <w:r>
        <w:t xml:space="preserve"> </w:t>
      </w:r>
      <w:r>
        <w:t xml:space="preserve">the</w:t>
      </w:r>
      <w:r>
        <w:t xml:space="preserve"> </w:t>
      </w:r>
      <w:r>
        <w:rPr>
          <w:rStyle w:val="VerbatimChar"/>
        </w:rPr>
        <w:t xml:space="preserve">googleapis.com</w:t>
      </w:r>
      <w:r>
        <w:t xml:space="preserve"> </w:t>
      </w:r>
      <w:r>
        <w:t xml:space="preserve">private zone. If the zone exists first, every Google API call from inside the network fails to connect for as long as the gap lasts.</w:t>
      </w:r>
    </w:p>
    <w:bookmarkEnd w:id="94"/>
    <w:bookmarkStart w:id="95" w:name="X7db9b04b0c9a7044a8c2211cb5c3c98b852bae0"/>
    <w:p>
      <w:pPr>
        <w:pStyle w:val="Heading3"/>
      </w:pPr>
      <w:r>
        <w:t xml:space="preserve">5.7.3 Flow 2 — Apigee northbound, the service endpoint</w:t>
      </w:r>
    </w:p>
    <w:p>
      <w:pPr>
        <w:pStyle w:val="FirstParagraph"/>
      </w:pPr>
      <w:r>
        <w:t xml:space="preserve">Dev and Prod only. Cloud Run services — the Backend-for-Frontend for the user API, the backends for the AI gateway — call Apigee from inside the network using Apigee’s</w:t>
      </w:r>
      <w:r>
        <w:t xml:space="preserve"> </w:t>
      </w:r>
      <w:r>
        <w:rPr>
          <w:b/>
          <w:bCs/>
        </w:rPr>
        <w:t xml:space="preserve">service endpoint</w:t>
      </w:r>
      <w:r>
        <w:t xml:space="preserve"> </w:t>
      </w:r>
      <w:r>
        <w:t xml:space="preserve">internal-routing option.</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Aspect</w:t>
            </w:r>
          </w:p>
        </w:tc>
        <w:tc>
          <w:tcPr>
            <w:shd w:val="clear" w:color="auto" w:fill="1F3864"/>
          </w:tcPr>
          <w:p>
            <w:pPr>
              <w:pStyle w:val="Compact"/>
              <w:jc w:val="left"/>
            </w:pPr>
            <w:r>
              <w:rPr>
                <w:b/>
                <w:color w:val="FFFFFF"/>
              </w:rPr>
              <w:t xml:space="preserve">Position</w:t>
            </w:r>
          </w:p>
        </w:tc>
      </w:tr>
      <w:tr>
        <w:tc>
          <w:tcPr/>
          <w:p>
            <w:pPr>
              <w:pStyle w:val="Compact"/>
              <w:jc w:val="left"/>
            </w:pPr>
            <w:r>
              <w:t xml:space="preserve">How it is created</w:t>
            </w:r>
          </w:p>
        </w:tc>
        <w:tc>
          <w:tcPr/>
          <w:p>
            <w:pPr>
              <w:pStyle w:val="Compact"/>
              <w:jc w:val="left"/>
            </w:pPr>
            <w:r>
              <w:rPr>
                <w:b/>
                <w:bCs/>
              </w:rPr>
              <w:t xml:space="preserve">At Apigee provisioning time</w:t>
            </w:r>
            <w:r>
              <w:t xml:space="preserve">, by selecting internal routing with the service endpoint option. Not a generic PSC endpoint built afterwards</w:t>
            </w:r>
          </w:p>
        </w:tc>
      </w:tr>
      <w:tr>
        <w:tc>
          <w:tcPr/>
          <w:p>
            <w:pPr>
              <w:pStyle w:val="Compact"/>
              <w:jc w:val="left"/>
            </w:pPr>
            <w:r>
              <w:t xml:space="preserve">Address</w:t>
            </w:r>
          </w:p>
        </w:tc>
        <w:tc>
          <w:tcPr/>
          <w:p>
            <w:pPr>
              <w:pStyle w:val="Compact"/>
              <w:jc w:val="left"/>
            </w:pPr>
            <w:r>
              <w:t xml:space="preserve">Allocated by Apigee. Retrieve with</w:t>
            </w:r>
            <w:r>
              <w:t xml:space="preserve"> </w:t>
            </w:r>
            <w:r>
              <w:rPr>
                <w:rStyle w:val="VerbatimChar"/>
              </w:rPr>
              <w:t xml:space="preserve">gcloud apigee instances list</w:t>
            </w:r>
            <w:r>
              <w:t xml:space="preserve">. Assumed</w:t>
            </w:r>
            <w:r>
              <w:t xml:space="preserve"> </w:t>
            </w:r>
            <w:r>
              <w:rPr>
                <w:rStyle w:val="VerbatimChar"/>
              </w:rPr>
              <w:t xml:space="preserve">192.168.6.146</w:t>
            </w:r>
          </w:p>
        </w:tc>
      </w:tr>
      <w:tr>
        <w:tc>
          <w:tcPr/>
          <w:p>
            <w:pPr>
              <w:pStyle w:val="Compact"/>
              <w:jc w:val="left"/>
            </w:pPr>
            <w:r>
              <w:t xml:space="preserve">How a caller reaches it</w:t>
            </w:r>
          </w:p>
        </w:tc>
        <w:tc>
          <w:tcPr/>
          <w:p>
            <w:pPr>
              <w:pStyle w:val="Compact"/>
              <w:jc w:val="left"/>
            </w:pPr>
            <w:r>
              <w:t xml:space="preserve">By</w:t>
            </w:r>
            <w:r>
              <w:t xml:space="preserve"> </w:t>
            </w:r>
            <w:r>
              <w:rPr>
                <w:b/>
                <w:bCs/>
              </w:rPr>
              <w:t xml:space="preserve">hostname</w:t>
            </w:r>
            <w:r>
              <w:t xml:space="preserve">, via the private DNS records below — not by address</w:t>
            </w:r>
          </w:p>
        </w:tc>
      </w:tr>
      <w:tr>
        <w:tc>
          <w:tcPr/>
          <w:p>
            <w:pPr>
              <w:pStyle w:val="Compact"/>
              <w:jc w:val="left"/>
            </w:pPr>
            <w:r>
              <w:t xml:space="preserve">Environment selection</w:t>
            </w:r>
          </w:p>
        </w:tc>
        <w:tc>
          <w:tcPr/>
          <w:p>
            <w:pPr>
              <w:pStyle w:val="Compact"/>
              <w:jc w:val="left"/>
            </w:pPr>
            <w:r>
              <w:t xml:space="preserve">By</w:t>
            </w:r>
            <w:r>
              <w:t xml:space="preserve"> </w:t>
            </w:r>
            <w:r>
              <w:rPr>
                <w:rStyle w:val="VerbatimChar"/>
                <w:b/>
                <w:bCs/>
              </w:rPr>
              <w:t xml:space="preserve">Host</w:t>
            </w:r>
            <w:r>
              <w:rPr>
                <w:b/>
                <w:bCs/>
              </w:rPr>
              <w:t xml:space="preserve"> </w:t>
            </w:r>
            <w:r>
              <w:rPr>
                <w:b/>
                <w:bCs/>
              </w:rPr>
              <w:t xml:space="preserve">header</w:t>
            </w:r>
            <w:r>
              <w:t xml:space="preserve">.</w:t>
            </w:r>
            <w:r>
              <w:t xml:space="preserve"> </w:t>
            </w:r>
            <w:r>
              <w:rPr>
                <w:rStyle w:val="VerbatimChar"/>
              </w:rPr>
              <w:t xml:space="preserve">Host: llm.aicoe-dev-int.colt.net</w:t>
            </w:r>
            <w:r>
              <w:t xml:space="preserve"> </w:t>
            </w:r>
            <w:r>
              <w:t xml:space="preserve">selects</w:t>
            </w:r>
            <w:r>
              <w:t xml:space="preserve"> </w:t>
            </w:r>
            <w:r>
              <w:rPr>
                <w:rStyle w:val="VerbatimChar"/>
              </w:rPr>
              <w:t xml:space="preserve">llm</w:t>
            </w:r>
            <w:r>
              <w:t xml:space="preserve">;</w:t>
            </w:r>
            <w:r>
              <w:t xml:space="preserve"> </w:t>
            </w:r>
            <w:r>
              <w:rPr>
                <w:rStyle w:val="VerbatimChar"/>
              </w:rPr>
              <w:t xml:space="preserve">Host: aihub-api.aicoe-dev-int.colt.net</w:t>
            </w:r>
            <w:r>
              <w:t xml:space="preserve"> </w:t>
            </w:r>
            <w:r>
              <w:t xml:space="preserve">selects</w:t>
            </w:r>
            <w:r>
              <w:t xml:space="preserve"> </w:t>
            </w:r>
            <w:r>
              <w:rPr>
                <w:rStyle w:val="VerbatimChar"/>
              </w:rPr>
              <w:t xml:space="preserve">int</w:t>
            </w:r>
            <w:r>
              <w:t xml:space="preserve">. Both resolve to the same address</w:t>
            </w:r>
          </w:p>
        </w:tc>
      </w:tr>
      <w:tr>
        <w:tc>
          <w:tcPr/>
          <w:p>
            <w:pPr>
              <w:pStyle w:val="Compact"/>
              <w:jc w:val="left"/>
            </w:pPr>
            <w:r>
              <w:t xml:space="preserve">Consumer accept list</w:t>
            </w:r>
          </w:p>
        </w:tc>
        <w:tc>
          <w:tcPr/>
          <w:p>
            <w:pPr>
              <w:pStyle w:val="Compact"/>
              <w:jc w:val="left"/>
            </w:pPr>
            <w:r>
              <w:rPr>
                <w:rStyle w:val="VerbatimChar"/>
                <w:b/>
                <w:bCs/>
              </w:rPr>
              <w:t xml:space="preserve">gclt-aicoe-dev-network</w:t>
            </w:r>
            <w:r>
              <w:rPr>
                <w:b/>
                <w:bCs/>
              </w:rPr>
              <w:t xml:space="preserve"> </w:t>
            </w:r>
            <w:r>
              <w:rPr>
                <w:b/>
                <w:bCs/>
              </w:rPr>
              <w:t xml:space="preserve">only</w:t>
            </w:r>
          </w:p>
        </w:tc>
      </w:tr>
    </w:tbl>
    <w:p>
      <w:pPr>
        <w:pStyle w:val="BodyText"/>
      </w:pPr>
      <w:r>
        <w:rPr>
          <w:b/>
          <w:bCs/>
        </w:rPr>
        <w:t xml:space="preserve">Why callers must use the hostname, not the address.</w:t>
      </w:r>
      <w:r>
        <w:t xml:space="preserve"> </w:t>
      </w:r>
      <w:r>
        <w:t xml:space="preserve">The certificate is issued for the hostname, not the address, so calling the endpoint by address only works with certificate verification disabled.</w:t>
      </w:r>
      <w:r>
        <w:t xml:space="preserve"> </w:t>
      </w:r>
      <w:r>
        <w:rPr>
          <w:b/>
          <w:bCs/>
        </w:rPr>
        <w:t xml:space="preserve">That must not be built into a service</w:t>
      </w:r>
      <w:r>
        <w:t xml:space="preserve"> </w:t>
      </w:r>
      <w:r>
        <w:t xml:space="preserve">— a service that disables certificate verification to reach the gateway is a service that will accept any certificate from anywhere. The private DNS record exists precisely so verification stays on.</w:t>
      </w:r>
    </w:p>
    <w:p>
      <w:pPr>
        <w:pStyle w:val="BodyText"/>
      </w:pPr>
      <w:r>
        <w:rPr>
          <w:b/>
          <w:bCs/>
        </w:rPr>
        <w:t xml:space="preserve">Using the address without a</w:t>
      </w:r>
      <w:r>
        <w:rPr>
          <w:b/>
          <w:bCs/>
        </w:rPr>
        <w:t xml:space="preserve"> </w:t>
      </w:r>
      <w:r>
        <w:rPr>
          <w:rStyle w:val="VerbatimChar"/>
          <w:b/>
          <w:bCs/>
        </w:rPr>
        <w:t xml:space="preserve">Host</w:t>
      </w:r>
      <w:r>
        <w:rPr>
          <w:b/>
          <w:bCs/>
        </w:rPr>
        <w:t xml:space="preserve"> </w:t>
      </w:r>
      <w:r>
        <w:rPr>
          <w:b/>
          <w:bCs/>
        </w:rPr>
        <w:t xml:space="preserve">header</w:t>
      </w:r>
      <w:r>
        <w:t xml:space="preserve"> </w:t>
      </w:r>
      <w:r>
        <w:t xml:space="preserve">reaches the instance but matches no environment group, and the request is rejected in a way that looks like a network fault.</w:t>
      </w:r>
    </w:p>
    <w:p>
      <w:pPr>
        <w:pStyle w:val="BodyText"/>
      </w:pPr>
      <w:r>
        <w:rPr>
          <w:b/>
          <w:bCs/>
        </w:rPr>
        <w:t xml:space="preserve">The accept list is admission control, not revocation.</w:t>
      </w:r>
      <w:r>
        <w:t xml:space="preserve"> </w:t>
      </w:r>
      <w:r>
        <w:t xml:space="preserve">Two behaviours matter: the limit on PSC NEG connections per project to an Apigee instance is</w:t>
      </w:r>
      <w:r>
        <w:t xml:space="preserve"> </w:t>
      </w:r>
      <w:r>
        <w:rPr>
          <w:b/>
          <w:bCs/>
        </w:rPr>
        <w:t xml:space="preserve">100</w:t>
      </w:r>
      <w:r>
        <w:t xml:space="preserve">; and</w:t>
      </w:r>
      <w:r>
        <w:t xml:space="preserve"> </w:t>
      </w:r>
      <w:r>
        <w:rPr>
          <w:b/>
          <w:bCs/>
        </w:rPr>
        <w:t xml:space="preserve">removing a project from the accept list does not sever existing connections</w:t>
      </w:r>
      <w:r>
        <w:t xml:space="preserve"> </w:t>
      </w:r>
      <w:r>
        <w:t xml:space="preserve">— they keep working, and only new ones are refused. Revoking access means deleting the existing connections in that project, or recreating the instance. If the accept list were permissive, any project in the organisation could create its own endpoint and invoke the AI gateway directly, bypassing every control on the intended path. This field is therefore a primary access control and not a configuration detail.</w:t>
      </w:r>
    </w:p>
    <w:bookmarkEnd w:id="95"/>
    <w:bookmarkStart w:id="96" w:name="X36e3b65d0183b6b15268a1cb3892f6891d7b4b3"/>
    <w:p>
      <w:pPr>
        <w:pStyle w:val="Heading3"/>
      </w:pPr>
      <w:r>
        <w:t xml:space="preserve">5.7.4 Flow 3 — Apigee southbound, so Apigee can reach the backends</w:t>
      </w:r>
    </w:p>
    <w:p>
      <w:pPr>
        <w:pStyle w:val="FirstParagraph"/>
      </w:pPr>
      <w:r>
        <w:t xml:space="preserve">Dev and Prod only. Apigee runs in a Google-managed tenant project outside the VPC and cannot otherwise reach a Cloud Run service with internal-only ingress. The platform publishes the Backend ILB and Apigee connects to it.</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w:t>
            </w:r>
          </w:p>
        </w:tc>
      </w:tr>
      <w:tr>
        <w:tc>
          <w:tcPr/>
          <w:p>
            <w:pPr>
              <w:pStyle w:val="Compact"/>
              <w:jc w:val="left"/>
            </w:pPr>
            <w:r>
              <w:t xml:space="preserve">Published in</w:t>
            </w:r>
          </w:p>
        </w:tc>
        <w:tc>
          <w:tcPr/>
          <w:p>
            <w:pPr>
              <w:pStyle w:val="Compact"/>
              <w:jc w:val="left"/>
            </w:pPr>
            <w:r>
              <w:rPr>
                <w:rStyle w:val="VerbatimChar"/>
              </w:rPr>
              <w:t xml:space="preserve">gclt-aicoe-dev-network</w:t>
            </w:r>
            <w:r>
              <w:t xml:space="preserve"> </w:t>
            </w:r>
            <w:r>
              <w:t xml:space="preserve">→ Private Service Connect → Published services</w:t>
            </w:r>
          </w:p>
        </w:tc>
      </w:tr>
      <w:tr>
        <w:tc>
          <w:tcPr/>
          <w:p>
            <w:pPr>
              <w:pStyle w:val="Compact"/>
              <w:jc w:val="left"/>
            </w:pPr>
            <w:r>
              <w:t xml:space="preserve">Load balancer type</w:t>
            </w:r>
          </w:p>
        </w:tc>
        <w:tc>
          <w:tcPr/>
          <w:p>
            <w:pPr>
              <w:pStyle w:val="Compact"/>
              <w:jc w:val="left"/>
            </w:pPr>
            <w:r>
              <w:t xml:space="preserve">Internal Application Load Balancer</w:t>
            </w:r>
          </w:p>
        </w:tc>
      </w:tr>
      <w:tr>
        <w:tc>
          <w:tcPr/>
          <w:p>
            <w:pPr>
              <w:pStyle w:val="Compact"/>
              <w:jc w:val="left"/>
            </w:pPr>
            <w:r>
              <w:t xml:space="preserve">Load balancer</w:t>
            </w:r>
          </w:p>
        </w:tc>
        <w:tc>
          <w:tcPr/>
          <w:p>
            <w:pPr>
              <w:pStyle w:val="Compact"/>
              <w:jc w:val="left"/>
            </w:pPr>
            <w:r>
              <w:t xml:space="preserve">Backend ILB frontend at</w:t>
            </w:r>
            <w:r>
              <w:t xml:space="preserve"> </w:t>
            </w:r>
            <w:r>
              <w:rPr>
                <w:rStyle w:val="VerbatimChar"/>
              </w:rPr>
              <w:t xml:space="preserve">192.168.6.145</w:t>
            </w:r>
          </w:p>
        </w:tc>
      </w:tr>
      <w:tr>
        <w:tc>
          <w:tcPr/>
          <w:p>
            <w:pPr>
              <w:pStyle w:val="Compact"/>
              <w:jc w:val="left"/>
            </w:pPr>
            <w:r>
              <w:t xml:space="preserve">Service name</w:t>
            </w:r>
          </w:p>
        </w:tc>
        <w:tc>
          <w:tcPr/>
          <w:p>
            <w:pPr>
              <w:pStyle w:val="Compact"/>
              <w:jc w:val="left"/>
            </w:pPr>
            <w:r>
              <w:rPr>
                <w:rStyle w:val="VerbatimChar"/>
              </w:rPr>
              <w:t xml:space="preserve">sa-backends</w:t>
            </w:r>
          </w:p>
        </w:tc>
      </w:tr>
      <w:tr>
        <w:tc>
          <w:tcPr/>
          <w:p>
            <w:pPr>
              <w:pStyle w:val="Compact"/>
              <w:jc w:val="left"/>
            </w:pPr>
            <w:r>
              <w:t xml:space="preserve">NAT subnet</w:t>
            </w:r>
          </w:p>
        </w:tc>
        <w:tc>
          <w:tcPr/>
          <w:p>
            <w:pPr>
              <w:pStyle w:val="Compact"/>
              <w:jc w:val="left"/>
            </w:pPr>
            <w:r>
              <w:rPr>
                <w:rStyle w:val="VerbatimChar"/>
              </w:rPr>
              <w:t xml:space="preserve">gclt-aicoe-dev-pscnat-ew1</w:t>
            </w:r>
            <w:r>
              <w:t xml:space="preserve"> </w:t>
            </w:r>
            <w:r>
              <w:t xml:space="preserve">(</w:t>
            </w:r>
            <w:r>
              <w:rPr>
                <w:rStyle w:val="VerbatimChar"/>
              </w:rPr>
              <w:t xml:space="preserve">192.168.6.128/28</w:t>
            </w:r>
            <w:r>
              <w:t xml:space="preserve">)</w:t>
            </w:r>
          </w:p>
        </w:tc>
      </w:tr>
      <w:tr>
        <w:tc>
          <w:tcPr/>
          <w:p>
            <w:pPr>
              <w:pStyle w:val="Compact"/>
              <w:jc w:val="left"/>
            </w:pPr>
            <w:r>
              <w:t xml:space="preserve">Accepted projects</w:t>
            </w:r>
          </w:p>
        </w:tc>
        <w:tc>
          <w:tcPr/>
          <w:p>
            <w:pPr>
              <w:pStyle w:val="Compact"/>
              <w:jc w:val="left"/>
            </w:pPr>
            <w:r>
              <w:rPr>
                <w:rStyle w:val="VerbatimChar"/>
                <w:b/>
                <w:bCs/>
              </w:rPr>
              <w:t xml:space="preserve">gclt-aicoe-dev-apigee</w:t>
            </w:r>
            <w:r>
              <w:rPr>
                <w:b/>
                <w:bCs/>
              </w:rPr>
              <w:t xml:space="preserve"> </w:t>
            </w:r>
            <w:r>
              <w:rPr>
                <w:b/>
                <w:bCs/>
              </w:rPr>
              <w:t xml:space="preserve">only</w:t>
            </w:r>
          </w:p>
        </w:tc>
      </w:tr>
      <w:tr>
        <w:tc>
          <w:tcPr/>
          <w:p>
            <w:pPr>
              <w:pStyle w:val="Compact"/>
              <w:jc w:val="left"/>
            </w:pPr>
            <w:r>
              <w:t xml:space="preserve">Apigee side</w:t>
            </w:r>
          </w:p>
        </w:tc>
        <w:tc>
          <w:tcPr/>
          <w:p>
            <w:pPr>
              <w:pStyle w:val="Compact"/>
              <w:jc w:val="left"/>
            </w:pPr>
            <w:r>
              <w:t xml:space="preserve">An</w:t>
            </w:r>
            <w:r>
              <w:t xml:space="preserve"> </w:t>
            </w:r>
            <w:r>
              <w:rPr>
                <w:b/>
                <w:bCs/>
              </w:rPr>
              <w:t xml:space="preserve">endpoint attachment</w:t>
            </w:r>
            <w:r>
              <w:t xml:space="preserve"> </w:t>
            </w:r>
            <w:r>
              <w:t xml:space="preserve">created against the service attachment identifier, returning a host address used as the</w:t>
            </w:r>
            <w:r>
              <w:t xml:space="preserve"> </w:t>
            </w:r>
            <w:r>
              <w:rPr>
                <w:rStyle w:val="VerbatimChar"/>
              </w:rPr>
              <w:t xml:space="preserve">int</w:t>
            </w:r>
            <w:r>
              <w:t xml:space="preserve"> </w:t>
            </w:r>
            <w:r>
              <w:t xml:space="preserve">environment’s target server</w:t>
            </w:r>
          </w:p>
        </w:tc>
      </w:tr>
    </w:tbl>
    <w:p>
      <w:pPr>
        <w:pStyle w:val="BodyText"/>
      </w:pPr>
      <w:r>
        <w:rPr>
          <w:b/>
          <w:bCs/>
        </w:rPr>
        <w:t xml:space="preserve">A logging consequence to design around.</w:t>
      </w:r>
      <w:r>
        <w:t xml:space="preserve"> </w:t>
      </w:r>
      <w:r>
        <w:t xml:space="preserve">Every request Apigee sends arrives at the Backend ILB with a source address from</w:t>
      </w:r>
      <w:r>
        <w:t xml:space="preserve"> </w:t>
      </w:r>
      <w:r>
        <w:rPr>
          <w:rStyle w:val="VerbatimChar"/>
        </w:rPr>
        <w:t xml:space="preserve">192.168.6.128/28</w:t>
      </w:r>
      <w:r>
        <w:t xml:space="preserve">. This is the value recorded in the access logs, and it identifies neither the environment, the proxy, nor the user.</w:t>
      </w:r>
      <w:r>
        <w:t xml:space="preserve"> </w:t>
      </w:r>
      <w:r>
        <w:rPr>
          <w:b/>
          <w:bCs/>
        </w:rPr>
        <w:t xml:space="preserve">Attribution must come from the forwarded user context and the Apigee message identifier</w:t>
      </w:r>
      <w:r>
        <w:t xml:space="preserve">, not from source address.</w:t>
      </w:r>
    </w:p>
    <w:bookmarkEnd w:id="96"/>
    <w:bookmarkStart w:id="97" w:name="flow-4-vector-search"/>
    <w:p>
      <w:pPr>
        <w:pStyle w:val="Heading3"/>
      </w:pPr>
      <w:r>
        <w:t xml:space="preserve">5.7.5 Flow 4 — Vector Search</w:t>
      </w:r>
    </w:p>
    <w:p>
      <w:pPr>
        <w:pStyle w:val="FirstParagraph"/>
      </w:pPr>
      <w:r>
        <w:t xml:space="preserve">Vector Search publishes a service attachment</w:t>
      </w:r>
      <w:r>
        <w:t xml:space="preserve"> </w:t>
      </w:r>
      <w:r>
        <w:rPr>
          <w:b/>
          <w:bCs/>
        </w:rPr>
        <w:t xml:space="preserve">per deployed index</w:t>
      </w:r>
      <w:r>
        <w:t xml:space="preserve">. There are two connection modes and the difference matters more than it looks.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Mode</w:t>
            </w:r>
          </w:p>
        </w:tc>
        <w:tc>
          <w:tcPr>
            <w:shd w:val="clear" w:color="auto" w:fill="1F3864"/>
          </w:tcPr>
          <w:p>
            <w:pPr>
              <w:pStyle w:val="Compact"/>
              <w:jc w:val="left"/>
            </w:pPr>
            <w:r>
              <w:rPr>
                <w:b/>
                <w:color w:val="FFFFFF"/>
              </w:rPr>
              <w:t xml:space="preserve">How</w:t>
            </w:r>
          </w:p>
        </w:tc>
        <w:tc>
          <w:tcPr>
            <w:shd w:val="clear" w:color="auto" w:fill="1F3864"/>
          </w:tcPr>
          <w:p>
            <w:pPr>
              <w:pStyle w:val="Compact"/>
              <w:jc w:val="left"/>
            </w:pPr>
            <w:r>
              <w:rPr>
                <w:b/>
                <w:color w:val="FFFFFF"/>
              </w:rPr>
              <w:t xml:space="preserve">Position</w:t>
            </w:r>
          </w:p>
        </w:tc>
      </w:tr>
      <w:tr>
        <w:tc>
          <w:tcPr/>
          <w:p>
            <w:pPr>
              <w:pStyle w:val="Compact"/>
              <w:jc w:val="left"/>
            </w:pPr>
            <w:r>
              <w:rPr>
                <w:b/>
                <w:bCs/>
              </w:rPr>
              <w:t xml:space="preserve">Automatic</w:t>
            </w:r>
          </w:p>
        </w:tc>
        <w:tc>
          <w:tcPr/>
          <w:p>
            <w:pPr>
              <w:pStyle w:val="Compact"/>
              <w:jc w:val="left"/>
            </w:pPr>
            <w:r>
              <w:t xml:space="preserve">A</w:t>
            </w:r>
            <w:r>
              <w:t xml:space="preserve"> </w:t>
            </w:r>
            <w:r>
              <w:rPr>
                <w:b/>
                <w:bCs/>
              </w:rPr>
              <w:t xml:space="preserve">service connection policy</w:t>
            </w:r>
            <w:r>
              <w:t xml:space="preserve"> </w:t>
            </w:r>
            <w:r>
              <w:t xml:space="preserve">names a subnet; Google allocates the address and creates the forwarding rule on every index deployment</w:t>
            </w:r>
          </w:p>
        </w:tc>
        <w:tc>
          <w:tcPr/>
          <w:p>
            <w:pPr>
              <w:pStyle w:val="Compact"/>
              <w:jc w:val="left"/>
            </w:pPr>
            <w:r>
              <w:rPr>
                <w:b/>
                <w:bCs/>
              </w:rPr>
              <w:t xml:space="preserve">This design, in both environments.</w:t>
            </w:r>
            <w:r>
              <w:t xml:space="preserve"> </w:t>
            </w:r>
            <w:r>
              <w:t xml:space="preserve">No manual work per deployment, no address to track</w:t>
            </w:r>
          </w:p>
        </w:tc>
      </w:tr>
      <w:tr>
        <w:tc>
          <w:tcPr/>
          <w:p>
            <w:pPr>
              <w:pStyle w:val="Compact"/>
              <w:jc w:val="left"/>
            </w:pPr>
            <w:r>
              <w:t xml:space="preserve">Manual</w:t>
            </w:r>
          </w:p>
        </w:tc>
        <w:tc>
          <w:tcPr/>
          <w:p>
            <w:pPr>
              <w:pStyle w:val="Compact"/>
              <w:jc w:val="left"/>
            </w:pPr>
            <w:r>
              <w:t xml:space="preserve">The address and forwarding rule are created by hand, per deployed index</w:t>
            </w:r>
          </w:p>
        </w:tc>
        <w:tc>
          <w:tcPr/>
          <w:p>
            <w:pPr>
              <w:pStyle w:val="Compact"/>
              <w:jc w:val="left"/>
            </w:pPr>
            <w:r>
              <w:t xml:space="preserve">Correct only when several addresses are needed for one service attachment. Retained as a fallback only</w:t>
            </w:r>
          </w:p>
        </w:tc>
      </w:tr>
    </w:tbl>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Service connection policy field</w:t>
            </w:r>
          </w:p>
        </w:tc>
        <w:tc>
          <w:tcPr>
            <w:shd w:val="clear" w:color="auto" w:fill="1F3864"/>
          </w:tcPr>
          <w:p>
            <w:pPr>
              <w:pStyle w:val="Compact"/>
              <w:jc w:val="left"/>
            </w:pPr>
            <w:r>
              <w:rPr>
                <w:b/>
                <w:color w:val="FFFFFF"/>
              </w:rPr>
              <w:t xml:space="preserve">Dev</w:t>
            </w:r>
          </w:p>
        </w:tc>
        <w:tc>
          <w:tcPr>
            <w:shd w:val="clear" w:color="auto" w:fill="1F3864"/>
          </w:tcPr>
          <w:p>
            <w:pPr>
              <w:pStyle w:val="Compact"/>
              <w:jc w:val="left"/>
            </w:pPr>
            <w:r>
              <w:rPr>
                <w:b/>
                <w:color w:val="FFFFFF"/>
              </w:rPr>
              <w:t xml:space="preserve">Sandbox</w:t>
            </w:r>
          </w:p>
        </w:tc>
      </w:tr>
      <w:tr>
        <w:tc>
          <w:tcPr/>
          <w:p>
            <w:pPr>
              <w:pStyle w:val="Compact"/>
              <w:jc w:val="left"/>
            </w:pPr>
            <w:r>
              <w:t xml:space="preserve">Network</w:t>
            </w:r>
          </w:p>
        </w:tc>
        <w:tc>
          <w:tcPr/>
          <w:p>
            <w:pPr>
              <w:pStyle w:val="Compact"/>
              <w:jc w:val="left"/>
            </w:pPr>
            <w:r>
              <w:rPr>
                <w:rStyle w:val="VerbatimChar"/>
              </w:rPr>
              <w:t xml:space="preserve">gclt-aicoe-dev-vpc</w:t>
            </w:r>
          </w:p>
        </w:tc>
        <w:tc>
          <w:tcPr/>
          <w:p>
            <w:pPr>
              <w:pStyle w:val="Compact"/>
              <w:jc w:val="left"/>
            </w:pPr>
            <w:r>
              <w:rPr>
                <w:rStyle w:val="VerbatimChar"/>
              </w:rPr>
              <w:t xml:space="preserve">aicoesandox-vpc</w:t>
            </w:r>
          </w:p>
        </w:tc>
      </w:tr>
      <w:tr>
        <w:tc>
          <w:tcPr/>
          <w:p>
            <w:pPr>
              <w:pStyle w:val="Compact"/>
              <w:jc w:val="left"/>
            </w:pPr>
            <w:r>
              <w:t xml:space="preserve">Region</w:t>
            </w:r>
          </w:p>
        </w:tc>
        <w:tc>
          <w:tcPr/>
          <w:p>
            <w:pPr>
              <w:pStyle w:val="Compact"/>
              <w:jc w:val="left"/>
            </w:pPr>
            <w:r>
              <w:rPr>
                <w:rStyle w:val="VerbatimChar"/>
              </w:rPr>
              <w:t xml:space="preserve">europe-west1</w:t>
            </w:r>
          </w:p>
        </w:tc>
        <w:tc>
          <w:tcPr/>
          <w:p>
            <w:pPr>
              <w:pStyle w:val="Compact"/>
              <w:jc w:val="left"/>
            </w:pPr>
            <w:r>
              <w:rPr>
                <w:rStyle w:val="VerbatimChar"/>
              </w:rPr>
              <w:t xml:space="preserve">europe-west1</w:t>
            </w:r>
          </w:p>
        </w:tc>
      </w:tr>
      <w:tr>
        <w:tc>
          <w:tcPr/>
          <w:p>
            <w:pPr>
              <w:pStyle w:val="Compact"/>
              <w:jc w:val="left"/>
            </w:pPr>
            <w:r>
              <w:t xml:space="preserve">Service class</w:t>
            </w:r>
          </w:p>
        </w:tc>
        <w:tc>
          <w:tcPr/>
          <w:p>
            <w:pPr>
              <w:pStyle w:val="Compact"/>
              <w:jc w:val="left"/>
            </w:pPr>
            <w:r>
              <w:t xml:space="preserve">Vertex AI / Vector Search</w:t>
            </w:r>
          </w:p>
        </w:tc>
        <w:tc>
          <w:tcPr/>
          <w:p>
            <w:pPr>
              <w:pStyle w:val="Compact"/>
              <w:jc w:val="left"/>
            </w:pPr>
            <w:r>
              <w:t xml:space="preserve">Vertex AI / Vector Search</w:t>
            </w:r>
          </w:p>
        </w:tc>
      </w:tr>
      <w:tr>
        <w:tc>
          <w:tcPr/>
          <w:p>
            <w:pPr>
              <w:pStyle w:val="Compact"/>
              <w:jc w:val="left"/>
            </w:pPr>
            <w:r>
              <w:t xml:space="preserve">Subnet</w:t>
            </w:r>
          </w:p>
        </w:tc>
        <w:tc>
          <w:tcPr/>
          <w:p>
            <w:pPr>
              <w:pStyle w:val="Compact"/>
              <w:jc w:val="left"/>
            </w:pPr>
            <w:r>
              <w:rPr>
                <w:rStyle w:val="VerbatimChar"/>
              </w:rPr>
              <w:t xml:space="preserve">gclt-aicoe-dev-internal-ew1</w:t>
            </w:r>
            <w:r>
              <w:t xml:space="preserve"> </w:t>
            </w:r>
            <w:r>
              <w:t xml:space="preserve">(</w:t>
            </w:r>
            <w:r>
              <w:rPr>
                <w:rStyle w:val="VerbatimChar"/>
              </w:rPr>
              <w:t xml:space="preserve">192.168.6.144/28</w:t>
            </w:r>
            <w:r>
              <w:t xml:space="preserve">)</w:t>
            </w:r>
          </w:p>
        </w:tc>
        <w:tc>
          <w:tcPr/>
          <w:p>
            <w:pPr>
              <w:pStyle w:val="Compact"/>
              <w:jc w:val="left"/>
            </w:pPr>
            <w:r>
              <w:rPr>
                <w:rStyle w:val="VerbatimChar"/>
              </w:rPr>
              <w:t xml:space="preserve">aicoesandox-subnet-ew1</w:t>
            </w:r>
            <w:r>
              <w:t xml:space="preserve"> </w:t>
            </w:r>
            <w:r>
              <w:t xml:space="preserve">(</w:t>
            </w:r>
            <w:r>
              <w:rPr>
                <w:rStyle w:val="VerbatimChar"/>
              </w:rPr>
              <w:t xml:space="preserve">192.168.1.0/25</w:t>
            </w:r>
            <w:r>
              <w:t xml:space="preserve">)</w:t>
            </w:r>
          </w:p>
        </w:tc>
      </w:tr>
      <w:tr>
        <w:tc>
          <w:tcPr/>
          <w:p>
            <w:pPr>
              <w:pStyle w:val="Compact"/>
              <w:jc w:val="left"/>
            </w:pPr>
            <w:r>
              <w:t xml:space="preserve">Connection limit</w:t>
            </w:r>
          </w:p>
        </w:tc>
        <w:tc>
          <w:tcPr/>
          <w:p>
            <w:pPr>
              <w:pStyle w:val="Compact"/>
              <w:jc w:val="left"/>
            </w:pPr>
            <w:r>
              <w:t xml:space="preserve">5</w:t>
            </w:r>
          </w:p>
        </w:tc>
        <w:tc>
          <w:tcPr/>
          <w:p>
            <w:pPr>
              <w:pStyle w:val="Compact"/>
              <w:jc w:val="left"/>
            </w:pPr>
            <w:r>
              <w:t xml:space="preserve">5</w:t>
            </w:r>
          </w:p>
        </w:tc>
      </w:tr>
    </w:tbl>
    <w:bookmarkEnd w:id="97"/>
    <w:bookmarkEnd w:id="98"/>
    <w:bookmarkStart w:id="101" w:name="dns"/>
    <w:p>
      <w:pPr>
        <w:pStyle w:val="Heading2"/>
      </w:pPr>
      <w:r>
        <w:t xml:space="preserve">5.8 DNS</w:t>
      </w:r>
    </w:p>
    <w:p>
      <w:pPr>
        <w:pStyle w:val="FirstParagraph"/>
      </w:pPr>
      <w:r>
        <w:t xml:space="preserve">No zone in this design exists on the public internet.</w:t>
      </w:r>
    </w:p>
    <w:bookmarkStart w:id="99" w:name="dev-and-prod-zones"/>
    <w:p>
      <w:pPr>
        <w:pStyle w:val="Heading3"/>
      </w:pPr>
      <w:r>
        <w:t xml:space="preserve">5.8.1 Dev and Prod zones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Zone name</w:t>
            </w:r>
          </w:p>
        </w:tc>
        <w:tc>
          <w:tcPr>
            <w:shd w:val="clear" w:color="auto" w:fill="1F3864"/>
          </w:tcPr>
          <w:p>
            <w:pPr>
              <w:pStyle w:val="Compact"/>
              <w:jc w:val="left"/>
            </w:pPr>
            <w:r>
              <w:rPr>
                <w:b/>
                <w:color w:val="FFFFFF"/>
              </w:rPr>
              <w:t xml:space="preserve">DNS name</w:t>
            </w:r>
          </w:p>
        </w:tc>
        <w:tc>
          <w:tcPr>
            <w:shd w:val="clear" w:color="auto" w:fill="1F3864"/>
          </w:tcPr>
          <w:p>
            <w:pPr>
              <w:pStyle w:val="Compact"/>
              <w:jc w:val="left"/>
            </w:pPr>
            <w:r>
              <w:rPr>
                <w:b/>
                <w:color w:val="FFFFFF"/>
              </w:rPr>
              <w:t xml:space="preserve">Purpose</w:t>
            </w:r>
          </w:p>
        </w:tc>
      </w:tr>
      <w:tr>
        <w:tc>
          <w:tcPr/>
          <w:p>
            <w:pPr>
              <w:pStyle w:val="Compact"/>
              <w:jc w:val="left"/>
            </w:pPr>
            <w:r>
              <w:rPr>
                <w:rStyle w:val="VerbatimChar"/>
              </w:rPr>
              <w:t xml:space="preserve">aicoe-dev-int</w:t>
            </w:r>
          </w:p>
        </w:tc>
        <w:tc>
          <w:tcPr/>
          <w:p>
            <w:pPr>
              <w:pStyle w:val="Compact"/>
              <w:jc w:val="left"/>
            </w:pPr>
            <w:r>
              <w:rPr>
                <w:rStyle w:val="VerbatimChar"/>
              </w:rPr>
              <w:t xml:space="preserve">aicoe-dev-int.colt.net</w:t>
            </w:r>
          </w:p>
        </w:tc>
        <w:tc>
          <w:tcPr/>
          <w:p>
            <w:pPr>
              <w:pStyle w:val="Compact"/>
              <w:jc w:val="left"/>
            </w:pPr>
            <w:r>
              <w:t xml:space="preserve">Platform hostnames</w:t>
            </w:r>
          </w:p>
        </w:tc>
      </w:tr>
      <w:tr>
        <w:tc>
          <w:tcPr/>
          <w:p>
            <w:pPr>
              <w:pStyle w:val="Compact"/>
              <w:jc w:val="left"/>
            </w:pPr>
            <w:r>
              <w:rPr>
                <w:rStyle w:val="VerbatimChar"/>
              </w:rPr>
              <w:t xml:space="preserve">googleapis-private</w:t>
            </w:r>
          </w:p>
        </w:tc>
        <w:tc>
          <w:tcPr/>
          <w:p>
            <w:pPr>
              <w:pStyle w:val="Compact"/>
              <w:jc w:val="left"/>
            </w:pPr>
            <w:r>
              <w:rPr>
                <w:rStyle w:val="VerbatimChar"/>
              </w:rPr>
              <w:t xml:space="preserve">googleapis.com</w:t>
            </w:r>
          </w:p>
        </w:tc>
        <w:tc>
          <w:tcPr/>
          <w:p>
            <w:pPr>
              <w:pStyle w:val="Compact"/>
              <w:jc w:val="left"/>
            </w:pPr>
            <w:r>
              <w:t xml:space="preserve">Redirects</w:t>
            </w:r>
            <w:r>
              <w:t xml:space="preserve"> </w:t>
            </w:r>
            <w:r>
              <w:rPr>
                <w:b/>
                <w:bCs/>
              </w:rPr>
              <w:t xml:space="preserve">all</w:t>
            </w:r>
            <w:r>
              <w:t xml:space="preserve"> </w:t>
            </w:r>
            <w:r>
              <w:t xml:space="preserve">Google API traffic to the PSC endpoint</w:t>
            </w:r>
          </w:p>
        </w:tc>
      </w:tr>
      <w:tr>
        <w:tc>
          <w:tcPr/>
          <w:p>
            <w:pPr>
              <w:pStyle w:val="Compact"/>
              <w:jc w:val="left"/>
            </w:pPr>
            <w:r>
              <w:rPr>
                <w:rStyle w:val="VerbatimChar"/>
              </w:rPr>
              <w:t xml:space="preserve">run-app-private</w:t>
            </w:r>
          </w:p>
        </w:tc>
        <w:tc>
          <w:tcPr/>
          <w:p>
            <w:pPr>
              <w:pStyle w:val="Compact"/>
              <w:jc w:val="left"/>
            </w:pPr>
            <w:r>
              <w:rPr>
                <w:rStyle w:val="VerbatimChar"/>
              </w:rPr>
              <w:t xml:space="preserve">run.app</w:t>
            </w:r>
          </w:p>
        </w:tc>
        <w:tc>
          <w:tcPr/>
          <w:p>
            <w:pPr>
              <w:pStyle w:val="Compact"/>
              <w:jc w:val="left"/>
            </w:pPr>
            <w:r>
              <w:t xml:space="preserve">Internal Cloud Run addresses, needed by Cloud Tasks to reach the worker</w:t>
            </w:r>
          </w:p>
        </w:tc>
      </w:tr>
    </w:tbl>
    <w:p>
      <w:pPr>
        <w:pStyle w:val="BodyText"/>
      </w:pPr>
      <w:r>
        <w:rPr>
          <w:b/>
          <w:bCs/>
        </w:rPr>
        <w:t xml:space="preserve">Platform zone records</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Name</w:t>
            </w:r>
          </w:p>
        </w:tc>
        <w:tc>
          <w:tcPr>
            <w:shd w:val="clear" w:color="auto" w:fill="1F3864"/>
          </w:tcPr>
          <w:p>
            <w:pPr>
              <w:pStyle w:val="Compact"/>
              <w:jc w:val="left"/>
            </w:pPr>
            <w:r>
              <w:rPr>
                <w:b/>
                <w:color w:val="FFFFFF"/>
              </w:rPr>
              <w:t xml:space="preserve">Type</w:t>
            </w:r>
          </w:p>
        </w:tc>
        <w:tc>
          <w:tcPr>
            <w:shd w:val="clear" w:color="auto" w:fill="1F3864"/>
          </w:tcPr>
          <w:p>
            <w:pPr>
              <w:pStyle w:val="Compact"/>
              <w:jc w:val="left"/>
            </w:pPr>
            <w:r>
              <w:rPr>
                <w:b/>
                <w:color w:val="FFFFFF"/>
              </w:rPr>
              <w:t xml:space="preserve">TTL</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Resolves to</w:t>
            </w:r>
          </w:p>
        </w:tc>
      </w:tr>
      <w:tr>
        <w:tc>
          <w:tcPr/>
          <w:p>
            <w:pPr>
              <w:pStyle w:val="Compact"/>
              <w:jc w:val="left"/>
            </w:pPr>
            <w:r>
              <w:rPr>
                <w:rStyle w:val="VerbatimChar"/>
              </w:rPr>
              <w:t xml:space="preserve">aihub</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 xml:space="preserve">10.110.73.20</w:t>
            </w:r>
          </w:p>
        </w:tc>
        <w:tc>
          <w:tcPr/>
          <w:p>
            <w:pPr>
              <w:pStyle w:val="Compact"/>
              <w:jc w:val="left"/>
            </w:pPr>
            <w:r>
              <w:t xml:space="preserve">AI Hub ILB — the front door</w:t>
            </w:r>
          </w:p>
        </w:tc>
      </w:tr>
      <w:tr>
        <w:tc>
          <w:tcPr/>
          <w:p>
            <w:pPr>
              <w:pStyle w:val="Compact"/>
              <w:jc w:val="left"/>
            </w:pPr>
            <w:r>
              <w:rPr>
                <w:rStyle w:val="VerbatimChar"/>
              </w:rPr>
              <w:t xml:space="preserve">aihub-api</w:t>
            </w:r>
          </w:p>
        </w:tc>
        <w:tc>
          <w:tcPr/>
          <w:p>
            <w:pPr>
              <w:pStyle w:val="Compact"/>
              <w:jc w:val="left"/>
            </w:pPr>
            <w:r>
              <w:t xml:space="preserve">A</w:t>
            </w:r>
          </w:p>
        </w:tc>
        <w:tc>
          <w:tcPr/>
          <w:p>
            <w:pPr>
              <w:pStyle w:val="Compact"/>
              <w:jc w:val="left"/>
            </w:pPr>
            <w:r>
              <w:t xml:space="preserve">300</w:t>
            </w:r>
          </w:p>
        </w:tc>
        <w:tc>
          <w:tcPr/>
          <w:p>
            <w:pPr>
              <w:pStyle w:val="Compact"/>
              <w:jc w:val="left"/>
            </w:pPr>
            <w:r>
              <w:rPr>
                <w:i/>
                <w:iCs/>
              </w:rPr>
              <w:t xml:space="preserve">Apigee service endpoint</w:t>
            </w:r>
            <w:r>
              <w:t xml:space="preserve"> </w:t>
            </w:r>
            <w:r>
              <w:t xml:space="preserve">(</w:t>
            </w:r>
            <w:r>
              <w:rPr>
                <w:rStyle w:val="VerbatimChar"/>
              </w:rPr>
              <w:t xml:space="preserve">192.168.6.146</w:t>
            </w:r>
            <w:r>
              <w:t xml:space="preserve">)</w:t>
            </w:r>
          </w:p>
        </w:tc>
        <w:tc>
          <w:tcPr/>
          <w:p>
            <w:pPr>
              <w:pStyle w:val="Compact"/>
              <w:jc w:val="left"/>
            </w:pPr>
            <w:r>
              <w:t xml:space="preserve">Apigee</w:t>
            </w:r>
            <w:r>
              <w:t xml:space="preserve"> </w:t>
            </w:r>
            <w:r>
              <w:rPr>
                <w:rStyle w:val="VerbatimChar"/>
              </w:rPr>
              <w:t xml:space="preserve">int</w:t>
            </w:r>
            <w:r>
              <w:t xml:space="preserve"> </w:t>
            </w:r>
            <w:r>
              <w:t xml:space="preserve">environment group</w:t>
            </w:r>
          </w:p>
        </w:tc>
      </w:tr>
      <w:tr>
        <w:tc>
          <w:tcPr/>
          <w:p>
            <w:pPr>
              <w:pStyle w:val="Compact"/>
              <w:jc w:val="left"/>
            </w:pPr>
            <w:r>
              <w:rPr>
                <w:rStyle w:val="VerbatimChar"/>
              </w:rPr>
              <w:t xml:space="preserve">llm</w:t>
            </w:r>
          </w:p>
        </w:tc>
        <w:tc>
          <w:tcPr/>
          <w:p>
            <w:pPr>
              <w:pStyle w:val="Compact"/>
              <w:jc w:val="left"/>
            </w:pPr>
            <w:r>
              <w:t xml:space="preserve">A</w:t>
            </w:r>
          </w:p>
        </w:tc>
        <w:tc>
          <w:tcPr/>
          <w:p>
            <w:pPr>
              <w:pStyle w:val="Compact"/>
              <w:jc w:val="left"/>
            </w:pPr>
            <w:r>
              <w:t xml:space="preserve">300</w:t>
            </w:r>
          </w:p>
        </w:tc>
        <w:tc>
          <w:tcPr/>
          <w:p>
            <w:pPr>
              <w:pStyle w:val="Compact"/>
              <w:jc w:val="left"/>
            </w:pPr>
            <w:r>
              <w:rPr>
                <w:i/>
                <w:iCs/>
              </w:rPr>
              <w:t xml:space="preserve">Apigee service endpoint</w:t>
            </w:r>
            <w:r>
              <w:t xml:space="preserve"> </w:t>
            </w:r>
            <w:r>
              <w:t xml:space="preserve">(</w:t>
            </w:r>
            <w:r>
              <w:rPr>
                <w:rStyle w:val="VerbatimChar"/>
              </w:rPr>
              <w:t xml:space="preserve">192.168.6.146</w:t>
            </w:r>
            <w:r>
              <w:t xml:space="preserve">)</w:t>
            </w:r>
          </w:p>
        </w:tc>
        <w:tc>
          <w:tcPr/>
          <w:p>
            <w:pPr>
              <w:pStyle w:val="Compact"/>
              <w:jc w:val="left"/>
            </w:pPr>
            <w:r>
              <w:t xml:space="preserve">Apigee</w:t>
            </w:r>
            <w:r>
              <w:t xml:space="preserve"> </w:t>
            </w:r>
            <w:r>
              <w:rPr>
                <w:rStyle w:val="VerbatimChar"/>
              </w:rPr>
              <w:t xml:space="preserve">llm</w:t>
            </w:r>
            <w:r>
              <w:t xml:space="preserve"> </w:t>
            </w:r>
            <w:r>
              <w:t xml:space="preserve">environment group</w:t>
            </w:r>
          </w:p>
        </w:tc>
      </w:tr>
      <w:tr>
        <w:tc>
          <w:tcPr/>
          <w:p>
            <w:pPr>
              <w:pStyle w:val="Compact"/>
              <w:jc w:val="left"/>
            </w:pPr>
            <w:r>
              <w:rPr>
                <w:rStyle w:val="VerbatimChar"/>
              </w:rPr>
              <w:t xml:space="preserve">backend</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 xml:space="preserve">192.168.6.145</w:t>
            </w:r>
          </w:p>
        </w:tc>
        <w:tc>
          <w:tcPr/>
          <w:p>
            <w:pPr>
              <w:pStyle w:val="Compact"/>
              <w:jc w:val="left"/>
            </w:pPr>
            <w:r>
              <w:t xml:space="preserve">Backend ILB</w:t>
            </w:r>
          </w:p>
        </w:tc>
      </w:tr>
    </w:tbl>
    <w:p>
      <w:pPr>
        <w:pStyle w:val="BodyText"/>
      </w:pPr>
      <w:r>
        <w:rPr>
          <w:rStyle w:val="VerbatimChar"/>
        </w:rPr>
        <w:t xml:space="preserve">aihub-api</w:t>
      </w:r>
      <w:r>
        <w:t xml:space="preserve"> </w:t>
      </w:r>
      <w:r>
        <w:t xml:space="preserve">and</w:t>
      </w:r>
      <w:r>
        <w:t xml:space="preserve"> </w:t>
      </w:r>
      <w:r>
        <w:rPr>
          <w:rStyle w:val="VerbatimChar"/>
        </w:rPr>
        <w:t xml:space="preserve">llm</w:t>
      </w:r>
      <w:r>
        <w:t xml:space="preserve"> </w:t>
      </w:r>
      <w:r>
        <w:t xml:space="preserve">resolve to the</w:t>
      </w:r>
      <w:r>
        <w:t xml:space="preserve"> </w:t>
      </w:r>
      <w:r>
        <w:rPr>
          <w:b/>
          <w:bCs/>
        </w:rPr>
        <w:t xml:space="preserve">same</w:t>
      </w:r>
      <w:r>
        <w:t xml:space="preserve"> </w:t>
      </w:r>
      <w:r>
        <w:t xml:space="preserve">address. Apigee selects the environment from the</w:t>
      </w:r>
      <w:r>
        <w:t xml:space="preserve"> </w:t>
      </w:r>
      <w:r>
        <w:rPr>
          <w:rStyle w:val="VerbatimChar"/>
        </w:rPr>
        <w:t xml:space="preserve">Host</w:t>
      </w:r>
      <w:r>
        <w:t xml:space="preserve"> </w:t>
      </w:r>
      <w:r>
        <w:t xml:space="preserve">header, which is why the header is functional rather than cosmetic.</w:t>
      </w:r>
    </w:p>
    <w:p>
      <w:pPr>
        <w:pStyle w:val="BodyText"/>
      </w:pPr>
      <w:r>
        <w:rPr>
          <w:b/>
          <w:bCs/>
        </w:rPr>
        <w:t xml:space="preserve">Build-time note.</w:t>
      </w:r>
      <w:r>
        <w:t xml:space="preserve"> </w:t>
      </w:r>
      <w:r>
        <w:t xml:space="preserve">These four records are not created together.</w:t>
      </w:r>
      <w:r>
        <w:t xml:space="preserve"> </w:t>
      </w:r>
      <w:r>
        <w:rPr>
          <w:rStyle w:val="VerbatimChar"/>
        </w:rPr>
        <w:t xml:space="preserve">aihub</w:t>
      </w:r>
      <w:r>
        <w:t xml:space="preserve"> </w:t>
      </w:r>
      <w:r>
        <w:t xml:space="preserve">is created with the zone itself.</w:t>
      </w:r>
      <w:r>
        <w:t xml:space="preserve"> </w:t>
      </w:r>
      <w:r>
        <w:rPr>
          <w:rStyle w:val="VerbatimChar"/>
        </w:rPr>
        <w:t xml:space="preserve">aihub-api</w:t>
      </w:r>
      <w:r>
        <w:t xml:space="preserve"> </w:t>
      </w:r>
      <w:r>
        <w:t xml:space="preserve">and</w:t>
      </w:r>
      <w:r>
        <w:t xml:space="preserve"> </w:t>
      </w:r>
      <w:r>
        <w:rPr>
          <w:rStyle w:val="VerbatimChar"/>
        </w:rPr>
        <w:t xml:space="preserve">llm</w:t>
      </w:r>
      <w:r>
        <w:t xml:space="preserve"> </w:t>
      </w:r>
      <w:r>
        <w:t xml:space="preserve">cannot be — they resolve to the Apigee service endpoint address, which does not exist until Apigee is provisioned — so both are created later, alongside the PSC forwarding rule that publishes that address. Anyone reading the zone during a partial build should expect</w:t>
      </w:r>
      <w:r>
        <w:t xml:space="preserve"> </w:t>
      </w:r>
      <w:r>
        <w:rPr>
          <w:rStyle w:val="VerbatimChar"/>
        </w:rPr>
        <w:t xml:space="preserve">aihub</w:t>
      </w:r>
      <w:r>
        <w:t xml:space="preserve"> </w:t>
      </w:r>
      <w:r>
        <w:t xml:space="preserve">to appear first.</w:t>
      </w:r>
    </w:p>
    <w:p>
      <w:pPr>
        <w:pStyle w:val="BodyText"/>
      </w:pPr>
      <w:r>
        <w:rPr>
          <w:b/>
          <w:bCs/>
        </w:rPr>
        <w:t xml:space="preserve">Google APIs zone records</w:t>
      </w:r>
    </w:p>
    <w:tbl>
      <w:tblPr>
        <w:tblStyle w:val="TableGrid"/>
        <w:tblW w:type="auto" w:w="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Name</w:t>
            </w:r>
          </w:p>
        </w:tc>
        <w:tc>
          <w:tcPr>
            <w:shd w:val="clear" w:color="auto" w:fill="1F3864"/>
          </w:tcPr>
          <w:p>
            <w:pPr>
              <w:pStyle w:val="Compact"/>
              <w:jc w:val="left"/>
            </w:pPr>
            <w:r>
              <w:rPr>
                <w:b/>
                <w:color w:val="FFFFFF"/>
              </w:rPr>
              <w:t xml:space="preserve">Type</w:t>
            </w:r>
          </w:p>
        </w:tc>
        <w:tc>
          <w:tcPr>
            <w:shd w:val="clear" w:color="auto" w:fill="1F3864"/>
          </w:tcPr>
          <w:p>
            <w:pPr>
              <w:pStyle w:val="Compact"/>
              <w:jc w:val="left"/>
            </w:pPr>
            <w:r>
              <w:rPr>
                <w:b/>
                <w:color w:val="FFFFFF"/>
              </w:rPr>
              <w:t xml:space="preserve">TTL</w:t>
            </w:r>
          </w:p>
        </w:tc>
        <w:tc>
          <w:tcPr>
            <w:shd w:val="clear" w:color="auto" w:fill="1F3864"/>
          </w:tcPr>
          <w:p>
            <w:pPr>
              <w:pStyle w:val="Compact"/>
              <w:jc w:val="left"/>
            </w:pPr>
            <w:r>
              <w:rPr>
                <w:b/>
                <w:color w:val="FFFFFF"/>
              </w:rPr>
              <w:t xml:space="preserve">Value</w:t>
            </w:r>
          </w:p>
        </w:tc>
      </w:tr>
      <w:tr>
        <w:tc>
          <w:tcPr/>
          <w:p>
            <w:pPr>
              <w:pStyle w:val="Compact"/>
              <w:jc w:val="left"/>
            </w:pPr>
            <w:r>
              <w:rPr>
                <w:rStyle w:val="VerbatimChar"/>
              </w:rPr>
              <w:t xml:space="preserve">*</w:t>
            </w:r>
            <w:r>
              <w:t xml:space="preserve"> </w:t>
            </w:r>
            <w:r>
              <w:t xml:space="preserve">(wildcard)</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 xml:space="preserve">192.168.6.164</w:t>
            </w:r>
          </w:p>
        </w:tc>
      </w:tr>
      <w:tr>
        <w:tc>
          <w:tcPr/>
          <w:p>
            <w:pPr>
              <w:pStyle w:val="Compact"/>
              <w:jc w:val="left"/>
            </w:pPr>
            <w:r>
              <w:rPr>
                <w:i/>
                <w:iCs/>
              </w:rPr>
              <w:t xml:space="preserve">(zone root)</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 xml:space="preserve">192.168.6.164</w:t>
            </w:r>
          </w:p>
        </w:tc>
      </w:tr>
    </w:tbl>
    <w:p>
      <w:pPr>
        <w:pStyle w:val="BodyText"/>
      </w:pPr>
      <w:r>
        <w:t xml:space="preserve">This zone is the reason Private Google Access is off. Together they force every Google API call through one address the platform controls.</w:t>
      </w:r>
      <w:r>
        <w:t xml:space="preserve"> </w:t>
      </w:r>
      <w:r>
        <w:rPr>
          <w:b/>
          <w:bCs/>
        </w:rPr>
        <w:t xml:space="preserve">Do not create it before the endpoint exists.</w:t>
      </w:r>
    </w:p>
    <w:p>
      <w:pPr>
        <w:pStyle w:val="BodyText"/>
      </w:pPr>
      <w:r>
        <w:t xml:space="preserve">The</w:t>
      </w:r>
      <w:r>
        <w:t xml:space="preserve"> </w:t>
      </w:r>
      <w:r>
        <w:rPr>
          <w:rStyle w:val="VerbatimChar"/>
        </w:rPr>
        <w:t xml:space="preserve">run.app</w:t>
      </w:r>
      <w:r>
        <w:t xml:space="preserve"> </w:t>
      </w:r>
      <w:r>
        <w:t xml:space="preserve">zone is created empty and populated when Cloud Tasks is configured.</w:t>
      </w:r>
    </w:p>
    <w:bookmarkEnd w:id="99"/>
    <w:bookmarkStart w:id="100" w:name="sandbox-zones"/>
    <w:p>
      <w:pPr>
        <w:pStyle w:val="Heading3"/>
      </w:pPr>
      <w:r>
        <w:t xml:space="preserve">5.8.2 Sandbox zones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Zone name</w:t>
            </w:r>
          </w:p>
        </w:tc>
        <w:tc>
          <w:tcPr>
            <w:shd w:val="clear" w:color="auto" w:fill="1F3864"/>
          </w:tcPr>
          <w:p>
            <w:pPr>
              <w:pStyle w:val="Compact"/>
              <w:jc w:val="left"/>
            </w:pPr>
            <w:r>
              <w:rPr>
                <w:b/>
                <w:color w:val="FFFFFF"/>
              </w:rPr>
              <w:t xml:space="preserve">DNS name</w:t>
            </w:r>
          </w:p>
        </w:tc>
        <w:tc>
          <w:tcPr>
            <w:shd w:val="clear" w:color="auto" w:fill="1F3864"/>
          </w:tcPr>
          <w:p>
            <w:pPr>
              <w:pStyle w:val="Compact"/>
              <w:jc w:val="left"/>
            </w:pPr>
            <w:r>
              <w:rPr>
                <w:b/>
                <w:color w:val="FFFFFF"/>
              </w:rPr>
              <w:t xml:space="preserve">Purpose</w:t>
            </w:r>
          </w:p>
        </w:tc>
      </w:tr>
      <w:tr>
        <w:tc>
          <w:tcPr/>
          <w:p>
            <w:pPr>
              <w:pStyle w:val="Compact"/>
              <w:jc w:val="left"/>
            </w:pPr>
            <w:r>
              <w:rPr>
                <w:rStyle w:val="VerbatimChar"/>
              </w:rPr>
              <w:t xml:space="preserve">aicoesandox-int</w:t>
            </w:r>
          </w:p>
        </w:tc>
        <w:tc>
          <w:tcPr/>
          <w:p>
            <w:pPr>
              <w:pStyle w:val="Compact"/>
              <w:jc w:val="left"/>
            </w:pPr>
            <w:r>
              <w:rPr>
                <w:rStyle w:val="VerbatimChar"/>
              </w:rPr>
              <w:t xml:space="preserve">aicoesandox-int.colt.net</w:t>
            </w:r>
          </w:p>
        </w:tc>
        <w:tc>
          <w:tcPr/>
          <w:p>
            <w:pPr>
              <w:pStyle w:val="Compact"/>
              <w:jc w:val="left"/>
            </w:pPr>
            <w:r>
              <w:t xml:space="preserve">Service hostnames</w:t>
            </w:r>
          </w:p>
        </w:tc>
      </w:tr>
      <w:tr>
        <w:tc>
          <w:tcPr/>
          <w:p>
            <w:pPr>
              <w:pStyle w:val="Compact"/>
              <w:jc w:val="left"/>
            </w:pPr>
            <w:r>
              <w:rPr>
                <w:rStyle w:val="VerbatimChar"/>
              </w:rPr>
              <w:t xml:space="preserve">googleapis-private</w:t>
            </w:r>
          </w:p>
        </w:tc>
        <w:tc>
          <w:tcPr/>
          <w:p>
            <w:pPr>
              <w:pStyle w:val="Compact"/>
              <w:jc w:val="left"/>
            </w:pPr>
            <w:r>
              <w:rPr>
                <w:rStyle w:val="VerbatimChar"/>
              </w:rPr>
              <w:t xml:space="preserve">googleapis.com</w:t>
            </w:r>
          </w:p>
        </w:tc>
        <w:tc>
          <w:tcPr/>
          <w:p>
            <w:pPr>
              <w:pStyle w:val="Compact"/>
              <w:jc w:val="left"/>
            </w:pPr>
            <w:r>
              <w:t xml:space="preserve">Redirects all Google API traffic to</w:t>
            </w:r>
            <w:r>
              <w:t xml:space="preserve"> </w:t>
            </w:r>
            <w:r>
              <w:rPr>
                <w:rStyle w:val="VerbatimChar"/>
              </w:rPr>
              <w:t xml:space="preserve">192.168.2.3</w:t>
            </w:r>
          </w:p>
        </w:tc>
      </w:tr>
      <w:tr>
        <w:tc>
          <w:tcPr/>
          <w:p>
            <w:pPr>
              <w:pStyle w:val="Compact"/>
              <w:jc w:val="left"/>
            </w:pPr>
            <w:r>
              <w:rPr>
                <w:rStyle w:val="VerbatimChar"/>
              </w:rPr>
              <w:t xml:space="preserve">run-app-private</w:t>
            </w:r>
          </w:p>
        </w:tc>
        <w:tc>
          <w:tcPr/>
          <w:p>
            <w:pPr>
              <w:pStyle w:val="Compact"/>
              <w:jc w:val="left"/>
            </w:pPr>
            <w:r>
              <w:rPr>
                <w:rStyle w:val="VerbatimChar"/>
              </w:rPr>
              <w:t xml:space="preserve">run.app</w:t>
            </w:r>
          </w:p>
        </w:tc>
        <w:tc>
          <w:tcPr/>
          <w:p>
            <w:pPr>
              <w:pStyle w:val="Compact"/>
              <w:jc w:val="left"/>
            </w:pPr>
            <w:r>
              <w:t xml:space="preserve">Internal Cloud Run addresses for Cloud Tasks</w:t>
            </w:r>
          </w:p>
        </w:tc>
      </w:tr>
    </w:tbl>
    <w:p>
      <w:pPr>
        <w:pStyle w:val="BodyText"/>
      </w:pPr>
      <w:r>
        <w:rPr>
          <w:b/>
          <w:bCs/>
        </w:rPr>
        <w:t xml:space="preserve">Platform zone records</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Name</w:t>
            </w:r>
          </w:p>
        </w:tc>
        <w:tc>
          <w:tcPr>
            <w:shd w:val="clear" w:color="auto" w:fill="1F3864"/>
          </w:tcPr>
          <w:p>
            <w:pPr>
              <w:pStyle w:val="Compact"/>
              <w:jc w:val="left"/>
            </w:pPr>
            <w:r>
              <w:rPr>
                <w:b/>
                <w:color w:val="FFFFFF"/>
              </w:rPr>
              <w:t xml:space="preserve">Type</w:t>
            </w:r>
          </w:p>
        </w:tc>
        <w:tc>
          <w:tcPr>
            <w:shd w:val="clear" w:color="auto" w:fill="1F3864"/>
          </w:tcPr>
          <w:p>
            <w:pPr>
              <w:pStyle w:val="Compact"/>
              <w:jc w:val="left"/>
            </w:pPr>
            <w:r>
              <w:rPr>
                <w:b/>
                <w:color w:val="FFFFFF"/>
              </w:rPr>
              <w:t xml:space="preserve">TTL</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Resolves to</w:t>
            </w:r>
          </w:p>
        </w:tc>
      </w:tr>
      <w:tr>
        <w:tc>
          <w:tcPr/>
          <w:p>
            <w:pPr>
              <w:pStyle w:val="Compact"/>
              <w:jc w:val="left"/>
            </w:pPr>
            <w:r>
              <w:rPr>
                <w:rStyle w:val="VerbatimChar"/>
              </w:rPr>
              <w:t xml:space="preserve">translation</w:t>
            </w:r>
          </w:p>
        </w:tc>
        <w:tc>
          <w:tcPr/>
          <w:p>
            <w:pPr>
              <w:pStyle w:val="Compact"/>
              <w:jc w:val="left"/>
            </w:pPr>
            <w:r>
              <w:t xml:space="preserve">A</w:t>
            </w:r>
          </w:p>
        </w:tc>
        <w:tc>
          <w:tcPr/>
          <w:p>
            <w:pPr>
              <w:pStyle w:val="Compact"/>
              <w:jc w:val="left"/>
            </w:pPr>
            <w:r>
              <w:t xml:space="preserve">300</w:t>
            </w:r>
          </w:p>
        </w:tc>
        <w:tc>
          <w:tcPr/>
          <w:p>
            <w:pPr>
              <w:pStyle w:val="Compact"/>
              <w:jc w:val="left"/>
            </w:pPr>
            <w:r>
              <w:t xml:space="preserve">Translation ILB VIP</w:t>
            </w:r>
          </w:p>
        </w:tc>
        <w:tc>
          <w:tcPr/>
          <w:p>
            <w:pPr>
              <w:pStyle w:val="Compact"/>
              <w:jc w:val="left"/>
            </w:pPr>
            <w:r>
              <w:rPr>
                <w:rStyle w:val="VerbatimChar"/>
              </w:rPr>
              <w:t xml:space="preserve">translation-api-service</w:t>
            </w:r>
            <w:r>
              <w:t xml:space="preserve"> </w:t>
            </w:r>
            <w:r>
              <w:t xml:space="preserve">behind IAP</w:t>
            </w:r>
          </w:p>
        </w:tc>
      </w:tr>
      <w:tr>
        <w:tc>
          <w:tcPr/>
          <w:p>
            <w:pPr>
              <w:pStyle w:val="Compact"/>
              <w:jc w:val="left"/>
            </w:pPr>
            <w:r>
              <w:rPr>
                <w:rStyle w:val="VerbatimChar"/>
              </w:rPr>
              <w:t xml:space="preserve">salesagent</w:t>
            </w:r>
          </w:p>
        </w:tc>
        <w:tc>
          <w:tcPr/>
          <w:p>
            <w:pPr>
              <w:pStyle w:val="Compact"/>
              <w:jc w:val="left"/>
            </w:pPr>
            <w:r>
              <w:t xml:space="preserve">A</w:t>
            </w:r>
          </w:p>
        </w:tc>
        <w:tc>
          <w:tcPr/>
          <w:p>
            <w:pPr>
              <w:pStyle w:val="Compact"/>
              <w:jc w:val="left"/>
            </w:pPr>
            <w:r>
              <w:t xml:space="preserve">300</w:t>
            </w:r>
          </w:p>
        </w:tc>
        <w:tc>
          <w:tcPr/>
          <w:p>
            <w:pPr>
              <w:pStyle w:val="Compact"/>
              <w:jc w:val="left"/>
            </w:pPr>
            <w:r>
              <w:t xml:space="preserve">Sales Agent ILB VIP</w:t>
            </w:r>
          </w:p>
        </w:tc>
        <w:tc>
          <w:tcPr/>
          <w:p>
            <w:pPr>
              <w:pStyle w:val="Compact"/>
              <w:jc w:val="left"/>
            </w:pPr>
            <w:r>
              <w:rPr>
                <w:rStyle w:val="VerbatimChar"/>
              </w:rPr>
              <w:t xml:space="preserve">sales-research-application</w:t>
            </w:r>
            <w:r>
              <w:t xml:space="preserve"> </w:t>
            </w:r>
            <w:r>
              <w:t xml:space="preserve">behind IAP</w:t>
            </w:r>
          </w:p>
        </w:tc>
      </w:tr>
    </w:tbl>
    <w:p>
      <w:pPr>
        <w:pStyle w:val="BodyText"/>
      </w:pPr>
      <w:r>
        <w:t xml:space="preserve">There is no</w:t>
      </w:r>
      <w:r>
        <w:t xml:space="preserve"> </w:t>
      </w:r>
      <w:r>
        <w:rPr>
          <w:rStyle w:val="VerbatimChar"/>
        </w:rPr>
        <w:t xml:space="preserve">aihub</w:t>
      </w:r>
      <w:r>
        <w:t xml:space="preserve">,</w:t>
      </w:r>
      <w:r>
        <w:t xml:space="preserve"> </w:t>
      </w:r>
      <w:r>
        <w:rPr>
          <w:rStyle w:val="VerbatimChar"/>
        </w:rPr>
        <w:t xml:space="preserve">aihub-api</w:t>
      </w:r>
      <w:r>
        <w:t xml:space="preserve"> </w:t>
      </w:r>
      <w:r>
        <w:t xml:space="preserve">or</w:t>
      </w:r>
      <w:r>
        <w:t xml:space="preserve"> </w:t>
      </w:r>
      <w:r>
        <w:rPr>
          <w:rStyle w:val="VerbatimChar"/>
        </w:rPr>
        <w:t xml:space="preserve">llm</w:t>
      </w:r>
      <w:r>
        <w:t xml:space="preserve"> </w:t>
      </w:r>
      <w:r>
        <w:t xml:space="preserve">record in Sandbox, because none of those components exist there.</w:t>
      </w:r>
    </w:p>
    <w:bookmarkEnd w:id="100"/>
    <w:bookmarkEnd w:id="101"/>
    <w:bookmarkStart w:id="106" w:name="load-balancers"/>
    <w:p>
      <w:pPr>
        <w:pStyle w:val="Heading2"/>
      </w:pPr>
      <w:r>
        <w:t xml:space="preserve">5.9 Load balancers</w:t>
      </w:r>
    </w:p>
    <w:bookmarkStart w:id="102" w:name="dev-ai-hub-ilb-the-front-door"/>
    <w:p>
      <w:pPr>
        <w:pStyle w:val="Heading3"/>
      </w:pPr>
      <w:r>
        <w:t xml:space="preserve">5.9.1 Dev — AI Hub ILB, the front door</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Component</w:t>
            </w:r>
          </w:p>
        </w:tc>
        <w:tc>
          <w:tcPr>
            <w:shd w:val="clear" w:color="auto" w:fill="1F3864"/>
          </w:tcPr>
          <w:p>
            <w:pPr>
              <w:pStyle w:val="Compact"/>
              <w:jc w:val="left"/>
            </w:pPr>
            <w:r>
              <w:rPr>
                <w:b/>
                <w:color w:val="FFFFFF"/>
              </w:rPr>
              <w:t xml:space="preserve">Configuration</w:t>
            </w:r>
          </w:p>
        </w:tc>
      </w:tr>
      <w:tr>
        <w:tc>
          <w:tcPr/>
          <w:p>
            <w:pPr>
              <w:pStyle w:val="Compact"/>
              <w:jc w:val="left"/>
            </w:pPr>
            <w:r>
              <w:t xml:space="preserve">Type</w:t>
            </w:r>
          </w:p>
        </w:tc>
        <w:tc>
          <w:tcPr/>
          <w:p>
            <w:pPr>
              <w:pStyle w:val="Compact"/>
              <w:jc w:val="left"/>
            </w:pPr>
            <w:r>
              <w:t xml:space="preserve">Application Load Balancer,</w:t>
            </w:r>
            <w:r>
              <w:t xml:space="preserve"> </w:t>
            </w:r>
            <w:r>
              <w:rPr>
                <w:b/>
                <w:bCs/>
              </w:rPr>
              <w:t xml:space="preserve">Internal</w:t>
            </w:r>
            <w:r>
              <w:t xml:space="preserve">, Regional,</w:t>
            </w:r>
            <w:r>
              <w:t xml:space="preserve"> </w:t>
            </w:r>
            <w:r>
              <w:rPr>
                <w:rStyle w:val="VerbatimChar"/>
              </w:rPr>
              <w:t xml:space="preserve">europe-west1</w:t>
            </w:r>
          </w:p>
        </w:tc>
      </w:tr>
      <w:tr>
        <w:tc>
          <w:tcPr/>
          <w:p>
            <w:pPr>
              <w:pStyle w:val="Compact"/>
              <w:jc w:val="left"/>
            </w:pPr>
            <w:r>
              <w:t xml:space="preserve">Network</w:t>
            </w:r>
          </w:p>
        </w:tc>
        <w:tc>
          <w:tcPr/>
          <w:p>
            <w:pPr>
              <w:pStyle w:val="Compact"/>
              <w:jc w:val="left"/>
            </w:pPr>
            <w:r>
              <w:rPr>
                <w:rStyle w:val="VerbatimChar"/>
              </w:rPr>
              <w:t xml:space="preserve">gclt-aicoe-dev-vpc</w:t>
            </w:r>
          </w:p>
        </w:tc>
      </w:tr>
      <w:tr>
        <w:tc>
          <w:tcPr/>
          <w:p>
            <w:pPr>
              <w:pStyle w:val="Compact"/>
              <w:jc w:val="left"/>
            </w:pPr>
            <w:r>
              <w:t xml:space="preserve">Frontend IP</w:t>
            </w:r>
          </w:p>
        </w:tc>
        <w:tc>
          <w:tcPr/>
          <w:p>
            <w:pPr>
              <w:pStyle w:val="Compact"/>
              <w:jc w:val="left"/>
            </w:pPr>
            <w:r>
              <w:t xml:space="preserve">Reserved</w:t>
            </w:r>
            <w:r>
              <w:t xml:space="preserve"> </w:t>
            </w:r>
            <w:r>
              <w:rPr>
                <w:rStyle w:val="VerbatimChar"/>
              </w:rPr>
              <w:t xml:space="preserve">aihub-ilb-vip</w:t>
            </w:r>
            <w:r>
              <w:t xml:space="preserve"> </w:t>
            </w:r>
            <w:r>
              <w:t xml:space="preserve">=</w:t>
            </w:r>
            <w:r>
              <w:t xml:space="preserve"> </w:t>
            </w:r>
            <w:r>
              <w:rPr>
                <w:rStyle w:val="VerbatimChar"/>
                <w:b/>
                <w:bCs/>
              </w:rPr>
              <w:t xml:space="preserve">10.110.73.20</w:t>
            </w:r>
          </w:p>
        </w:tc>
      </w:tr>
      <w:tr>
        <w:tc>
          <w:tcPr/>
          <w:p>
            <w:pPr>
              <w:pStyle w:val="Compact"/>
              <w:jc w:val="left"/>
            </w:pPr>
            <w:r>
              <w:t xml:space="preserve">Protocol / port</w:t>
            </w:r>
          </w:p>
        </w:tc>
        <w:tc>
          <w:tcPr/>
          <w:p>
            <w:pPr>
              <w:pStyle w:val="Compact"/>
              <w:jc w:val="left"/>
            </w:pPr>
            <w:r>
              <w:t xml:space="preserve">HTTPS / 443</w:t>
            </w:r>
          </w:p>
        </w:tc>
      </w:tr>
      <w:tr>
        <w:tc>
          <w:tcPr/>
          <w:p>
            <w:pPr>
              <w:pStyle w:val="Compact"/>
              <w:jc w:val="left"/>
            </w:pPr>
            <w:r>
              <w:t xml:space="preserve">Certificate</w:t>
            </w:r>
          </w:p>
        </w:tc>
        <w:tc>
          <w:tcPr/>
          <w:p>
            <w:pPr>
              <w:pStyle w:val="Compact"/>
              <w:jc w:val="left"/>
            </w:pPr>
            <w:r>
              <w:t xml:space="preserve">For</w:t>
            </w:r>
            <w:r>
              <w:t xml:space="preserve"> </w:t>
            </w:r>
            <w:r>
              <w:rPr>
                <w:rStyle w:val="VerbatimChar"/>
              </w:rPr>
              <w:t xml:space="preserve">aihub.aicoe-dev-int.colt.net</w:t>
            </w:r>
          </w:p>
        </w:tc>
      </w:tr>
      <w:tr>
        <w:tc>
          <w:tcPr/>
          <w:p>
            <w:pPr>
              <w:pStyle w:val="Compact"/>
              <w:jc w:val="left"/>
            </w:pPr>
            <w:r>
              <w:t xml:space="preserve">URL map</w:t>
            </w:r>
          </w:p>
        </w:tc>
        <w:tc>
          <w:tcPr/>
          <w:p>
            <w:pPr>
              <w:pStyle w:val="Compact"/>
              <w:jc w:val="left"/>
            </w:pPr>
            <w:r>
              <w:rPr>
                <w:b/>
                <w:bCs/>
              </w:rPr>
              <w:t xml:space="preserve">One rule.</w:t>
            </w:r>
            <w:r>
              <w:t xml:space="preserve"> </w:t>
            </w:r>
            <w:r>
              <w:t xml:space="preserve">Everything →</w:t>
            </w:r>
            <w:r>
              <w:t xml:space="preserve"> </w:t>
            </w:r>
            <w:r>
              <w:rPr>
                <w:rStyle w:val="VerbatimChar"/>
              </w:rPr>
              <w:t xml:space="preserve">bs-aihub-bff</w:t>
            </w:r>
            <w:r>
              <w:t xml:space="preserve"> </w:t>
            </w:r>
            <w:r>
              <w:t xml:space="preserve">in</w:t>
            </w:r>
            <w:r>
              <w:t xml:space="preserve"> </w:t>
            </w:r>
            <w:r>
              <w:rPr>
                <w:rStyle w:val="VerbatimChar"/>
              </w:rPr>
              <w:t xml:space="preserve">gclt-aicoe-dev-aihub-ui</w:t>
            </w:r>
          </w:p>
        </w:tc>
      </w:tr>
      <w:tr>
        <w:tc>
          <w:tcPr/>
          <w:p>
            <w:pPr>
              <w:pStyle w:val="Compact"/>
              <w:jc w:val="left"/>
            </w:pPr>
            <w:r>
              <w:t xml:space="preserve">Cloud Armor</w:t>
            </w:r>
          </w:p>
        </w:tc>
        <w:tc>
          <w:tcPr/>
          <w:p>
            <w:pPr>
              <w:pStyle w:val="Compact"/>
              <w:jc w:val="left"/>
            </w:pPr>
            <w:r>
              <w:t xml:space="preserve">Attach a security policy. Confirmed supported on the backend service of a regional internal Application Load Balancer, per Google Cloud’s Cloud Armor and L7-internal documentation</w:t>
            </w:r>
          </w:p>
        </w:tc>
      </w:tr>
      <w:tr>
        <w:tc>
          <w:tcPr/>
          <w:p>
            <w:pPr>
              <w:pStyle w:val="Compact"/>
              <w:jc w:val="left"/>
            </w:pPr>
            <w:r>
              <w:t xml:space="preserve">Access logs</w:t>
            </w:r>
          </w:p>
        </w:tc>
        <w:tc>
          <w:tcPr/>
          <w:p>
            <w:pPr>
              <w:pStyle w:val="Compact"/>
              <w:jc w:val="left"/>
            </w:pPr>
            <w:r>
              <w:t xml:space="preserve">Enabled per backend service</w:t>
            </w:r>
          </w:p>
        </w:tc>
      </w:tr>
    </w:tbl>
    <w:p>
      <w:pPr>
        <w:pStyle w:val="BodyText"/>
      </w:pPr>
      <w:r>
        <w:rPr>
          <w:b/>
          <w:bCs/>
        </w:rPr>
        <w:t xml:space="preserve">There is only one routing rule</w:t>
      </w:r>
      <w:r>
        <w:t xml:space="preserve">, and that is deliberate. The Backend-for-Frontend serves the static assets, the</w:t>
      </w:r>
      <w:r>
        <w:t xml:space="preserve"> </w:t>
      </w:r>
      <w:r>
        <w:rPr>
          <w:rStyle w:val="VerbatimChar"/>
        </w:rPr>
        <w:t xml:space="preserve">/auth/*</w:t>
      </w:r>
      <w:r>
        <w:t xml:space="preserve"> </w:t>
      </w:r>
      <w:r>
        <w:t xml:space="preserve">endpoints and the</w:t>
      </w:r>
      <w:r>
        <w:t xml:space="preserve"> </w:t>
      </w:r>
      <w:r>
        <w:rPr>
          <w:rStyle w:val="VerbatimChar"/>
        </w:rPr>
        <w:t xml:space="preserve">/api/*</w:t>
      </w:r>
      <w:r>
        <w:t xml:space="preserve"> </w:t>
      </w:r>
      <w:r>
        <w:t xml:space="preserve">endpoints from a single origin, which is what lets the session cookie work with no cross-origin configuration at all.</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Backend service field</w:t>
            </w:r>
          </w:p>
        </w:tc>
        <w:tc>
          <w:tcPr>
            <w:shd w:val="clear" w:color="auto" w:fill="1F3864"/>
          </w:tcPr>
          <w:p>
            <w:pPr>
              <w:pStyle w:val="Compact"/>
              <w:jc w:val="left"/>
            </w:pPr>
            <w:r>
              <w:rPr>
                <w:b/>
                <w:color w:val="FFFFFF"/>
              </w:rPr>
              <w:t xml:space="preserve">Value</w:t>
            </w:r>
          </w:p>
        </w:tc>
      </w:tr>
      <w:tr>
        <w:tc>
          <w:tcPr/>
          <w:p>
            <w:pPr>
              <w:pStyle w:val="Compact"/>
              <w:jc w:val="left"/>
            </w:pPr>
            <w:r>
              <w:t xml:space="preserve">Name</w:t>
            </w:r>
          </w:p>
        </w:tc>
        <w:tc>
          <w:tcPr/>
          <w:p>
            <w:pPr>
              <w:pStyle w:val="Compact"/>
              <w:jc w:val="left"/>
            </w:pPr>
            <w:r>
              <w:rPr>
                <w:rStyle w:val="VerbatimChar"/>
              </w:rPr>
              <w:t xml:space="preserve">bs-aihub-bff</w:t>
            </w:r>
            <w:r>
              <w:t xml:space="preserve">, in</w:t>
            </w:r>
            <w:r>
              <w:t xml:space="preserve"> </w:t>
            </w:r>
            <w:r>
              <w:rPr>
                <w:rStyle w:val="VerbatimChar"/>
              </w:rPr>
              <w:t xml:space="preserve">gclt-aicoe-dev-aihub-ui</w:t>
            </w:r>
          </w:p>
        </w:tc>
      </w:tr>
      <w:tr>
        <w:tc>
          <w:tcPr/>
          <w:p>
            <w:pPr>
              <w:pStyle w:val="Compact"/>
              <w:jc w:val="left"/>
            </w:pPr>
            <w:r>
              <w:t xml:space="preserve">Backend type</w:t>
            </w:r>
          </w:p>
        </w:tc>
        <w:tc>
          <w:tcPr/>
          <w:p>
            <w:pPr>
              <w:pStyle w:val="Compact"/>
              <w:jc w:val="left"/>
            </w:pPr>
            <w:r>
              <w:t xml:space="preserve">Serverless network endpoint group</w:t>
            </w:r>
            <w:r>
              <w:t xml:space="preserve"> </w:t>
            </w:r>
            <w:r>
              <w:rPr>
                <w:rStyle w:val="VerbatimChar"/>
              </w:rPr>
              <w:t xml:space="preserve">neg-aihub-bff</w:t>
            </w:r>
            <w:r>
              <w:t xml:space="preserve"> </w:t>
            </w:r>
            <w:r>
              <w:t xml:space="preserve">→ the Backend-for-Frontend Cloud Run service</w:t>
            </w:r>
          </w:p>
        </w:tc>
      </w:tr>
      <w:tr>
        <w:tc>
          <w:tcPr/>
          <w:p>
            <w:pPr>
              <w:pStyle w:val="Compact"/>
              <w:jc w:val="left"/>
            </w:pPr>
            <w:r>
              <w:t xml:space="preserve">Protocol</w:t>
            </w:r>
          </w:p>
        </w:tc>
        <w:tc>
          <w:tcPr/>
          <w:p>
            <w:pPr>
              <w:pStyle w:val="Compact"/>
              <w:jc w:val="left"/>
            </w:pPr>
            <w:r>
              <w:t xml:space="preserve">HTTPS</w:t>
            </w:r>
          </w:p>
        </w:tc>
      </w:tr>
      <w:tr>
        <w:tc>
          <w:tcPr/>
          <w:p>
            <w:pPr>
              <w:pStyle w:val="Compact"/>
              <w:jc w:val="left"/>
            </w:pPr>
            <w:r>
              <w:rPr>
                <w:b/>
                <w:bCs/>
              </w:rPr>
              <w:t xml:space="preserve">IAP</w:t>
            </w:r>
          </w:p>
        </w:tc>
        <w:tc>
          <w:tcPr/>
          <w:p>
            <w:pPr>
              <w:pStyle w:val="Compact"/>
              <w:jc w:val="left"/>
            </w:pPr>
            <w:r>
              <w:rPr>
                <w:b/>
                <w:bCs/>
              </w:rPr>
              <w:t xml:space="preserve">On</w:t>
            </w:r>
            <w:r>
              <w:t xml:space="preserve">, workforce pool.</w:t>
            </w:r>
            <w:r>
              <w:t xml:space="preserve"> </w:t>
            </w:r>
            <w:r>
              <w:rPr>
                <w:b/>
                <w:bCs/>
              </w:rPr>
              <w:t xml:space="preserve">The only IAP in Dev</w:t>
            </w:r>
          </w:p>
        </w:tc>
      </w:tr>
      <w:tr>
        <w:tc>
          <w:tcPr/>
          <w:p>
            <w:pPr>
              <w:pStyle w:val="Compact"/>
              <w:jc w:val="left"/>
            </w:pPr>
            <w:r>
              <w:t xml:space="preserve">Cloud CDN</w:t>
            </w:r>
          </w:p>
        </w:tc>
        <w:tc>
          <w:tcPr/>
          <w:p>
            <w:pPr>
              <w:pStyle w:val="Compact"/>
              <w:jc w:val="left"/>
            </w:pPr>
            <w:r>
              <w:t xml:space="preserve">Off</w:t>
            </w:r>
          </w:p>
        </w:tc>
      </w:tr>
    </w:tbl>
    <w:p>
      <w:pPr>
        <w:pStyle w:val="BodyText"/>
      </w:pPr>
      <w:r>
        <w:rPr>
          <w:b/>
          <w:bCs/>
        </w:rPr>
        <w:t xml:space="preserve">The rule that shapes every load balancer here:</w:t>
      </w:r>
      <w:r>
        <w:t xml:space="preserve"> </w:t>
      </w:r>
      <w:r>
        <w:t xml:space="preserve">a</w:t>
      </w:r>
      <w:r>
        <w:t xml:space="preserve"> </w:t>
      </w:r>
      <w:r>
        <w:rPr>
          <w:b/>
          <w:bCs/>
        </w:rPr>
        <w:t xml:space="preserve">serverless NEG must live in the same project as the Cloud Run service it points at</w:t>
      </w:r>
      <w:r>
        <w:t xml:space="preserve">. So backend services are created in the workload projects and the frontends in</w:t>
      </w:r>
      <w:r>
        <w:t xml:space="preserve"> </w:t>
      </w:r>
      <w:r>
        <w:rPr>
          <w:rStyle w:val="VerbatimChar"/>
        </w:rPr>
        <w:t xml:space="preserve">gclt-aicoe-dev-ingress</w:t>
      </w:r>
      <w:r>
        <w:t xml:space="preserve"> </w:t>
      </w:r>
      <w:r>
        <w:t xml:space="preserve">reference them across the boundary — cross-project service referencing. The principal building the frontend needs</w:t>
      </w:r>
      <w:r>
        <w:t xml:space="preserve"> </w:t>
      </w:r>
      <w:r>
        <w:rPr>
          <w:b/>
          <w:bCs/>
        </w:rPr>
        <w:t xml:space="preserve">Compute Load Balancer Services User</w:t>
      </w:r>
      <w:r>
        <w:t xml:space="preserve"> </w:t>
      </w:r>
      <w:r>
        <w:t xml:space="preserve">on each backend service in the other project, granted on the backend service itself.</w:t>
      </w:r>
    </w:p>
    <w:bookmarkEnd w:id="102"/>
    <w:bookmarkStart w:id="103" w:name="dev-backend-ilb-machine-only-transport"/>
    <w:p>
      <w:pPr>
        <w:pStyle w:val="Heading3"/>
      </w:pPr>
      <w:r>
        <w:t xml:space="preserve">5.9.2 Dev — Backend ILB, machine-only transport</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Component</w:t>
            </w:r>
          </w:p>
        </w:tc>
        <w:tc>
          <w:tcPr>
            <w:shd w:val="clear" w:color="auto" w:fill="1F3864"/>
          </w:tcPr>
          <w:p>
            <w:pPr>
              <w:pStyle w:val="Compact"/>
              <w:jc w:val="left"/>
            </w:pPr>
            <w:r>
              <w:rPr>
                <w:b/>
                <w:color w:val="FFFFFF"/>
              </w:rPr>
              <w:t xml:space="preserve">Configuration</w:t>
            </w:r>
          </w:p>
        </w:tc>
      </w:tr>
      <w:tr>
        <w:tc>
          <w:tcPr/>
          <w:p>
            <w:pPr>
              <w:pStyle w:val="Compact"/>
              <w:jc w:val="left"/>
            </w:pPr>
            <w:r>
              <w:t xml:space="preserve">Type</w:t>
            </w:r>
          </w:p>
        </w:tc>
        <w:tc>
          <w:tcPr/>
          <w:p>
            <w:pPr>
              <w:pStyle w:val="Compact"/>
              <w:jc w:val="left"/>
            </w:pPr>
            <w:r>
              <w:t xml:space="preserve">Application Load Balancer,</w:t>
            </w:r>
            <w:r>
              <w:t xml:space="preserve"> </w:t>
            </w:r>
            <w:r>
              <w:rPr>
                <w:b/>
                <w:bCs/>
              </w:rPr>
              <w:t xml:space="preserve">Internal</w:t>
            </w:r>
            <w:r>
              <w:t xml:space="preserve">, Regional,</w:t>
            </w:r>
            <w:r>
              <w:t xml:space="preserve"> </w:t>
            </w:r>
            <w:r>
              <w:rPr>
                <w:rStyle w:val="VerbatimChar"/>
              </w:rPr>
              <w:t xml:space="preserve">europe-west1</w:t>
            </w:r>
          </w:p>
        </w:tc>
      </w:tr>
      <w:tr>
        <w:tc>
          <w:tcPr/>
          <w:p>
            <w:pPr>
              <w:pStyle w:val="Compact"/>
              <w:jc w:val="left"/>
            </w:pPr>
            <w:r>
              <w:t xml:space="preserve">Frontend IP</w:t>
            </w:r>
          </w:p>
        </w:tc>
        <w:tc>
          <w:tcPr/>
          <w:p>
            <w:pPr>
              <w:pStyle w:val="Compact"/>
              <w:jc w:val="left"/>
            </w:pPr>
            <w:r>
              <w:t xml:space="preserve">Reserved</w:t>
            </w:r>
            <w:r>
              <w:t xml:space="preserve"> </w:t>
            </w:r>
            <w:r>
              <w:rPr>
                <w:rStyle w:val="VerbatimChar"/>
              </w:rPr>
              <w:t xml:space="preserve">backend-ilb-vip</w:t>
            </w:r>
            <w:r>
              <w:t xml:space="preserve"> </w:t>
            </w:r>
            <w:r>
              <w:t xml:space="preserve">=</w:t>
            </w:r>
            <w:r>
              <w:t xml:space="preserve"> </w:t>
            </w:r>
            <w:r>
              <w:rPr>
                <w:rStyle w:val="VerbatimChar"/>
                <w:b/>
                <w:bCs/>
              </w:rPr>
              <w:t xml:space="preserve">192.168.6.145</w:t>
            </w:r>
          </w:p>
        </w:tc>
      </w:tr>
      <w:tr>
        <w:tc>
          <w:tcPr/>
          <w:p>
            <w:pPr>
              <w:pStyle w:val="Compact"/>
              <w:jc w:val="left"/>
            </w:pPr>
            <w:r>
              <w:t xml:space="preserve">Protocol / port</w:t>
            </w:r>
          </w:p>
        </w:tc>
        <w:tc>
          <w:tcPr/>
          <w:p>
            <w:pPr>
              <w:pStyle w:val="Compact"/>
              <w:jc w:val="left"/>
            </w:pPr>
            <w:r>
              <w:t xml:space="preserve">HTTPS / 443</w:t>
            </w:r>
          </w:p>
        </w:tc>
      </w:tr>
      <w:tr>
        <w:tc>
          <w:tcPr/>
          <w:p>
            <w:pPr>
              <w:pStyle w:val="Compact"/>
              <w:jc w:val="left"/>
            </w:pPr>
            <w:r>
              <w:t xml:space="preserve">Certificate</w:t>
            </w:r>
          </w:p>
        </w:tc>
        <w:tc>
          <w:tcPr/>
          <w:p>
            <w:pPr>
              <w:pStyle w:val="Compact"/>
              <w:jc w:val="left"/>
            </w:pPr>
            <w:r>
              <w:t xml:space="preserve">For</w:t>
            </w:r>
            <w:r>
              <w:t xml:space="preserve"> </w:t>
            </w:r>
            <w:r>
              <w:rPr>
                <w:rStyle w:val="VerbatimChar"/>
              </w:rPr>
              <w:t xml:space="preserve">backend.aicoe-dev-int.colt.net</w:t>
            </w:r>
          </w:p>
        </w:tc>
      </w:tr>
      <w:tr>
        <w:tc>
          <w:tcPr/>
          <w:p>
            <w:pPr>
              <w:pStyle w:val="Compact"/>
              <w:jc w:val="left"/>
            </w:pPr>
            <w:r>
              <w:rPr>
                <w:b/>
                <w:bCs/>
              </w:rPr>
              <w:t xml:space="preserve">IAP</w:t>
            </w:r>
          </w:p>
        </w:tc>
        <w:tc>
          <w:tcPr/>
          <w:p>
            <w:pPr>
              <w:pStyle w:val="Compact"/>
              <w:jc w:val="left"/>
            </w:pPr>
            <w:r>
              <w:rPr>
                <w:b/>
                <w:bCs/>
              </w:rPr>
              <w:t xml:space="preserve">Off</w:t>
            </w:r>
            <w:r>
              <w:t xml:space="preserve"> </w:t>
            </w:r>
            <w:r>
              <w:t xml:space="preserve">— on the load balancer and on every one of its backend services</w:t>
            </w:r>
          </w:p>
        </w:tc>
      </w:tr>
      <w:tr>
        <w:tc>
          <w:tcPr/>
          <w:p>
            <w:pPr>
              <w:pStyle w:val="Compact"/>
              <w:jc w:val="left"/>
            </w:pPr>
            <w:r>
              <w:t xml:space="preserve">Cloud Armor</w:t>
            </w:r>
          </w:p>
        </w:tc>
        <w:tc>
          <w:tcPr/>
          <w:p>
            <w:pPr>
              <w:pStyle w:val="Compact"/>
              <w:jc w:val="left"/>
            </w:pPr>
            <w:r>
              <w:t xml:space="preserve">Not applicable. Nothing user-facing reaches this</w:t>
            </w:r>
          </w:p>
        </w:tc>
      </w:tr>
      <w:tr>
        <w:tc>
          <w:tcPr/>
          <w:p>
            <w:pPr>
              <w:pStyle w:val="Compact"/>
              <w:jc w:val="left"/>
            </w:pPr>
            <w:r>
              <w:t xml:space="preserve">Published as</w:t>
            </w:r>
          </w:p>
        </w:tc>
        <w:tc>
          <w:tcPr/>
          <w:p>
            <w:pPr>
              <w:pStyle w:val="Compact"/>
              <w:jc w:val="left"/>
            </w:pPr>
            <w:r>
              <w:t xml:space="preserve">PSC service attachment</w:t>
            </w:r>
            <w:r>
              <w:t xml:space="preserve"> </w:t>
            </w:r>
            <w:r>
              <w:rPr>
                <w:rStyle w:val="VerbatimChar"/>
              </w:rPr>
              <w:t xml:space="preserve">sa-backends</w:t>
            </w:r>
          </w:p>
        </w:tc>
      </w:tr>
    </w:tbl>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Path</w:t>
            </w:r>
          </w:p>
        </w:tc>
        <w:tc>
          <w:tcPr>
            <w:shd w:val="clear" w:color="auto" w:fill="1F3864"/>
          </w:tcPr>
          <w:p>
            <w:pPr>
              <w:pStyle w:val="Compact"/>
              <w:jc w:val="left"/>
            </w:pPr>
            <w:r>
              <w:rPr>
                <w:b/>
                <w:color w:val="FFFFFF"/>
              </w:rPr>
              <w:t xml:space="preserve">Backend service</w:t>
            </w:r>
          </w:p>
        </w:tc>
        <w:tc>
          <w:tcPr>
            <w:shd w:val="clear" w:color="auto" w:fill="1F3864"/>
          </w:tcPr>
          <w:p>
            <w:pPr>
              <w:pStyle w:val="Compact"/>
              <w:jc w:val="left"/>
            </w:pPr>
            <w:r>
              <w:rPr>
                <w:b/>
                <w:color w:val="FFFFFF"/>
              </w:rPr>
              <w:t xml:space="preserve">Project</w:t>
            </w:r>
          </w:p>
        </w:tc>
        <w:tc>
          <w:tcPr>
            <w:shd w:val="clear" w:color="auto" w:fill="1F3864"/>
          </w:tcPr>
          <w:p>
            <w:pPr>
              <w:pStyle w:val="Compact"/>
              <w:jc w:val="left"/>
            </w:pPr>
            <w:r>
              <w:rPr>
                <w:b/>
                <w:color w:val="FFFFFF"/>
              </w:rPr>
              <w:t xml:space="preserve">Cloud Run service</w:t>
            </w:r>
          </w:p>
        </w:tc>
      </w:tr>
      <w:tr>
        <w:tc>
          <w:tcPr/>
          <w:p>
            <w:pPr>
              <w:pStyle w:val="Compact"/>
              <w:jc w:val="left"/>
            </w:pPr>
            <w:r>
              <w:rPr>
                <w:rStyle w:val="VerbatimChar"/>
              </w:rPr>
              <w:t xml:space="preserve">/translation/*</w:t>
            </w:r>
          </w:p>
        </w:tc>
        <w:tc>
          <w:tcPr/>
          <w:p>
            <w:pPr>
              <w:pStyle w:val="Compact"/>
              <w:jc w:val="left"/>
            </w:pPr>
            <w:r>
              <w:rPr>
                <w:rStyle w:val="VerbatimChar"/>
              </w:rPr>
              <w:t xml:space="preserve">bs-translation</w:t>
            </w:r>
          </w:p>
        </w:tc>
        <w:tc>
          <w:tcPr/>
          <w:p>
            <w:pPr>
              <w:pStyle w:val="Compact"/>
              <w:jc w:val="left"/>
            </w:pPr>
            <w:r>
              <w:rPr>
                <w:rStyle w:val="VerbatimChar"/>
              </w:rPr>
              <w:t xml:space="preserve">gclt-aicoe-dev-st</w:t>
            </w:r>
          </w:p>
        </w:tc>
        <w:tc>
          <w:tcPr/>
          <w:p>
            <w:pPr>
              <w:pStyle w:val="Compact"/>
              <w:jc w:val="left"/>
            </w:pPr>
            <w:r>
              <w:rPr>
                <w:rStyle w:val="VerbatimChar"/>
              </w:rPr>
              <w:t xml:space="preserve">translation-api-service</w:t>
            </w:r>
          </w:p>
        </w:tc>
      </w:tr>
      <w:tr>
        <w:tc>
          <w:tcPr/>
          <w:p>
            <w:pPr>
              <w:pStyle w:val="Compact"/>
              <w:jc w:val="left"/>
            </w:pPr>
            <w:r>
              <w:rPr>
                <w:rStyle w:val="VerbatimChar"/>
              </w:rPr>
              <w:t xml:space="preserve">/sales/*</w:t>
            </w:r>
          </w:p>
        </w:tc>
        <w:tc>
          <w:tcPr/>
          <w:p>
            <w:pPr>
              <w:pStyle w:val="Compact"/>
              <w:jc w:val="left"/>
            </w:pPr>
            <w:r>
              <w:rPr>
                <w:rStyle w:val="VerbatimChar"/>
              </w:rPr>
              <w:t xml:space="preserve">bs-sales</w:t>
            </w:r>
          </w:p>
        </w:tc>
        <w:tc>
          <w:tcPr/>
          <w:p>
            <w:pPr>
              <w:pStyle w:val="Compact"/>
              <w:jc w:val="left"/>
            </w:pPr>
            <w:r>
              <w:rPr>
                <w:rStyle w:val="VerbatimChar"/>
              </w:rPr>
              <w:t xml:space="preserve">gclt-aicoe-dev-st</w:t>
            </w:r>
          </w:p>
        </w:tc>
        <w:tc>
          <w:tcPr/>
          <w:p>
            <w:pPr>
              <w:pStyle w:val="Compact"/>
              <w:jc w:val="left"/>
            </w:pPr>
            <w:r>
              <w:rPr>
                <w:rStyle w:val="VerbatimChar"/>
              </w:rPr>
              <w:t xml:space="preserve">sales-research-application</w:t>
            </w:r>
          </w:p>
        </w:tc>
      </w:tr>
      <w:tr>
        <w:tc>
          <w:tcPr/>
          <w:p>
            <w:pPr>
              <w:pStyle w:val="Compact"/>
              <w:jc w:val="left"/>
            </w:pPr>
            <w:r>
              <w:rPr>
                <w:rStyle w:val="VerbatimChar"/>
              </w:rPr>
              <w:t xml:space="preserve">/mcp/*</w:t>
            </w:r>
          </w:p>
        </w:tc>
        <w:tc>
          <w:tcPr/>
          <w:p>
            <w:pPr>
              <w:pStyle w:val="Compact"/>
              <w:jc w:val="left"/>
            </w:pPr>
            <w:r>
              <w:rPr>
                <w:rStyle w:val="VerbatimChar"/>
              </w:rPr>
              <w:t xml:space="preserve">bs-mcp</w:t>
            </w:r>
          </w:p>
        </w:tc>
        <w:tc>
          <w:tcPr/>
          <w:p>
            <w:pPr>
              <w:pStyle w:val="Compact"/>
              <w:jc w:val="left"/>
            </w:pPr>
            <w:r>
              <w:rPr>
                <w:rStyle w:val="VerbatimChar"/>
              </w:rPr>
              <w:t xml:space="preserve">gclt-aicoe-dev-st</w:t>
            </w:r>
          </w:p>
        </w:tc>
        <w:tc>
          <w:tcPr/>
          <w:p>
            <w:pPr>
              <w:pStyle w:val="Compact"/>
              <w:jc w:val="left"/>
            </w:pPr>
            <w:r>
              <w:rPr>
                <w:rStyle w:val="VerbatimChar"/>
              </w:rPr>
              <w:t xml:space="preserve">mcp-server</w:t>
            </w:r>
            <w:r>
              <w:t xml:space="preserve">, when it exists</w:t>
            </w:r>
          </w:p>
        </w:tc>
      </w:tr>
    </w:tbl>
    <w:p>
      <w:pPr>
        <w:pStyle w:val="BodyText"/>
      </w:pPr>
      <w:r>
        <w:rPr>
          <w:b/>
          <w:bCs/>
        </w:rPr>
        <w:t xml:space="preserve">This load balancer is pure transport.</w:t>
      </w:r>
      <w:r>
        <w:t xml:space="preserve"> </w:t>
      </w:r>
      <w:r>
        <w:t xml:space="preserve">It exists for exactly one reason: Apigee runs in a Google-managed tenant outside the VPC and cannot otherwise reach a Cloud Run service with internal-only ingress. Authentication on this hop is Cloud Run IAM.</w:t>
      </w:r>
    </w:p>
    <w:bookmarkEnd w:id="103"/>
    <w:bookmarkStart w:id="104" w:name="sandbox-load-balancers"/>
    <w:p>
      <w:pPr>
        <w:pStyle w:val="Heading3"/>
      </w:pPr>
      <w:r>
        <w:t xml:space="preserve">5.9.3 Sandbox load balancers</w:t>
      </w:r>
    </w:p>
    <w:p>
      <w:pPr>
        <w:pStyle w:val="FirstParagraph"/>
      </w:pPr>
      <w:r>
        <w:t xml:space="preserve">Two internal Application Load Balancers, both drawing their Envoy fleet from</w:t>
      </w:r>
      <w:r>
        <w:t xml:space="preserve"> </w:t>
      </w:r>
      <w:r>
        <w:rPr>
          <w:rStyle w:val="VerbatimChar"/>
        </w:rPr>
        <w:t xml:space="preserve">aicoesandox-proxy-ew1</w:t>
      </w:r>
      <w:r>
        <w:t xml:space="preserve">, and both with IAP enabled on the backend service.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Component</w:t>
            </w:r>
          </w:p>
        </w:tc>
        <w:tc>
          <w:tcPr>
            <w:shd w:val="clear" w:color="auto" w:fill="1F3864"/>
          </w:tcPr>
          <w:p>
            <w:pPr>
              <w:pStyle w:val="Compact"/>
              <w:jc w:val="left"/>
            </w:pPr>
            <w:r>
              <w:rPr>
                <w:b/>
                <w:color w:val="FFFFFF"/>
              </w:rPr>
              <w:t xml:space="preserve">Translation ILB</w:t>
            </w:r>
          </w:p>
        </w:tc>
        <w:tc>
          <w:tcPr>
            <w:shd w:val="clear" w:color="auto" w:fill="1F3864"/>
          </w:tcPr>
          <w:p>
            <w:pPr>
              <w:pStyle w:val="Compact"/>
              <w:jc w:val="left"/>
            </w:pPr>
            <w:r>
              <w:rPr>
                <w:b/>
                <w:color w:val="FFFFFF"/>
              </w:rPr>
              <w:t xml:space="preserve">Sales Agent ILB</w:t>
            </w:r>
          </w:p>
        </w:tc>
      </w:tr>
      <w:tr>
        <w:tc>
          <w:tcPr/>
          <w:p>
            <w:pPr>
              <w:pStyle w:val="Compact"/>
              <w:jc w:val="left"/>
            </w:pPr>
            <w:r>
              <w:t xml:space="preserve">Type</w:t>
            </w:r>
          </w:p>
        </w:tc>
        <w:tc>
          <w:tcPr/>
          <w:p>
            <w:pPr>
              <w:pStyle w:val="Compact"/>
              <w:jc w:val="left"/>
            </w:pPr>
            <w:r>
              <w:t xml:space="preserve">Application Load Balancer, Internal, Regional,</w:t>
            </w:r>
            <w:r>
              <w:t xml:space="preserve"> </w:t>
            </w:r>
            <w:r>
              <w:rPr>
                <w:rStyle w:val="VerbatimChar"/>
              </w:rPr>
              <w:t xml:space="preserve">europe-west1</w:t>
            </w:r>
          </w:p>
        </w:tc>
        <w:tc>
          <w:tcPr/>
          <w:p>
            <w:pPr>
              <w:pStyle w:val="Compact"/>
              <w:jc w:val="left"/>
            </w:pPr>
            <w:r>
              <w:t xml:space="preserve">Same</w:t>
            </w:r>
          </w:p>
        </w:tc>
      </w:tr>
      <w:tr>
        <w:tc>
          <w:tcPr/>
          <w:p>
            <w:pPr>
              <w:pStyle w:val="Compact"/>
              <w:jc w:val="left"/>
            </w:pPr>
            <w:r>
              <w:t xml:space="preserve">Frontend IP</w:t>
            </w:r>
          </w:p>
        </w:tc>
        <w:tc>
          <w:tcPr/>
          <w:p>
            <w:pPr>
              <w:pStyle w:val="Compact"/>
              <w:jc w:val="left"/>
            </w:pPr>
            <w:r>
              <w:t xml:space="preserve">Reserved, from</w:t>
            </w:r>
            <w:r>
              <w:t xml:space="preserve"> </w:t>
            </w:r>
            <w:r>
              <w:rPr>
                <w:rStyle w:val="VerbatimChar"/>
              </w:rPr>
              <w:t xml:space="preserve">192.168.1.0/25</w:t>
            </w:r>
          </w:p>
        </w:tc>
        <w:tc>
          <w:tcPr/>
          <w:p>
            <w:pPr>
              <w:pStyle w:val="Compact"/>
              <w:jc w:val="left"/>
            </w:pPr>
            <w:r>
              <w:t xml:space="preserve">Reserved, from</w:t>
            </w:r>
            <w:r>
              <w:t xml:space="preserve"> </w:t>
            </w:r>
            <w:r>
              <w:rPr>
                <w:rStyle w:val="VerbatimChar"/>
              </w:rPr>
              <w:t xml:space="preserve">192.168.1.0/25</w:t>
            </w:r>
          </w:p>
        </w:tc>
      </w:tr>
      <w:tr>
        <w:tc>
          <w:tcPr/>
          <w:p>
            <w:pPr>
              <w:pStyle w:val="Compact"/>
              <w:jc w:val="left"/>
            </w:pPr>
            <w:r>
              <w:t xml:space="preserve">Protocol / port</w:t>
            </w:r>
          </w:p>
        </w:tc>
        <w:tc>
          <w:tcPr/>
          <w:p>
            <w:pPr>
              <w:pStyle w:val="Compact"/>
              <w:jc w:val="left"/>
            </w:pPr>
            <w:r>
              <w:t xml:space="preserve">HTTPS / 443</w:t>
            </w:r>
          </w:p>
        </w:tc>
        <w:tc>
          <w:tcPr/>
          <w:p>
            <w:pPr>
              <w:pStyle w:val="Compact"/>
              <w:jc w:val="left"/>
            </w:pPr>
            <w:r>
              <w:t xml:space="preserve">HTTPS / 443</w:t>
            </w:r>
          </w:p>
        </w:tc>
      </w:tr>
      <w:tr>
        <w:tc>
          <w:tcPr/>
          <w:p>
            <w:pPr>
              <w:pStyle w:val="Compact"/>
              <w:jc w:val="left"/>
            </w:pPr>
            <w:r>
              <w:t xml:space="preserve">Certificate</w:t>
            </w:r>
          </w:p>
        </w:tc>
        <w:tc>
          <w:tcPr/>
          <w:p>
            <w:pPr>
              <w:pStyle w:val="Compact"/>
              <w:jc w:val="left"/>
            </w:pPr>
            <w:r>
              <w:t xml:space="preserve">For</w:t>
            </w:r>
            <w:r>
              <w:t xml:space="preserve"> </w:t>
            </w:r>
            <w:r>
              <w:rPr>
                <w:rStyle w:val="VerbatimChar"/>
              </w:rPr>
              <w:t xml:space="preserve">translation.aicoesandox-int.colt.net</w:t>
            </w:r>
          </w:p>
        </w:tc>
        <w:tc>
          <w:tcPr/>
          <w:p>
            <w:pPr>
              <w:pStyle w:val="Compact"/>
              <w:jc w:val="left"/>
            </w:pPr>
            <w:r>
              <w:t xml:space="preserve">For</w:t>
            </w:r>
            <w:r>
              <w:t xml:space="preserve"> </w:t>
            </w:r>
            <w:r>
              <w:rPr>
                <w:rStyle w:val="VerbatimChar"/>
              </w:rPr>
              <w:t xml:space="preserve">salesagent.aicoesandox-int.colt.net</w:t>
            </w:r>
          </w:p>
        </w:tc>
      </w:tr>
      <w:tr>
        <w:tc>
          <w:tcPr/>
          <w:p>
            <w:pPr>
              <w:pStyle w:val="Compact"/>
              <w:jc w:val="left"/>
            </w:pPr>
            <w:r>
              <w:t xml:space="preserve">Backend service</w:t>
            </w:r>
          </w:p>
        </w:tc>
        <w:tc>
          <w:tcPr/>
          <w:p>
            <w:pPr>
              <w:pStyle w:val="Compact"/>
              <w:jc w:val="left"/>
            </w:pPr>
            <w:r>
              <w:rPr>
                <w:rStyle w:val="VerbatimChar"/>
              </w:rPr>
              <w:t xml:space="preserve">bs-translation</w:t>
            </w:r>
            <w:r>
              <w:t xml:space="preserve"> </w:t>
            </w:r>
            <w:r>
              <w:t xml:space="preserve">→ serverless NEG →</w:t>
            </w:r>
            <w:r>
              <w:t xml:space="preserve"> </w:t>
            </w:r>
            <w:r>
              <w:rPr>
                <w:rStyle w:val="VerbatimChar"/>
              </w:rPr>
              <w:t xml:space="preserve">translation-api-service</w:t>
            </w:r>
          </w:p>
        </w:tc>
        <w:tc>
          <w:tcPr/>
          <w:p>
            <w:pPr>
              <w:pStyle w:val="Compact"/>
              <w:jc w:val="left"/>
            </w:pPr>
            <w:r>
              <w:rPr>
                <w:rStyle w:val="VerbatimChar"/>
              </w:rPr>
              <w:t xml:space="preserve">bs-sales</w:t>
            </w:r>
            <w:r>
              <w:t xml:space="preserve"> </w:t>
            </w:r>
            <w:r>
              <w:t xml:space="preserve">→ serverless NEG →</w:t>
            </w:r>
            <w:r>
              <w:t xml:space="preserve"> </w:t>
            </w:r>
            <w:r>
              <w:rPr>
                <w:rStyle w:val="VerbatimChar"/>
              </w:rPr>
              <w:t xml:space="preserve">sales-research-application</w:t>
            </w:r>
          </w:p>
        </w:tc>
      </w:tr>
      <w:tr>
        <w:tc>
          <w:tcPr/>
          <w:p>
            <w:pPr>
              <w:pStyle w:val="Compact"/>
              <w:jc w:val="left"/>
            </w:pPr>
            <w:r>
              <w:rPr>
                <w:b/>
                <w:bCs/>
              </w:rPr>
              <w:t xml:space="preserve">IAP</w:t>
            </w:r>
          </w:p>
        </w:tc>
        <w:tc>
          <w:tcPr/>
          <w:p>
            <w:pPr>
              <w:pStyle w:val="Compact"/>
              <w:jc w:val="left"/>
            </w:pPr>
            <w:r>
              <w:rPr>
                <w:b/>
                <w:bCs/>
              </w:rPr>
              <w:t xml:space="preserve">On — Google identities, no workforce pool</w:t>
            </w:r>
          </w:p>
        </w:tc>
        <w:tc>
          <w:tcPr/>
          <w:p>
            <w:pPr>
              <w:pStyle w:val="Compact"/>
              <w:jc w:val="left"/>
            </w:pPr>
            <w:r>
              <w:rPr>
                <w:b/>
                <w:bCs/>
              </w:rPr>
              <w:t xml:space="preserve">On — Google identities, no workforce pool</w:t>
            </w:r>
          </w:p>
        </w:tc>
      </w:tr>
      <w:tr>
        <w:tc>
          <w:tcPr/>
          <w:p>
            <w:pPr>
              <w:pStyle w:val="Compact"/>
              <w:jc w:val="left"/>
            </w:pPr>
            <w:r>
              <w:t xml:space="preserve">Access logs</w:t>
            </w:r>
          </w:p>
        </w:tc>
        <w:tc>
          <w:tcPr/>
          <w:p>
            <w:pPr>
              <w:pStyle w:val="Compact"/>
              <w:jc w:val="left"/>
            </w:pPr>
            <w:r>
              <w:t xml:space="preserve">Enabled</w:t>
            </w:r>
          </w:p>
        </w:tc>
        <w:tc>
          <w:tcPr/>
          <w:p>
            <w:pPr>
              <w:pStyle w:val="Compact"/>
              <w:jc w:val="left"/>
            </w:pPr>
            <w:r>
              <w:t xml:space="preserve">Enabled</w:t>
            </w:r>
          </w:p>
        </w:tc>
      </w:tr>
    </w:tbl>
    <w:p>
      <w:pPr>
        <w:pStyle w:val="BodyText"/>
      </w:pPr>
      <w:r>
        <w:rPr>
          <w:b/>
          <w:bCs/>
        </w:rPr>
        <w:t xml:space="preserve">The difference from Dev is the identity, not the mechanism.</w:t>
      </w:r>
      <w:r>
        <w:t xml:space="preserve"> </w:t>
      </w:r>
      <w:r>
        <w:t xml:space="preserve">IAP here checks</w:t>
      </w:r>
      <w:r>
        <w:t xml:space="preserve"> </w:t>
      </w:r>
      <w:r>
        <w:rPr>
          <w:rStyle w:val="VerbatimChar"/>
        </w:rPr>
        <w:t xml:space="preserve">roles/iap.httpsResourceAccessor</w:t>
      </w:r>
      <w:r>
        <w:t xml:space="preserve"> </w:t>
      </w:r>
      <w:r>
        <w:t xml:space="preserve">against a Google identity. In Dev the same product is configured against an Entra ID workforce pool, so the user signs in with their corporate credential and App Roles travel into the request. Sandbox entitlement is therefore a Google IAM grant managed separately from Entra group membership.</w:t>
      </w:r>
    </w:p>
    <w:bookmarkEnd w:id="104"/>
    <w:bookmarkStart w:id="105" w:name="a-timeout-that-does-not-apply"/>
    <w:p>
      <w:pPr>
        <w:pStyle w:val="Heading3"/>
      </w:pPr>
      <w:r>
        <w:t xml:space="preserve">5.9.4 A timeout that does not apply</w:t>
      </w:r>
    </w:p>
    <w:p>
      <w:pPr>
        <w:pStyle w:val="FirstParagraph"/>
      </w:pPr>
      <w:r>
        <w:t xml:space="preserve">For</w:t>
      </w:r>
      <w:r>
        <w:t xml:space="preserve"> </w:t>
      </w:r>
      <w:r>
        <w:rPr>
          <w:b/>
          <w:bCs/>
        </w:rPr>
        <w:t xml:space="preserve">serverless</w:t>
      </w:r>
      <w:r>
        <w:t xml:space="preserve"> </w:t>
      </w:r>
      <w:r>
        <w:t xml:space="preserve">backends the backend-service timeout setting has no effect. The binding value is the</w:t>
      </w:r>
      <w:r>
        <w:t xml:space="preserve"> </w:t>
      </w:r>
      <w:r>
        <w:rPr>
          <w:b/>
          <w:bCs/>
        </w:rPr>
        <w:t xml:space="preserve">Cloud Run request timeout</w:t>
      </w:r>
      <w:r>
        <w:t xml:space="preserve">. Load balancer timeout tuning has no effect on these paths and should not be attempted.</w:t>
      </w:r>
    </w:p>
    <w:bookmarkEnd w:id="105"/>
    <w:bookmarkEnd w:id="106"/>
    <w:bookmarkStart w:id="107" w:name="tls-and-certificate-provisioning"/>
    <w:p>
      <w:pPr>
        <w:pStyle w:val="Heading2"/>
      </w:pPr>
      <w:r>
        <w:t xml:space="preserve">5.10 TLS and certificate provisioning</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Aspect</w:t>
            </w:r>
          </w:p>
        </w:tc>
        <w:tc>
          <w:tcPr>
            <w:shd w:val="clear" w:color="auto" w:fill="1F3864"/>
          </w:tcPr>
          <w:p>
            <w:pPr>
              <w:pStyle w:val="Compact"/>
              <w:jc w:val="left"/>
            </w:pPr>
            <w:r>
              <w:rPr>
                <w:b/>
                <w:color w:val="FFFFFF"/>
              </w:rPr>
              <w:t xml:space="preserve">Position</w:t>
            </w:r>
          </w:p>
        </w:tc>
      </w:tr>
      <w:tr>
        <w:tc>
          <w:tcPr/>
          <w:p>
            <w:pPr>
              <w:pStyle w:val="Compact"/>
              <w:jc w:val="left"/>
            </w:pPr>
            <w:r>
              <w:t xml:space="preserve">Names requiring certificates — Dev</w:t>
            </w:r>
          </w:p>
        </w:tc>
        <w:tc>
          <w:tcPr/>
          <w:p>
            <w:pPr>
              <w:pStyle w:val="Compact"/>
              <w:jc w:val="left"/>
            </w:pPr>
            <w:r>
              <w:rPr>
                <w:rStyle w:val="VerbatimChar"/>
              </w:rPr>
              <w:t xml:space="preserve">aihub.aicoe-dev-int.colt.net</w:t>
            </w:r>
            <w:r>
              <w:t xml:space="preserve">,</w:t>
            </w:r>
            <w:r>
              <w:t xml:space="preserve"> </w:t>
            </w:r>
            <w:r>
              <w:rPr>
                <w:rStyle w:val="VerbatimChar"/>
              </w:rPr>
              <w:t xml:space="preserve">backend.aicoe-dev-int.colt.net</w:t>
            </w:r>
            <w:r>
              <w:t xml:space="preserve">, plus the Apigee environment group hostnames</w:t>
            </w:r>
            <w:r>
              <w:t xml:space="preserve"> </w:t>
            </w:r>
            <w:r>
              <w:rPr>
                <w:rStyle w:val="VerbatimChar"/>
              </w:rPr>
              <w:t xml:space="preserve">aihub-api.aicoe-dev-int.colt.net</w:t>
            </w:r>
            <w:r>
              <w:t xml:space="preserve"> </w:t>
            </w:r>
            <w:r>
              <w:t xml:space="preserve">and</w:t>
            </w:r>
            <w:r>
              <w:t xml:space="preserve"> </w:t>
            </w:r>
            <w:r>
              <w:rPr>
                <w:rStyle w:val="VerbatimChar"/>
              </w:rPr>
              <w:t xml:space="preserve">llm.aicoe-dev-int.colt.net</w:t>
            </w:r>
          </w:p>
        </w:tc>
      </w:tr>
      <w:tr>
        <w:tc>
          <w:tcPr/>
          <w:p>
            <w:pPr>
              <w:pStyle w:val="Compact"/>
              <w:jc w:val="left"/>
            </w:pPr>
            <w:r>
              <w:t xml:space="preserve">Names requiring certificates — Sandbox</w:t>
            </w:r>
          </w:p>
        </w:tc>
        <w:tc>
          <w:tcPr/>
          <w:p>
            <w:pPr>
              <w:pStyle w:val="Compact"/>
              <w:jc w:val="left"/>
            </w:pPr>
            <w:r>
              <w:rPr>
                <w:rStyle w:val="VerbatimChar"/>
              </w:rPr>
              <w:t xml:space="preserve">translation.aicoesandox-int.colt.net</w:t>
            </w:r>
            <w:r>
              <w:t xml:space="preserve">,</w:t>
            </w:r>
            <w:r>
              <w:t xml:space="preserve"> </w:t>
            </w:r>
            <w:r>
              <w:rPr>
                <w:rStyle w:val="VerbatimChar"/>
              </w:rPr>
              <w:t xml:space="preserve">salesagent.aicoesandox-int.colt.net</w:t>
            </w:r>
          </w:p>
        </w:tc>
      </w:tr>
      <w:tr>
        <w:tc>
          <w:tcPr/>
          <w:p>
            <w:pPr>
              <w:pStyle w:val="Compact"/>
              <w:jc w:val="left"/>
            </w:pPr>
            <w:r>
              <w:rPr>
                <w:b/>
                <w:bCs/>
              </w:rPr>
              <w:t xml:space="preserve">Preferred option</w:t>
            </w:r>
          </w:p>
        </w:tc>
        <w:tc>
          <w:tcPr/>
          <w:p>
            <w:pPr>
              <w:pStyle w:val="Compact"/>
              <w:jc w:val="left"/>
            </w:pPr>
            <w:r>
              <w:t xml:space="preserve">A</w:t>
            </w:r>
            <w:r>
              <w:t xml:space="preserve"> </w:t>
            </w:r>
            <w:r>
              <w:rPr>
                <w:b/>
                <w:bCs/>
              </w:rPr>
              <w:t xml:space="preserve">publicly issued certificate for a privately resolved name</w:t>
            </w:r>
            <w:r>
              <w:t xml:space="preserve">. Validation must be by</w:t>
            </w:r>
            <w:r>
              <w:t xml:space="preserve"> </w:t>
            </w:r>
            <w:r>
              <w:rPr>
                <w:b/>
                <w:bCs/>
              </w:rPr>
              <w:t xml:space="preserve">DNS-01</w:t>
            </w:r>
            <w:r>
              <w:t xml:space="preserve">, because a certificate authority cannot reach a private address over HTTP. Requires control of the public</w:t>
            </w:r>
            <w:r>
              <w:t xml:space="preserve"> </w:t>
            </w:r>
            <w:r>
              <w:rPr>
                <w:rStyle w:val="VerbatimChar"/>
              </w:rPr>
              <w:t xml:space="preserve">colt.net</w:t>
            </w:r>
            <w:r>
              <w:t xml:space="preserve"> </w:t>
            </w:r>
            <w:r>
              <w:t xml:space="preserve">zone. No trust-store distribution needed</w:t>
            </w:r>
          </w:p>
        </w:tc>
      </w:tr>
      <w:tr>
        <w:tc>
          <w:tcPr/>
          <w:p>
            <w:pPr>
              <w:pStyle w:val="Compact"/>
              <w:jc w:val="left"/>
            </w:pPr>
            <w:r>
              <w:t xml:space="preserve">Alternative</w:t>
            </w:r>
          </w:p>
        </w:tc>
        <w:tc>
          <w:tcPr/>
          <w:p>
            <w:pPr>
              <w:pStyle w:val="Compact"/>
              <w:jc w:val="left"/>
            </w:pPr>
            <w:r>
              <w:t xml:space="preserve">An internal Colt certificate authority. This requires the authority’s certificate to be installed in</w:t>
            </w:r>
            <w:r>
              <w:t xml:space="preserve"> </w:t>
            </w:r>
            <w:r>
              <w:rPr>
                <w:b/>
                <w:bCs/>
              </w:rPr>
              <w:t xml:space="preserve">every container</w:t>
            </w:r>
            <w:r>
              <w:t xml:space="preserve"> </w:t>
            </w:r>
            <w:r>
              <w:t xml:space="preserve">that calls the gateway, and produces the same TLS validation failure across multiple images when it is not</w:t>
            </w:r>
          </w:p>
        </w:tc>
      </w:tr>
      <w:tr>
        <w:tc>
          <w:tcPr/>
          <w:p>
            <w:pPr>
              <w:pStyle w:val="Compact"/>
              <w:jc w:val="left"/>
            </w:pPr>
            <w:r>
              <w:t xml:space="preserve">Storage</w:t>
            </w:r>
          </w:p>
        </w:tc>
        <w:tc>
          <w:tcPr/>
          <w:p>
            <w:pPr>
              <w:pStyle w:val="Compact"/>
              <w:jc w:val="left"/>
            </w:pPr>
            <w:r>
              <w:t xml:space="preserve">Certificate and key in Secret Manager, CMEK, manual EU replication</w:t>
            </w:r>
          </w:p>
        </w:tc>
      </w:tr>
      <w:tr>
        <w:tc>
          <w:tcPr/>
          <w:p>
            <w:pPr>
              <w:pStyle w:val="Compact"/>
              <w:jc w:val="left"/>
            </w:pPr>
            <w:r>
              <w:t xml:space="preserve">Renewal</w:t>
            </w:r>
          </w:p>
        </w:tc>
        <w:tc>
          <w:tcPr/>
          <w:p>
            <w:pPr>
              <w:pStyle w:val="Compact"/>
              <w:jc w:val="left"/>
            </w:pPr>
            <w:r>
              <w:rPr>
                <w:b/>
                <w:bCs/>
              </w:rPr>
              <w:t xml:space="preserve">Automated.</w:t>
            </w:r>
            <w:r>
              <w:t xml:space="preserve"> </w:t>
            </w:r>
            <w:r>
              <w:t xml:space="preserve">DNS-01 automation is pre-requisite gate P4 (public DNS zone control and named certificate owner)</w:t>
            </w:r>
          </w:p>
        </w:tc>
      </w:tr>
      <w:tr>
        <w:tc>
          <w:tcPr/>
          <w:p>
            <w:pPr>
              <w:pStyle w:val="Compact"/>
              <w:jc w:val="left"/>
            </w:pPr>
            <w:r>
              <w:t xml:space="preserve">Monitoring</w:t>
            </w:r>
          </w:p>
        </w:tc>
        <w:tc>
          <w:tcPr/>
          <w:p>
            <w:pPr>
              <w:pStyle w:val="Compact"/>
              <w:jc w:val="left"/>
            </w:pPr>
            <w:r>
              <w:t xml:space="preserve">Alert</w:t>
            </w:r>
            <w:r>
              <w:t xml:space="preserve"> </w:t>
            </w:r>
            <w:r>
              <w:rPr>
                <w:b/>
                <w:bCs/>
              </w:rPr>
              <w:t xml:space="preserve">30 days</w:t>
            </w:r>
            <w:r>
              <w:t xml:space="preserve"> </w:t>
            </w:r>
            <w:r>
              <w:t xml:space="preserve">before expiry, on the load balancer and the Apigee environment group certificates</w:t>
            </w:r>
          </w:p>
        </w:tc>
      </w:tr>
      <w:tr>
        <w:tc>
          <w:tcPr/>
          <w:p>
            <w:pPr>
              <w:pStyle w:val="Compact"/>
              <w:jc w:val="left"/>
            </w:pPr>
            <w:r>
              <w:t xml:space="preserve">Ownership</w:t>
            </w:r>
          </w:p>
        </w:tc>
        <w:tc>
          <w:tcPr/>
          <w:p>
            <w:pPr>
              <w:pStyle w:val="Compact"/>
              <w:jc w:val="left"/>
            </w:pPr>
            <w:r>
              <w:t xml:space="preserve">Named in</w:t>
            </w:r>
            <w:r>
              <w:t xml:space="preserve"> </w:t>
            </w:r>
            <w:r>
              <w:rPr>
                <w:b/>
                <w:bCs/>
              </w:rPr>
              <w:t xml:space="preserve">Requirements</w:t>
            </w:r>
            <w:r>
              <w:t xml:space="preserve"> </w:t>
            </w:r>
            <w:r>
              <w:t xml:space="preserve">under RACI — certificate renewal passes to Platform Operate at handover</w:t>
            </w:r>
          </w:p>
        </w:tc>
      </w:tr>
    </w:tbl>
    <w:p>
      <w:pPr>
        <w:pStyle w:val="BodyText"/>
      </w:pPr>
      <w:r>
        <w:rPr>
          <w:b/>
          <w:bCs/>
        </w:rPr>
        <w:t xml:space="preserve">Why this is a gate rather than a build step.</w:t>
      </w:r>
      <w:r>
        <w:t xml:space="preserve"> </w:t>
      </w:r>
      <w:r>
        <w:t xml:space="preserve">An expired certificate here is a total outage, it is the most common self-inflicted failure in designs of this shape, and it has an external dependency on the public DNS zone team and therefore a lead time.</w:t>
      </w:r>
    </w:p>
    <w:bookmarkEnd w:id="107"/>
    <w:bookmarkStart w:id="108" w:name="connectivity-from-the-colt-network"/>
    <w:p>
      <w:pPr>
        <w:pStyle w:val="Heading2"/>
      </w:pPr>
      <w:r>
        <w:t xml:space="preserve">5.11 Connectivity from the Colt network</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Aspect</w:t>
            </w:r>
          </w:p>
        </w:tc>
        <w:tc>
          <w:tcPr>
            <w:shd w:val="clear" w:color="auto" w:fill="1F3864"/>
          </w:tcPr>
          <w:p>
            <w:pPr>
              <w:pStyle w:val="Compact"/>
              <w:jc w:val="left"/>
            </w:pPr>
            <w:r>
              <w:rPr>
                <w:b/>
                <w:color w:val="FFFFFF"/>
              </w:rPr>
              <w:t xml:space="preserve">Position</w:t>
            </w:r>
          </w:p>
        </w:tc>
      </w:tr>
      <w:tr>
        <w:tc>
          <w:tcPr/>
          <w:p>
            <w:pPr>
              <w:pStyle w:val="Compact"/>
              <w:jc w:val="left"/>
            </w:pPr>
            <w:r>
              <w:t xml:space="preserve">Path — Dev and Prod</w:t>
            </w:r>
          </w:p>
        </w:tc>
        <w:tc>
          <w:tcPr/>
          <w:p>
            <w:pPr>
              <w:pStyle w:val="Compact"/>
              <w:jc w:val="left"/>
            </w:pPr>
            <w:r>
              <w:t xml:space="preserve">Colt user device →</w:t>
            </w:r>
            <w:r>
              <w:t xml:space="preserve"> </w:t>
            </w:r>
            <w:r>
              <w:rPr>
                <w:b/>
                <w:bCs/>
              </w:rPr>
              <w:t xml:space="preserve">ZPA</w:t>
            </w:r>
            <w:r>
              <w:t xml:space="preserve"> </w:t>
            </w:r>
            <w:r>
              <w:t xml:space="preserve">→ App Connector →</w:t>
            </w:r>
            <w:r>
              <w:t xml:space="preserve"> </w:t>
            </w:r>
            <w:r>
              <w:rPr>
                <w:rStyle w:val="VerbatimChar"/>
              </w:rPr>
              <w:t xml:space="preserve">10.110.73.20</w:t>
            </w:r>
          </w:p>
        </w:tc>
      </w:tr>
      <w:tr>
        <w:tc>
          <w:tcPr/>
          <w:p>
            <w:pPr>
              <w:pStyle w:val="Compact"/>
              <w:jc w:val="left"/>
            </w:pPr>
            <w:r>
              <w:t xml:space="preserve">App Connector source range</w:t>
            </w:r>
          </w:p>
        </w:tc>
        <w:tc>
          <w:tcPr/>
          <w:p>
            <w:pPr>
              <w:pStyle w:val="Compact"/>
              <w:jc w:val="left"/>
            </w:pPr>
            <w:r>
              <w:rPr>
                <w:rStyle w:val="VerbatimChar"/>
              </w:rPr>
              <w:t xml:space="preserve">10.100.209.0/29</w:t>
            </w:r>
          </w:p>
        </w:tc>
      </w:tr>
      <w:tr>
        <w:tc>
          <w:tcPr/>
          <w:p>
            <w:pPr>
              <w:pStyle w:val="Compact"/>
              <w:jc w:val="left"/>
            </w:pPr>
            <w:r>
              <w:t xml:space="preserve">CSOC firewall change</w:t>
            </w:r>
          </w:p>
        </w:tc>
        <w:tc>
          <w:tcPr/>
          <w:p>
            <w:pPr>
              <w:pStyle w:val="Compact"/>
              <w:jc w:val="left"/>
            </w:pPr>
            <w:r>
              <w:t xml:space="preserve">Opens</w:t>
            </w:r>
            <w:r>
              <w:t xml:space="preserve"> </w:t>
            </w:r>
            <w:r>
              <w:rPr>
                <w:rStyle w:val="VerbatimChar"/>
                <w:b/>
                <w:bCs/>
              </w:rPr>
              <w:t xml:space="preserve">10.110.73.20</w:t>
            </w:r>
            <w:r>
              <w:rPr>
                <w:b/>
                <w:bCs/>
              </w:rPr>
              <w:t xml:space="preserve"> </w:t>
            </w:r>
            <w:r>
              <w:rPr>
                <w:b/>
                <w:bCs/>
              </w:rPr>
              <w:t xml:space="preserve">only</w:t>
            </w:r>
            <w:r>
              <w:t xml:space="preserve">. No other platform address is requested, now or later, without a design change</w:t>
            </w:r>
          </w:p>
        </w:tc>
      </w:tr>
      <w:tr>
        <w:tc>
          <w:tcPr/>
          <w:p>
            <w:pPr>
              <w:pStyle w:val="Compact"/>
              <w:jc w:val="left"/>
            </w:pPr>
            <w:r>
              <w:t xml:space="preserve">Monitoring</w:t>
            </w:r>
          </w:p>
        </w:tc>
        <w:tc>
          <w:tcPr/>
          <w:p>
            <w:pPr>
              <w:pStyle w:val="Compact"/>
              <w:jc w:val="left"/>
            </w:pPr>
            <w:r>
              <w:t xml:space="preserve">A log-based metric fires on denied traffic from</w:t>
            </w:r>
            <w:r>
              <w:t xml:space="preserve"> </w:t>
            </w:r>
            <w:r>
              <w:rPr>
                <w:rStyle w:val="VerbatimChar"/>
              </w:rPr>
              <w:t xml:space="preserve">10.100.209.0/29</w:t>
            </w:r>
            <w:r>
              <w:t xml:space="preserve">, alerting at more than 5 in 5 minutes — usually meaning the connector addresses changed</w:t>
            </w:r>
          </w:p>
        </w:tc>
      </w:tr>
      <w:tr>
        <w:tc>
          <w:tcPr/>
          <w:p>
            <w:pPr>
              <w:pStyle w:val="Compact"/>
              <w:jc w:val="left"/>
            </w:pPr>
            <w:r>
              <w:t xml:space="preserve">Failure signature</w:t>
            </w:r>
          </w:p>
        </w:tc>
        <w:tc>
          <w:tcPr/>
          <w:p>
            <w:pPr>
              <w:pStyle w:val="Compact"/>
              <w:jc w:val="left"/>
            </w:pPr>
            <w:r>
              <w:t xml:space="preserve">If the browser hangs with no redirect, the network path is wrong. If it redirects but loops, the sign-in redirect is being sent through the ZPA tunnel when it needs to go directly</w:t>
            </w:r>
          </w:p>
        </w:tc>
      </w:tr>
    </w:tbl>
    <w:p>
      <w:pPr>
        <w:pStyle w:val="BodyText"/>
      </w:pPr>
      <w:r>
        <w:rPr>
          <w:b/>
          <w:bCs/>
        </w:rPr>
        <w:t xml:space="preserve">Internet egress is not provisioned in Dev or Prod.</w:t>
      </w:r>
      <w:r>
        <w:t xml:space="preserve"> </w:t>
      </w:r>
      <w:r>
        <w:t xml:space="preserve">There is no Cloud NAT, default-deny egress stands, and no platform workload requires outbound internet access. Sandbox is the exception, described in Cloud Router and Cloud NAT — Sandbox Only.</w:t>
      </w:r>
    </w:p>
    <w:p>
      <w:r>
        <w:pict>
          <v:rect style="width:0;height:1.5pt" o:hralign="center" o:hrstd="t" o:hr="t"/>
        </w:pict>
      </w:r>
    </w:p>
    <w:bookmarkEnd w:id="108"/>
    <w:bookmarkEnd w:id="109"/>
    <w:bookmarkStart w:id="126" w:name="X41ecad18bcbf71802ad20f1b1f6215ef470e3cd"/>
    <w:p>
      <w:pPr>
        <w:pStyle w:val="Heading1"/>
      </w:pPr>
      <w:r>
        <w:t xml:space="preserve">6. Backend-for-Frontend and Session Management</w:t>
      </w:r>
    </w:p>
    <w:p>
      <w:pPr>
        <w:pStyle w:val="FirstParagraph"/>
      </w:pPr>
      <w:r>
        <w:rPr>
          <w:b/>
          <w:bCs/>
        </w:rPr>
        <w:t xml:space="preserve">Scope.</w:t>
      </w:r>
      <w:r>
        <w:t xml:space="preserve"> </w:t>
      </w:r>
      <w:r>
        <w:t xml:space="preserve">This section applies to</w:t>
      </w:r>
      <w:r>
        <w:t xml:space="preserve"> </w:t>
      </w:r>
      <w:r>
        <w:rPr>
          <w:b/>
          <w:bCs/>
        </w:rPr>
        <w:t xml:space="preserve">Dev and Prod only</w:t>
      </w:r>
      <w:r>
        <w:t xml:space="preserve">. Sandbox has no Backend-for-Frontend, no AI Hub and no application session — a developer is authenticated by IAP against a Google identity and reaches the service directly, as described in</w:t>
      </w:r>
      <w:r>
        <w:t xml:space="preserve"> </w:t>
      </w:r>
      <w:r>
        <w:rPr>
          <w:b/>
          <w:bCs/>
        </w:rPr>
        <w:t xml:space="preserve">Solution Architecture Overview</w:t>
      </w:r>
      <w:r>
        <w:t xml:space="preserve"> </w:t>
      </w:r>
      <w:r>
        <w:t xml:space="preserve">under User access — Sandbox.</w:t>
      </w:r>
    </w:p>
    <w:p>
      <w:pPr>
        <w:pStyle w:val="BodyText"/>
      </w:pPr>
      <w:r>
        <w:t xml:space="preserve">The application code itself is built by the AICOE Developer Team. This section is the contract that code must meet.</w:t>
      </w:r>
    </w:p>
    <w:bookmarkStart w:id="110" w:name="backend-for-frontend-rationale"/>
    <w:p>
      <w:pPr>
        <w:pStyle w:val="Heading2"/>
      </w:pPr>
      <w:r>
        <w:t xml:space="preserve">6.1 Backend-for-Frontend rationale</w:t>
      </w:r>
    </w:p>
    <w:p>
      <w:pPr>
        <w:pStyle w:val="FirstParagraph"/>
      </w:pPr>
      <w:r>
        <w:t xml:space="preserve">A Backend-for-Frontend is a server-side component that owns the OAuth client credentials. The browser receives only an opaque session cookie; access and refresh tokens remain server-side. This satisfies TR-19 (no token in the browser).</w:t>
      </w:r>
    </w:p>
    <w:p>
      <w:pPr>
        <w:pStyle w:val="BodyText"/>
      </w:pPr>
      <w:r>
        <w:t xml:space="preserve">Token hygiene is the conventional rationale, and IETF guidance for browser-based applications ranks this pattern highest. In this environment, however, that rationale is less decisive: the application is internal-only, reachable through ZPA, fronted by IAP, operated on managed devices, and uses tokens scoped to a first-party API. Cross-site scripting-based token theft remains a valid risk, but the exposure is comparatively reduced.</w:t>
      </w:r>
    </w:p>
    <w:p>
      <w:pPr>
        <w:pStyle w:val="BodyText"/>
      </w:pPr>
      <w:r>
        <w:t xml:space="preserve">Silent token acquisition in the browser depends on third-party-cookie behaviour and may produce a second visible prompt, which would break the single-login goal G11 (one interactive login per session). With a Backend-for-Frontend, the refresh token is held server-side and token renewal occurs without browser interaction, so this goal no longer depends on browser cookie policy.</w:t>
      </w:r>
    </w:p>
    <w:p>
      <w:pPr>
        <w:pStyle w:val="BodyText"/>
      </w:pPr>
      <w:r>
        <w:t xml:space="preserve">Without a Backend-for-Frontend, the browser-to-Apigee path remains unresolved: either route through the load balancer, which implies a PSC network endpoint group on an</w:t>
      </w:r>
      <w:r>
        <w:t xml:space="preserve"> </w:t>
      </w:r>
      <w:r>
        <w:rPr>
          <w:b/>
          <w:bCs/>
        </w:rPr>
        <w:t xml:space="preserve">internal</w:t>
      </w:r>
      <w:r>
        <w:t xml:space="preserve"> </w:t>
      </w:r>
      <w:r>
        <w:t xml:space="preserve">load balancer with limited documentation, or expose a separate CSOC-opened address. The Backend-for-Frontend removes this ambiguity because the browser never calls Apigee directly. Apigee is invoked server-side, from inside the VPC, via the internal service endpoint.</w:t>
      </w:r>
    </w:p>
    <w:p>
      <w:pPr>
        <w:pStyle w:val="BodyText"/>
      </w:pPr>
      <w:r>
        <w:t xml:space="preserve">Together, these two outcomes provide stronger justification than token hygiene alone and make the pattern the preferred design choice for this platform.</w:t>
      </w:r>
    </w:p>
    <w:p>
      <w:pPr>
        <w:pStyle w:val="BodyText"/>
      </w:pPr>
      <w:r>
        <w:rPr>
          <w:b/>
          <w:bCs/>
        </w:rPr>
        <w:t xml:space="preserve">Operational trade-offs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Cost</w:t>
            </w:r>
          </w:p>
        </w:tc>
        <w:tc>
          <w:tcPr>
            <w:shd w:val="clear" w:color="auto" w:fill="1F3864"/>
          </w:tcPr>
          <w:p>
            <w:pPr>
              <w:pStyle w:val="Compact"/>
              <w:jc w:val="left"/>
            </w:pPr>
            <w:r>
              <w:rPr>
                <w:b/>
                <w:color w:val="FFFFFF"/>
              </w:rPr>
              <w:t xml:space="preserve">Detail</w:t>
            </w:r>
          </w:p>
        </w:tc>
      </w:tr>
      <w:tr>
        <w:tc>
          <w:tcPr/>
          <w:p>
            <w:pPr>
              <w:pStyle w:val="Compact"/>
              <w:jc w:val="left"/>
            </w:pPr>
            <w:r>
              <w:t xml:space="preserve">A stateful component on the request path</w:t>
            </w:r>
          </w:p>
        </w:tc>
        <w:tc>
          <w:tcPr/>
          <w:p>
            <w:pPr>
              <w:pStyle w:val="Compact"/>
              <w:jc w:val="left"/>
            </w:pPr>
            <w:r>
              <w:t xml:space="preserve">The Backend-for-Frontend and Firestore are now both</w:t>
            </w:r>
            <w:r>
              <w:t xml:space="preserve"> </w:t>
            </w:r>
            <w:r>
              <w:rPr>
                <w:b/>
                <w:bCs/>
              </w:rPr>
              <w:t xml:space="preserve">hard dependencies</w:t>
            </w:r>
            <w:r>
              <w:t xml:space="preserve">. Neither was before</w:t>
            </w:r>
          </w:p>
        </w:tc>
      </w:tr>
      <w:tr>
        <w:tc>
          <w:tcPr/>
          <w:p>
            <w:pPr>
              <w:pStyle w:val="Compact"/>
              <w:jc w:val="left"/>
            </w:pPr>
            <w:r>
              <w:t xml:space="preserve">Latency</w:t>
            </w:r>
          </w:p>
        </w:tc>
        <w:tc>
          <w:tcPr/>
          <w:p>
            <w:pPr>
              <w:pStyle w:val="Compact"/>
              <w:jc w:val="left"/>
            </w:pPr>
            <w:r>
              <w:t xml:space="preserve">One session read per API call, 10 to 20 ms. Included in PR-09 (session read latency)</w:t>
            </w:r>
          </w:p>
        </w:tc>
      </w:tr>
      <w:tr>
        <w:tc>
          <w:tcPr/>
          <w:p>
            <w:pPr>
              <w:pStyle w:val="Compact"/>
              <w:jc w:val="left"/>
            </w:pPr>
            <w:r>
              <w:t xml:space="preserve">A credential to own</w:t>
            </w:r>
          </w:p>
        </w:tc>
        <w:tc>
          <w:tcPr/>
          <w:p>
            <w:pPr>
              <w:pStyle w:val="Compact"/>
              <w:jc w:val="left"/>
            </w:pPr>
            <w:r>
              <w:t xml:space="preserve">An Entra client secret to rotate and alert on. A certificate is preferable</w:t>
            </w:r>
          </w:p>
        </w:tc>
      </w:tr>
      <w:tr>
        <w:tc>
          <w:tcPr/>
          <w:p>
            <w:pPr>
              <w:pStyle w:val="Compact"/>
              <w:jc w:val="left"/>
            </w:pPr>
            <w:r>
              <w:t xml:space="preserve">A second authentication per session</w:t>
            </w:r>
          </w:p>
        </w:tc>
        <w:tc>
          <w:tcPr/>
          <w:p>
            <w:pPr>
              <w:pStyle w:val="Compact"/>
              <w:jc w:val="left"/>
            </w:pPr>
            <w:r>
              <w:t xml:space="preserve">IAP, then the code exchange. Layered rather than redundant, and the second is non-interactive — but it is a second failure mode</w:t>
            </w:r>
          </w:p>
        </w:tc>
      </w:tr>
      <w:tr>
        <w:tc>
          <w:tcPr/>
          <w:p>
            <w:pPr>
              <w:pStyle w:val="Compact"/>
              <w:jc w:val="left"/>
            </w:pPr>
            <w:r>
              <w:t xml:space="preserve">Instance budget</w:t>
            </w:r>
          </w:p>
        </w:tc>
        <w:tc>
          <w:tcPr/>
          <w:p>
            <w:pPr>
              <w:pStyle w:val="Compact"/>
              <w:jc w:val="left"/>
            </w:pPr>
            <w:r>
              <w:t xml:space="preserve">The service requires VPC egress where a static single-page application would not, so it consumes capacity from the instance ceiling defined in TR-21 (Cloud Run instance ceiling). It takes the largest share, as it is on the path of every request including static asset retrieval</w:t>
            </w:r>
          </w:p>
        </w:tc>
      </w:tr>
    </w:tbl>
    <w:bookmarkEnd w:id="110"/>
    <w:bookmarkStart w:id="114" w:name="authentication-and-session-establishment"/>
    <w:p>
      <w:pPr>
        <w:pStyle w:val="Heading2"/>
      </w:pPr>
      <w:r>
        <w:t xml:space="preserve">6.2 Authentication and session establishment</w:t>
      </w:r>
    </w:p>
    <w:p>
      <w:pPr>
        <w:pStyle w:val="CaptionedFigure"/>
      </w:pPr>
      <w:r>
        <w:drawing>
          <wp:inline>
            <wp:extent cx="5943600" cy="7081626"/>
            <wp:effectExtent b="0" l="0" r="0" t="0"/>
            <wp:docPr descr="AI Hub sign-in — the IAP handoff to the Cloud Run BFF, one interactive Entra login followed by twelve non-interactive steps ending in an opaque session cookie" title="" id="112" name="Picture"/>
            <a:graphic>
              <a:graphicData uri="http://schemas.openxmlformats.org/drawingml/2006/picture">
                <pic:pic>
                  <pic:nvPicPr>
                    <pic:cNvPr descr="diagrams/aihub-signin-sequence.png" id="113" name="Picture"/>
                    <pic:cNvPicPr>
                      <a:picLocks noChangeArrowheads="1" noChangeAspect="1"/>
                    </pic:cNvPicPr>
                  </pic:nvPicPr>
                  <pic:blipFill>
                    <a:blip r:embed="rId111"/>
                    <a:stretch>
                      <a:fillRect/>
                    </a:stretch>
                  </pic:blipFill>
                  <pic:spPr bwMode="auto">
                    <a:xfrm>
                      <a:off x="0" y="0"/>
                      <a:ext cx="5943600" cy="7081626"/>
                    </a:xfrm>
                    <a:prstGeom prst="rect">
                      <a:avLst/>
                    </a:prstGeom>
                    <a:noFill/>
                    <a:ln w="9525">
                      <a:noFill/>
                      <a:headEnd/>
                      <a:tailEnd/>
                    </a:ln>
                  </pic:spPr>
                </pic:pic>
              </a:graphicData>
            </a:graphic>
          </wp:inline>
        </w:drawing>
      </w:r>
    </w:p>
    <w:p>
      <w:pPr>
        <w:pStyle w:val="ImageCaption"/>
      </w:pPr>
      <w:r>
        <w:t xml:space="preserve">AI Hub sign-in — the IAP handoff to the Cloud Run BFF, one interactive Entra login followed by twelve non-interactive steps ending in an opaque session cookie</w:t>
      </w:r>
    </w:p>
    <w:bookmarkEnd w:id="114"/>
    <w:bookmarkStart w:id="115" w:name="cookie-design"/>
    <w:p>
      <w:pPr>
        <w:pStyle w:val="Heading2"/>
      </w:pPr>
      <w:r>
        <w:t xml:space="preserve">6.3 Cookie design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Attribute</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Why</w:t>
            </w:r>
          </w:p>
        </w:tc>
      </w:tr>
      <w:tr>
        <w:tc>
          <w:tcPr/>
          <w:p>
            <w:pPr>
              <w:pStyle w:val="Compact"/>
              <w:jc w:val="left"/>
            </w:pPr>
            <w:r>
              <w:t xml:space="preserve">Name</w:t>
            </w:r>
          </w:p>
        </w:tc>
        <w:tc>
          <w:tcPr/>
          <w:p>
            <w:pPr>
              <w:pStyle w:val="Compact"/>
              <w:jc w:val="left"/>
            </w:pPr>
            <w:r>
              <w:rPr>
                <w:rStyle w:val="VerbatimChar"/>
              </w:rPr>
              <w:t xml:space="preserve">__Host-AISESSION</w:t>
            </w:r>
          </w:p>
        </w:tc>
        <w:tc>
          <w:tcPr/>
          <w:p>
            <w:pPr>
              <w:pStyle w:val="Compact"/>
              <w:jc w:val="left"/>
            </w:pPr>
            <w:r>
              <w:t xml:space="preserve">The</w:t>
            </w:r>
            <w:r>
              <w:t xml:space="preserve"> </w:t>
            </w:r>
            <w:r>
              <w:rPr>
                <w:rStyle w:val="VerbatimChar"/>
              </w:rPr>
              <w:t xml:space="preserve">__Host-</w:t>
            </w:r>
            <w:r>
              <w:t xml:space="preserve"> </w:t>
            </w:r>
            <w:r>
              <w:t xml:space="preserve">prefix forbids</w:t>
            </w:r>
            <w:r>
              <w:t xml:space="preserve"> </w:t>
            </w:r>
            <w:r>
              <w:rPr>
                <w:rStyle w:val="VerbatimChar"/>
              </w:rPr>
              <w:t xml:space="preserve">Domain</w:t>
            </w:r>
            <w:r>
              <w:t xml:space="preserve"> </w:t>
            </w:r>
            <w:r>
              <w:t xml:space="preserve">and requires</w:t>
            </w:r>
            <w:r>
              <w:t xml:space="preserve"> </w:t>
            </w:r>
            <w:r>
              <w:rPr>
                <w:rStyle w:val="VerbatimChar"/>
              </w:rPr>
              <w:t xml:space="preserve">Secure</w:t>
            </w:r>
            <w:r>
              <w:t xml:space="preserve"> </w:t>
            </w:r>
            <w:r>
              <w:t xml:space="preserve">and</w:t>
            </w:r>
            <w:r>
              <w:t xml:space="preserve"> </w:t>
            </w:r>
            <w:r>
              <w:rPr>
                <w:rStyle w:val="VerbatimChar"/>
              </w:rPr>
              <w:t xml:space="preserve">Path=/</w:t>
            </w:r>
            <w:r>
              <w:t xml:space="preserve">, so a subdomain cannot set or overwrite it</w:t>
            </w:r>
          </w:p>
        </w:tc>
      </w:tr>
      <w:tr>
        <w:tc>
          <w:tcPr/>
          <w:p>
            <w:pPr>
              <w:pStyle w:val="Compact"/>
              <w:jc w:val="left"/>
            </w:pPr>
            <w:r>
              <w:rPr>
                <w:rStyle w:val="VerbatimChar"/>
              </w:rPr>
              <w:t xml:space="preserve">HttpOnly</w:t>
            </w:r>
          </w:p>
        </w:tc>
        <w:tc>
          <w:tcPr/>
          <w:p>
            <w:pPr>
              <w:pStyle w:val="Compact"/>
              <w:jc w:val="left"/>
            </w:pPr>
            <w:r>
              <w:t xml:space="preserve">Yes</w:t>
            </w:r>
          </w:p>
        </w:tc>
        <w:tc>
          <w:tcPr/>
          <w:p>
            <w:pPr>
              <w:pStyle w:val="Compact"/>
              <w:jc w:val="left"/>
            </w:pPr>
            <w:r>
              <w:t xml:space="preserve">Prevents JavaScript from reading the cookie value, which is the primary control this pattern provides</w:t>
            </w:r>
          </w:p>
        </w:tc>
      </w:tr>
      <w:tr>
        <w:tc>
          <w:tcPr/>
          <w:p>
            <w:pPr>
              <w:pStyle w:val="Compact"/>
              <w:jc w:val="left"/>
            </w:pPr>
            <w:r>
              <w:rPr>
                <w:rStyle w:val="VerbatimChar"/>
              </w:rPr>
              <w:t xml:space="preserve">Secure</w:t>
            </w:r>
          </w:p>
        </w:tc>
        <w:tc>
          <w:tcPr/>
          <w:p>
            <w:pPr>
              <w:pStyle w:val="Compact"/>
              <w:jc w:val="left"/>
            </w:pPr>
            <w:r>
              <w:t xml:space="preserve">Yes</w:t>
            </w:r>
          </w:p>
        </w:tc>
        <w:tc>
          <w:tcPr/>
          <w:p>
            <w:pPr>
              <w:pStyle w:val="Compact"/>
            </w:pPr>
          </w:p>
        </w:tc>
      </w:tr>
      <w:tr>
        <w:tc>
          <w:tcPr/>
          <w:p>
            <w:pPr>
              <w:pStyle w:val="Compact"/>
              <w:jc w:val="left"/>
            </w:pPr>
            <w:r>
              <w:rPr>
                <w:rStyle w:val="VerbatimChar"/>
              </w:rPr>
              <w:t xml:space="preserve">SameSite</w:t>
            </w:r>
          </w:p>
        </w:tc>
        <w:tc>
          <w:tcPr/>
          <w:p>
            <w:pPr>
              <w:pStyle w:val="Compact"/>
              <w:jc w:val="left"/>
            </w:pPr>
            <w:r>
              <w:rPr>
                <w:rStyle w:val="VerbatimChar"/>
                <w:b/>
                <w:bCs/>
              </w:rPr>
              <w:t xml:space="preserve">Lax</w:t>
            </w:r>
          </w:p>
        </w:tc>
        <w:tc>
          <w:tcPr/>
          <w:p>
            <w:pPr>
              <w:pStyle w:val="Compact"/>
              <w:jc w:val="left"/>
            </w:pPr>
            <w:r>
              <w:rPr>
                <w:b/>
                <w:bCs/>
              </w:rPr>
              <w:t xml:space="preserve">Not</w:t>
            </w:r>
            <w:r>
              <w:rPr>
                <w:b/>
                <w:bCs/>
              </w:rPr>
              <w:t xml:space="preserve"> </w:t>
            </w:r>
            <w:r>
              <w:rPr>
                <w:rStyle w:val="VerbatimChar"/>
                <w:b/>
                <w:bCs/>
              </w:rPr>
              <w:t xml:space="preserve">Strict</w:t>
            </w:r>
            <w:r>
              <w:rPr>
                <w:b/>
                <w:bCs/>
              </w:rPr>
              <w:t xml:space="preserve">.</w:t>
            </w:r>
            <w:r>
              <w:t xml:space="preserve"> </w:t>
            </w:r>
            <w:r>
              <w:rPr>
                <w:rStyle w:val="VerbatimChar"/>
              </w:rPr>
              <w:t xml:space="preserve">Strict</w:t>
            </w:r>
            <w:r>
              <w:t xml:space="preserve"> </w:t>
            </w:r>
            <w:r>
              <w:t xml:space="preserve">drops the cookie on the return leg of the Entra redirect and the login loops</w:t>
            </w:r>
          </w:p>
        </w:tc>
      </w:tr>
      <w:tr>
        <w:tc>
          <w:tcPr/>
          <w:p>
            <w:pPr>
              <w:pStyle w:val="Compact"/>
              <w:jc w:val="left"/>
            </w:pPr>
            <w:r>
              <w:t xml:space="preserve">Value</w:t>
            </w:r>
          </w:p>
        </w:tc>
        <w:tc>
          <w:tcPr/>
          <w:p>
            <w:pPr>
              <w:pStyle w:val="Compact"/>
              <w:jc w:val="left"/>
            </w:pPr>
            <w:r>
              <w:rPr>
                <w:b/>
                <w:bCs/>
              </w:rPr>
              <w:t xml:space="preserve">256 bits</w:t>
            </w:r>
            <w:r>
              <w:t xml:space="preserve"> </w:t>
            </w:r>
            <w:r>
              <w:t xml:space="preserve">of cryptographic randomness, base64url encoded</w:t>
            </w:r>
          </w:p>
        </w:tc>
        <w:tc>
          <w:tcPr/>
          <w:p>
            <w:pPr>
              <w:pStyle w:val="Compact"/>
              <w:jc w:val="left"/>
            </w:pPr>
            <w:r>
              <w:t xml:space="preserve">Not a JWT, not guessable, carries no data</w:t>
            </w:r>
          </w:p>
        </w:tc>
      </w:tr>
      <w:tr>
        <w:tc>
          <w:tcPr/>
          <w:p>
            <w:pPr>
              <w:pStyle w:val="Compact"/>
              <w:jc w:val="left"/>
            </w:pPr>
            <w:r>
              <w:t xml:space="preserve">Path</w:t>
            </w:r>
          </w:p>
        </w:tc>
        <w:tc>
          <w:tcPr/>
          <w:p>
            <w:pPr>
              <w:pStyle w:val="Compact"/>
              <w:jc w:val="left"/>
            </w:pPr>
            <w:r>
              <w:rPr>
                <w:rStyle w:val="VerbatimChar"/>
              </w:rPr>
              <w:t xml:space="preserve">/</w:t>
            </w:r>
          </w:p>
        </w:tc>
        <w:tc>
          <w:tcPr/>
          <w:p>
            <w:pPr>
              <w:pStyle w:val="Compact"/>
              <w:jc w:val="left"/>
            </w:pPr>
            <w:r>
              <w:t xml:space="preserve">Required by the</w:t>
            </w:r>
            <w:r>
              <w:t xml:space="preserve"> </w:t>
            </w:r>
            <w:r>
              <w:rPr>
                <w:rStyle w:val="VerbatimChar"/>
              </w:rPr>
              <w:t xml:space="preserve">__Host-</w:t>
            </w:r>
            <w:r>
              <w:t xml:space="preserve"> </w:t>
            </w:r>
            <w:r>
              <w:t xml:space="preserve">prefix</w:t>
            </w:r>
          </w:p>
        </w:tc>
      </w:tr>
    </w:tbl>
    <w:p>
      <w:pPr>
        <w:pStyle w:val="BodyText"/>
      </w:pPr>
      <w:r>
        <w:rPr>
          <w:b/>
          <w:bCs/>
        </w:rPr>
        <w:t xml:space="preserve">The identifier is accepted from the cookie and nowhere else</w:t>
      </w:r>
      <w:r>
        <w:t xml:space="preserve"> </w:t>
      </w:r>
      <w:r>
        <w:t xml:space="preserve">— not a URL parameter, not a header, not a request body. Anything else is a session-fixation vector and puts the identifier into logs and referer headers.</w:t>
      </w:r>
    </w:p>
    <w:bookmarkEnd w:id="115"/>
    <w:bookmarkStart w:id="118" w:name="session-store-firestore"/>
    <w:p>
      <w:pPr>
        <w:pStyle w:val="Heading2"/>
      </w:pPr>
      <w:r>
        <w:t xml:space="preserve">6.4 Session store — Firestore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Notes</w:t>
            </w:r>
          </w:p>
        </w:tc>
      </w:tr>
      <w:tr>
        <w:tc>
          <w:tcPr/>
          <w:p>
            <w:pPr>
              <w:pStyle w:val="Compact"/>
              <w:jc w:val="left"/>
            </w:pPr>
            <w:r>
              <w:t xml:space="preserve">Document identifier</w:t>
            </w:r>
          </w:p>
        </w:tc>
        <w:tc>
          <w:tcPr/>
          <w:p>
            <w:pPr>
              <w:pStyle w:val="Compact"/>
              <w:jc w:val="left"/>
            </w:pPr>
            <w:r>
              <w:rPr>
                <w:rStyle w:val="VerbatimChar"/>
                <w:b/>
                <w:bCs/>
              </w:rPr>
              <w:t xml:space="preserve">SHA-256(session_id)</w:t>
            </w:r>
            <w:r>
              <w:t xml:space="preserve"> </w:t>
            </w:r>
            <w:r>
              <w:t xml:space="preserve">— never the identifier itself, so a read of the database does not yield a usable cookie</w:t>
            </w:r>
          </w:p>
        </w:tc>
      </w:tr>
      <w:tr>
        <w:tc>
          <w:tcPr/>
          <w:p>
            <w:pPr>
              <w:pStyle w:val="Compact"/>
              <w:jc w:val="left"/>
            </w:pPr>
            <w:r>
              <w:rPr>
                <w:rStyle w:val="VerbatimChar"/>
              </w:rPr>
              <w:t xml:space="preserve">oid</w:t>
            </w:r>
          </w:p>
        </w:tc>
        <w:tc>
          <w:tcPr/>
          <w:p>
            <w:pPr>
              <w:pStyle w:val="Compact"/>
              <w:jc w:val="left"/>
            </w:pPr>
            <w:r>
              <w:t xml:space="preserve">The rate-limiting and attribution key</w:t>
            </w:r>
          </w:p>
        </w:tc>
      </w:tr>
      <w:tr>
        <w:tc>
          <w:tcPr/>
          <w:p>
            <w:pPr>
              <w:pStyle w:val="Compact"/>
              <w:jc w:val="left"/>
            </w:pPr>
            <w:r>
              <w:rPr>
                <w:rStyle w:val="VerbatimChar"/>
              </w:rPr>
              <w:t xml:space="preserve">email</w:t>
            </w:r>
            <w:r>
              <w:t xml:space="preserve">,</w:t>
            </w:r>
            <w:r>
              <w:t xml:space="preserve"> </w:t>
            </w:r>
            <w:r>
              <w:rPr>
                <w:rStyle w:val="VerbatimChar"/>
              </w:rPr>
              <w:t xml:space="preserve">department</w:t>
            </w:r>
          </w:p>
        </w:tc>
        <w:tc>
          <w:tcPr/>
          <w:p>
            <w:pPr>
              <w:pStyle w:val="Compact"/>
              <w:jc w:val="left"/>
            </w:pPr>
            <w:r>
              <w:t xml:space="preserve">Context and reporting</w:t>
            </w:r>
          </w:p>
        </w:tc>
      </w:tr>
      <w:tr>
        <w:tc>
          <w:tcPr/>
          <w:p>
            <w:pPr>
              <w:pStyle w:val="Compact"/>
              <w:jc w:val="left"/>
            </w:pPr>
            <w:r>
              <w:rPr>
                <w:rStyle w:val="VerbatimChar"/>
              </w:rPr>
              <w:t xml:space="preserve">roles[]</w:t>
            </w:r>
          </w:p>
        </w:tc>
        <w:tc>
          <w:tcPr/>
          <w:p>
            <w:pPr>
              <w:pStyle w:val="Compact"/>
              <w:jc w:val="left"/>
            </w:pPr>
            <w:r>
              <w:t xml:space="preserve">Cached from the token</w:t>
            </w:r>
            <w:r>
              <w:t xml:space="preserve"> </w:t>
            </w:r>
            <w:r>
              <w:rPr>
                <w:b/>
                <w:bCs/>
              </w:rPr>
              <w:t xml:space="preserve">for logging only</w:t>
            </w:r>
            <w:r>
              <w:t xml:space="preserve">. Apigee remains the authority</w:t>
            </w:r>
          </w:p>
        </w:tc>
      </w:tr>
      <w:tr>
        <w:tc>
          <w:tcPr/>
          <w:p>
            <w:pPr>
              <w:pStyle w:val="Compact"/>
              <w:jc w:val="left"/>
            </w:pPr>
            <w:r>
              <w:rPr>
                <w:rStyle w:val="VerbatimChar"/>
              </w:rPr>
              <w:t xml:space="preserve">access_token</w:t>
            </w:r>
          </w:p>
        </w:tc>
        <w:tc>
          <w:tcPr/>
          <w:p>
            <w:pPr>
              <w:pStyle w:val="Compact"/>
              <w:jc w:val="left"/>
            </w:pPr>
            <w:r>
              <w:t xml:space="preserve">Encrypted — see Envelope encryption below</w:t>
            </w:r>
          </w:p>
        </w:tc>
      </w:tr>
      <w:tr>
        <w:tc>
          <w:tcPr/>
          <w:p>
            <w:pPr>
              <w:pStyle w:val="Compact"/>
              <w:jc w:val="left"/>
            </w:pPr>
            <w:r>
              <w:rPr>
                <w:rStyle w:val="VerbatimChar"/>
              </w:rPr>
              <w:t xml:space="preserve">refresh_token</w:t>
            </w:r>
          </w:p>
        </w:tc>
        <w:tc>
          <w:tcPr/>
          <w:p>
            <w:pPr>
              <w:pStyle w:val="Compact"/>
              <w:jc w:val="left"/>
            </w:pPr>
            <w:r>
              <w:t xml:space="preserve">Encrypted — see Envelope encryption below</w:t>
            </w:r>
          </w:p>
        </w:tc>
      </w:tr>
      <w:tr>
        <w:tc>
          <w:tcPr/>
          <w:p>
            <w:pPr>
              <w:pStyle w:val="Compact"/>
              <w:jc w:val="left"/>
            </w:pPr>
            <w:r>
              <w:rPr>
                <w:rStyle w:val="VerbatimChar"/>
              </w:rPr>
              <w:t xml:space="preserve">access_expires_at</w:t>
            </w:r>
          </w:p>
        </w:tc>
        <w:tc>
          <w:tcPr/>
          <w:p>
            <w:pPr>
              <w:pStyle w:val="Compact"/>
              <w:jc w:val="left"/>
            </w:pPr>
            <w:r>
              <w:t xml:space="preserve">Drives proactive refresh at 80% of lifetime, per PR-15 (session lifetimes)</w:t>
            </w:r>
          </w:p>
        </w:tc>
      </w:tr>
      <w:tr>
        <w:tc>
          <w:tcPr/>
          <w:p>
            <w:pPr>
              <w:pStyle w:val="Compact"/>
              <w:jc w:val="left"/>
            </w:pPr>
            <w:r>
              <w:rPr>
                <w:rStyle w:val="VerbatimChar"/>
              </w:rPr>
              <w:t xml:space="preserve">absolute_expires_at</w:t>
            </w:r>
          </w:p>
        </w:tc>
        <w:tc>
          <w:tcPr/>
          <w:p>
            <w:pPr>
              <w:pStyle w:val="Compact"/>
              <w:jc w:val="left"/>
            </w:pPr>
            <w:r>
              <w:t xml:space="preserve">8 hours from authentication. Also the TTL policy field</w:t>
            </w:r>
          </w:p>
        </w:tc>
      </w:tr>
      <w:tr>
        <w:tc>
          <w:tcPr/>
          <w:p>
            <w:pPr>
              <w:pStyle w:val="Compact"/>
              <w:jc w:val="left"/>
            </w:pPr>
            <w:r>
              <w:rPr>
                <w:rStyle w:val="VerbatimChar"/>
              </w:rPr>
              <w:t xml:space="preserve">last_seen_at</w:t>
            </w:r>
          </w:p>
        </w:tc>
        <w:tc>
          <w:tcPr/>
          <w:p>
            <w:pPr>
              <w:pStyle w:val="Compact"/>
              <w:jc w:val="left"/>
            </w:pPr>
            <w:r>
              <w:t xml:space="preserve">Idle timeout.</w:t>
            </w:r>
            <w:r>
              <w:t xml:space="preserve"> </w:t>
            </w:r>
            <w:r>
              <w:rPr>
                <w:b/>
                <w:bCs/>
              </w:rPr>
              <w:t xml:space="preserve">Write throttled to once per minute</w:t>
            </w:r>
            <w:r>
              <w:t xml:space="preserve">, per TR-22 (Firestore session write throttling)</w:t>
            </w:r>
          </w:p>
        </w:tc>
      </w:tr>
      <w:tr>
        <w:tc>
          <w:tcPr/>
          <w:p>
            <w:pPr>
              <w:pStyle w:val="Compact"/>
              <w:jc w:val="left"/>
            </w:pPr>
            <w:r>
              <w:rPr>
                <w:rStyle w:val="VerbatimChar"/>
              </w:rPr>
              <w:t xml:space="preserve">refresh_lease_until</w:t>
            </w:r>
          </w:p>
        </w:tc>
        <w:tc>
          <w:tcPr/>
          <w:p>
            <w:pPr>
              <w:pStyle w:val="Compact"/>
              <w:jc w:val="left"/>
            </w:pPr>
            <w:r>
              <w:t xml:space="preserve">The refresh lease — see Refresh stampede below</w:t>
            </w:r>
          </w:p>
        </w:tc>
      </w:tr>
      <w:tr>
        <w:tc>
          <w:tcPr/>
          <w:p>
            <w:pPr>
              <w:pStyle w:val="Compact"/>
              <w:jc w:val="left"/>
            </w:pPr>
            <w:r>
              <w:rPr>
                <w:rStyle w:val="VerbatimChar"/>
              </w:rPr>
              <w:t xml:space="preserve">superseded_by</w:t>
            </w:r>
          </w:p>
        </w:tc>
        <w:tc>
          <w:tcPr/>
          <w:p>
            <w:pPr>
              <w:pStyle w:val="Compact"/>
              <w:jc w:val="left"/>
            </w:pPr>
            <w:r>
              <w:t xml:space="preserve">Set during rotation with a 30-second expiry, per PR-16 (session rotation grace window)</w:t>
            </w:r>
          </w:p>
        </w:tc>
      </w:tr>
      <w:tr>
        <w:tc>
          <w:tcPr/>
          <w:p>
            <w:pPr>
              <w:pStyle w:val="Compact"/>
              <w:jc w:val="left"/>
            </w:pPr>
            <w:r>
              <w:rPr>
                <w:rStyle w:val="VerbatimChar"/>
              </w:rPr>
              <w:t xml:space="preserve">csrf_token</w:t>
            </w:r>
          </w:p>
        </w:tc>
        <w:tc>
          <w:tcPr/>
          <w:p>
            <w:pPr>
              <w:pStyle w:val="Compact"/>
              <w:jc w:val="left"/>
            </w:pPr>
            <w:r>
              <w:t xml:space="preserve">256-bit random value, issued with the session and reissued on rotation — see</w:t>
            </w:r>
            <w:r>
              <w:t xml:space="preserve"> </w:t>
            </w:r>
            <w:r>
              <w:rPr>
                <w:b/>
                <w:bCs/>
              </w:rPr>
              <w:t xml:space="preserve">Cross-Site Request Forgery</w:t>
            </w:r>
            <w:r>
              <w:t xml:space="preserve"> </w:t>
            </w:r>
            <w:r>
              <w:t xml:space="preserve">below</w:t>
            </w:r>
          </w:p>
        </w:tc>
      </w:tr>
    </w:tbl>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Configuration</w:t>
            </w:r>
          </w:p>
        </w:tc>
        <w:tc>
          <w:tcPr>
            <w:shd w:val="clear" w:color="auto" w:fill="1F3864"/>
          </w:tcPr>
          <w:p>
            <w:pPr>
              <w:pStyle w:val="Compact"/>
              <w:jc w:val="left"/>
            </w:pPr>
            <w:r>
              <w:rPr>
                <w:b/>
                <w:color w:val="FFFFFF"/>
              </w:rPr>
              <w:t xml:space="preserve">Value</w:t>
            </w:r>
          </w:p>
        </w:tc>
      </w:tr>
      <w:tr>
        <w:tc>
          <w:tcPr/>
          <w:p>
            <w:pPr>
              <w:pStyle w:val="Compact"/>
              <w:jc w:val="left"/>
            </w:pPr>
            <w:r>
              <w:t xml:space="preserve">Mode</w:t>
            </w:r>
          </w:p>
        </w:tc>
        <w:tc>
          <w:tcPr/>
          <w:p>
            <w:pPr>
              <w:pStyle w:val="Compact"/>
              <w:jc w:val="left"/>
            </w:pPr>
            <w:r>
              <w:rPr>
                <w:b/>
                <w:bCs/>
              </w:rPr>
              <w:t xml:space="preserve">Native</w:t>
            </w:r>
          </w:p>
        </w:tc>
      </w:tr>
      <w:tr>
        <w:tc>
          <w:tcPr/>
          <w:p>
            <w:pPr>
              <w:pStyle w:val="Compact"/>
              <w:jc w:val="left"/>
            </w:pPr>
            <w:r>
              <w:t xml:space="preserve">Location</w:t>
            </w:r>
          </w:p>
        </w:tc>
        <w:tc>
          <w:tcPr/>
          <w:p>
            <w:pPr>
              <w:pStyle w:val="Compact"/>
              <w:jc w:val="left"/>
            </w:pPr>
            <w:r>
              <w:rPr>
                <w:rStyle w:val="VerbatimChar"/>
              </w:rPr>
              <w:t xml:space="preserve">europe-west1</w:t>
            </w:r>
          </w:p>
        </w:tc>
      </w:tr>
      <w:tr>
        <w:tc>
          <w:tcPr/>
          <w:p>
            <w:pPr>
              <w:pStyle w:val="Compact"/>
              <w:jc w:val="left"/>
            </w:pPr>
            <w:r>
              <w:t xml:space="preserve">Encryption</w:t>
            </w:r>
          </w:p>
        </w:tc>
        <w:tc>
          <w:tcPr/>
          <w:p>
            <w:pPr>
              <w:pStyle w:val="Compact"/>
              <w:jc w:val="left"/>
            </w:pPr>
            <w:r>
              <w:rPr>
                <w:b/>
                <w:bCs/>
              </w:rPr>
              <w:t xml:space="preserve">CMEK</w:t>
            </w:r>
            <w:r>
              <w:t xml:space="preserve">, key from the AI Hub key ring</w:t>
            </w:r>
          </w:p>
        </w:tc>
      </w:tr>
      <w:tr>
        <w:tc>
          <w:tcPr/>
          <w:p>
            <w:pPr>
              <w:pStyle w:val="Compact"/>
              <w:jc w:val="left"/>
            </w:pPr>
            <w:r>
              <w:t xml:space="preserve">Database identifier</w:t>
            </w:r>
          </w:p>
        </w:tc>
        <w:tc>
          <w:tcPr/>
          <w:p>
            <w:pPr>
              <w:pStyle w:val="Compact"/>
              <w:jc w:val="left"/>
            </w:pPr>
            <w:r>
              <w:rPr>
                <w:rStyle w:val="VerbatimChar"/>
              </w:rPr>
              <w:t xml:space="preserve">(default)</w:t>
            </w:r>
          </w:p>
        </w:tc>
      </w:tr>
      <w:tr>
        <w:tc>
          <w:tcPr/>
          <w:p>
            <w:pPr>
              <w:pStyle w:val="Compact"/>
              <w:jc w:val="left"/>
            </w:pPr>
            <w:r>
              <w:t xml:space="preserve">TTL policy</w:t>
            </w:r>
          </w:p>
        </w:tc>
        <w:tc>
          <w:tcPr/>
          <w:p>
            <w:pPr>
              <w:pStyle w:val="Compact"/>
              <w:jc w:val="left"/>
            </w:pPr>
            <w:r>
              <w:t xml:space="preserve">Collection</w:t>
            </w:r>
            <w:r>
              <w:t xml:space="preserve"> </w:t>
            </w:r>
            <w:r>
              <w:rPr>
                <w:rStyle w:val="VerbatimChar"/>
              </w:rPr>
              <w:t xml:space="preserve">sessions</w:t>
            </w:r>
            <w:r>
              <w:t xml:space="preserve">, field</w:t>
            </w:r>
            <w:r>
              <w:t xml:space="preserve"> </w:t>
            </w:r>
            <w:r>
              <w:rPr>
                <w:rStyle w:val="VerbatimChar"/>
              </w:rPr>
              <w:t xml:space="preserve">absolute_expires_at</w:t>
            </w:r>
          </w:p>
        </w:tc>
      </w:tr>
      <w:tr>
        <w:tc>
          <w:tcPr/>
          <w:p>
            <w:pPr>
              <w:pStyle w:val="Compact"/>
              <w:jc w:val="left"/>
            </w:pPr>
            <w:r>
              <w:t xml:space="preserve">Reached over</w:t>
            </w:r>
          </w:p>
        </w:tc>
        <w:tc>
          <w:tcPr/>
          <w:p>
            <w:pPr>
              <w:pStyle w:val="Compact"/>
              <w:jc w:val="left"/>
            </w:pPr>
            <w:r>
              <w:t xml:space="preserve">The existing PSC endpoint at</w:t>
            </w:r>
            <w:r>
              <w:t xml:space="preserve"> </w:t>
            </w:r>
            <w:r>
              <w:rPr>
                <w:rStyle w:val="VerbatimChar"/>
              </w:rPr>
              <w:t xml:space="preserve">192.168.6.164</w:t>
            </w:r>
            <w:r>
              <w:t xml:space="preserve"> </w:t>
            </w:r>
            <w:r>
              <w:t xml:space="preserve">— no new networking</w:t>
            </w:r>
          </w:p>
        </w:tc>
      </w:tr>
    </w:tbl>
    <w:p>
      <w:pPr>
        <w:pStyle w:val="BodyText"/>
      </w:pPr>
      <w:r>
        <w:rPr>
          <w:b/>
          <w:bCs/>
        </w:rPr>
        <w:t xml:space="preserve">Collections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Collection</w:t>
            </w:r>
          </w:p>
        </w:tc>
        <w:tc>
          <w:tcPr>
            <w:shd w:val="clear" w:color="auto" w:fill="1F3864"/>
          </w:tcPr>
          <w:p>
            <w:pPr>
              <w:pStyle w:val="Compact"/>
              <w:jc w:val="left"/>
            </w:pPr>
            <w:r>
              <w:rPr>
                <w:b/>
                <w:color w:val="FFFFFF"/>
              </w:rPr>
              <w:t xml:space="preserve">Holds</w:t>
            </w:r>
          </w:p>
        </w:tc>
        <w:tc>
          <w:tcPr>
            <w:shd w:val="clear" w:color="auto" w:fill="1F3864"/>
          </w:tcPr>
          <w:p>
            <w:pPr>
              <w:pStyle w:val="Compact"/>
              <w:jc w:val="left"/>
            </w:pPr>
            <w:r>
              <w:rPr>
                <w:b/>
                <w:color w:val="FFFFFF"/>
              </w:rPr>
              <w:t xml:space="preserve">Written by</w:t>
            </w:r>
          </w:p>
        </w:tc>
      </w:tr>
      <w:tr>
        <w:tc>
          <w:tcPr/>
          <w:p>
            <w:pPr>
              <w:pStyle w:val="Compact"/>
              <w:jc w:val="left"/>
            </w:pPr>
            <w:r>
              <w:rPr>
                <w:rStyle w:val="VerbatimChar"/>
              </w:rPr>
              <w:t xml:space="preserve">sessions</w:t>
            </w:r>
          </w:p>
        </w:tc>
        <w:tc>
          <w:tcPr/>
          <w:p>
            <w:pPr>
              <w:pStyle w:val="Compact"/>
              <w:jc w:val="left"/>
            </w:pPr>
            <w:r>
              <w:t xml:space="preserve">One document per active session, keyed on the hash of the session identifier</w:t>
            </w:r>
          </w:p>
        </w:tc>
        <w:tc>
          <w:tcPr/>
          <w:p>
            <w:pPr>
              <w:pStyle w:val="Compact"/>
              <w:jc w:val="left"/>
            </w:pPr>
            <w:r>
              <w:t xml:space="preserve">The Backend-for-Frontend</w:t>
            </w:r>
          </w:p>
        </w:tc>
      </w:tr>
      <w:tr>
        <w:tc>
          <w:tcPr/>
          <w:p>
            <w:pPr>
              <w:pStyle w:val="Compact"/>
              <w:jc w:val="left"/>
            </w:pPr>
            <w:r>
              <w:rPr>
                <w:rStyle w:val="VerbatimChar"/>
              </w:rPr>
              <w:t xml:space="preserve">jobs</w:t>
            </w:r>
          </w:p>
        </w:tc>
        <w:tc>
          <w:tcPr/>
          <w:p>
            <w:pPr>
              <w:pStyle w:val="Compact"/>
              <w:jc w:val="left"/>
            </w:pPr>
            <w:r>
              <w:t xml:space="preserve">Asynchronous translation and research jobs, carrying the user identity captured at creation,</w:t>
            </w:r>
            <w:r>
              <w:t xml:space="preserve"> </w:t>
            </w:r>
            <w:r>
              <w:rPr>
                <w:b/>
                <w:bCs/>
              </w:rPr>
              <w:t xml:space="preserve">immutable after write</w:t>
            </w:r>
          </w:p>
        </w:tc>
        <w:tc>
          <w:tcPr/>
          <w:p>
            <w:pPr>
              <w:pStyle w:val="Compact"/>
              <w:jc w:val="left"/>
            </w:pPr>
            <w:r>
              <w:rPr>
                <w:rStyle w:val="VerbatimChar"/>
              </w:rPr>
              <w:t xml:space="preserve">translation-api-service</w:t>
            </w:r>
          </w:p>
        </w:tc>
      </w:tr>
      <w:tr>
        <w:tc>
          <w:tcPr/>
          <w:p>
            <w:pPr>
              <w:pStyle w:val="Compact"/>
              <w:jc w:val="left"/>
            </w:pPr>
            <w:r>
              <w:rPr>
                <w:rStyle w:val="VerbatimChar"/>
              </w:rPr>
              <w:t xml:space="preserve">idempotency</w:t>
            </w:r>
          </w:p>
        </w:tc>
        <w:tc>
          <w:tcPr/>
          <w:p>
            <w:pPr>
              <w:pStyle w:val="Compact"/>
              <w:jc w:val="left"/>
            </w:pPr>
            <w:r>
              <w:t xml:space="preserve">Client-supplied keys, so a retried submission does not run twice</w:t>
            </w:r>
          </w:p>
        </w:tc>
        <w:tc>
          <w:tcPr/>
          <w:p>
            <w:pPr>
              <w:pStyle w:val="Compact"/>
              <w:jc w:val="left"/>
            </w:pPr>
            <w:r>
              <w:rPr>
                <w:rStyle w:val="VerbatimChar"/>
              </w:rPr>
              <w:t xml:space="preserve">translation-api-service</w:t>
            </w:r>
          </w:p>
        </w:tc>
      </w:tr>
    </w:tbl>
    <w:bookmarkStart w:id="116" w:name="Xb9fecfc6f371c972fc94bb2a06ae0a2bfe333bc"/>
    <w:p>
      <w:pPr>
        <w:pStyle w:val="Heading3"/>
      </w:pPr>
      <w:r>
        <w:t xml:space="preserve">6.4.1 Envelope encryption — implementation constraint</w:t>
      </w:r>
    </w:p>
    <w:p>
      <w:pPr>
        <w:pStyle w:val="FirstParagraph"/>
      </w:pPr>
      <w:r>
        <w:t xml:space="preserve">A literal implementation of envelope encryption — a Cloud KMS decrypt call on every session read — is precluded by TR-23 (no KMS round trip on the request path): it would add a network round trip and 10 to 30 ms to every API request, and it would consume KMS cryptographic-operations quota at the platform’s full request rate.</w:t>
      </w:r>
    </w:p>
    <w:p>
      <w:pPr>
        <w:pStyle w:val="BodyText"/>
      </w:pPr>
      <w:r>
        <w:rPr>
          <w:b/>
          <w:bCs/>
        </w:rPr>
        <w:t xml:space="preserve">Decision: a cached data encryption key (DEK), wrapped by KMS and rotated on a schedule.</w:t>
      </w:r>
      <w:r>
        <w:t xml:space="preserve"> </w:t>
      </w:r>
      <w:r>
        <w:t xml:space="preserve">Each instance holds the unwrapped DEK in memory for its lifetime, so KMS is called on instance start and on rotation — never on the request path.</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Aspect</w:t>
            </w:r>
          </w:p>
        </w:tc>
        <w:tc>
          <w:tcPr>
            <w:shd w:val="clear" w:color="auto" w:fill="1F3864"/>
          </w:tcPr>
          <w:p>
            <w:pPr>
              <w:pStyle w:val="Compact"/>
              <w:jc w:val="left"/>
            </w:pPr>
            <w:r>
              <w:rPr>
                <w:b/>
                <w:color w:val="FFFFFF"/>
              </w:rPr>
              <w:t xml:space="preserve">Detail</w:t>
            </w:r>
          </w:p>
        </w:tc>
      </w:tr>
      <w:tr>
        <w:tc>
          <w:tcPr/>
          <w:p>
            <w:pPr>
              <w:pStyle w:val="Compact"/>
              <w:jc w:val="left"/>
            </w:pPr>
            <w:r>
              <w:t xml:space="preserve">KMS call frequency</w:t>
            </w:r>
          </w:p>
        </w:tc>
        <w:tc>
          <w:tcPr/>
          <w:p>
            <w:pPr>
              <w:pStyle w:val="Compact"/>
              <w:jc w:val="left"/>
            </w:pPr>
            <w:r>
              <w:t xml:space="preserve">Instance start and scheduled key rotation only. Never per request</w:t>
            </w:r>
          </w:p>
        </w:tc>
      </w:tr>
      <w:tr>
        <w:tc>
          <w:tcPr/>
          <w:p>
            <w:pPr>
              <w:pStyle w:val="Compact"/>
              <w:jc w:val="left"/>
            </w:pPr>
            <w:r>
              <w:t xml:space="preserve">Held in memory</w:t>
            </w:r>
          </w:p>
        </w:tc>
        <w:tc>
          <w:tcPr/>
          <w:p>
            <w:pPr>
              <w:pStyle w:val="Compact"/>
              <w:jc w:val="left"/>
            </w:pPr>
            <w:r>
              <w:t xml:space="preserve">The unwrapped DEK, for the lifetime of the instance</w:t>
            </w:r>
          </w:p>
        </w:tc>
      </w:tr>
      <w:tr>
        <w:tc>
          <w:tcPr/>
          <w:p>
            <w:pPr>
              <w:pStyle w:val="Compact"/>
              <w:jc w:val="left"/>
            </w:pPr>
            <w:r>
              <w:t xml:space="preserve">Encrypted with the DEK</w:t>
            </w:r>
          </w:p>
        </w:tc>
        <w:tc>
          <w:tcPr/>
          <w:p>
            <w:pPr>
              <w:pStyle w:val="Compact"/>
              <w:jc w:val="left"/>
            </w:pPr>
            <w:r>
              <w:t xml:space="preserve">The access and refresh tokens within the session document, before write</w:t>
            </w:r>
          </w:p>
        </w:tc>
      </w:tr>
      <w:tr>
        <w:tc>
          <w:tcPr/>
          <w:p>
            <w:pPr>
              <w:pStyle w:val="Compact"/>
              <w:jc w:val="left"/>
            </w:pPr>
            <w:r>
              <w:t xml:space="preserve">Rotation</w:t>
            </w:r>
          </w:p>
        </w:tc>
        <w:tc>
          <w:tcPr/>
          <w:p>
            <w:pPr>
              <w:pStyle w:val="Compact"/>
              <w:jc w:val="left"/>
            </w:pPr>
            <w:r>
              <w:t xml:space="preserve">On a fixed schedule. A rotated key re-wraps the DEK; sessions written under a prior key version remain decryptable against the version recorded with them</w:t>
            </w:r>
          </w:p>
        </w:tc>
      </w:tr>
    </w:tbl>
    <w:bookmarkEnd w:id="116"/>
    <w:bookmarkStart w:id="117" w:name="X0300731d09e766589943c667d17fabd9f050501"/>
    <w:p>
      <w:pPr>
        <w:pStyle w:val="Heading3"/>
      </w:pPr>
      <w:r>
        <w:t xml:space="preserve">6.4.2 The two Firestore limits that shape this design</w:t>
      </w:r>
    </w:p>
    <w:p>
      <w:pPr>
        <w:pStyle w:val="FirstParagraph"/>
      </w:pPr>
      <w:r>
        <w:rPr>
          <w:b/>
          <w:bCs/>
        </w:rPr>
        <w:t xml:space="preserve">Firestore sustains roughly one write per second to a single document.</w:t>
      </w:r>
      <w:r>
        <w:t xml:space="preserve"> </w:t>
      </w:r>
      <w:r>
        <w:t xml:space="preserve">The session document is written on every refresh and on every last-seen update.</w:t>
      </w:r>
      <w:r>
        <w:t xml:space="preserve"> </w:t>
      </w:r>
      <w:r>
        <w:rPr>
          <w:b/>
          <w:bCs/>
        </w:rPr>
        <w:t xml:space="preserve">The last-seen timestamp must be throttled to once per minute</w:t>
      </w:r>
      <w:r>
        <w:t xml:space="preserve"> </w:t>
      </w:r>
      <w:r>
        <w:t xml:space="preserve">(TR-22, Firestore session write throttling), or an active session hits this limit and writes begin to fail.</w:t>
      </w:r>
    </w:p>
    <w:p>
      <w:pPr>
        <w:pStyle w:val="BodyText"/>
      </w:pPr>
      <w:r>
        <w:rPr>
          <w:b/>
          <w:bCs/>
        </w:rPr>
        <w:t xml:space="preserve">Firestore TTL deletion lags by up to 24 hours.</w:t>
      </w:r>
      <w:r>
        <w:t xml:space="preserve"> </w:t>
      </w:r>
      <w:r>
        <w:t xml:space="preserve">TTL policy is a housekeeping mechanism, not an enforcement mechanism. The Backend-for-Frontend must check</w:t>
      </w:r>
      <w:r>
        <w:t xml:space="preserve"> </w:t>
      </w:r>
      <w:r>
        <w:rPr>
          <w:rStyle w:val="VerbatimChar"/>
        </w:rPr>
        <w:t xml:space="preserve">absolute_expires_at</w:t>
      </w:r>
      <w:r>
        <w:t xml:space="preserve"> </w:t>
      </w:r>
      <w:r>
        <w:t xml:space="preserve">and</w:t>
      </w:r>
      <w:r>
        <w:t xml:space="preserve"> </w:t>
      </w:r>
      <w:r>
        <w:rPr>
          <w:rStyle w:val="VerbatimChar"/>
        </w:rPr>
        <w:t xml:space="preserve">last_seen_at</w:t>
      </w:r>
      <w:r>
        <w:t xml:space="preserve"> </w:t>
      </w:r>
      <w:r>
        <w:t xml:space="preserve">on every read and reject an expired session itself; a design relying on TTL alone would permit a session to remain valid for up to 24 hours past its stated lifetime.</w:t>
      </w:r>
    </w:p>
    <w:bookmarkEnd w:id="117"/>
    <w:bookmarkEnd w:id="118"/>
    <w:bookmarkStart w:id="123" w:name="session-lifecycle"/>
    <w:p>
      <w:pPr>
        <w:pStyle w:val="Heading2"/>
      </w:pPr>
      <w:r>
        <w:t xml:space="preserve">6.5 Session lifecycle</w:t>
      </w:r>
    </w:p>
    <w:bookmarkStart w:id="119" w:name="logout-across-three-sessions"/>
    <w:p>
      <w:pPr>
        <w:pStyle w:val="Heading3"/>
      </w:pPr>
      <w:r>
        <w:t xml:space="preserve">6.5.1 Logout across three sessions</w:t>
      </w:r>
    </w:p>
    <w:p>
      <w:pPr>
        <w:pStyle w:val="FirstParagraph"/>
      </w:pPr>
      <w:r>
        <w:t xml:space="preserve">Signing in creates</w:t>
      </w:r>
      <w:r>
        <w:t xml:space="preserve"> </w:t>
      </w:r>
      <w:r>
        <w:rPr>
          <w:b/>
          <w:bCs/>
        </w:rPr>
        <w:t xml:space="preserve">three</w:t>
      </w:r>
      <w:r>
        <w:t xml:space="preserve"> </w:t>
      </w:r>
      <w:r>
        <w:t xml:space="preserve">sessions and one stored credential:</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Session</w:t>
            </w:r>
          </w:p>
        </w:tc>
        <w:tc>
          <w:tcPr>
            <w:shd w:val="clear" w:color="auto" w:fill="1F3864"/>
          </w:tcPr>
          <w:p>
            <w:pPr>
              <w:pStyle w:val="Compact"/>
              <w:jc w:val="left"/>
            </w:pPr>
            <w:r>
              <w:rPr>
                <w:b/>
                <w:color w:val="FFFFFF"/>
              </w:rPr>
              <w:t xml:space="preserve">Held where</w:t>
            </w:r>
          </w:p>
        </w:tc>
        <w:tc>
          <w:tcPr>
            <w:shd w:val="clear" w:color="auto" w:fill="1F3864"/>
          </w:tcPr>
          <w:p>
            <w:pPr>
              <w:pStyle w:val="Compact"/>
              <w:jc w:val="left"/>
            </w:pPr>
            <w:r>
              <w:rPr>
                <w:b/>
                <w:color w:val="FFFFFF"/>
              </w:rPr>
              <w:t xml:space="preserve">Created by</w:t>
            </w:r>
          </w:p>
        </w:tc>
      </w:tr>
      <w:tr>
        <w:tc>
          <w:tcPr/>
          <w:p>
            <w:pPr>
              <w:pStyle w:val="Compact"/>
              <w:jc w:val="left"/>
            </w:pPr>
            <w:r>
              <w:t xml:space="preserve">Application session</w:t>
            </w:r>
          </w:p>
        </w:tc>
        <w:tc>
          <w:tcPr/>
          <w:p>
            <w:pPr>
              <w:pStyle w:val="Compact"/>
              <w:jc w:val="left"/>
            </w:pPr>
            <w:r>
              <w:t xml:space="preserve">Firestore document plus the</w:t>
            </w:r>
            <w:r>
              <w:t xml:space="preserve"> </w:t>
            </w:r>
            <w:r>
              <w:rPr>
                <w:rStyle w:val="VerbatimChar"/>
              </w:rPr>
              <w:t xml:space="preserve">__Host-AISESSION</w:t>
            </w:r>
            <w:r>
              <w:t xml:space="preserve"> </w:t>
            </w:r>
            <w:r>
              <w:t xml:space="preserve">cookie</w:t>
            </w:r>
          </w:p>
        </w:tc>
        <w:tc>
          <w:tcPr/>
          <w:p>
            <w:pPr>
              <w:pStyle w:val="Compact"/>
              <w:jc w:val="left"/>
            </w:pPr>
            <w:r>
              <w:t xml:space="preserve">The Backend-for-Frontend</w:t>
            </w:r>
          </w:p>
        </w:tc>
      </w:tr>
      <w:tr>
        <w:tc>
          <w:tcPr/>
          <w:p>
            <w:pPr>
              <w:pStyle w:val="Compact"/>
              <w:jc w:val="left"/>
            </w:pPr>
            <w:r>
              <w:t xml:space="preserve">IAP session</w:t>
            </w:r>
          </w:p>
        </w:tc>
        <w:tc>
          <w:tcPr/>
          <w:p>
            <w:pPr>
              <w:pStyle w:val="Compact"/>
              <w:jc w:val="left"/>
            </w:pPr>
            <w:r>
              <w:t xml:space="preserve">A Google cookie on the platform domain</w:t>
            </w:r>
          </w:p>
        </w:tc>
        <w:tc>
          <w:tcPr/>
          <w:p>
            <w:pPr>
              <w:pStyle w:val="Compact"/>
              <w:jc w:val="left"/>
            </w:pPr>
            <w:r>
              <w:t xml:space="preserve">IAP, after workforce federation</w:t>
            </w:r>
          </w:p>
        </w:tc>
      </w:tr>
      <w:tr>
        <w:tc>
          <w:tcPr/>
          <w:p>
            <w:pPr>
              <w:pStyle w:val="Compact"/>
              <w:jc w:val="left"/>
            </w:pPr>
            <w:r>
              <w:t xml:space="preserve">Entra session</w:t>
            </w:r>
          </w:p>
        </w:tc>
        <w:tc>
          <w:tcPr/>
          <w:p>
            <w:pPr>
              <w:pStyle w:val="Compact"/>
              <w:jc w:val="left"/>
            </w:pPr>
            <w:r>
              <w:t xml:space="preserve">A Microsoft cookie at</w:t>
            </w:r>
            <w:r>
              <w:t xml:space="preserve"> </w:t>
            </w:r>
            <w:r>
              <w:rPr>
                <w:rStyle w:val="VerbatimChar"/>
              </w:rPr>
              <w:t xml:space="preserve">login.microsoftonline.com</w:t>
            </w:r>
          </w:p>
        </w:tc>
        <w:tc>
          <w:tcPr/>
          <w:p>
            <w:pPr>
              <w:pStyle w:val="Compact"/>
              <w:jc w:val="left"/>
            </w:pPr>
            <w:r>
              <w:t xml:space="preserve">Entra, during the IAP redirect</w:t>
            </w:r>
          </w:p>
        </w:tc>
      </w:tr>
      <w:tr>
        <w:tc>
          <w:tcPr/>
          <w:p>
            <w:pPr>
              <w:pStyle w:val="Compact"/>
              <w:jc w:val="left"/>
            </w:pPr>
            <w:r>
              <w:t xml:space="preserve">Refresh token</w:t>
            </w:r>
          </w:p>
        </w:tc>
        <w:tc>
          <w:tcPr/>
          <w:p>
            <w:pPr>
              <w:pStyle w:val="Compact"/>
              <w:jc w:val="left"/>
            </w:pPr>
            <w:r>
              <w:t xml:space="preserve">Firestore, encrypted</w:t>
            </w:r>
          </w:p>
        </w:tc>
        <w:tc>
          <w:tcPr/>
          <w:p>
            <w:pPr>
              <w:pStyle w:val="Compact"/>
              <w:jc w:val="left"/>
            </w:pPr>
            <w:r>
              <w:t xml:space="preserve">The code exchange</w:t>
            </w:r>
          </w:p>
        </w:tc>
      </w:tr>
    </w:tbl>
    <w:p>
      <w:pPr>
        <w:pStyle w:val="BodyText"/>
      </w:pPr>
      <w:r>
        <w:rPr>
          <w:b/>
          <w:bCs/>
        </w:rPr>
        <w:t xml:space="preserve">Requirement: the IAP session must be cleared on logout.</w:t>
      </w:r>
      <w:r>
        <w:t xml:space="preserve"> </w:t>
      </w:r>
      <w:r>
        <w:t xml:space="preserve">If only the application session is cleared, a subsequent user at the same browser reaches the Backend-for-Frontend with no application session, and the authorisation code flow starts again. If the IAP and Entra sessions remain valid, both complete without interaction and the new user is signed in as the previous user. On a shared machine this is a session-takeover condition.</w:t>
      </w:r>
    </w:p>
    <w:p>
      <w:pPr>
        <w:pStyle w:val="BodyText"/>
      </w:pPr>
      <w:r>
        <w:rPr>
          <w:b/>
          <w:bCs/>
        </w:rPr>
        <w:t xml:space="preserve">Logout is</w:t>
      </w:r>
      <w:r>
        <w:rPr>
          <w:b/>
          <w:bCs/>
        </w:rPr>
        <w:t xml:space="preserve"> </w:t>
      </w:r>
      <w:r>
        <w:rPr>
          <w:rStyle w:val="VerbatimChar"/>
          <w:b/>
          <w:bCs/>
        </w:rPr>
        <w:t xml:space="preserve">POST /auth/logout</w:t>
      </w:r>
      <w:r>
        <w:t xml:space="preserve">, and it is CSRF-protected. A logout reachable by GET is itself a CSRF vector, because an attacker can sign a user out with an image tag.</w:t>
      </w:r>
    </w:p>
    <w:p>
      <w:pPr>
        <w:pStyle w:val="BodyText"/>
      </w:pPr>
      <w:r>
        <w:rPr>
          <w:b/>
          <w:bCs/>
        </w:rPr>
        <w:t xml:space="preserve">Order matters:</w:t>
      </w:r>
    </w:p>
    <w:p>
      <w:pPr>
        <w:pStyle w:val="Compact"/>
        <w:numPr>
          <w:ilvl w:val="0"/>
          <w:numId w:val="1006"/>
        </w:numPr>
      </w:pPr>
      <w:r>
        <w:rPr>
          <w:b/>
          <w:bCs/>
        </w:rPr>
        <w:t xml:space="preserve">Revoke the refresh token at Entra</w:t>
      </w:r>
      <w:r>
        <w:t xml:space="preserve"> </w:t>
      </w:r>
      <w:r>
        <w:t xml:space="preserve">first, while it is still held. Best effort — log a failure, do not abort the logout.</w:t>
      </w:r>
    </w:p>
    <w:p>
      <w:pPr>
        <w:pStyle w:val="Compact"/>
        <w:numPr>
          <w:ilvl w:val="0"/>
          <w:numId w:val="1006"/>
        </w:numPr>
      </w:pPr>
      <w:r>
        <w:rPr>
          <w:b/>
          <w:bCs/>
        </w:rPr>
        <w:t xml:space="preserve">Delete the Firestore session document.</w:t>
      </w:r>
      <w:r>
        <w:t xml:space="preserve"> </w:t>
      </w:r>
      <w:r>
        <w:t xml:space="preserve">Delete it; do not mark it expired. A marked document is a document that application code can eventually read.</w:t>
      </w:r>
    </w:p>
    <w:p>
      <w:pPr>
        <w:pStyle w:val="Compact"/>
        <w:numPr>
          <w:ilvl w:val="0"/>
          <w:numId w:val="1006"/>
        </w:numPr>
      </w:pPr>
      <w:r>
        <w:rPr>
          <w:b/>
          <w:bCs/>
        </w:rPr>
        <w:t xml:space="preserve">Clear the cookie</w:t>
      </w:r>
      <w:r>
        <w:t xml:space="preserve"> </w:t>
      </w:r>
      <w:r>
        <w:t xml:space="preserve">with</w:t>
      </w:r>
      <w:r>
        <w:t xml:space="preserve"> </w:t>
      </w:r>
      <w:r>
        <w:rPr>
          <w:rStyle w:val="VerbatimChar"/>
        </w:rPr>
        <w:t xml:space="preserve">Max-Age=0</w:t>
      </w:r>
      <w:r>
        <w:t xml:space="preserve"> </w:t>
      </w:r>
      <w:r>
        <w:t xml:space="preserve">and</w:t>
      </w:r>
      <w:r>
        <w:t xml:space="preserve"> </w:t>
      </w:r>
      <w:r>
        <w:rPr>
          <w:i/>
          <w:iCs/>
        </w:rPr>
        <w:t xml:space="preserve">identical</w:t>
      </w:r>
      <w:r>
        <w:t xml:space="preserve"> </w:t>
      </w:r>
      <w:r>
        <w:t xml:space="preserve">attributes, including the</w:t>
      </w:r>
      <w:r>
        <w:t xml:space="preserve"> </w:t>
      </w:r>
      <w:r>
        <w:rPr>
          <w:rStyle w:val="VerbatimChar"/>
        </w:rPr>
        <w:t xml:space="preserve">__Host-</w:t>
      </w:r>
      <w:r>
        <w:t xml:space="preserve"> </w:t>
      </w:r>
      <w:r>
        <w:t xml:space="preserve">prefix and</w:t>
      </w:r>
      <w:r>
        <w:t xml:space="preserve"> </w:t>
      </w:r>
      <w:r>
        <w:rPr>
          <w:rStyle w:val="VerbatimChar"/>
        </w:rPr>
        <w:t xml:space="preserve">Path=/</w:t>
      </w:r>
      <w:r>
        <w:t xml:space="preserve">. A cookie cleared with mismatched attributes is not cleared.</w:t>
      </w:r>
    </w:p>
    <w:p>
      <w:pPr>
        <w:pStyle w:val="Compact"/>
        <w:numPr>
          <w:ilvl w:val="0"/>
          <w:numId w:val="1006"/>
        </w:numPr>
      </w:pPr>
      <w:r>
        <w:rPr>
          <w:b/>
          <w:bCs/>
        </w:rPr>
        <w:t xml:space="preserve">Redirect to IAP’s clear-cookie endpoint</w:t>
      </w:r>
      <w:r>
        <w:t xml:space="preserve"> </w:t>
      </w:r>
      <w:r>
        <w:t xml:space="preserve">to end the IAP session.</w:t>
      </w:r>
    </w:p>
    <w:p>
      <w:pPr>
        <w:pStyle w:val="Compact"/>
        <w:numPr>
          <w:ilvl w:val="0"/>
          <w:numId w:val="1006"/>
        </w:numPr>
      </w:pPr>
      <w:r>
        <w:rPr>
          <w:b/>
          <w:bCs/>
        </w:rPr>
        <w:t xml:space="preserve">Optionally</w:t>
      </w:r>
      <w:r>
        <w:t xml:space="preserve"> </w:t>
      </w:r>
      <w:r>
        <w:t xml:space="preserve">redirect onward to Entra’s RP-initiated logout.</w:t>
      </w:r>
    </w:p>
    <w:p>
      <w:pPr>
        <w:pStyle w:val="FirstParagraph"/>
      </w:pPr>
      <w:r>
        <w:rPr>
          <w:b/>
          <w:bCs/>
        </w:rPr>
        <w:t xml:space="preserve">Step 5 is optional by design.</w:t>
      </w:r>
      <w:r>
        <w:t xml:space="preserve"> </w:t>
      </w:r>
      <w:r>
        <w:t xml:space="preserve">Signing out of Entra terminates the user’s session across every Microsoft application in that browser, including Outlook, Teams and SharePoint. This is appropriate on shared or kiosk devices and is not required on personal workstations, where it would sign the user out of unrelated applications.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Action</w:t>
            </w:r>
          </w:p>
        </w:tc>
        <w:tc>
          <w:tcPr>
            <w:shd w:val="clear" w:color="auto" w:fill="1F3864"/>
          </w:tcPr>
          <w:p>
            <w:pPr>
              <w:pStyle w:val="Compact"/>
              <w:jc w:val="left"/>
            </w:pPr>
            <w:r>
              <w:rPr>
                <w:b/>
                <w:color w:val="FFFFFF"/>
              </w:rPr>
              <w:t xml:space="preserve">Clears</w:t>
            </w:r>
          </w:p>
        </w:tc>
      </w:tr>
      <w:tr>
        <w:tc>
          <w:tcPr/>
          <w:p>
            <w:pPr>
              <w:pStyle w:val="Compact"/>
              <w:jc w:val="left"/>
            </w:pPr>
            <w:r>
              <w:rPr>
                <w:b/>
                <w:bCs/>
              </w:rPr>
              <w:t xml:space="preserve">Sign out</w:t>
            </w:r>
            <w:r>
              <w:t xml:space="preserve"> </w:t>
            </w:r>
            <w:r>
              <w:t xml:space="preserve">(default)</w:t>
            </w:r>
          </w:p>
        </w:tc>
        <w:tc>
          <w:tcPr/>
          <w:p>
            <w:pPr>
              <w:pStyle w:val="Compact"/>
              <w:jc w:val="left"/>
            </w:pPr>
            <w:r>
              <w:t xml:space="preserve">Application session, refresh token, IAP session</w:t>
            </w:r>
          </w:p>
        </w:tc>
      </w:tr>
      <w:tr>
        <w:tc>
          <w:tcPr/>
          <w:p>
            <w:pPr>
              <w:pStyle w:val="Compact"/>
              <w:jc w:val="left"/>
            </w:pPr>
            <w:r>
              <w:rPr>
                <w:b/>
                <w:bCs/>
              </w:rPr>
              <w:t xml:space="preserve">Sign out everywhere</w:t>
            </w:r>
          </w:p>
        </w:tc>
        <w:tc>
          <w:tcPr/>
          <w:p>
            <w:pPr>
              <w:pStyle w:val="Compact"/>
              <w:jc w:val="left"/>
            </w:pPr>
            <w:r>
              <w:t xml:space="preserve">The above</w:t>
            </w:r>
            <w:r>
              <w:t xml:space="preserve"> </w:t>
            </w:r>
            <w:r>
              <w:rPr>
                <w:b/>
                <w:bCs/>
              </w:rPr>
              <w:t xml:space="preserve">plus</w:t>
            </w:r>
            <w:r>
              <w:t xml:space="preserve"> </w:t>
            </w:r>
            <w:r>
              <w:t xml:space="preserve">the Entra session</w:t>
            </w:r>
          </w:p>
        </w:tc>
      </w:tr>
    </w:tbl>
    <w:p>
      <w:pPr>
        <w:pStyle w:val="BodyText"/>
      </w:pPr>
      <w:r>
        <w:t xml:space="preserve">The default control is</w:t>
      </w:r>
      <w:r>
        <w:t xml:space="preserve"> </w:t>
      </w:r>
      <w:r>
        <w:rPr>
          <w:b/>
          <w:bCs/>
        </w:rPr>
        <w:t xml:space="preserve">Sign out</w:t>
      </w:r>
      <w:r>
        <w:t xml:space="preserve">.</w:t>
      </w:r>
      <w:r>
        <w:t xml:space="preserve"> </w:t>
      </w:r>
      <w:r>
        <w:rPr>
          <w:b/>
          <w:bCs/>
        </w:rPr>
        <w:t xml:space="preserve">Sign out everywhere</w:t>
      </w:r>
      <w:r>
        <w:t xml:space="preserve"> </w:t>
      </w:r>
      <w:r>
        <w:t xml:space="preserve">must be presented as a distinct, separately labelled option on any device flagged as shared.</w:t>
      </w:r>
    </w:p>
    <w:p>
      <w:pPr>
        <w:pStyle w:val="BodyText"/>
      </w:pPr>
      <w:r>
        <w:rPr>
          <w:b/>
          <w:bCs/>
        </w:rPr>
        <w:t xml:space="preserve">Also required:</w:t>
      </w:r>
      <w:r>
        <w:t xml:space="preserve"> </w:t>
      </w:r>
      <w:r>
        <w:t xml:space="preserve">logout must be</w:t>
      </w:r>
      <w:r>
        <w:t xml:space="preserve"> </w:t>
      </w:r>
      <w:r>
        <w:rPr>
          <w:b/>
          <w:bCs/>
        </w:rPr>
        <w:t xml:space="preserve">idempotent</w:t>
      </w:r>
      <w:r>
        <w:t xml:space="preserve"> </w:t>
      </w:r>
      <w:r>
        <w:t xml:space="preserve">— called twice, or with a session already gone, it returns success and still clears cookies.</w:t>
      </w:r>
      <w:r>
        <w:t xml:space="preserve"> </w:t>
      </w:r>
      <w:r>
        <w:rPr>
          <w:b/>
          <w:bCs/>
        </w:rPr>
        <w:t xml:space="preserve">Expiry must run the same path</w:t>
      </w:r>
      <w:r>
        <w:t xml:space="preserve"> </w:t>
      </w:r>
      <w:r>
        <w:t xml:space="preserve">— idle timeout and absolute expiry delete the document and clear the cookie, not merely refuse the request.</w:t>
      </w:r>
      <w:r>
        <w:t xml:space="preserve"> </w:t>
      </w:r>
      <w:r>
        <w:rPr>
          <w:b/>
          <w:bCs/>
        </w:rPr>
        <w:t xml:space="preserve">Log every logout with its reason</w:t>
      </w:r>
      <w:r>
        <w:t xml:space="preserve"> </w:t>
      </w:r>
      <w:r>
        <w:t xml:space="preserve">— user-initiated, idle, absolute, or revoked.</w:t>
      </w:r>
    </w:p>
    <w:bookmarkEnd w:id="119"/>
    <w:bookmarkStart w:id="120" w:name="session-identifier-rotation"/>
    <w:p>
      <w:pPr>
        <w:pStyle w:val="Heading3"/>
      </w:pPr>
      <w:r>
        <w:t xml:space="preserve">6.5.2 Session identifier rotation</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Trigger</w:t>
            </w:r>
          </w:p>
        </w:tc>
        <w:tc>
          <w:tcPr>
            <w:shd w:val="clear" w:color="auto" w:fill="1F3864"/>
          </w:tcPr>
          <w:p>
            <w:pPr>
              <w:pStyle w:val="Compact"/>
              <w:jc w:val="left"/>
            </w:pPr>
            <w:r>
              <w:rPr>
                <w:b/>
                <w:color w:val="FFFFFF"/>
              </w:rPr>
              <w:t xml:space="preserve">Why</w:t>
            </w:r>
          </w:p>
        </w:tc>
      </w:tr>
      <w:tr>
        <w:tc>
          <w:tcPr/>
          <w:p>
            <w:pPr>
              <w:pStyle w:val="Compact"/>
              <w:jc w:val="left"/>
            </w:pPr>
            <w:r>
              <w:rPr>
                <w:b/>
                <w:bCs/>
              </w:rPr>
              <w:t xml:space="preserve">On successful authentication</w:t>
            </w:r>
          </w:p>
        </w:tc>
        <w:tc>
          <w:tcPr/>
          <w:p>
            <w:pPr>
              <w:pStyle w:val="Compact"/>
              <w:jc w:val="left"/>
            </w:pPr>
            <w:r>
              <w:t xml:space="preserve">Session fixation defence. A pre-authentication identifier must never become the post-authentication one</w:t>
            </w:r>
          </w:p>
        </w:tc>
      </w:tr>
      <w:tr>
        <w:tc>
          <w:tcPr/>
          <w:p>
            <w:pPr>
              <w:pStyle w:val="Compact"/>
              <w:jc w:val="left"/>
            </w:pPr>
            <w:r>
              <w:rPr>
                <w:b/>
                <w:bCs/>
              </w:rPr>
              <w:t xml:space="preserve">On privilege change</w:t>
            </w:r>
          </w:p>
        </w:tc>
        <w:tc>
          <w:tcPr/>
          <w:p>
            <w:pPr>
              <w:pStyle w:val="Compact"/>
              <w:jc w:val="left"/>
            </w:pPr>
            <w:r>
              <w:t xml:space="preserve">If a token refresh returns a different</w:t>
            </w:r>
            <w:r>
              <w:t xml:space="preserve"> </w:t>
            </w:r>
            <w:r>
              <w:rPr>
                <w:rStyle w:val="VerbatimChar"/>
              </w:rPr>
              <w:t xml:space="preserve">roles</w:t>
            </w:r>
            <w:r>
              <w:t xml:space="preserve"> </w:t>
            </w:r>
            <w:r>
              <w:t xml:space="preserve">array, the session’s authority has changed and the identifier should too</w:t>
            </w:r>
          </w:p>
        </w:tc>
      </w:tr>
      <w:tr>
        <w:tc>
          <w:tcPr/>
          <w:p>
            <w:pPr>
              <w:pStyle w:val="Compact"/>
              <w:jc w:val="left"/>
            </w:pPr>
            <w:r>
              <w:rPr>
                <w:b/>
                <w:bCs/>
              </w:rPr>
              <w:t xml:space="preserve">Not on every refresh</w:t>
            </w:r>
          </w:p>
        </w:tc>
        <w:tc>
          <w:tcPr/>
          <w:p>
            <w:pPr>
              <w:pStyle w:val="Compact"/>
              <w:jc w:val="left"/>
            </w:pPr>
            <w:r>
              <w:t xml:space="preserve">Access-token renewal is not a privilege change. Rotating there is churn with no benefit</w:t>
            </w:r>
          </w:p>
        </w:tc>
      </w:tr>
    </w:tbl>
    <w:p>
      <w:pPr>
        <w:pStyle w:val="BodyText"/>
      </w:pPr>
      <w:r>
        <w:rPr>
          <w:b/>
          <w:bCs/>
        </w:rPr>
        <w:t xml:space="preserve">Mechanism</w:t>
      </w:r>
    </w:p>
    <w:p>
      <w:pPr>
        <w:pStyle w:val="Compact"/>
        <w:numPr>
          <w:ilvl w:val="0"/>
          <w:numId w:val="1007"/>
        </w:numPr>
      </w:pPr>
      <w:r>
        <w:t xml:space="preserve">Generate a new 256-bit random identifier.</w:t>
      </w:r>
    </w:p>
    <w:p>
      <w:pPr>
        <w:pStyle w:val="Compact"/>
        <w:numPr>
          <w:ilvl w:val="0"/>
          <w:numId w:val="1007"/>
        </w:numPr>
      </w:pPr>
      <w:r>
        <w:t xml:space="preserve">Write a</w:t>
      </w:r>
      <w:r>
        <w:t xml:space="preserve"> </w:t>
      </w:r>
      <w:r>
        <w:rPr>
          <w:b/>
          <w:bCs/>
        </w:rPr>
        <w:t xml:space="preserve">new</w:t>
      </w:r>
      <w:r>
        <w:t xml:space="preserve"> </w:t>
      </w:r>
      <w:r>
        <w:t xml:space="preserve">Firestore document keyed on its hash, carrying the session state forward.</w:t>
      </w:r>
    </w:p>
    <w:p>
      <w:pPr>
        <w:pStyle w:val="Compact"/>
        <w:numPr>
          <w:ilvl w:val="0"/>
          <w:numId w:val="1007"/>
        </w:numPr>
      </w:pPr>
      <w:r>
        <w:t xml:space="preserve">Set the new cookie.</w:t>
      </w:r>
    </w:p>
    <w:p>
      <w:pPr>
        <w:pStyle w:val="Compact"/>
        <w:numPr>
          <w:ilvl w:val="0"/>
          <w:numId w:val="1007"/>
        </w:numPr>
      </w:pPr>
      <w:r>
        <w:t xml:space="preserve">Retire the old document.</w:t>
      </w:r>
    </w:p>
    <w:p>
      <w:pPr>
        <w:pStyle w:val="FirstParagraph"/>
      </w:pPr>
      <w:r>
        <w:rPr>
          <w:b/>
          <w:bCs/>
        </w:rPr>
        <w:t xml:space="preserve">Constraint on step 4.</w:t>
      </w:r>
      <w:r>
        <w:t xml:space="preserve"> </w:t>
      </w:r>
      <w:r>
        <w:t xml:space="preserve">The old session document must not be deleted immediately: a concurrent in-flight request still carrying the old cookie would fail, and browsers typically maintain several in-flight requests per page.</w:t>
      </w:r>
    </w:p>
    <w:p>
      <w:pPr>
        <w:pStyle w:val="BodyText"/>
      </w:pPr>
      <w:r>
        <w:rPr>
          <w:b/>
          <w:bCs/>
        </w:rPr>
        <w:t xml:space="preserve">Mitigation: a grace window.</w:t>
      </w:r>
      <w:r>
        <w:t xml:space="preserve"> </w:t>
      </w:r>
      <w:r>
        <w:t xml:space="preserve">Mark the old document</w:t>
      </w:r>
      <w:r>
        <w:t xml:space="preserve"> </w:t>
      </w:r>
      <w:r>
        <w:rPr>
          <w:rStyle w:val="VerbatimChar"/>
        </w:rPr>
        <w:t xml:space="preserve">superseded_by</w:t>
      </w:r>
      <w:r>
        <w:t xml:space="preserve"> </w:t>
      </w:r>
      <w:r>
        <w:t xml:space="preserve">with the new hash and a</w:t>
      </w:r>
      <w:r>
        <w:t xml:space="preserve"> </w:t>
      </w:r>
      <w:r>
        <w:rPr>
          <w:b/>
          <w:bCs/>
        </w:rPr>
        <w:t xml:space="preserve">30-second</w:t>
      </w:r>
      <w:r>
        <w:t xml:space="preserve"> </w:t>
      </w:r>
      <w:r>
        <w:t xml:space="preserve">expiry (PR-16, session rotation grace window), accept it read-only during that window while returning the new cookie again, then delete it. This window is long enough for in-flight requests to complete and short enough that a stolen old identifier retains low residual value.</w:t>
      </w:r>
    </w:p>
    <w:p>
      <w:pPr>
        <w:pStyle w:val="BodyText"/>
      </w:pPr>
      <w:r>
        <w:rPr>
          <w:b/>
          <w:bCs/>
        </w:rPr>
        <w:t xml:space="preserve">Rotation events must be logged with their trigger.</w:t>
      </w:r>
      <w:r>
        <w:t xml:space="preserve"> </w:t>
      </w:r>
      <w:r>
        <w:t xml:space="preserve">An unexplained rotation event is treated as a security incident.</w:t>
      </w:r>
    </w:p>
    <w:bookmarkEnd w:id="120"/>
    <w:bookmarkStart w:id="121" w:name="refresh-stampede"/>
    <w:p>
      <w:pPr>
        <w:pStyle w:val="Heading3"/>
      </w:pPr>
      <w:r>
        <w:t xml:space="preserve">6.5.3 Refresh stampede</w:t>
      </w:r>
    </w:p>
    <w:p>
      <w:pPr>
        <w:pStyle w:val="FirstParagraph"/>
      </w:pPr>
      <w:r>
        <w:rPr>
          <w:b/>
          <w:bCs/>
        </w:rPr>
        <w:t xml:space="preserve">Failure mode: concurrent refresh.</w:t>
      </w:r>
      <w:r>
        <w:t xml:space="preserve"> </w:t>
      </w:r>
      <w:r>
        <w:t xml:space="preserve">When the access token expires, multiple concurrent requests may each call Entra’s token endpoint with the same refresh token at the same moment. Under refresh-token rotation, the first call succeeds and invalidates that refresh token; every other call receives</w:t>
      </w:r>
      <w:r>
        <w:t xml:space="preserve"> </w:t>
      </w:r>
      <w:r>
        <w:rPr>
          <w:rStyle w:val="VerbatimChar"/>
        </w:rPr>
        <w:t xml:space="preserve">invalid_grant</w:t>
      </w:r>
      <w:r>
        <w:t xml:space="preserve">. A client that treats</w:t>
      </w:r>
      <w:r>
        <w:t xml:space="preserve"> </w:t>
      </w:r>
      <w:r>
        <w:rPr>
          <w:rStyle w:val="VerbatimChar"/>
        </w:rPr>
        <w:t xml:space="preserve">invalid_grant</w:t>
      </w:r>
      <w:r>
        <w:t xml:space="preserve"> </w:t>
      </w:r>
      <w:r>
        <w:t xml:space="preserve">as an unconditional sign-out signal produces an intermittent, load-dependent session termination. Two mechanisms below control this.</w:t>
      </w:r>
    </w:p>
    <w:p>
      <w:pPr>
        <w:pStyle w:val="BodyText"/>
      </w:pPr>
      <w:r>
        <w:rPr>
          <w:b/>
          <w:bCs/>
        </w:rPr>
        <w:t xml:space="preserve">Refresh proactively, with jitter.</w:t>
      </w:r>
      <w:r>
        <w:t xml:space="preserve"> </w:t>
      </w:r>
      <w:r>
        <w:t xml:space="preserve">Renew at</w:t>
      </w:r>
      <w:r>
        <w:t xml:space="preserve"> </w:t>
      </w:r>
      <w:r>
        <w:rPr>
          <w:b/>
          <w:bCs/>
        </w:rPr>
        <w:t xml:space="preserve">80%</w:t>
      </w:r>
      <w:r>
        <w:t xml:space="preserve"> </w:t>
      </w:r>
      <w:r>
        <w:t xml:space="preserve">of the access token’s lifetime rather than on expiry, with a few per cent of random jitter (PR-15, session lifetimes). Proactive renewal means most requests never meet an expired token; jitter stops multiple Cloud Run instances synchronising onto the same instant. That reduces the frequency but does not eliminate the race, so:</w:t>
      </w:r>
    </w:p>
    <w:p>
      <w:pPr>
        <w:pStyle w:val="BodyText"/>
      </w:pPr>
      <w:r>
        <w:rPr>
          <w:b/>
          <w:bCs/>
        </w:rPr>
        <w:t xml:space="preserve">Lease the refresh in a Firestore transaction.</w:t>
      </w:r>
    </w:p>
    <w:p>
      <w:pPr>
        <w:pStyle w:val="Compact"/>
        <w:numPr>
          <w:ilvl w:val="0"/>
          <w:numId w:val="1008"/>
        </w:numPr>
      </w:pPr>
      <w:r>
        <w:t xml:space="preserve">A request finding the token due for renewal opens a transaction on the session document.</w:t>
      </w:r>
    </w:p>
    <w:p>
      <w:pPr>
        <w:pStyle w:val="Compact"/>
        <w:numPr>
          <w:ilvl w:val="0"/>
          <w:numId w:val="1008"/>
        </w:numPr>
      </w:pPr>
      <w:r>
        <w:t xml:space="preserve">It sets</w:t>
      </w:r>
      <w:r>
        <w:t xml:space="preserve"> </w:t>
      </w:r>
      <w:r>
        <w:rPr>
          <w:rStyle w:val="VerbatimChar"/>
        </w:rPr>
        <w:t xml:space="preserve">refresh_lease_until</w:t>
      </w:r>
      <w:r>
        <w:t xml:space="preserve"> </w:t>
      </w:r>
      <w:r>
        <w:t xml:space="preserve">to now plus 10 seconds if no live lease exists (PR-11, refresh lease duration). One request wins.</w:t>
      </w:r>
    </w:p>
    <w:p>
      <w:pPr>
        <w:pStyle w:val="Compact"/>
        <w:numPr>
          <w:ilvl w:val="0"/>
          <w:numId w:val="1008"/>
        </w:numPr>
      </w:pPr>
      <w:r>
        <w:t xml:space="preserve">The winner calls Entra, writes the new tokens, clears the lease.</w:t>
      </w:r>
    </w:p>
    <w:p>
      <w:pPr>
        <w:pStyle w:val="Compact"/>
        <w:numPr>
          <w:ilvl w:val="0"/>
          <w:numId w:val="1008"/>
        </w:numPr>
      </w:pPr>
      <w:r>
        <w:t xml:space="preserve">Losers back off — 50 ms, 100 ms, 200 ms, up to about 2 seconds — re-reading the document each time, and proceed as soon as new tokens appear.</w:t>
      </w:r>
    </w:p>
    <w:p>
      <w:pPr>
        <w:pStyle w:val="Compact"/>
        <w:numPr>
          <w:ilvl w:val="0"/>
          <w:numId w:val="1008"/>
        </w:numPr>
      </w:pPr>
      <w:r>
        <w:t xml:space="preserve">If the lease expires with no new token, the winner failed. The next request takes the lease and retries.</w:t>
      </w:r>
    </w:p>
    <w:p>
      <w:pPr>
        <w:pStyle w:val="FirstParagraph"/>
      </w:pPr>
      <w:r>
        <w:rPr>
          <w:b/>
          <w:bCs/>
        </w:rPr>
        <w:t xml:space="preserve">Operational constraints on this mechanism</w:t>
      </w:r>
    </w:p>
    <w:p>
      <w:pPr>
        <w:pStyle w:val="Compact"/>
        <w:numPr>
          <w:ilvl w:val="0"/>
          <w:numId w:val="1009"/>
        </w:numPr>
      </w:pPr>
      <w:r>
        <w:rPr>
          <w:b/>
          <w:bCs/>
        </w:rPr>
        <w:t xml:space="preserve">The Entra call must time out well inside the lease.</w:t>
      </w:r>
      <w:r>
        <w:t xml:space="preserve"> </w:t>
      </w:r>
      <w:r>
        <w:t xml:space="preserve">A 10-second lease with a 30-second HTTP timeout means the lease expires while the call is still running, a second request starts another refresh, and the stampede is recreated.</w:t>
      </w:r>
    </w:p>
    <w:p>
      <w:pPr>
        <w:pStyle w:val="Compact"/>
        <w:numPr>
          <w:ilvl w:val="0"/>
          <w:numId w:val="1009"/>
        </w:numPr>
      </w:pPr>
      <w:r>
        <w:rPr>
          <w:rStyle w:val="VerbatimChar"/>
          <w:b/>
          <w:bCs/>
        </w:rPr>
        <w:t xml:space="preserve">invalid_grant</w:t>
      </w:r>
      <w:r>
        <w:rPr>
          <w:b/>
          <w:bCs/>
        </w:rPr>
        <w:t xml:space="preserve"> </w:t>
      </w:r>
      <w:r>
        <w:rPr>
          <w:b/>
          <w:bCs/>
        </w:rPr>
        <w:t xml:space="preserve">must not loop.</w:t>
      </w:r>
      <w:r>
        <w:t xml:space="preserve"> </w:t>
      </w:r>
      <w:r>
        <w:t xml:space="preserve">Terminate the session, clear cookies, force re-authentication. Do not retry — the refresh token is gone and retrying only produces more failures.</w:t>
      </w:r>
    </w:p>
    <w:p>
      <w:pPr>
        <w:pStyle w:val="Compact"/>
        <w:numPr>
          <w:ilvl w:val="0"/>
          <w:numId w:val="1009"/>
        </w:numPr>
      </w:pPr>
      <w:r>
        <w:rPr>
          <w:b/>
          <w:bCs/>
        </w:rPr>
        <w:t xml:space="preserve">Cap the wait.</w:t>
      </w:r>
      <w:r>
        <w:t xml:space="preserve"> </w:t>
      </w:r>
      <w:r>
        <w:t xml:space="preserve">A loser waiting more than about two seconds should fail with a</w:t>
      </w:r>
      <w:r>
        <w:t xml:space="preserve"> </w:t>
      </w:r>
      <w:r>
        <w:rPr>
          <w:b/>
          <w:bCs/>
        </w:rPr>
        <w:t xml:space="preserve">503</w:t>
      </w:r>
      <w:r>
        <w:t xml:space="preserve"> </w:t>
      </w:r>
      <w:r>
        <w:t xml:space="preserve">rather than hold a Cloud Run instance open (PR-12, refresh loser maximum wait). Holding instances during a refresh problem is how a token issue becomes a capacity outage.</w:t>
      </w:r>
    </w:p>
    <w:bookmarkEnd w:id="121"/>
    <w:bookmarkStart w:id="122" w:name="Xbf01c88eb1f1e538917fe2a98289ff379e6ec41"/>
    <w:p>
      <w:pPr>
        <w:pStyle w:val="Heading3"/>
      </w:pPr>
      <w:r>
        <w:t xml:space="preserve">6.5.4 Session read latency and Firestore failure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Effect</w:t>
            </w:r>
          </w:p>
        </w:tc>
      </w:tr>
      <w:tr>
        <w:tc>
          <w:tcPr/>
          <w:p>
            <w:pPr>
              <w:pStyle w:val="Compact"/>
              <w:jc w:val="left"/>
            </w:pPr>
            <w:r>
              <w:rPr>
                <w:b/>
                <w:bCs/>
              </w:rPr>
              <w:t xml:space="preserve">Keep the session document small</w:t>
            </w:r>
          </w:p>
        </w:tc>
        <w:tc>
          <w:tcPr/>
          <w:p>
            <w:pPr>
              <w:pStyle w:val="Compact"/>
              <w:jc w:val="left"/>
            </w:pPr>
            <w:r>
              <w:t xml:space="preserve">Firestore returns whole documents. Store identifiers, timestamps and wrapped tokens — never anything large</w:t>
            </w:r>
          </w:p>
        </w:tc>
      </w:tr>
      <w:tr>
        <w:tc>
          <w:tcPr/>
          <w:p>
            <w:pPr>
              <w:pStyle w:val="Compact"/>
              <w:jc w:val="left"/>
            </w:pPr>
            <w:r>
              <w:rPr>
                <w:b/>
                <w:bCs/>
              </w:rPr>
              <w:t xml:space="preserve">Cache in the instance, briefly</w:t>
            </w:r>
          </w:p>
        </w:tc>
        <w:tc>
          <w:tcPr/>
          <w:p>
            <w:pPr>
              <w:pStyle w:val="Compact"/>
              <w:jc w:val="left"/>
            </w:pPr>
            <w:r>
              <w:t xml:space="preserve">A 5 to 15 second in-memory cache keyed on the session hash removes most reads for a chatty client (PR-13, instance-level session cache)</w:t>
            </w:r>
          </w:p>
        </w:tc>
      </w:tr>
      <w:tr>
        <w:tc>
          <w:tcPr/>
          <w:p>
            <w:pPr>
              <w:pStyle w:val="Compact"/>
              <w:jc w:val="left"/>
            </w:pPr>
            <w:r>
              <w:rPr>
                <w:b/>
                <w:bCs/>
              </w:rPr>
              <w:t xml:space="preserve">Bypass the cache</w:t>
            </w:r>
            <w:r>
              <w:t xml:space="preserve"> </w:t>
            </w:r>
            <w:r>
              <w:t xml:space="preserve">on logout, rotation and any privilege-sensitive operation</w:t>
            </w:r>
          </w:p>
        </w:tc>
        <w:tc>
          <w:tcPr/>
          <w:p>
            <w:pPr>
              <w:pStyle w:val="Compact"/>
              <w:jc w:val="left"/>
            </w:pPr>
            <w:r>
              <w:t xml:space="preserve">Otherwise a revoked session stays alive for the cache lifetime</w:t>
            </w:r>
          </w:p>
        </w:tc>
      </w:tr>
      <w:tr>
        <w:tc>
          <w:tcPr/>
          <w:p>
            <w:pPr>
              <w:pStyle w:val="Compact"/>
              <w:jc w:val="left"/>
            </w:pPr>
            <w:r>
              <w:rPr>
                <w:b/>
                <w:bCs/>
              </w:rPr>
              <w:t xml:space="preserve">Target and alert</w:t>
            </w:r>
          </w:p>
        </w:tc>
        <w:tc>
          <w:tcPr/>
          <w:p>
            <w:pPr>
              <w:pStyle w:val="Compact"/>
              <w:jc w:val="left"/>
            </w:pPr>
            <w:r>
              <w:t xml:space="preserve">P95 session read under</w:t>
            </w:r>
            <w:r>
              <w:t xml:space="preserve"> </w:t>
            </w:r>
            <w:r>
              <w:rPr>
                <w:b/>
                <w:bCs/>
              </w:rPr>
              <w:t xml:space="preserve">25 ms</w:t>
            </w:r>
            <w:r>
              <w:t xml:space="preserve"> </w:t>
            </w:r>
            <w:r>
              <w:t xml:space="preserve">(PR-09, session read latency)</w:t>
            </w:r>
          </w:p>
        </w:tc>
      </w:tr>
    </w:tbl>
    <w:p>
      <w:pPr>
        <w:pStyle w:val="BodyText"/>
      </w:pPr>
      <w:r>
        <w:rPr>
          <w:b/>
          <w:bCs/>
        </w:rPr>
        <w:t xml:space="preserve">Accepted trade-off:</w:t>
      </w:r>
      <w:r>
        <w:t xml:space="preserve"> </w:t>
      </w:r>
      <w:r>
        <w:t xml:space="preserve">a revoked session remains valid for up to the cache lifetime. A fifteen-second exposure is accepted for an internal platform. On a shared machine this exposure is bounded by the logout path described above, which bypasses the cache.</w:t>
      </w:r>
    </w:p>
    <w:p>
      <w:pPr>
        <w:pStyle w:val="BodyText"/>
      </w:pPr>
      <w:r>
        <w:rPr>
          <w:b/>
          <w:bCs/>
        </w:rPr>
        <w:t xml:space="preserve">When Firestore is unavailable — fail closed, always.</w:t>
      </w:r>
      <w:r>
        <w:t xml:space="preserve"> </w:t>
      </w:r>
      <w:r>
        <w:t xml:space="preserve">TR-24 (fail closed on session-store unavailability). There is no degraded mode. A session cannot be validated without the store, and any fallback that lets a request through unauthenticated is worse than an outage.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Condition</w:t>
            </w:r>
          </w:p>
        </w:tc>
        <w:tc>
          <w:tcPr>
            <w:shd w:val="clear" w:color="auto" w:fill="1F3864"/>
          </w:tcPr>
          <w:p>
            <w:pPr>
              <w:pStyle w:val="Compact"/>
              <w:jc w:val="left"/>
            </w:pPr>
            <w:r>
              <w:rPr>
                <w:b/>
                <w:color w:val="FFFFFF"/>
              </w:rPr>
              <w:t xml:space="preserve">Response</w:t>
            </w:r>
          </w:p>
        </w:tc>
      </w:tr>
      <w:tr>
        <w:tc>
          <w:tcPr/>
          <w:p>
            <w:pPr>
              <w:pStyle w:val="Compact"/>
              <w:jc w:val="left"/>
            </w:pPr>
            <w:r>
              <w:t xml:space="preserve">Firestore unreachable or erroring</w:t>
            </w:r>
          </w:p>
        </w:tc>
        <w:tc>
          <w:tcPr/>
          <w:p>
            <w:pPr>
              <w:pStyle w:val="Compact"/>
              <w:jc w:val="left"/>
            </w:pPr>
            <w:r>
              <w:rPr>
                <w:b/>
                <w:bCs/>
              </w:rPr>
              <w:t xml:space="preserve">503</w:t>
            </w:r>
            <w:r>
              <w:t xml:space="preserve"> </w:t>
            </w:r>
            <w:r>
              <w:t xml:space="preserve">with</w:t>
            </w:r>
            <w:r>
              <w:t xml:space="preserve"> </w:t>
            </w:r>
            <w:r>
              <w:rPr>
                <w:rStyle w:val="VerbatimChar"/>
              </w:rPr>
              <w:t xml:space="preserve">Retry-After</w:t>
            </w:r>
            <w:r>
              <w:t xml:space="preserve">. Never 200, never a fallback path</w:t>
            </w:r>
          </w:p>
        </w:tc>
      </w:tr>
      <w:tr>
        <w:tc>
          <w:tcPr/>
          <w:p>
            <w:pPr>
              <w:pStyle w:val="Compact"/>
              <w:jc w:val="left"/>
            </w:pPr>
            <w:r>
              <w:t xml:space="preserve">Session document not found</w:t>
            </w:r>
          </w:p>
        </w:tc>
        <w:tc>
          <w:tcPr/>
          <w:p>
            <w:pPr>
              <w:pStyle w:val="Compact"/>
              <w:jc w:val="left"/>
            </w:pPr>
            <w:r>
              <w:rPr>
                <w:b/>
                <w:bCs/>
              </w:rPr>
              <w:t xml:space="preserve">401</w:t>
            </w:r>
            <w:r>
              <w:t xml:space="preserve">. Distinct from the above —</w:t>
            </w:r>
            <w:r>
              <w:t xml:space="preserve"> </w:t>
            </w:r>
            <w:r>
              <w:rPr>
                <w:b/>
                <w:bCs/>
              </w:rPr>
              <w:t xml:space="preserve">do not collapse them</w:t>
            </w:r>
            <w:r>
              <w:t xml:space="preserve">, or an outage cannot be told from normal expiry in the logs</w:t>
            </w:r>
          </w:p>
        </w:tc>
      </w:tr>
      <w:tr>
        <w:tc>
          <w:tcPr/>
          <w:p>
            <w:pPr>
              <w:pStyle w:val="Compact"/>
              <w:jc w:val="left"/>
            </w:pPr>
            <w:r>
              <w:t xml:space="preserve">Firestore call timeout</w:t>
            </w:r>
          </w:p>
        </w:tc>
        <w:tc>
          <w:tcPr/>
          <w:p>
            <w:pPr>
              <w:pStyle w:val="Compact"/>
              <w:jc w:val="left"/>
            </w:pPr>
            <w:r>
              <w:t xml:space="preserve">2 seconds (PR-10, Firestore call timeout), comfortably inside the Cloud Run request timeout</w:t>
            </w:r>
          </w:p>
        </w:tc>
      </w:tr>
      <w:tr>
        <w:tc>
          <w:tcPr/>
          <w:p>
            <w:pPr>
              <w:pStyle w:val="Compact"/>
              <w:jc w:val="left"/>
            </w:pPr>
            <w:r>
              <w:t xml:space="preserve">Sustained error rate</w:t>
            </w:r>
          </w:p>
        </w:tc>
        <w:tc>
          <w:tcPr/>
          <w:p>
            <w:pPr>
              <w:pStyle w:val="Compact"/>
              <w:jc w:val="left"/>
            </w:pPr>
            <w:r>
              <w:rPr>
                <w:b/>
                <w:bCs/>
              </w:rPr>
              <w:t xml:space="preserve">Circuit-break to a fast 503</w:t>
            </w:r>
            <w:r>
              <w:t xml:space="preserve"> </w:t>
            </w:r>
            <w:r>
              <w:t xml:space="preserve">rather than waiting on timeouts. Waiting exhausts Cloud Run instances and turns a dependency problem into a capacity outage</w:t>
            </w:r>
          </w:p>
        </w:tc>
      </w:tr>
    </w:tbl>
    <w:p>
      <w:pPr>
        <w:pStyle w:val="BodyText"/>
      </w:pPr>
      <w:r>
        <w:rPr>
          <w:b/>
          <w:bCs/>
        </w:rPr>
        <w:t xml:space="preserve">Alert on the Firestore error rate.</w:t>
      </w:r>
      <w:r>
        <w:t xml:space="preserve"> </w:t>
      </w:r>
      <w:r>
        <w:t xml:space="preserve">This is a hard request-path dependency that did not exist before the Backend-for-Frontend.</w:t>
      </w:r>
    </w:p>
    <w:bookmarkEnd w:id="122"/>
    <w:bookmarkEnd w:id="123"/>
    <w:bookmarkStart w:id="124" w:name="cross-site-request-forgery"/>
    <w:p>
      <w:pPr>
        <w:pStyle w:val="Heading2"/>
      </w:pPr>
      <w:r>
        <w:t xml:space="preserve">6.6 Cross-Site Request Forgery</w:t>
      </w:r>
    </w:p>
    <w:p>
      <w:pPr>
        <w:pStyle w:val="FirstParagraph"/>
      </w:pPr>
      <w:r>
        <w:t xml:space="preserve">The session cookie is sent automatically by the browser on every request to the origin, unlike a Bearer token, which requires deliberate attachment by client-side script. This distinction exposes the Backend-for-Frontend to Cross-Site Request Forgery in a way a Bearer-token single-page application is not. The mitigation specified below is a build requirement, not a post-build verification activity.</w:t>
      </w:r>
    </w:p>
    <w:p>
      <w:pPr>
        <w:pStyle w:val="BodyText"/>
      </w:pPr>
      <w:r>
        <w:t xml:space="preserve">Required, all four:</w:t>
      </w:r>
    </w:p>
    <w:p>
      <w:pPr>
        <w:pStyle w:val="Compact"/>
        <w:numPr>
          <w:ilvl w:val="0"/>
          <w:numId w:val="1010"/>
        </w:numPr>
      </w:pPr>
      <w:r>
        <w:rPr>
          <w:rStyle w:val="VerbatimChar"/>
          <w:b/>
          <w:bCs/>
        </w:rPr>
        <w:t xml:space="preserve">SameSite=Lax</w:t>
      </w:r>
      <w:r>
        <w:t xml:space="preserve"> </w:t>
      </w:r>
      <w:r>
        <w:t xml:space="preserve">blocks cross-site POST, PUT and DELETE. Necessary but</w:t>
      </w:r>
      <w:r>
        <w:t xml:space="preserve"> </w:t>
      </w:r>
      <w:r>
        <w:rPr>
          <w:b/>
          <w:bCs/>
        </w:rPr>
        <w:t xml:space="preserve">not sufficient</w:t>
      </w:r>
      <w:r>
        <w:t xml:space="preserve">.</w:t>
      </w:r>
    </w:p>
    <w:p>
      <w:pPr>
        <w:pStyle w:val="Compact"/>
        <w:numPr>
          <w:ilvl w:val="0"/>
          <w:numId w:val="1010"/>
        </w:numPr>
      </w:pPr>
      <w:r>
        <w:rPr>
          <w:b/>
          <w:bCs/>
        </w:rPr>
        <w:t xml:space="preserve">A synchroniser-token CSRF check on every state-changing request.</w:t>
      </w:r>
      <w:r>
        <w:t xml:space="preserve"> </w:t>
      </w:r>
      <w:r>
        <w:t xml:space="preserve">The Backend-for-Frontend issues it with the session and validates it on each non-idempotent call.</w:t>
      </w:r>
    </w:p>
    <w:p>
      <w:pPr>
        <w:pStyle w:val="Compact"/>
        <w:numPr>
          <w:ilvl w:val="0"/>
          <w:numId w:val="1010"/>
        </w:numPr>
      </w:pPr>
      <w:r>
        <w:rPr>
          <w:b/>
          <w:bCs/>
        </w:rPr>
        <w:t xml:space="preserve">Validate</w:t>
      </w:r>
      <w:r>
        <w:rPr>
          <w:b/>
          <w:bCs/>
        </w:rPr>
        <w:t xml:space="preserve"> </w:t>
      </w:r>
      <w:r>
        <w:rPr>
          <w:rStyle w:val="VerbatimChar"/>
          <w:b/>
          <w:bCs/>
        </w:rPr>
        <w:t xml:space="preserve">Origin</w:t>
      </w:r>
      <w:r>
        <w:rPr>
          <w:b/>
          <w:bCs/>
        </w:rPr>
        <w:t xml:space="preserve"> </w:t>
      </w:r>
      <w:r>
        <w:rPr>
          <w:b/>
          <w:bCs/>
        </w:rPr>
        <w:t xml:space="preserve">or</w:t>
      </w:r>
      <w:r>
        <w:rPr>
          <w:b/>
          <w:bCs/>
        </w:rPr>
        <w:t xml:space="preserve"> </w:t>
      </w:r>
      <w:r>
        <w:rPr>
          <w:rStyle w:val="VerbatimChar"/>
          <w:b/>
          <w:bCs/>
        </w:rPr>
        <w:t xml:space="preserve">Referer</w:t>
      </w:r>
      <w:r>
        <w:t xml:space="preserve"> </w:t>
      </w:r>
      <w:r>
        <w:t xml:space="preserve">against the expected host as a second check.</w:t>
      </w:r>
    </w:p>
    <w:p>
      <w:pPr>
        <w:pStyle w:val="Compact"/>
        <w:numPr>
          <w:ilvl w:val="0"/>
          <w:numId w:val="1010"/>
        </w:numPr>
      </w:pPr>
      <w:r>
        <w:rPr>
          <w:b/>
          <w:bCs/>
        </w:rPr>
        <w:t xml:space="preserve">Keep all state-changing operations off GET</w:t>
      </w:r>
      <w:r>
        <w:t xml:space="preserve"> </w:t>
      </w:r>
      <w:r>
        <w:t xml:space="preserve">— including logout.</w:t>
      </w:r>
    </w:p>
    <w:p>
      <w:pPr>
        <w:pStyle w:val="FirstParagraph"/>
      </w:pPr>
      <w:r>
        <w:rPr>
          <w:b/>
          <w:bCs/>
        </w:rPr>
        <w:t xml:space="preserve">Decision: synchroniser token, not double-submit.</w:t>
      </w:r>
      <w:r>
        <w:t xml:space="preserve"> </w:t>
      </w:r>
      <w:r>
        <w:t xml:space="preserve">The Backend-for-Frontend already holds server-side session state in Firestore (</w:t>
      </w:r>
      <w:r>
        <w:rPr>
          <w:b/>
          <w:bCs/>
        </w:rPr>
        <w:t xml:space="preserve">Session store — Firestore</w:t>
      </w:r>
      <w:r>
        <w:t xml:space="preserve">), so a second, deliberately stateless mechanism buys nothing here — double-submit exists specifically to avoid server-side state that the Backend-for-Frontend does not need to avoid. A synchroniser token also carries no dependency on cookie-scoping assumptions holding across every subdomain, which double-submit does.</w:t>
      </w:r>
    </w:p>
    <w:p>
      <w:pPr>
        <w:pStyle w:val="BodyText"/>
      </w:pPr>
      <w:r>
        <w:rPr>
          <w:b/>
          <w:bCs/>
        </w:rPr>
        <w:t xml:space="preserve">Mechanism</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Step</w:t>
            </w:r>
          </w:p>
        </w:tc>
        <w:tc>
          <w:tcPr>
            <w:shd w:val="clear" w:color="auto" w:fill="1F3864"/>
          </w:tcPr>
          <w:p>
            <w:pPr>
              <w:pStyle w:val="Compact"/>
              <w:jc w:val="left"/>
            </w:pPr>
            <w:r>
              <w:rPr>
                <w:b/>
                <w:color w:val="FFFFFF"/>
              </w:rPr>
              <w:t xml:space="preserve">Detail</w:t>
            </w:r>
          </w:p>
        </w:tc>
      </w:tr>
      <w:tr>
        <w:tc>
          <w:tcPr/>
          <w:p>
            <w:pPr>
              <w:pStyle w:val="Compact"/>
              <w:jc w:val="left"/>
            </w:pPr>
            <w:r>
              <w:t xml:space="preserve">Issue</w:t>
            </w:r>
          </w:p>
        </w:tc>
        <w:tc>
          <w:tcPr/>
          <w:p>
            <w:pPr>
              <w:pStyle w:val="Compact"/>
              <w:jc w:val="left"/>
            </w:pPr>
            <w:r>
              <w:t xml:space="preserve">On session creation (</w:t>
            </w:r>
            <w:r>
              <w:rPr>
                <w:b/>
                <w:bCs/>
              </w:rPr>
              <w:t xml:space="preserve">Authentication and session establishment</w:t>
            </w:r>
            <w:r>
              <w:t xml:space="preserve">) and again on every rotation (</w:t>
            </w:r>
            <w:r>
              <w:rPr>
                <w:b/>
                <w:bCs/>
              </w:rPr>
              <w:t xml:space="preserve">Session identifier rotation</w:t>
            </w:r>
            <w:r>
              <w:t xml:space="preserve">), generate a second, independent 256-bit random value and store it as</w:t>
            </w:r>
            <w:r>
              <w:t xml:space="preserve"> </w:t>
            </w:r>
            <w:r>
              <w:rPr>
                <w:rStyle w:val="VerbatimChar"/>
              </w:rPr>
              <w:t xml:space="preserve">csrf_token</w:t>
            </w:r>
            <w:r>
              <w:t xml:space="preserve"> </w:t>
            </w:r>
            <w:r>
              <w:t xml:space="preserve">on the session document, alongside the identifier hash</w:t>
            </w:r>
          </w:p>
        </w:tc>
      </w:tr>
      <w:tr>
        <w:tc>
          <w:tcPr/>
          <w:p>
            <w:pPr>
              <w:pStyle w:val="Compact"/>
              <w:jc w:val="left"/>
            </w:pPr>
            <w:r>
              <w:t xml:space="preserve">Deliver</w:t>
            </w:r>
          </w:p>
        </w:tc>
        <w:tc>
          <w:tcPr/>
          <w:p>
            <w:pPr>
              <w:pStyle w:val="Compact"/>
              <w:jc w:val="left"/>
            </w:pPr>
            <w:r>
              <w:t xml:space="preserve">Return it once, in the response body of the session bootstrap call the single-page application makes on load —</w:t>
            </w:r>
            <w:r>
              <w:t xml:space="preserve"> </w:t>
            </w:r>
            <w:r>
              <w:rPr>
                <w:b/>
                <w:bCs/>
              </w:rPr>
              <w:t xml:space="preserve">never as a second cookie</w:t>
            </w:r>
            <w:r>
              <w:t xml:space="preserve">. A cookie rides along automatically on every origin, which is the exact property this token exists to not have</w:t>
            </w:r>
          </w:p>
        </w:tc>
      </w:tr>
      <w:tr>
        <w:tc>
          <w:tcPr/>
          <w:p>
            <w:pPr>
              <w:pStyle w:val="Compact"/>
              <w:jc w:val="left"/>
            </w:pPr>
            <w:r>
              <w:t xml:space="preserve">Attach</w:t>
            </w:r>
          </w:p>
        </w:tc>
        <w:tc>
          <w:tcPr/>
          <w:p>
            <w:pPr>
              <w:pStyle w:val="Compact"/>
              <w:jc w:val="left"/>
            </w:pPr>
            <w:r>
              <w:t xml:space="preserve">The single-page application echoes it back as a custom request header,</w:t>
            </w:r>
            <w:r>
              <w:t xml:space="preserve"> </w:t>
            </w:r>
            <w:r>
              <w:rPr>
                <w:rStyle w:val="VerbatimChar"/>
              </w:rPr>
              <w:t xml:space="preserve">X-CSRF-Token</w:t>
            </w:r>
            <w:r>
              <w:t xml:space="preserve">, on every POST, PUT, PATCH and DELETE</w:t>
            </w:r>
          </w:p>
        </w:tc>
      </w:tr>
      <w:tr>
        <w:tc>
          <w:tcPr/>
          <w:p>
            <w:pPr>
              <w:pStyle w:val="Compact"/>
              <w:jc w:val="left"/>
            </w:pPr>
            <w:r>
              <w:t xml:space="preserve">Validate</w:t>
            </w:r>
          </w:p>
        </w:tc>
        <w:tc>
          <w:tcPr/>
          <w:p>
            <w:pPr>
              <w:pStyle w:val="Compact"/>
              <w:jc w:val="left"/>
            </w:pPr>
            <w:r>
              <w:t xml:space="preserve">The Backend-for-Frontend compares the header value against</w:t>
            </w:r>
            <w:r>
              <w:t xml:space="preserve"> </w:t>
            </w:r>
            <w:r>
              <w:rPr>
                <w:rStyle w:val="VerbatimChar"/>
              </w:rPr>
              <w:t xml:space="preserve">csrf_token</w:t>
            </w:r>
            <w:r>
              <w:t xml:space="preserve"> </w:t>
            </w:r>
            <w:r>
              <w:t xml:space="preserve">on the session document it already reads for that request — no extra Firestore round trip. Missing or mismatched —</w:t>
            </w:r>
            <w:r>
              <w:t xml:space="preserve"> </w:t>
            </w:r>
            <w:r>
              <w:rPr>
                <w:b/>
                <w:bCs/>
              </w:rPr>
              <w:t xml:space="preserve">403</w:t>
            </w:r>
            <w:r>
              <w:t xml:space="preserve">, logged, not a silent drop</w:t>
            </w:r>
          </w:p>
        </w:tc>
      </w:tr>
      <w:tr>
        <w:tc>
          <w:tcPr/>
          <w:p>
            <w:pPr>
              <w:pStyle w:val="Compact"/>
              <w:jc w:val="left"/>
            </w:pPr>
            <w:r>
              <w:t xml:space="preserve">Rotate</w:t>
            </w:r>
          </w:p>
        </w:tc>
        <w:tc>
          <w:tcPr/>
          <w:p>
            <w:pPr>
              <w:pStyle w:val="Compact"/>
              <w:jc w:val="left"/>
            </w:pPr>
            <w:r>
              <w:t xml:space="preserve">Reissue</w:t>
            </w:r>
            <w:r>
              <w:t xml:space="preserve"> </w:t>
            </w:r>
            <w:r>
              <w:rPr>
                <w:rStyle w:val="VerbatimChar"/>
              </w:rPr>
              <w:t xml:space="preserve">csrf_token</w:t>
            </w:r>
            <w:r>
              <w:t xml:space="preserve"> </w:t>
            </w:r>
            <w:r>
              <w:t xml:space="preserve">together with the session identifier on rotation, so a leaked old token has the same short residual life as the leaked old session identifier</w:t>
            </w:r>
          </w:p>
        </w:tc>
      </w:tr>
    </w:tbl>
    <w:p>
      <w:pPr>
        <w:pStyle w:val="BodyText"/>
      </w:pPr>
      <w:r>
        <w:t xml:space="preserve">The synchroniser-token mechanism specified above is the adopted control for this platform.</w:t>
      </w:r>
    </w:p>
    <w:bookmarkEnd w:id="124"/>
    <w:bookmarkStart w:id="125" w:name="Xdbb1fc76d59e677fa2bdb1ea7ec708e444af97e"/>
    <w:p>
      <w:pPr>
        <w:pStyle w:val="Heading2"/>
      </w:pPr>
      <w:r>
        <w:t xml:space="preserve">6.7 The Backend-for-Frontend service contract</w:t>
      </w:r>
    </w:p>
    <w:p>
      <w:pPr>
        <w:pStyle w:val="FirstParagraph"/>
      </w:pPr>
      <w:r>
        <w:t xml:space="preserve">The Backend-for-Frontend is responsible for:</w:t>
      </w:r>
    </w:p>
    <w:p>
      <w:pPr>
        <w:pStyle w:val="Compact"/>
        <w:numPr>
          <w:ilvl w:val="0"/>
          <w:numId w:val="1011"/>
        </w:numPr>
      </w:pPr>
      <w:r>
        <w:rPr>
          <w:b/>
          <w:bCs/>
        </w:rPr>
        <w:t xml:space="preserve">Complete the authorisation code exchange</w:t>
      </w:r>
      <w:r>
        <w:t xml:space="preserve"> </w:t>
      </w:r>
      <w:r>
        <w:t xml:space="preserve">with Entra using a confidential-client credential from Secret Manager, seeding</w:t>
      </w:r>
      <w:r>
        <w:t xml:space="preserve"> </w:t>
      </w:r>
      <w:r>
        <w:rPr>
          <w:rStyle w:val="VerbatimChar"/>
        </w:rPr>
        <w:t xml:space="preserve">login_hint</w:t>
      </w:r>
      <w:r>
        <w:t xml:space="preserve"> </w:t>
      </w:r>
      <w:r>
        <w:t xml:space="preserve">from the IAP assertion so no second prompt appears.</w:t>
      </w:r>
    </w:p>
    <w:p>
      <w:pPr>
        <w:pStyle w:val="Compact"/>
        <w:numPr>
          <w:ilvl w:val="0"/>
          <w:numId w:val="1011"/>
        </w:numPr>
      </w:pPr>
      <w:r>
        <w:rPr>
          <w:b/>
          <w:bCs/>
        </w:rPr>
        <w:t xml:space="preserve">Store the session in Firestore</w:t>
      </w:r>
      <w:r>
        <w:t xml:space="preserve"> </w:t>
      </w:r>
      <w:r>
        <w:t xml:space="preserve">keyed on the</w:t>
      </w:r>
      <w:r>
        <w:t xml:space="preserve"> </w:t>
      </w:r>
      <w:r>
        <w:rPr>
          <w:b/>
          <w:bCs/>
        </w:rPr>
        <w:t xml:space="preserve">hash</w:t>
      </w:r>
      <w:r>
        <w:t xml:space="preserve"> </w:t>
      </w:r>
      <w:r>
        <w:t xml:space="preserve">of the session identifier, with the access and refresh tokens encrypted per Envelope encryption above.</w:t>
      </w:r>
    </w:p>
    <w:p>
      <w:pPr>
        <w:pStyle w:val="Compact"/>
        <w:numPr>
          <w:ilvl w:val="0"/>
          <w:numId w:val="1011"/>
        </w:numPr>
      </w:pPr>
      <w:r>
        <w:rPr>
          <w:b/>
          <w:bCs/>
        </w:rPr>
        <w:t xml:space="preserve">Set the cookie correctly</w:t>
      </w:r>
      <w:r>
        <w:t xml:space="preserve"> </w:t>
      </w:r>
      <w:r>
        <w:t xml:space="preserve">—</w:t>
      </w:r>
      <w:r>
        <w:t xml:space="preserve"> </w:t>
      </w:r>
      <w:r>
        <w:rPr>
          <w:rStyle w:val="VerbatimChar"/>
        </w:rPr>
        <w:t xml:space="preserve">__Host-AISESSION</w:t>
      </w:r>
      <w:r>
        <w:t xml:space="preserve">,</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w:t>
      </w:r>
    </w:p>
    <w:p>
      <w:pPr>
        <w:pStyle w:val="Compact"/>
        <w:numPr>
          <w:ilvl w:val="0"/>
          <w:numId w:val="1011"/>
        </w:numPr>
      </w:pPr>
      <w:r>
        <w:rPr>
          <w:b/>
          <w:bCs/>
        </w:rPr>
        <w:t xml:space="preserve">Enforce CSRF protection</w:t>
      </w:r>
      <w:r>
        <w:t xml:space="preserve"> </w:t>
      </w:r>
      <w:r>
        <w:t xml:space="preserve">on every state-changing request — validate the synchroniser token (</w:t>
      </w:r>
      <w:r>
        <w:rPr>
          <w:rStyle w:val="VerbatimChar"/>
        </w:rPr>
        <w:t xml:space="preserve">X-CSRF-Token</w:t>
      </w:r>
      <w:r>
        <w:t xml:space="preserve"> </w:t>
      </w:r>
      <w:r>
        <w:t xml:space="preserve">against the session’s</w:t>
      </w:r>
      <w:r>
        <w:t xml:space="preserve"> </w:t>
      </w:r>
      <w:r>
        <w:rPr>
          <w:rStyle w:val="VerbatimChar"/>
        </w:rPr>
        <w:t xml:space="preserve">csrf_token</w:t>
      </w:r>
      <w:r>
        <w:t xml:space="preserve">), per</w:t>
      </w:r>
      <w:r>
        <w:t xml:space="preserve"> </w:t>
      </w:r>
      <w:r>
        <w:rPr>
          <w:b/>
          <w:bCs/>
        </w:rPr>
        <w:t xml:space="preserve">Cross-Site Request Forgery</w:t>
      </w:r>
      <w:r>
        <w:t xml:space="preserve"> </w:t>
      </w:r>
      <w:r>
        <w:t xml:space="preserve">above.</w:t>
      </w:r>
    </w:p>
    <w:p>
      <w:pPr>
        <w:pStyle w:val="Compact"/>
        <w:numPr>
          <w:ilvl w:val="0"/>
          <w:numId w:val="1011"/>
        </w:numPr>
      </w:pPr>
      <w:r>
        <w:rPr>
          <w:b/>
          <w:bCs/>
        </w:rPr>
        <w:t xml:space="preserve">Strip</w:t>
      </w:r>
      <w:r>
        <w:rPr>
          <w:b/>
          <w:bCs/>
        </w:rPr>
        <w:t xml:space="preserve"> </w:t>
      </w:r>
      <w:r>
        <w:rPr>
          <w:rStyle w:val="VerbatimChar"/>
          <w:b/>
          <w:bCs/>
        </w:rPr>
        <w:t xml:space="preserve">X-Serverless-Authorization</w:t>
      </w:r>
      <w:r>
        <w:rPr>
          <w:b/>
          <w:bCs/>
        </w:rPr>
        <w:t xml:space="preserve"> </w:t>
      </w:r>
      <w:r>
        <w:rPr>
          <w:b/>
          <w:bCs/>
        </w:rPr>
        <w:t xml:space="preserve">before every outbound call.</w:t>
      </w:r>
      <w:r>
        <w:t xml:space="preserve"> </w:t>
      </w:r>
      <w:r>
        <w:t xml:space="preserve">IAP uses this header to authenticate to Cloud Run, and Cloud Run passes it through to the container after removing its signature. The Backend-for-Frontend sits behind IAP and receives this header on inbound requests, and forwards requests to Apigee and onward to the backends; a service forwarding requests onward must remove the header first, or the downstream hop may reject the request.</w:t>
      </w:r>
    </w:p>
    <w:p>
      <w:pPr>
        <w:pStyle w:val="Compact"/>
        <w:numPr>
          <w:ilvl w:val="0"/>
          <w:numId w:val="1011"/>
        </w:numPr>
      </w:pPr>
      <w:r>
        <w:rPr>
          <w:b/>
          <w:bCs/>
        </w:rPr>
        <w:t xml:space="preserve">Handle refresh with a lease</w:t>
      </w:r>
      <w:r>
        <w:t xml:space="preserve">, per Refresh stampede above.</w:t>
      </w:r>
    </w:p>
    <w:p>
      <w:pPr>
        <w:pStyle w:val="Compact"/>
        <w:numPr>
          <w:ilvl w:val="0"/>
          <w:numId w:val="1011"/>
        </w:numPr>
      </w:pPr>
      <w:r>
        <w:rPr>
          <w:b/>
          <w:bCs/>
        </w:rPr>
        <w:t xml:space="preserve">Serve the single-page application,</w:t>
      </w:r>
      <w:r>
        <w:rPr>
          <w:b/>
          <w:bCs/>
        </w:rPr>
        <w:t xml:space="preserve"> </w:t>
      </w:r>
      <w:r>
        <w:rPr>
          <w:rStyle w:val="VerbatimChar"/>
          <w:b/>
          <w:bCs/>
        </w:rPr>
        <w:t xml:space="preserve">/auth/*</w:t>
      </w:r>
      <w:r>
        <w:rPr>
          <w:b/>
          <w:bCs/>
        </w:rPr>
        <w:t xml:space="preserve"> </w:t>
      </w:r>
      <w:r>
        <w:rPr>
          <w:b/>
          <w:bCs/>
        </w:rPr>
        <w:t xml:space="preserve">and</w:t>
      </w:r>
      <w:r>
        <w:rPr>
          <w:b/>
          <w:bCs/>
        </w:rPr>
        <w:t xml:space="preserve"> </w:t>
      </w:r>
      <w:r>
        <w:rPr>
          <w:rStyle w:val="VerbatimChar"/>
          <w:b/>
          <w:bCs/>
        </w:rPr>
        <w:t xml:space="preserve">/api/*</w:t>
      </w:r>
      <w:r>
        <w:rPr>
          <w:b/>
          <w:bCs/>
        </w:rPr>
        <w:t xml:space="preserve"> </w:t>
      </w:r>
      <w:r>
        <w:rPr>
          <w:b/>
          <w:bCs/>
        </w:rPr>
        <w:t xml:space="preserve">from one origin</w:t>
      </w:r>
      <w:r>
        <w:t xml:space="preserve">, which is what makes the cookie work with no cross-origin configuration at all.</w:t>
      </w:r>
    </w:p>
    <w:p>
      <w:pPr>
        <w:pStyle w:val="FirstParagraph"/>
      </w:pPr>
      <w:r>
        <w:rPr>
          <w:b/>
          <w:bCs/>
        </w:rPr>
        <w:t xml:space="preserve">The Backend-for-Frontend must not:</w:t>
      </w:r>
    </w:p>
    <w:p>
      <w:pPr>
        <w:pStyle w:val="Compact"/>
        <w:numPr>
          <w:ilvl w:val="0"/>
          <w:numId w:val="1012"/>
        </w:numPr>
      </w:pPr>
      <w:r>
        <w:rPr>
          <w:b/>
          <w:bCs/>
        </w:rPr>
        <w:t xml:space="preserve">Enforce authorisation.</w:t>
      </w:r>
      <w:r>
        <w:t xml:space="preserve"> </w:t>
      </w:r>
      <w:r>
        <w:t xml:space="preserve">Entitlement is Apigee’s responsibility — the App Role check on the Entra token. Two enforcement points would require synchronisation between them, and any divergence establishes the weaker one as the effective policy.</w:t>
      </w:r>
    </w:p>
    <w:p>
      <w:pPr>
        <w:pStyle w:val="Compact"/>
        <w:numPr>
          <w:ilvl w:val="0"/>
          <w:numId w:val="1012"/>
        </w:numPr>
      </w:pPr>
      <w:r>
        <w:rPr>
          <w:b/>
          <w:bCs/>
        </w:rPr>
        <w:t xml:space="preserve">Enforce rate limits.</w:t>
      </w:r>
      <w:r>
        <w:t xml:space="preserve"> </w:t>
      </w:r>
      <w:r>
        <w:t xml:space="preserve">Rate limiting remains in Apigee, keyed on the verified</w:t>
      </w:r>
      <w:r>
        <w:t xml:space="preserve"> </w:t>
      </w:r>
      <w:r>
        <w:rPr>
          <w:rStyle w:val="VerbatimChar"/>
        </w:rPr>
        <w:t xml:space="preserve">oid</w:t>
      </w:r>
      <w:r>
        <w:t xml:space="preserve">, per TR-18 (per-user rate limiting at Apigee).</w:t>
      </w:r>
    </w:p>
    <w:p>
      <w:pPr>
        <w:pStyle w:val="FirstParagraph"/>
      </w:pPr>
      <w:r>
        <w:t xml:space="preserve">The Backend-for-Frontend is also responsible for security headers on the interface it serves — Content Security Policy, HTTP Strict Transport Security,</w:t>
      </w:r>
      <w:r>
        <w:t xml:space="preserve"> </w:t>
      </w:r>
      <w:r>
        <w:rPr>
          <w:rStyle w:val="VerbatimChar"/>
        </w:rPr>
        <w:t xml:space="preserve">X-Content-Type-Options</w:t>
      </w:r>
      <w:r>
        <w:t xml:space="preserve"> </w:t>
      </w:r>
      <w:r>
        <w:t xml:space="preserve">and</w:t>
      </w:r>
      <w:r>
        <w:t xml:space="preserve"> </w:t>
      </w:r>
      <w:r>
        <w:rPr>
          <w:rStyle w:val="VerbatimChar"/>
        </w:rPr>
        <w:t xml:space="preserve">frame-ancestors</w:t>
      </w:r>
      <w:r>
        <w:t xml:space="preserve"> </w:t>
      </w:r>
      <w:r>
        <w:t xml:space="preserve">— and for dependency scanning of the front-end build.</w:t>
      </w:r>
    </w:p>
    <w:p>
      <w:pPr>
        <w:pStyle w:val="BodyText"/>
      </w:pPr>
      <w:r>
        <w:t xml:space="preserve">Model output rendered as HTML or Markdown is a cross-site-scripting vector and must be sanitised on render.</w:t>
      </w:r>
    </w:p>
    <w:p>
      <w:r>
        <w:pict>
          <v:rect style="width:0;height:1.5pt" o:hralign="center" o:hrstd="t" o:hr="t"/>
        </w:pict>
      </w:r>
    </w:p>
    <w:bookmarkEnd w:id="125"/>
    <w:bookmarkEnd w:id="126"/>
    <w:bookmarkStart w:id="150" w:name="api-gateway-apigee-int-environment"/>
    <w:p>
      <w:pPr>
        <w:pStyle w:val="Heading1"/>
      </w:pPr>
      <w:r>
        <w:t xml:space="preserve">7. API Gateway — Apigee</w:t>
      </w:r>
      <w:r>
        <w:t xml:space="preserve"> </w:t>
      </w:r>
      <w:r>
        <w:rPr>
          <w:rStyle w:val="VerbatimChar"/>
        </w:rPr>
        <w:t xml:space="preserve">int</w:t>
      </w:r>
      <w:r>
        <w:t xml:space="preserve"> </w:t>
      </w:r>
      <w:r>
        <w:t xml:space="preserve">Environment</w:t>
      </w:r>
    </w:p>
    <w:p>
      <w:pPr>
        <w:pStyle w:val="FirstParagraph"/>
      </w:pPr>
      <w:r>
        <w:rPr>
          <w:b/>
          <w:bCs/>
        </w:rPr>
        <w:t xml:space="preserve">Scope.</w:t>
      </w:r>
      <w:r>
        <w:t xml:space="preserve"> </w:t>
      </w:r>
      <w:r>
        <w:t xml:space="preserve">This section applies to</w:t>
      </w:r>
      <w:r>
        <w:t xml:space="preserve"> </w:t>
      </w:r>
      <w:r>
        <w:rPr>
          <w:b/>
          <w:bCs/>
        </w:rPr>
        <w:t xml:space="preserve">Dev and Prod only.</w:t>
      </w:r>
      <w:r>
        <w:t xml:space="preserve"> </w:t>
      </w:r>
      <w:r>
        <w:t xml:space="preserve">Sandbox carries no Apigee organisation; Sandbox Cloud Run services are reached directly behind their own internal load balancers, per</w:t>
      </w:r>
      <w:r>
        <w:t xml:space="preserve"> </w:t>
      </w:r>
      <w:r>
        <w:rPr>
          <w:b/>
          <w:bCs/>
        </w:rPr>
        <w:t xml:space="preserve">User access — Sandbox</w:t>
      </w:r>
      <w:r>
        <w:t xml:space="preserve">.</w:t>
      </w:r>
    </w:p>
    <w:bookmarkStart w:id="131" w:name="Xbf713ad7346aa2efd1afc76c09093036e15ffa9"/>
    <w:p>
      <w:pPr>
        <w:pStyle w:val="Heading2"/>
      </w:pPr>
      <w:r>
        <w:t xml:space="preserve">7.1 Apigee organisation, instance and environments</w:t>
      </w:r>
    </w:p>
    <w:p>
      <w:pPr>
        <w:pStyle w:val="FirstParagraph"/>
      </w:pPr>
      <w:r>
        <w:t xml:space="preserve">Apigee is in the request path for one reason: TR-18 (per-user rate limiting at Apigee) requires this control to be enforced in exactly one place, and Apigee is the only component positioned to enforce it for both the user API and the AI gateway.</w:t>
      </w:r>
    </w:p>
    <w:bookmarkStart w:id="127" w:name="X1f9fb5dfb202c43b0b81e198b2bc8dfd3ded246"/>
    <w:p>
      <w:pPr>
        <w:pStyle w:val="Heading3"/>
      </w:pPr>
      <w:r>
        <w:t xml:space="preserve">7.1.1 Provisioning — settings fixed at organisation creation</w:t>
      </w:r>
    </w:p>
    <w:p>
      <w:pPr>
        <w:pStyle w:val="FirstParagraph"/>
      </w:pPr>
      <w:r>
        <w:t xml:space="preserve">The following settings cannot be changed after creation. Correcting one requires deleting the organisation, and deletion of a paid organisation carries a waiting period.</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Immutable decision</w:t>
            </w:r>
          </w:p>
        </w:tc>
      </w:tr>
      <w:tr>
        <w:tc>
          <w:tcPr/>
          <w:p>
            <w:pPr>
              <w:pStyle w:val="Compact"/>
              <w:jc w:val="left"/>
            </w:pPr>
            <w:r>
              <w:t xml:space="preserve">Networking</w:t>
            </w:r>
          </w:p>
        </w:tc>
        <w:tc>
          <w:tcPr/>
          <w:p>
            <w:pPr>
              <w:pStyle w:val="Compact"/>
              <w:jc w:val="left"/>
            </w:pPr>
            <w:r>
              <w:t xml:space="preserve">No VPC peering. Private Service Connect throughout. No IP range supplied at creation</w:t>
            </w:r>
          </w:p>
        </w:tc>
        <w:tc>
          <w:tcPr/>
          <w:p>
            <w:pPr>
              <w:pStyle w:val="Compact"/>
              <w:jc w:val="left"/>
            </w:pPr>
            <w:r>
              <w:t xml:space="preserve">I1 (Apigee provisioned with no VPC peering)</w:t>
            </w:r>
          </w:p>
        </w:tc>
      </w:tr>
      <w:tr>
        <w:tc>
          <w:tcPr/>
          <w:p>
            <w:pPr>
              <w:pStyle w:val="Compact"/>
              <w:jc w:val="left"/>
            </w:pPr>
            <w:r>
              <w:t xml:space="preserve">Runtime database encryption key</w:t>
            </w:r>
          </w:p>
        </w:tc>
        <w:tc>
          <w:tcPr/>
          <w:p>
            <w:pPr>
              <w:pStyle w:val="Compact"/>
              <w:jc w:val="left"/>
            </w:pPr>
            <w:r>
              <w:rPr>
                <w:rStyle w:val="VerbatimChar"/>
              </w:rPr>
              <w:t xml:space="preserve">apigee/runtime-db</w:t>
            </w:r>
            <w:r>
              <w:t xml:space="preserve">, per</w:t>
            </w:r>
            <w:r>
              <w:t xml:space="preserve"> </w:t>
            </w:r>
            <w:r>
              <w:rPr>
                <w:b/>
                <w:bCs/>
              </w:rPr>
              <w:t xml:space="preserve">Compute and Data Platform</w:t>
            </w:r>
          </w:p>
        </w:tc>
        <w:tc>
          <w:tcPr/>
          <w:p>
            <w:pPr>
              <w:pStyle w:val="Compact"/>
              <w:jc w:val="left"/>
            </w:pPr>
            <w:r>
              <w:t xml:space="preserve">I2 (Apigee runtime database encryption key)</w:t>
            </w:r>
          </w:p>
        </w:tc>
      </w:tr>
      <w:tr>
        <w:tc>
          <w:tcPr/>
          <w:p>
            <w:pPr>
              <w:pStyle w:val="Compact"/>
              <w:jc w:val="left"/>
            </w:pPr>
            <w:r>
              <w:t xml:space="preserve">Analytics region</w:t>
            </w:r>
          </w:p>
        </w:tc>
        <w:tc>
          <w:tcPr/>
          <w:p>
            <w:pPr>
              <w:pStyle w:val="Compact"/>
              <w:jc w:val="left"/>
            </w:pPr>
            <w:r>
              <w:t xml:space="preserve">An EU region</w:t>
            </w:r>
          </w:p>
        </w:tc>
        <w:tc>
          <w:tcPr/>
          <w:p>
            <w:pPr>
              <w:pStyle w:val="Compact"/>
              <w:jc w:val="left"/>
            </w:pPr>
            <w:r>
              <w:t xml:space="preserve">I3 (Apigee analytics region — an EU region)</w:t>
            </w:r>
          </w:p>
        </w:tc>
      </w:tr>
      <w:tr>
        <w:tc>
          <w:tcPr/>
          <w:p>
            <w:pPr>
              <w:pStyle w:val="Compact"/>
              <w:jc w:val="left"/>
            </w:pPr>
            <w:r>
              <w:t xml:space="preserve">Billing</w:t>
            </w:r>
          </w:p>
        </w:tc>
        <w:tc>
          <w:tcPr/>
          <w:p>
            <w:pPr>
              <w:pStyle w:val="Compact"/>
              <w:jc w:val="left"/>
            </w:pPr>
            <w:r>
              <w:t xml:space="preserve">Pay-as-you-go</w:t>
            </w:r>
          </w:p>
        </w:tc>
        <w:tc>
          <w:tcPr/>
          <w:p>
            <w:pPr>
              <w:pStyle w:val="Compact"/>
              <w:jc w:val="left"/>
            </w:pPr>
            <w:r>
              <w:t xml:space="preserve">—</w:t>
            </w:r>
          </w:p>
        </w:tc>
      </w:tr>
      <w:tr>
        <w:tc>
          <w:tcPr/>
          <w:p>
            <w:pPr>
              <w:pStyle w:val="Compact"/>
              <w:jc w:val="left"/>
            </w:pPr>
            <w:r>
              <w:t xml:space="preserve">Project</w:t>
            </w:r>
          </w:p>
        </w:tc>
        <w:tc>
          <w:tcPr/>
          <w:p>
            <w:pPr>
              <w:pStyle w:val="Compact"/>
              <w:jc w:val="left"/>
            </w:pPr>
            <w:r>
              <w:rPr>
                <w:rStyle w:val="VerbatimChar"/>
              </w:rPr>
              <w:t xml:space="preserve">gclt-aicoe-dev-apigee</w:t>
            </w:r>
          </w:p>
        </w:tc>
        <w:tc>
          <w:tcPr/>
          <w:p>
            <w:pPr>
              <w:pStyle w:val="Compact"/>
              <w:jc w:val="left"/>
            </w:pPr>
            <w:r>
              <w:t xml:space="preserve">I5 (one Apigee organisation per project)</w:t>
            </w:r>
          </w:p>
        </w:tc>
      </w:tr>
      <w:tr>
        <w:tc>
          <w:tcPr/>
          <w:p>
            <w:pPr>
              <w:pStyle w:val="Compact"/>
              <w:jc w:val="left"/>
            </w:pPr>
            <w:r>
              <w:t xml:space="preserve">Routing</w:t>
            </w:r>
          </w:p>
        </w:tc>
        <w:tc>
          <w:tcPr/>
          <w:p>
            <w:pPr>
              <w:pStyle w:val="Compact"/>
              <w:jc w:val="left"/>
            </w:pPr>
            <w:r>
              <w:t xml:space="preserve">Internal routing, service endpoint option</w:t>
            </w:r>
          </w:p>
        </w:tc>
        <w:tc>
          <w:tcPr/>
          <w:p>
            <w:pPr>
              <w:pStyle w:val="Compact"/>
              <w:jc w:val="left"/>
            </w:pPr>
            <w:r>
              <w:t xml:space="preserve">I4 (Apigee internal routing using the service endpoint option)</w:t>
            </w:r>
          </w:p>
        </w:tc>
      </w:tr>
    </w:tbl>
    <w:p>
      <w:pPr>
        <w:pStyle w:val="BodyText"/>
      </w:pPr>
      <w:r>
        <w:t xml:space="preserve">The Apigee service agent must hold Encrypter/Decrypter on the runtime database key before provisioning starts; granting it afterwards does not recover a provisioning attempt that has already failed. Organisation creation takes 30 to 45 minutes and instance creation a further 30 to 60 minutes; both run from the Terraform static stage, per</w:t>
      </w:r>
      <w:r>
        <w:t xml:space="preserve"> </w:t>
      </w:r>
      <w:r>
        <w:rPr>
          <w:b/>
          <w:bCs/>
        </w:rPr>
        <w:t xml:space="preserve">DevOps — Infrastructure as Code and CI/CD</w:t>
      </w:r>
      <w:r>
        <w:t xml:space="preserve">.</w:t>
      </w:r>
    </w:p>
    <w:bookmarkEnd w:id="127"/>
    <w:bookmarkStart w:id="128" w:name="instance"/>
    <w:p>
      <w:pPr>
        <w:pStyle w:val="Heading3"/>
      </w:pPr>
      <w:r>
        <w:t xml:space="preserve">7.1.2 Instance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w:t>
            </w:r>
          </w:p>
        </w:tc>
      </w:tr>
      <w:tr>
        <w:tc>
          <w:tcPr/>
          <w:p>
            <w:pPr>
              <w:pStyle w:val="Compact"/>
              <w:jc w:val="left"/>
            </w:pPr>
            <w:r>
              <w:t xml:space="preserve">Name</w:t>
            </w:r>
          </w:p>
        </w:tc>
        <w:tc>
          <w:tcPr/>
          <w:p>
            <w:pPr>
              <w:pStyle w:val="Compact"/>
              <w:jc w:val="left"/>
            </w:pPr>
            <w:r>
              <w:rPr>
                <w:rStyle w:val="VerbatimChar"/>
              </w:rPr>
              <w:t xml:space="preserve">aicoe-dev-ew1</w:t>
            </w:r>
          </w:p>
        </w:tc>
      </w:tr>
      <w:tr>
        <w:tc>
          <w:tcPr/>
          <w:p>
            <w:pPr>
              <w:pStyle w:val="Compact"/>
              <w:jc w:val="left"/>
            </w:pPr>
            <w:r>
              <w:t xml:space="preserve">Location</w:t>
            </w:r>
          </w:p>
        </w:tc>
        <w:tc>
          <w:tcPr/>
          <w:p>
            <w:pPr>
              <w:pStyle w:val="Compact"/>
              <w:jc w:val="left"/>
            </w:pPr>
            <w:r>
              <w:rPr>
                <w:rStyle w:val="VerbatimChar"/>
              </w:rPr>
              <w:t xml:space="preserve">europe-west1</w:t>
            </w:r>
          </w:p>
        </w:tc>
      </w:tr>
      <w:tr>
        <w:tc>
          <w:tcPr/>
          <w:p>
            <w:pPr>
              <w:pStyle w:val="Compact"/>
              <w:jc w:val="left"/>
            </w:pPr>
            <w:r>
              <w:t xml:space="preserve">Disk encryption key</w:t>
            </w:r>
          </w:p>
        </w:tc>
        <w:tc>
          <w:tcPr/>
          <w:p>
            <w:pPr>
              <w:pStyle w:val="Compact"/>
              <w:jc w:val="left"/>
            </w:pPr>
            <w:r>
              <w:rPr>
                <w:rStyle w:val="VerbatimChar"/>
              </w:rPr>
              <w:t xml:space="preserve">apigee/instance-disk</w:t>
            </w:r>
            <w:r>
              <w:t xml:space="preserve">, per</w:t>
            </w:r>
            <w:r>
              <w:t xml:space="preserve"> </w:t>
            </w:r>
            <w:r>
              <w:rPr>
                <w:b/>
                <w:bCs/>
              </w:rPr>
              <w:t xml:space="preserve">Compute and Data Platform</w:t>
            </w:r>
          </w:p>
        </w:tc>
      </w:tr>
    </w:tbl>
    <w:p>
      <w:pPr>
        <w:pStyle w:val="BodyText"/>
      </w:pPr>
      <w:r>
        <w:t xml:space="preserve">The instance’s service attachment identifier is recorded from the instance details page after creation and supplied to the Apigee southbound flow, per</w:t>
      </w:r>
      <w:r>
        <w:t xml:space="preserve"> </w:t>
      </w:r>
      <w:r>
        <w:rPr>
          <w:b/>
          <w:bCs/>
        </w:rPr>
        <w:t xml:space="preserve">Private Service Connect</w:t>
      </w:r>
      <w:r>
        <w:t xml:space="preserve">.</w:t>
      </w:r>
    </w:p>
    <w:bookmarkEnd w:id="128"/>
    <w:bookmarkStart w:id="129" w:name="environments"/>
    <w:p>
      <w:pPr>
        <w:pStyle w:val="Heading3"/>
      </w:pPr>
      <w:r>
        <w:t xml:space="preserve">7.1.3 Environments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Environment</w:t>
            </w:r>
          </w:p>
        </w:tc>
        <w:tc>
          <w:tcPr>
            <w:shd w:val="clear" w:color="auto" w:fill="1F3864"/>
          </w:tcPr>
          <w:p>
            <w:pPr>
              <w:pStyle w:val="Compact"/>
              <w:jc w:val="left"/>
            </w:pPr>
            <w:r>
              <w:rPr>
                <w:b/>
                <w:color w:val="FFFFFF"/>
              </w:rPr>
              <w:t xml:space="preserve">Type</w:t>
            </w:r>
          </w:p>
        </w:tc>
        <w:tc>
          <w:tcPr>
            <w:shd w:val="clear" w:color="auto" w:fill="1F3864"/>
          </w:tcPr>
          <w:p>
            <w:pPr>
              <w:pStyle w:val="Compact"/>
              <w:jc w:val="left"/>
            </w:pPr>
            <w:r>
              <w:rPr>
                <w:b/>
                <w:color w:val="FFFFFF"/>
              </w:rPr>
              <w:t xml:space="preserve">Rationale</w:t>
            </w:r>
          </w:p>
        </w:tc>
      </w:tr>
      <w:tr>
        <w:tc>
          <w:tcPr/>
          <w:p>
            <w:pPr>
              <w:pStyle w:val="Compact"/>
              <w:jc w:val="left"/>
            </w:pPr>
            <w:r>
              <w:rPr>
                <w:rStyle w:val="VerbatimChar"/>
              </w:rPr>
              <w:t xml:space="preserve">int</w:t>
            </w:r>
            <w:r>
              <w:t xml:space="preserve"> </w:t>
            </w:r>
            <w:r>
              <w:t xml:space="preserve">— the user API</w:t>
            </w:r>
          </w:p>
        </w:tc>
        <w:tc>
          <w:tcPr/>
          <w:p>
            <w:pPr>
              <w:pStyle w:val="Compact"/>
              <w:jc w:val="left"/>
            </w:pPr>
            <w:r>
              <w:t xml:space="preserve">Base</w:t>
            </w:r>
          </w:p>
        </w:tc>
        <w:tc>
          <w:tcPr/>
          <w:p>
            <w:pPr>
              <w:pStyle w:val="Compact"/>
              <w:jc w:val="left"/>
            </w:pPr>
            <w:r>
              <w:t xml:space="preserve">Every policy in the user API proxy —</w:t>
            </w:r>
            <w:r>
              <w:t xml:space="preserve"> </w:t>
            </w:r>
            <w:r>
              <w:rPr>
                <w:rStyle w:val="VerbatimChar"/>
              </w:rPr>
              <w:t xml:space="preserve">SpikeArrest</w:t>
            </w:r>
            <w:r>
              <w:t xml:space="preserve">,</w:t>
            </w:r>
            <w:r>
              <w:t xml:space="preserve"> </w:t>
            </w:r>
            <w:r>
              <w:rPr>
                <w:rStyle w:val="VerbatimChar"/>
              </w:rPr>
              <w:t xml:space="preserve">VerifyJWT</w:t>
            </w:r>
            <w:r>
              <w:t xml:space="preserve">,</w:t>
            </w:r>
            <w:r>
              <w:t xml:space="preserve"> </w:t>
            </w:r>
            <w:r>
              <w:rPr>
                <w:rStyle w:val="VerbatimChar"/>
              </w:rPr>
              <w:t xml:space="preserve">ExtractVariables</w:t>
            </w:r>
            <w:r>
              <w:t xml:space="preserve">,</w:t>
            </w:r>
            <w:r>
              <w:t xml:space="preserve"> </w:t>
            </w:r>
            <w:r>
              <w:rPr>
                <w:rStyle w:val="VerbatimChar"/>
              </w:rPr>
              <w:t xml:space="preserve">RaiseFault</w:t>
            </w:r>
            <w:r>
              <w:t xml:space="preserve">,</w:t>
            </w:r>
            <w:r>
              <w:t xml:space="preserve"> </w:t>
            </w:r>
            <w:r>
              <w:rPr>
                <w:rStyle w:val="VerbatimChar"/>
              </w:rPr>
              <w:t xml:space="preserve">VerifyAPIKey</w:t>
            </w:r>
            <w:r>
              <w:t xml:space="preserve">,</w:t>
            </w:r>
            <w:r>
              <w:t xml:space="preserve"> </w:t>
            </w:r>
            <w:r>
              <w:rPr>
                <w:rStyle w:val="VerbatimChar"/>
              </w:rPr>
              <w:t xml:space="preserve">Quota</w:t>
            </w:r>
            <w:r>
              <w:t xml:space="preserve">,</w:t>
            </w:r>
            <w:r>
              <w:t xml:space="preserve"> </w:t>
            </w:r>
            <w:r>
              <w:rPr>
                <w:rStyle w:val="VerbatimChar"/>
              </w:rPr>
              <w:t xml:space="preserve">AssignMessage</w:t>
            </w:r>
            <w:r>
              <w:t xml:space="preserve"> </w:t>
            </w:r>
            <w:r>
              <w:t xml:space="preserve">— is Standard. Standard policies deploy to any environment type and bill at the lower per-call rate</w:t>
            </w:r>
          </w:p>
        </w:tc>
      </w:tr>
      <w:tr>
        <w:tc>
          <w:tcPr/>
          <w:p>
            <w:pPr>
              <w:pStyle w:val="Compact"/>
              <w:jc w:val="left"/>
            </w:pPr>
            <w:r>
              <w:rPr>
                <w:rStyle w:val="VerbatimChar"/>
              </w:rPr>
              <w:t xml:space="preserve">llm</w:t>
            </w:r>
            <w:r>
              <w:t xml:space="preserve"> </w:t>
            </w:r>
            <w:r>
              <w:t xml:space="preserve">— the AI gateway</w:t>
            </w:r>
          </w:p>
        </w:tc>
        <w:tc>
          <w:tcPr/>
          <w:p>
            <w:pPr>
              <w:pStyle w:val="Compact"/>
              <w:jc w:val="left"/>
            </w:pPr>
            <w:r>
              <w:t xml:space="preserve">Intermediate</w:t>
            </w:r>
          </w:p>
        </w:tc>
        <w:tc>
          <w:tcPr/>
          <w:p>
            <w:pPr>
              <w:pStyle w:val="Compact"/>
              <w:jc w:val="left"/>
            </w:pPr>
            <w:r>
              <w:t xml:space="preserve">Required.</w:t>
            </w:r>
            <w:r>
              <w:t xml:space="preserve"> </w:t>
            </w:r>
            <w:r>
              <w:rPr>
                <w:rStyle w:val="VerbatimChar"/>
              </w:rPr>
              <w:t xml:space="preserve">LLMTokenQuota</w:t>
            </w:r>
            <w:r>
              <w:t xml:space="preserve"> </w:t>
            </w:r>
            <w:r>
              <w:t xml:space="preserve">and</w:t>
            </w:r>
            <w:r>
              <w:t xml:space="preserve"> </w:t>
            </w:r>
            <w:r>
              <w:rPr>
                <w:rStyle w:val="VerbatimChar"/>
              </w:rPr>
              <w:t xml:space="preserve">PromptTokenLimit</w:t>
            </w:r>
            <w:r>
              <w:t xml:space="preserve"> </w:t>
            </w:r>
            <w:r>
              <w:t xml:space="preserve">are Extensible policies, as are the Model Armor policies; Extensible policies deploy only to Intermediate and Comprehensive environment types</w:t>
            </w:r>
          </w:p>
        </w:tc>
      </w:tr>
      <w:tr>
        <w:tc>
          <w:tcPr/>
          <w:p>
            <w:pPr>
              <w:pStyle w:val="Compact"/>
              <w:jc w:val="left"/>
            </w:pPr>
            <w:r>
              <w:rPr>
                <w:rStyle w:val="VerbatimChar"/>
              </w:rPr>
              <w:t xml:space="preserve">ext</w:t>
            </w:r>
            <w:r>
              <w:t xml:space="preserve"> </w:t>
            </w:r>
            <w:r>
              <w:t xml:space="preserve">— external / MCP</w:t>
            </w:r>
          </w:p>
        </w:tc>
        <w:tc>
          <w:tcPr/>
          <w:p>
            <w:pPr>
              <w:pStyle w:val="Compact"/>
              <w:jc w:val="left"/>
            </w:pPr>
            <w:r>
              <w:t xml:space="preserve">Not created</w:t>
            </w:r>
          </w:p>
        </w:tc>
        <w:tc>
          <w:tcPr/>
          <w:p>
            <w:pPr>
              <w:pStyle w:val="Compact"/>
              <w:jc w:val="left"/>
            </w:pPr>
            <w:r>
              <w:t xml:space="preserve">Deferred to a later phase. Every environment bills hourly regardless of traffic</w:t>
            </w:r>
          </w:p>
        </w:tc>
      </w:tr>
    </w:tbl>
    <w:p>
      <w:pPr>
        <w:pStyle w:val="BodyText"/>
      </w:pPr>
      <w:r>
        <w:t xml:space="preserve">An Intermediate environment costs several times a Base environment per month, and a single Extensible policy in a proxy reclassifies the entire proxy to approximately five times the Standard per-call rate. TR-20 (the</w:t>
      </w:r>
      <w:r>
        <w:t xml:space="preserve"> </w:t>
      </w:r>
      <w:r>
        <w:rPr>
          <w:rStyle w:val="VerbatimChar"/>
        </w:rPr>
        <w:t xml:space="preserve">int</w:t>
      </w:r>
      <w:r>
        <w:t xml:space="preserve"> </w:t>
      </w:r>
      <w:r>
        <w:t xml:space="preserve">environment contains only Standard policies) is enforced by a pipeline check that fails the build if an Extensible policy is deployed to a proxy targeted at</w:t>
      </w:r>
      <w:r>
        <w:t xml:space="preserve"> </w:t>
      </w:r>
      <w:r>
        <w:rPr>
          <w:rStyle w:val="VerbatimChar"/>
        </w:rPr>
        <w:t xml:space="preserve">int</w:t>
      </w:r>
      <w:r>
        <w:t xml:space="preserve">.</w:t>
      </w:r>
    </w:p>
    <w:p>
      <w:pPr>
        <w:pStyle w:val="BodyText"/>
      </w:pPr>
      <w:r>
        <w:t xml:space="preserve">If the modelled cost of the</w:t>
      </w:r>
      <w:r>
        <w:t xml:space="preserve"> </w:t>
      </w:r>
      <w:r>
        <w:rPr>
          <w:rStyle w:val="VerbatimChar"/>
        </w:rPr>
        <w:t xml:space="preserve">llm</w:t>
      </w:r>
      <w:r>
        <w:t xml:space="preserve"> </w:t>
      </w:r>
      <w:r>
        <w:t xml:space="preserve">environment proves unacceptable, the alternative is to remove the Model Armor and token-limit policies from the AI gateway proxy and perform screening and metering in the application instead, calling the Model Armor API directly from Cloud Run. This removes central enforcement and is not the adopted design; it is recorded as a cost-driven alternative in</w:t>
      </w:r>
      <w:r>
        <w:t xml:space="preserve"> </w:t>
      </w:r>
      <w:r>
        <w:rPr>
          <w:b/>
          <w:bCs/>
        </w:rPr>
        <w:t xml:space="preserve">Decision Log</w:t>
      </w:r>
      <w:r>
        <w:t xml:space="preserve">.</w:t>
      </w:r>
    </w:p>
    <w:bookmarkEnd w:id="129"/>
    <w:bookmarkStart w:id="130" w:name="environment-groups"/>
    <w:p>
      <w:pPr>
        <w:pStyle w:val="Heading3"/>
      </w:pPr>
      <w:r>
        <w:t xml:space="preserve">7.1.4 Environment groups</w:t>
      </w:r>
    </w:p>
    <w:tbl>
      <w:tblPr>
        <w:tblStyle w:val="TableGrid"/>
        <w:tblW w:type="auto" w:w="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Group</w:t>
            </w:r>
          </w:p>
        </w:tc>
        <w:tc>
          <w:tcPr>
            <w:shd w:val="clear" w:color="auto" w:fill="1F3864"/>
          </w:tcPr>
          <w:p>
            <w:pPr>
              <w:pStyle w:val="Compact"/>
              <w:jc w:val="left"/>
            </w:pPr>
            <w:r>
              <w:rPr>
                <w:b/>
                <w:color w:val="FFFFFF"/>
              </w:rPr>
              <w:t xml:space="preserve">Hostname</w:t>
            </w:r>
          </w:p>
        </w:tc>
        <w:tc>
          <w:tcPr>
            <w:shd w:val="clear" w:color="auto" w:fill="1F3864"/>
          </w:tcPr>
          <w:p>
            <w:pPr>
              <w:pStyle w:val="Compact"/>
              <w:jc w:val="left"/>
            </w:pPr>
            <w:r>
              <w:rPr>
                <w:b/>
                <w:color w:val="FFFFFF"/>
              </w:rPr>
              <w:t xml:space="preserve">Environment</w:t>
            </w:r>
          </w:p>
        </w:tc>
      </w:tr>
      <w:tr>
        <w:tc>
          <w:tcPr/>
          <w:p>
            <w:pPr>
              <w:pStyle w:val="Compact"/>
              <w:jc w:val="left"/>
            </w:pPr>
            <w:r>
              <w:rPr>
                <w:rStyle w:val="VerbatimChar"/>
              </w:rPr>
              <w:t xml:space="preserve">aihub-int</w:t>
            </w:r>
          </w:p>
        </w:tc>
        <w:tc>
          <w:tcPr/>
          <w:p>
            <w:pPr>
              <w:pStyle w:val="Compact"/>
              <w:jc w:val="left"/>
            </w:pPr>
            <w:r>
              <w:rPr>
                <w:rStyle w:val="VerbatimChar"/>
              </w:rPr>
              <w:t xml:space="preserve">aihub-api.aicoe-dev-int.colt.net</w:t>
            </w:r>
          </w:p>
        </w:tc>
        <w:tc>
          <w:tcPr/>
          <w:p>
            <w:pPr>
              <w:pStyle w:val="Compact"/>
              <w:jc w:val="left"/>
            </w:pPr>
            <w:r>
              <w:rPr>
                <w:rStyle w:val="VerbatimChar"/>
              </w:rPr>
              <w:t xml:space="preserve">int</w:t>
            </w:r>
          </w:p>
        </w:tc>
      </w:tr>
      <w:tr>
        <w:tc>
          <w:tcPr/>
          <w:p>
            <w:pPr>
              <w:pStyle w:val="Compact"/>
              <w:jc w:val="left"/>
            </w:pPr>
            <w:r>
              <w:rPr>
                <w:rStyle w:val="VerbatimChar"/>
              </w:rPr>
              <w:t xml:space="preserve">llm-int</w:t>
            </w:r>
          </w:p>
        </w:tc>
        <w:tc>
          <w:tcPr/>
          <w:p>
            <w:pPr>
              <w:pStyle w:val="Compact"/>
              <w:jc w:val="left"/>
            </w:pPr>
            <w:r>
              <w:rPr>
                <w:rStyle w:val="VerbatimChar"/>
              </w:rPr>
              <w:t xml:space="preserve">llm.aicoe-dev-int.colt.net</w:t>
            </w:r>
          </w:p>
        </w:tc>
        <w:tc>
          <w:tcPr/>
          <w:p>
            <w:pPr>
              <w:pStyle w:val="Compact"/>
              <w:jc w:val="left"/>
            </w:pPr>
            <w:r>
              <w:rPr>
                <w:rStyle w:val="VerbatimChar"/>
              </w:rPr>
              <w:t xml:space="preserve">llm</w:t>
            </w:r>
          </w:p>
        </w:tc>
      </w:tr>
    </w:tbl>
    <w:p>
      <w:pPr>
        <w:pStyle w:val="BodyText"/>
      </w:pPr>
      <w:r>
        <w:t xml:space="preserve">Both hostnames resolve to the same service endpoint address, per</w:t>
      </w:r>
      <w:r>
        <w:t xml:space="preserve"> </w:t>
      </w:r>
      <w:r>
        <w:rPr>
          <w:b/>
          <w:bCs/>
        </w:rPr>
        <w:t xml:space="preserve">Private Service Connect</w:t>
      </w:r>
      <w:r>
        <w:t xml:space="preserve">. Apigee selects the environment from the</w:t>
      </w:r>
      <w:r>
        <w:t xml:space="preserve"> </w:t>
      </w:r>
      <w:r>
        <w:rPr>
          <w:rStyle w:val="VerbatimChar"/>
        </w:rPr>
        <w:t xml:space="preserve">Host</w:t>
      </w:r>
      <w:r>
        <w:t xml:space="preserve"> </w:t>
      </w:r>
      <w:r>
        <w:t xml:space="preserve">header; a request presenting the address without the header reaches the instance but matches no environment group.</w:t>
      </w:r>
    </w:p>
    <w:bookmarkEnd w:id="130"/>
    <w:bookmarkEnd w:id="131"/>
    <w:bookmarkStart w:id="132" w:name="runtime-configuration-objects"/>
    <w:p>
      <w:pPr>
        <w:pStyle w:val="Heading2"/>
      </w:pPr>
      <w:r>
        <w:t xml:space="preserve">7.2 Runtime configuration objects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Object</w:t>
            </w:r>
          </w:p>
        </w:tc>
        <w:tc>
          <w:tcPr>
            <w:shd w:val="clear" w:color="auto" w:fill="1F3864"/>
          </w:tcPr>
          <w:p>
            <w:pPr>
              <w:pStyle w:val="Compact"/>
              <w:jc w:val="left"/>
            </w:pPr>
            <w:r>
              <w:rPr>
                <w:b/>
                <w:color w:val="FFFFFF"/>
              </w:rPr>
              <w:t xml:space="preserve">Purpose</w:t>
            </w:r>
          </w:p>
        </w:tc>
      </w:tr>
      <w:tr>
        <w:tc>
          <w:tcPr/>
          <w:p>
            <w:pPr>
              <w:pStyle w:val="Compact"/>
              <w:jc w:val="left"/>
            </w:pPr>
            <w:r>
              <w:t xml:space="preserve">Key value map</w:t>
            </w:r>
          </w:p>
        </w:tc>
        <w:tc>
          <w:tcPr/>
          <w:p>
            <w:pPr>
              <w:pStyle w:val="Compact"/>
              <w:jc w:val="left"/>
            </w:pPr>
            <w:r>
              <w:t xml:space="preserve">A runtime lookup table scoped to an environment</w:t>
            </w:r>
          </w:p>
        </w:tc>
      </w:tr>
      <w:tr>
        <w:tc>
          <w:tcPr/>
          <w:p>
            <w:pPr>
              <w:pStyle w:val="Compact"/>
              <w:jc w:val="left"/>
            </w:pPr>
            <w:r>
              <w:t xml:space="preserve">Target server</w:t>
            </w:r>
          </w:p>
        </w:tc>
        <w:tc>
          <w:tcPr/>
          <w:p>
            <w:pPr>
              <w:pStyle w:val="Compact"/>
              <w:jc w:val="left"/>
            </w:pPr>
            <w:r>
              <w:t xml:space="preserve">A named destination, so a proxy references</w:t>
            </w:r>
            <w:r>
              <w:t xml:space="preserve"> </w:t>
            </w:r>
            <w:r>
              <w:t xml:space="preserve">“</w:t>
            </w:r>
            <w:r>
              <w:t xml:space="preserve">the backends</w:t>
            </w:r>
            <w:r>
              <w:t xml:space="preserve">”</w:t>
            </w:r>
            <w:r>
              <w:t xml:space="preserve"> </w:t>
            </w:r>
            <w:r>
              <w:t xml:space="preserve">rather than a hard-coded address</w:t>
            </w:r>
          </w:p>
        </w:tc>
      </w:tr>
      <w:tr>
        <w:tc>
          <w:tcPr/>
          <w:p>
            <w:pPr>
              <w:pStyle w:val="Compact"/>
              <w:jc w:val="left"/>
            </w:pPr>
            <w:r>
              <w:t xml:space="preserve">API Product</w:t>
            </w:r>
          </w:p>
        </w:tc>
        <w:tc>
          <w:tcPr/>
          <w:p>
            <w:pPr>
              <w:pStyle w:val="Compact"/>
              <w:jc w:val="left"/>
            </w:pPr>
            <w:r>
              <w:t xml:space="preserve">A bundle of proxies with a quota attached. Token limits are measured against a product, not a proxy</w:t>
            </w:r>
          </w:p>
        </w:tc>
      </w:tr>
      <w:tr>
        <w:tc>
          <w:tcPr/>
          <w:p>
            <w:pPr>
              <w:pStyle w:val="Compact"/>
              <w:jc w:val="left"/>
            </w:pPr>
            <w:r>
              <w:t xml:space="preserve">Developer app</w:t>
            </w:r>
          </w:p>
        </w:tc>
        <w:tc>
          <w:tcPr/>
          <w:p>
            <w:pPr>
              <w:pStyle w:val="Compact"/>
              <w:jc w:val="left"/>
            </w:pPr>
            <w:r>
              <w:t xml:space="preserve">A consumer, with credentials. One per calling service</w:t>
            </w:r>
          </w:p>
        </w:tc>
      </w:tr>
      <w:tr>
        <w:tc>
          <w:tcPr/>
          <w:p>
            <w:pPr>
              <w:pStyle w:val="Compact"/>
              <w:jc w:val="left"/>
            </w:pPr>
            <w:r>
              <w:t xml:space="preserve">Keystore</w:t>
            </w:r>
          </w:p>
        </w:tc>
        <w:tc>
          <w:tcPr/>
          <w:p>
            <w:pPr>
              <w:pStyle w:val="Compact"/>
              <w:jc w:val="left"/>
            </w:pPr>
            <w:r>
              <w:t xml:space="preserve">Not required. Apigee mints no identity token of its own on either path: for the user API it verifies the forwarded Entra access token against Entra’s published keys; for the AI gateway it receives forwarded user context. There is no private signing key to store or rotate</w:t>
            </w:r>
          </w:p>
        </w:tc>
      </w:tr>
    </w:tbl>
    <w:p>
      <w:pPr>
        <w:pStyle w:val="BodyText"/>
      </w:pPr>
      <w:r>
        <w:rPr>
          <w:b/>
          <w:bCs/>
        </w:rPr>
        <w:t xml:space="preserve">Key value maps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Environment</w:t>
            </w:r>
          </w:p>
        </w:tc>
        <w:tc>
          <w:tcPr>
            <w:shd w:val="clear" w:color="auto" w:fill="1F3864"/>
          </w:tcPr>
          <w:p>
            <w:pPr>
              <w:pStyle w:val="Compact"/>
              <w:jc w:val="left"/>
            </w:pPr>
            <w:r>
              <w:rPr>
                <w:b/>
                <w:color w:val="FFFFFF"/>
              </w:rPr>
              <w:t xml:space="preserve">Map</w:t>
            </w:r>
          </w:p>
        </w:tc>
        <w:tc>
          <w:tcPr>
            <w:shd w:val="clear" w:color="auto" w:fill="1F3864"/>
          </w:tcPr>
          <w:p>
            <w:pPr>
              <w:pStyle w:val="Compact"/>
              <w:jc w:val="left"/>
            </w:pPr>
            <w:r>
              <w:rPr>
                <w:b/>
                <w:color w:val="FFFFFF"/>
              </w:rPr>
              <w:t xml:space="preserve">Contents</w:t>
            </w:r>
          </w:p>
        </w:tc>
      </w:tr>
      <w:tr>
        <w:tc>
          <w:tcPr/>
          <w:p>
            <w:pPr>
              <w:pStyle w:val="Compact"/>
              <w:jc w:val="left"/>
            </w:pPr>
            <w:r>
              <w:rPr>
                <w:rStyle w:val="VerbatimChar"/>
              </w:rPr>
              <w:t xml:space="preserve">llm</w:t>
            </w:r>
          </w:p>
        </w:tc>
        <w:tc>
          <w:tcPr/>
          <w:p>
            <w:pPr>
              <w:pStyle w:val="Compact"/>
              <w:jc w:val="left"/>
            </w:pPr>
            <w:r>
              <w:rPr>
                <w:rStyle w:val="VerbatimChar"/>
              </w:rPr>
              <w:t xml:space="preserve">group-to-bu</w:t>
            </w:r>
          </w:p>
        </w:tc>
        <w:tc>
          <w:tcPr/>
          <w:p>
            <w:pPr>
              <w:pStyle w:val="Compact"/>
              <w:jc w:val="left"/>
            </w:pPr>
            <w:r>
              <w:t xml:space="preserve">One entry per Entra group object ID, value the business unit name</w:t>
            </w:r>
          </w:p>
        </w:tc>
      </w:tr>
      <w:tr>
        <w:tc>
          <w:tcPr/>
          <w:p>
            <w:pPr>
              <w:pStyle w:val="Compact"/>
              <w:jc w:val="left"/>
            </w:pPr>
            <w:r>
              <w:rPr>
                <w:rStyle w:val="VerbatimChar"/>
              </w:rPr>
              <w:t xml:space="preserve">llm</w:t>
            </w:r>
          </w:p>
        </w:tc>
        <w:tc>
          <w:tcPr/>
          <w:p>
            <w:pPr>
              <w:pStyle w:val="Compact"/>
              <w:jc w:val="left"/>
            </w:pPr>
            <w:r>
              <w:rPr>
                <w:rStyle w:val="VerbatimChar"/>
              </w:rPr>
              <w:t xml:space="preserve">allowed-models</w:t>
            </w:r>
          </w:p>
        </w:tc>
        <w:tc>
          <w:tcPr/>
          <w:p>
            <w:pPr>
              <w:pStyle w:val="Compact"/>
              <w:jc w:val="left"/>
            </w:pPr>
            <w:r>
              <w:t xml:space="preserve">Approved model names, so a model change is a configuration edit rather than a proxy redeploy</w:t>
            </w:r>
          </w:p>
        </w:tc>
      </w:tr>
      <w:tr>
        <w:tc>
          <w:tcPr/>
          <w:p>
            <w:pPr>
              <w:pStyle w:val="Compact"/>
              <w:jc w:val="left"/>
            </w:pPr>
            <w:r>
              <w:rPr>
                <w:rStyle w:val="VerbatimChar"/>
              </w:rPr>
              <w:t xml:space="preserve">llm</w:t>
            </w:r>
          </w:p>
        </w:tc>
        <w:tc>
          <w:tcPr/>
          <w:p>
            <w:pPr>
              <w:pStyle w:val="Compact"/>
              <w:jc w:val="left"/>
            </w:pPr>
            <w:r>
              <w:rPr>
                <w:rStyle w:val="VerbatimChar"/>
              </w:rPr>
              <w:t xml:space="preserve">bu-armor-template</w:t>
            </w:r>
          </w:p>
        </w:tc>
        <w:tc>
          <w:tcPr/>
          <w:p>
            <w:pPr>
              <w:pStyle w:val="Compact"/>
              <w:jc w:val="left"/>
            </w:pPr>
            <w:r>
              <w:t xml:space="preserve">Business unit mapped to Model Armor template (</w:t>
            </w:r>
            <w:r>
              <w:rPr>
                <w:rStyle w:val="VerbatimChar"/>
              </w:rPr>
              <w:t xml:space="preserve">aicoe-default</w:t>
            </w:r>
            <w:r>
              <w:t xml:space="preserve"> </w:t>
            </w:r>
            <w:r>
              <w:t xml:space="preserve">or</w:t>
            </w:r>
            <w:r>
              <w:t xml:space="preserve"> </w:t>
            </w:r>
            <w:r>
              <w:rPr>
                <w:rStyle w:val="VerbatimChar"/>
              </w:rPr>
              <w:t xml:space="preserve">aicoe-strict</w:t>
            </w:r>
            <w:r>
              <w:t xml:space="preserve">)</w:t>
            </w:r>
          </w:p>
        </w:tc>
      </w:tr>
      <w:tr>
        <w:tc>
          <w:tcPr/>
          <w:p>
            <w:pPr>
              <w:pStyle w:val="Compact"/>
              <w:jc w:val="left"/>
            </w:pPr>
            <w:r>
              <w:rPr>
                <w:rStyle w:val="VerbatimChar"/>
              </w:rPr>
              <w:t xml:space="preserve">int</w:t>
            </w:r>
          </w:p>
        </w:tc>
        <w:tc>
          <w:tcPr/>
          <w:p>
            <w:pPr>
              <w:pStyle w:val="Compact"/>
              <w:jc w:val="left"/>
            </w:pPr>
            <w:r>
              <w:rPr>
                <w:rStyle w:val="VerbatimChar"/>
              </w:rPr>
              <w:t xml:space="preserve">backend-audiences</w:t>
            </w:r>
          </w:p>
        </w:tc>
        <w:tc>
          <w:tcPr/>
          <w:p>
            <w:pPr>
              <w:pStyle w:val="Compact"/>
              <w:jc w:val="left"/>
            </w:pPr>
            <w:r>
              <w:t xml:space="preserve">One entry per backend, value the audience its token must carry</w:t>
            </w:r>
          </w:p>
        </w:tc>
      </w:tr>
    </w:tbl>
    <w:p>
      <w:pPr>
        <w:pStyle w:val="BodyText"/>
      </w:pPr>
      <w:r>
        <w:rPr>
          <w:b/>
          <w:bCs/>
        </w:rPr>
        <w:t xml:space="preserve">Target servers</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Environment</w:t>
            </w:r>
          </w:p>
        </w:tc>
        <w:tc>
          <w:tcPr>
            <w:shd w:val="clear" w:color="auto" w:fill="1F3864"/>
          </w:tcPr>
          <w:p>
            <w:pPr>
              <w:pStyle w:val="Compact"/>
              <w:jc w:val="left"/>
            </w:pPr>
            <w:r>
              <w:rPr>
                <w:b/>
                <w:color w:val="FFFFFF"/>
              </w:rPr>
              <w:t xml:space="preserve">Name</w:t>
            </w:r>
          </w:p>
        </w:tc>
        <w:tc>
          <w:tcPr>
            <w:shd w:val="clear" w:color="auto" w:fill="1F3864"/>
          </w:tcPr>
          <w:p>
            <w:pPr>
              <w:pStyle w:val="Compact"/>
              <w:jc w:val="left"/>
            </w:pPr>
            <w:r>
              <w:rPr>
                <w:b/>
                <w:color w:val="FFFFFF"/>
              </w:rPr>
              <w:t xml:space="preserve">Host</w:t>
            </w:r>
          </w:p>
        </w:tc>
        <w:tc>
          <w:tcPr>
            <w:shd w:val="clear" w:color="auto" w:fill="1F3864"/>
          </w:tcPr>
          <w:p>
            <w:pPr>
              <w:pStyle w:val="Compact"/>
              <w:jc w:val="left"/>
            </w:pPr>
            <w:r>
              <w:rPr>
                <w:b/>
                <w:color w:val="FFFFFF"/>
              </w:rPr>
              <w:t xml:space="preserve">Port</w:t>
            </w:r>
          </w:p>
        </w:tc>
        <w:tc>
          <w:tcPr>
            <w:shd w:val="clear" w:color="auto" w:fill="1F3864"/>
          </w:tcPr>
          <w:p>
            <w:pPr>
              <w:pStyle w:val="Compact"/>
              <w:jc w:val="left"/>
            </w:pPr>
            <w:r>
              <w:rPr>
                <w:b/>
                <w:color w:val="FFFFFF"/>
              </w:rPr>
              <w:t xml:space="preserve">TLS</w:t>
            </w:r>
          </w:p>
        </w:tc>
      </w:tr>
      <w:tr>
        <w:tc>
          <w:tcPr/>
          <w:p>
            <w:pPr>
              <w:pStyle w:val="Compact"/>
              <w:jc w:val="left"/>
            </w:pPr>
            <w:r>
              <w:rPr>
                <w:rStyle w:val="VerbatimChar"/>
              </w:rPr>
              <w:t xml:space="preserve">llm</w:t>
            </w:r>
          </w:p>
        </w:tc>
        <w:tc>
          <w:tcPr/>
          <w:p>
            <w:pPr>
              <w:pStyle w:val="Compact"/>
              <w:jc w:val="left"/>
            </w:pPr>
            <w:r>
              <w:rPr>
                <w:rStyle w:val="VerbatimChar"/>
              </w:rPr>
              <w:t xml:space="preserve">vertex</w:t>
            </w:r>
          </w:p>
        </w:tc>
        <w:tc>
          <w:tcPr/>
          <w:p>
            <w:pPr>
              <w:pStyle w:val="Compact"/>
              <w:jc w:val="left"/>
            </w:pPr>
            <w:r>
              <w:rPr>
                <w:rStyle w:val="VerbatimChar"/>
              </w:rPr>
              <w:t xml:space="preserve">europe-west1-aiplatform.googleapis.com</w:t>
            </w:r>
          </w:p>
        </w:tc>
        <w:tc>
          <w:tcPr/>
          <w:p>
            <w:pPr>
              <w:pStyle w:val="Compact"/>
              <w:jc w:val="left"/>
            </w:pPr>
            <w:r>
              <w:t xml:space="preserve">443</w:t>
            </w:r>
          </w:p>
        </w:tc>
        <w:tc>
          <w:tcPr/>
          <w:p>
            <w:pPr>
              <w:pStyle w:val="Compact"/>
              <w:jc w:val="left"/>
            </w:pPr>
            <w:r>
              <w:t xml:space="preserve">Enabled</w:t>
            </w:r>
          </w:p>
        </w:tc>
      </w:tr>
      <w:tr>
        <w:tc>
          <w:tcPr/>
          <w:p>
            <w:pPr>
              <w:pStyle w:val="Compact"/>
              <w:jc w:val="left"/>
            </w:pPr>
            <w:r>
              <w:rPr>
                <w:rStyle w:val="VerbatimChar"/>
              </w:rPr>
              <w:t xml:space="preserve">int</w:t>
            </w:r>
          </w:p>
        </w:tc>
        <w:tc>
          <w:tcPr/>
          <w:p>
            <w:pPr>
              <w:pStyle w:val="Compact"/>
              <w:jc w:val="left"/>
            </w:pPr>
            <w:r>
              <w:rPr>
                <w:rStyle w:val="VerbatimChar"/>
              </w:rPr>
              <w:t xml:space="preserve">backends</w:t>
            </w:r>
          </w:p>
        </w:tc>
        <w:tc>
          <w:tcPr/>
          <w:p>
            <w:pPr>
              <w:pStyle w:val="Compact"/>
              <w:jc w:val="left"/>
            </w:pPr>
            <w:r>
              <w:t xml:space="preserve">The endpoint attachment host returned by</w:t>
            </w:r>
            <w:r>
              <w:t xml:space="preserve"> </w:t>
            </w:r>
            <w:r>
              <w:rPr>
                <w:b/>
                <w:bCs/>
              </w:rPr>
              <w:t xml:space="preserve">Private Service Connect</w:t>
            </w:r>
          </w:p>
        </w:tc>
        <w:tc>
          <w:tcPr/>
          <w:p>
            <w:pPr>
              <w:pStyle w:val="Compact"/>
              <w:jc w:val="left"/>
            </w:pPr>
            <w:r>
              <w:t xml:space="preserve">443</w:t>
            </w:r>
          </w:p>
        </w:tc>
        <w:tc>
          <w:tcPr/>
          <w:p>
            <w:pPr>
              <w:pStyle w:val="Compact"/>
              <w:jc w:val="left"/>
            </w:pPr>
            <w:r>
              <w:t xml:space="preserve">Enabled</w:t>
            </w:r>
          </w:p>
        </w:tc>
      </w:tr>
    </w:tbl>
    <w:p>
      <w:pPr>
        <w:pStyle w:val="BodyText"/>
      </w:pPr>
      <w:r>
        <w:t xml:space="preserve">No truststore is required for</w:t>
      </w:r>
      <w:r>
        <w:t xml:space="preserve"> </w:t>
      </w:r>
      <w:r>
        <w:rPr>
          <w:rStyle w:val="VerbatimChar"/>
        </w:rPr>
        <w:t xml:space="preserve">vertex</w:t>
      </w:r>
      <w:r>
        <w:t xml:space="preserve">; it is a public Google endpoint with a publicly trusted certificate.</w:t>
      </w:r>
    </w:p>
    <w:p>
      <w:pPr>
        <w:pStyle w:val="BodyText"/>
      </w:pPr>
      <w:r>
        <w:rPr>
          <w:b/>
          <w:bCs/>
        </w:rPr>
        <w:t xml:space="preserve">API Products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Product</w:t>
            </w:r>
          </w:p>
        </w:tc>
        <w:tc>
          <w:tcPr>
            <w:shd w:val="clear" w:color="auto" w:fill="1F3864"/>
          </w:tcPr>
          <w:p>
            <w:pPr>
              <w:pStyle w:val="Compact"/>
              <w:jc w:val="left"/>
            </w:pPr>
            <w:r>
              <w:rPr>
                <w:b/>
                <w:color w:val="FFFFFF"/>
              </w:rPr>
              <w:t xml:space="preserve">Attributes</w:t>
            </w:r>
          </w:p>
        </w:tc>
        <w:tc>
          <w:tcPr>
            <w:shd w:val="clear" w:color="auto" w:fill="1F3864"/>
          </w:tcPr>
          <w:p>
            <w:pPr>
              <w:pStyle w:val="Compact"/>
              <w:jc w:val="left"/>
            </w:pPr>
            <w:r>
              <w:rPr>
                <w:b/>
                <w:color w:val="FFFFFF"/>
              </w:rPr>
              <w:t xml:space="preserve">Consumers</w:t>
            </w:r>
          </w:p>
        </w:tc>
      </w:tr>
      <w:tr>
        <w:tc>
          <w:tcPr/>
          <w:p>
            <w:pPr>
              <w:pStyle w:val="Compact"/>
              <w:jc w:val="left"/>
            </w:pPr>
            <w:r>
              <w:rPr>
                <w:rStyle w:val="VerbatimChar"/>
              </w:rPr>
              <w:t xml:space="preserve">aicoe-standard</w:t>
            </w:r>
          </w:p>
        </w:tc>
        <w:tc>
          <w:tcPr/>
          <w:p>
            <w:pPr>
              <w:pStyle w:val="Compact"/>
              <w:jc w:val="left"/>
            </w:pPr>
            <w:r>
              <w:t xml:space="preserve">60 requests/min · 5,000 requests/day · 200,000 LLM tokens/day</w:t>
            </w:r>
          </w:p>
        </w:tc>
        <w:tc>
          <w:tcPr/>
          <w:p>
            <w:pPr>
              <w:pStyle w:val="Compact"/>
              <w:jc w:val="left"/>
            </w:pPr>
            <w:r>
              <w:t xml:space="preserve">The Backend-for-Frontend, on behalf of standard users</w:t>
            </w:r>
          </w:p>
        </w:tc>
      </w:tr>
      <w:tr>
        <w:tc>
          <w:tcPr/>
          <w:p>
            <w:pPr>
              <w:pStyle w:val="Compact"/>
              <w:jc w:val="left"/>
            </w:pPr>
            <w:r>
              <w:rPr>
                <w:rStyle w:val="VerbatimChar"/>
              </w:rPr>
              <w:t xml:space="preserve">aicoe-power</w:t>
            </w:r>
          </w:p>
        </w:tc>
        <w:tc>
          <w:tcPr/>
          <w:p>
            <w:pPr>
              <w:pStyle w:val="Compact"/>
              <w:jc w:val="left"/>
            </w:pPr>
            <w:r>
              <w:t xml:space="preserve">300 requests/min · 20,000 requests/day · 1,000,000 LLM tokens/day</w:t>
            </w:r>
          </w:p>
        </w:tc>
        <w:tc>
          <w:tcPr/>
          <w:p>
            <w:pPr>
              <w:pStyle w:val="Compact"/>
              <w:jc w:val="left"/>
            </w:pPr>
            <w:r>
              <w:t xml:space="preserve">Heavier users</w:t>
            </w:r>
          </w:p>
        </w:tc>
      </w:tr>
      <w:tr>
        <w:tc>
          <w:tcPr/>
          <w:p>
            <w:pPr>
              <w:pStyle w:val="Compact"/>
              <w:jc w:val="left"/>
            </w:pPr>
            <w:r>
              <w:rPr>
                <w:rStyle w:val="VerbatimChar"/>
              </w:rPr>
              <w:t xml:space="preserve">llm-translation-standard</w:t>
            </w:r>
          </w:p>
        </w:tc>
        <w:tc>
          <w:tcPr/>
          <w:p>
            <w:pPr>
              <w:pStyle w:val="Compact"/>
              <w:jc w:val="left"/>
            </w:pPr>
            <w:r>
              <w:t xml:space="preserve">5,000,000 tokens/day</w:t>
            </w:r>
          </w:p>
        </w:tc>
        <w:tc>
          <w:tcPr/>
          <w:p>
            <w:pPr>
              <w:pStyle w:val="Compact"/>
              <w:jc w:val="left"/>
            </w:pPr>
            <w:r>
              <w:rPr>
                <w:rStyle w:val="VerbatimChar"/>
              </w:rPr>
              <w:t xml:space="preserve">translation-api-service</w:t>
            </w:r>
            <w:r>
              <w:t xml:space="preserve"> </w:t>
            </w:r>
            <w:r>
              <w:t xml:space="preserve">and its worker</w:t>
            </w:r>
          </w:p>
        </w:tc>
      </w:tr>
      <w:tr>
        <w:tc>
          <w:tcPr/>
          <w:p>
            <w:pPr>
              <w:pStyle w:val="Compact"/>
              <w:jc w:val="left"/>
            </w:pPr>
            <w:r>
              <w:rPr>
                <w:rStyle w:val="VerbatimChar"/>
              </w:rPr>
              <w:t xml:space="preserve">llm-sales-standard</w:t>
            </w:r>
          </w:p>
        </w:tc>
        <w:tc>
          <w:tcPr/>
          <w:p>
            <w:pPr>
              <w:pStyle w:val="Compact"/>
              <w:jc w:val="left"/>
            </w:pPr>
            <w:r>
              <w:t xml:space="preserve">2,000,000 tokens/day</w:t>
            </w:r>
          </w:p>
        </w:tc>
        <w:tc>
          <w:tcPr/>
          <w:p>
            <w:pPr>
              <w:pStyle w:val="Compact"/>
              <w:jc w:val="left"/>
            </w:pPr>
            <w:r>
              <w:t xml:space="preserve">Sales research</w:t>
            </w:r>
          </w:p>
        </w:tc>
      </w:tr>
      <w:tr>
        <w:tc>
          <w:tcPr/>
          <w:p>
            <w:pPr>
              <w:pStyle w:val="Compact"/>
              <w:jc w:val="left"/>
            </w:pPr>
            <w:r>
              <w:rPr>
                <w:rStyle w:val="VerbatimChar"/>
              </w:rPr>
              <w:t xml:space="preserve">llm-internal-low</w:t>
            </w:r>
          </w:p>
        </w:tc>
        <w:tc>
          <w:tcPr/>
          <w:p>
            <w:pPr>
              <w:pStyle w:val="Compact"/>
              <w:jc w:val="left"/>
            </w:pPr>
            <w:r>
              <w:t xml:space="preserve">200,000 tokens/day</w:t>
            </w:r>
          </w:p>
        </w:tc>
        <w:tc>
          <w:tcPr/>
          <w:p>
            <w:pPr>
              <w:pStyle w:val="Compact"/>
              <w:jc w:val="left"/>
            </w:pPr>
            <w:r>
              <w:t xml:space="preserve">Any usecase added subsequently</w:t>
            </w:r>
          </w:p>
        </w:tc>
      </w:tr>
    </w:tbl>
    <w:p>
      <w:pPr>
        <w:pStyle w:val="BodyText"/>
      </w:pPr>
      <w:r>
        <w:t xml:space="preserve">Token limits are configured as API Product custom attributes rather than as proxy settings, so a limit change is an edit against the product rather than a proxy redeploy.</w:t>
      </w:r>
    </w:p>
    <w:p>
      <w:pPr>
        <w:pStyle w:val="BodyText"/>
      </w:pPr>
      <w:r>
        <w:rPr>
          <w:b/>
          <w:bCs/>
        </w:rPr>
        <w:t xml:space="preserve">Developer apps</w:t>
      </w:r>
      <w:r>
        <w:t xml:space="preserve"> </w:t>
      </w:r>
      <w:r>
        <w:t xml:space="preserve">— one per calling service:</w:t>
      </w:r>
      <w:r>
        <w:t xml:space="preserve"> </w:t>
      </w:r>
      <w:r>
        <w:rPr>
          <w:rStyle w:val="VerbatimChar"/>
        </w:rPr>
        <w:t xml:space="preserve">aihub-bff</w:t>
      </w:r>
      <w:r>
        <w:t xml:space="preserve">,</w:t>
      </w:r>
      <w:r>
        <w:t xml:space="preserve"> </w:t>
      </w:r>
      <w:r>
        <w:rPr>
          <w:rStyle w:val="VerbatimChar"/>
        </w:rPr>
        <w:t xml:space="preserve">translation-api</w:t>
      </w:r>
      <w:r>
        <w:t xml:space="preserve">,</w:t>
      </w:r>
      <w:r>
        <w:t xml:space="preserve"> </w:t>
      </w:r>
      <w:r>
        <w:rPr>
          <w:rStyle w:val="VerbatimChar"/>
        </w:rPr>
        <w:t xml:space="preserve">translation-worker</w:t>
      </w:r>
      <w:r>
        <w:t xml:space="preserve">,</w:t>
      </w:r>
      <w:r>
        <w:t xml:space="preserve"> </w:t>
      </w:r>
      <w:r>
        <w:rPr>
          <w:rStyle w:val="VerbatimChar"/>
        </w:rPr>
        <w:t xml:space="preserve">sales-research</w:t>
      </w:r>
      <w:r>
        <w:t xml:space="preserve">. Each is issued a key and secret; both are stored in Secret Manager and nowhere else. The Backend-for-Frontend holds its key server-side, so — unlike a browser-side integration — the key is never shipped to the browser.</w:t>
      </w:r>
    </w:p>
    <w:bookmarkEnd w:id="132"/>
    <w:bookmarkStart w:id="136" w:name="the-user-api-proxy-policy-chain"/>
    <w:p>
      <w:pPr>
        <w:pStyle w:val="Heading2"/>
      </w:pPr>
      <w:r>
        <w:t xml:space="preserve">7.3 The user API proxy — policy chain</w:t>
      </w:r>
    </w:p>
    <w:p>
      <w:pPr>
        <w:pStyle w:val="FirstParagraph"/>
      </w:pPr>
      <w:r>
        <w:t xml:space="preserve">Deployed to</w:t>
      </w:r>
      <w:r>
        <w:t xml:space="preserve"> </w:t>
      </w:r>
      <w:r>
        <w:rPr>
          <w:rStyle w:val="VerbatimChar"/>
        </w:rPr>
        <w:t xml:space="preserve">int</w:t>
      </w:r>
      <w:r>
        <w:t xml:space="preserve"> </w:t>
      </w:r>
      <w:r>
        <w:t xml:space="preserve">under service account</w:t>
      </w:r>
      <w:r>
        <w:t xml:space="preserve"> </w:t>
      </w:r>
      <w:r>
        <w:rPr>
          <w:rStyle w:val="VerbatimChar"/>
        </w:rPr>
        <w:t xml:space="preserve">apigee-int-runtime</w:t>
      </w:r>
      <w:r>
        <w:t xml:space="preserve">. This proxy carries the platform’s per-user rate limiting.</w:t>
      </w:r>
    </w:p>
    <w:p>
      <w:pPr>
        <w:pStyle w:val="CaptionedFigure"/>
      </w:pPr>
      <w:r>
        <w:drawing>
          <wp:inline>
            <wp:extent cx="5669280" cy="6983750"/>
            <wp:effectExtent b="0" l="0" r="0" t="0"/>
            <wp:docPr descr="AI Hub proxy policy chain — the eight-step Apigee preflow from SpikeArrest through AssignMessage to the backends TargetEndpoint, with quota and spike faults routed to a FaultRule" title="" id="134" name="Picture"/>
            <a:graphic>
              <a:graphicData uri="http://schemas.openxmlformats.org/drawingml/2006/picture">
                <pic:pic>
                  <pic:nvPicPr>
                    <pic:cNvPr descr="diagrams/aihub-proxy-policy-chain.png" id="135" name="Picture"/>
                    <pic:cNvPicPr>
                      <a:picLocks noChangeArrowheads="1" noChangeAspect="1"/>
                    </pic:cNvPicPr>
                  </pic:nvPicPr>
                  <pic:blipFill>
                    <a:blip r:embed="rId133"/>
                    <a:stretch>
                      <a:fillRect/>
                    </a:stretch>
                  </pic:blipFill>
                  <pic:spPr bwMode="auto">
                    <a:xfrm>
                      <a:off x="0" y="0"/>
                      <a:ext cx="5669280" cy="6983750"/>
                    </a:xfrm>
                    <a:prstGeom prst="rect">
                      <a:avLst/>
                    </a:prstGeom>
                    <a:noFill/>
                    <a:ln w="9525">
                      <a:noFill/>
                      <a:headEnd/>
                      <a:tailEnd/>
                    </a:ln>
                  </pic:spPr>
                </pic:pic>
              </a:graphicData>
            </a:graphic>
          </wp:inline>
        </w:drawing>
      </w:r>
    </w:p>
    <w:p>
      <w:pPr>
        <w:pStyle w:val="ImageCaption"/>
      </w:pPr>
      <w:r>
        <w:t xml:space="preserve">AI Hub proxy policy chain — the eight-step Apigee preflow from SpikeArrest through AssignMessage to the backends TargetEndpoint, with quota and spike faults routed to a FaultRule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Policy</w:t>
            </w:r>
          </w:p>
        </w:tc>
        <w:tc>
          <w:tcPr>
            <w:shd w:val="clear" w:color="auto" w:fill="1F3864"/>
          </w:tcPr>
          <w:p>
            <w:pPr>
              <w:pStyle w:val="Compact"/>
              <w:jc w:val="left"/>
            </w:pPr>
            <w:r>
              <w:rPr>
                <w:b/>
                <w:color w:val="FFFFFF"/>
              </w:rPr>
              <w:t xml:space="preserve">Detail</w:t>
            </w:r>
          </w:p>
        </w:tc>
      </w:tr>
      <w:tr>
        <w:tc>
          <w:tcPr/>
          <w:p>
            <w:pPr>
              <w:pStyle w:val="Compact"/>
              <w:jc w:val="left"/>
            </w:pPr>
            <w:r>
              <w:t xml:space="preserve">1</w:t>
            </w:r>
          </w:p>
        </w:tc>
        <w:tc>
          <w:tcPr/>
          <w:p>
            <w:pPr>
              <w:pStyle w:val="Compact"/>
              <w:jc w:val="left"/>
            </w:pPr>
            <w:r>
              <w:rPr>
                <w:rStyle w:val="VerbatimChar"/>
              </w:rPr>
              <w:t xml:space="preserve">SpikeArrest</w:t>
            </w:r>
            <w:r>
              <w:t xml:space="preserve"> </w:t>
            </w:r>
            <w:r>
              <w:t xml:space="preserve">on</w:t>
            </w:r>
            <w:r>
              <w:t xml:space="preserve"> </w:t>
            </w:r>
            <w:r>
              <w:rPr>
                <w:rStyle w:val="VerbatimChar"/>
              </w:rPr>
              <w:t xml:space="preserve">oid</w:t>
            </w:r>
          </w:p>
        </w:tc>
        <w:tc>
          <w:tcPr/>
          <w:p>
            <w:pPr>
              <w:pStyle w:val="Compact"/>
              <w:jc w:val="left"/>
            </w:pPr>
            <w:r>
              <w:t xml:space="preserve">First in the chain; requires no credential and sheds load before authentication is evaluated.</w:t>
            </w:r>
            <w:r>
              <w:t xml:space="preserve"> </w:t>
            </w:r>
            <w:r>
              <w:rPr>
                <w:rStyle w:val="VerbatimChar"/>
              </w:rPr>
              <w:t xml:space="preserve">UseEffectiveCount</w:t>
            </w:r>
            <w:r>
              <w:t xml:space="preserve"> </w:t>
            </w:r>
            <w:r>
              <w:t xml:space="preserve">set to</w:t>
            </w:r>
            <w:r>
              <w:t xml:space="preserve"> </w:t>
            </w:r>
            <w:r>
              <w:rPr>
                <w:rStyle w:val="VerbatimChar"/>
              </w:rPr>
              <w:t xml:space="preserve">true</w:t>
            </w:r>
          </w:p>
        </w:tc>
      </w:tr>
      <w:tr>
        <w:tc>
          <w:tcPr/>
          <w:p>
            <w:pPr>
              <w:pStyle w:val="Compact"/>
              <w:jc w:val="left"/>
            </w:pPr>
            <w:r>
              <w:t xml:space="preserve">2</w:t>
            </w:r>
          </w:p>
        </w:tc>
        <w:tc>
          <w:tcPr/>
          <w:p>
            <w:pPr>
              <w:pStyle w:val="Compact"/>
              <w:jc w:val="left"/>
            </w:pPr>
            <w:r>
              <w:rPr>
                <w:rStyle w:val="VerbatimChar"/>
              </w:rPr>
              <w:t xml:space="preserve">VerifyJWT</w:t>
            </w:r>
          </w:p>
        </w:tc>
        <w:tc>
          <w:tcPr/>
          <w:p>
            <w:pPr>
              <w:pStyle w:val="Compact"/>
              <w:jc w:val="left"/>
            </w:pPr>
            <w:r>
              <w:t xml:space="preserve">The Entra access token. JWKS retrieved from Entra’s metadata endpoint; issuer checked; audience pinned to</w:t>
            </w:r>
            <w:r>
              <w:t xml:space="preserve"> </w:t>
            </w:r>
            <w:r>
              <w:rPr>
                <w:rStyle w:val="VerbatimChar"/>
              </w:rPr>
              <w:t xml:space="preserve">api://aicoe-platform</w:t>
            </w:r>
            <w:r>
              <w:t xml:space="preserve">; expiry checked</w:t>
            </w:r>
          </w:p>
        </w:tc>
      </w:tr>
      <w:tr>
        <w:tc>
          <w:tcPr/>
          <w:p>
            <w:pPr>
              <w:pStyle w:val="Compact"/>
              <w:jc w:val="left"/>
            </w:pPr>
            <w:r>
              <w:t xml:space="preserve">3</w:t>
            </w:r>
          </w:p>
        </w:tc>
        <w:tc>
          <w:tcPr/>
          <w:p>
            <w:pPr>
              <w:pStyle w:val="Compact"/>
              <w:jc w:val="left"/>
            </w:pPr>
            <w:r>
              <w:rPr>
                <w:rStyle w:val="VerbatimChar"/>
              </w:rPr>
              <w:t xml:space="preserve">ExtractVariables</w:t>
            </w:r>
          </w:p>
        </w:tc>
        <w:tc>
          <w:tcPr/>
          <w:p>
            <w:pPr>
              <w:pStyle w:val="Compact"/>
              <w:jc w:val="left"/>
            </w:pPr>
            <w:r>
              <w:rPr>
                <w:rStyle w:val="VerbatimChar"/>
              </w:rPr>
              <w:t xml:space="preserve">oid</w:t>
            </w:r>
            <w:r>
              <w:t xml:space="preserve">,</w:t>
            </w:r>
            <w:r>
              <w:t xml:space="preserve"> </w:t>
            </w:r>
            <w:r>
              <w:rPr>
                <w:rStyle w:val="VerbatimChar"/>
              </w:rPr>
              <w:t xml:space="preserve">roles[]</w:t>
            </w:r>
            <w:r>
              <w:t xml:space="preserve">,</w:t>
            </w:r>
            <w:r>
              <w:t xml:space="preserve"> </w:t>
            </w:r>
            <w:r>
              <w:rPr>
                <w:rStyle w:val="VerbatimChar"/>
              </w:rPr>
              <w:t xml:space="preserve">preferred_username</w:t>
            </w:r>
            <w:r>
              <w:t xml:space="preserve">,</w:t>
            </w:r>
            <w:r>
              <w:t xml:space="preserve"> </w:t>
            </w:r>
            <w:r>
              <w:rPr>
                <w:rStyle w:val="VerbatimChar"/>
              </w:rPr>
              <w:t xml:space="preserve">department</w:t>
            </w:r>
          </w:p>
        </w:tc>
      </w:tr>
      <w:tr>
        <w:tc>
          <w:tcPr/>
          <w:p>
            <w:pPr>
              <w:pStyle w:val="Compact"/>
              <w:jc w:val="left"/>
            </w:pPr>
            <w:r>
              <w:t xml:space="preserve">4</w:t>
            </w:r>
          </w:p>
        </w:tc>
        <w:tc>
          <w:tcPr/>
          <w:p>
            <w:pPr>
              <w:pStyle w:val="Compact"/>
              <w:jc w:val="left"/>
            </w:pPr>
            <w:r>
              <w:rPr>
                <w:rStyle w:val="VerbatimChar"/>
              </w:rPr>
              <w:t xml:space="preserve">RaiseFault</w:t>
            </w:r>
            <w:r>
              <w:t xml:space="preserve"> </w:t>
            </w:r>
            <w:r>
              <w:t xml:space="preserve">403</w:t>
            </w:r>
          </w:p>
        </w:tc>
        <w:tc>
          <w:tcPr/>
          <w:p>
            <w:pPr>
              <w:pStyle w:val="Compact"/>
              <w:jc w:val="left"/>
            </w:pPr>
            <w:r>
              <w:t xml:space="preserve">Raised if the required App Role is absent. The default flow denies; an unlisted path is refused, not allowed</w:t>
            </w:r>
          </w:p>
        </w:tc>
      </w:tr>
      <w:tr>
        <w:tc>
          <w:tcPr/>
          <w:p>
            <w:pPr>
              <w:pStyle w:val="Compact"/>
              <w:jc w:val="left"/>
            </w:pPr>
            <w:r>
              <w:t xml:space="preserve">5</w:t>
            </w:r>
          </w:p>
        </w:tc>
        <w:tc>
          <w:tcPr/>
          <w:p>
            <w:pPr>
              <w:pStyle w:val="Compact"/>
              <w:jc w:val="left"/>
            </w:pPr>
            <w:r>
              <w:rPr>
                <w:rStyle w:val="VerbatimChar"/>
              </w:rPr>
              <w:t xml:space="preserve">VerifyAPIKey</w:t>
            </w:r>
          </w:p>
        </w:tc>
        <w:tc>
          <w:tcPr/>
          <w:p>
            <w:pPr>
              <w:pStyle w:val="Compact"/>
              <w:jc w:val="left"/>
            </w:pPr>
            <w:r>
              <w:t xml:space="preserve">Resolves the API Product, which the attribute-driven quota policies require</w:t>
            </w:r>
          </w:p>
        </w:tc>
      </w:tr>
      <w:tr>
        <w:tc>
          <w:tcPr/>
          <w:p>
            <w:pPr>
              <w:pStyle w:val="Compact"/>
              <w:jc w:val="left"/>
            </w:pPr>
            <w:r>
              <w:t xml:space="preserve">6</w:t>
            </w:r>
          </w:p>
        </w:tc>
        <w:tc>
          <w:tcPr/>
          <w:p>
            <w:pPr>
              <w:pStyle w:val="Compact"/>
              <w:jc w:val="left"/>
            </w:pPr>
            <w:r>
              <w:rPr>
                <w:rStyle w:val="VerbatimChar"/>
              </w:rPr>
              <w:t xml:space="preserve">Quota</w:t>
            </w:r>
            <w:r>
              <w:t xml:space="preserve"> </w:t>
            </w:r>
            <w:r>
              <w:t xml:space="preserve">per minute on</w:t>
            </w:r>
            <w:r>
              <w:t xml:space="preserve"> </w:t>
            </w:r>
            <w:r>
              <w:rPr>
                <w:rStyle w:val="VerbatimChar"/>
              </w:rPr>
              <w:t xml:space="preserve">oid</w:t>
            </w:r>
          </w:p>
        </w:tc>
        <w:tc>
          <w:tcPr/>
          <w:p>
            <w:pPr>
              <w:pStyle w:val="Compact"/>
              <w:jc w:val="left"/>
            </w:pPr>
            <w:r>
              <w:rPr>
                <w:rStyle w:val="VerbatimChar"/>
              </w:rPr>
              <w:t xml:space="preserve">Distributed</w:t>
            </w:r>
            <w:r>
              <w:t xml:space="preserve"> </w:t>
            </w:r>
            <w:r>
              <w:t xml:space="preserve">and</w:t>
            </w:r>
            <w:r>
              <w:t xml:space="preserve"> </w:t>
            </w:r>
            <w:r>
              <w:rPr>
                <w:rStyle w:val="VerbatimChar"/>
              </w:rPr>
              <w:t xml:space="preserve">Synchronous</w:t>
            </w:r>
            <w:r>
              <w:t xml:space="preserve"> </w:t>
            </w:r>
            <w:r>
              <w:t xml:space="preserve">both</w:t>
            </w:r>
            <w:r>
              <w:t xml:space="preserve"> </w:t>
            </w:r>
            <w:r>
              <w:rPr>
                <w:rStyle w:val="VerbatimChar"/>
              </w:rPr>
              <w:t xml:space="preserve">true</w:t>
            </w:r>
          </w:p>
        </w:tc>
      </w:tr>
      <w:tr>
        <w:tc>
          <w:tcPr/>
          <w:p>
            <w:pPr>
              <w:pStyle w:val="Compact"/>
              <w:jc w:val="left"/>
            </w:pPr>
            <w:r>
              <w:t xml:space="preserve">7</w:t>
            </w:r>
          </w:p>
        </w:tc>
        <w:tc>
          <w:tcPr/>
          <w:p>
            <w:pPr>
              <w:pStyle w:val="Compact"/>
              <w:jc w:val="left"/>
            </w:pPr>
            <w:r>
              <w:rPr>
                <w:rStyle w:val="VerbatimChar"/>
              </w:rPr>
              <w:t xml:space="preserve">Quota</w:t>
            </w:r>
            <w:r>
              <w:t xml:space="preserve"> </w:t>
            </w:r>
            <w:r>
              <w:t xml:space="preserve">per day on</w:t>
            </w:r>
            <w:r>
              <w:t xml:space="preserve"> </w:t>
            </w:r>
            <w:r>
              <w:rPr>
                <w:rStyle w:val="VerbatimChar"/>
              </w:rPr>
              <w:t xml:space="preserve">oid</w:t>
            </w:r>
          </w:p>
        </w:tc>
        <w:tc>
          <w:tcPr/>
          <w:p>
            <w:pPr>
              <w:pStyle w:val="Compact"/>
              <w:jc w:val="left"/>
            </w:pPr>
            <w:r>
              <w:t xml:space="preserve">Limits read from API Product attributes</w:t>
            </w:r>
          </w:p>
        </w:tc>
      </w:tr>
      <w:tr>
        <w:tc>
          <w:tcPr/>
          <w:p>
            <w:pPr>
              <w:pStyle w:val="Compact"/>
              <w:jc w:val="left"/>
            </w:pPr>
            <w:r>
              <w:t xml:space="preserve">8</w:t>
            </w:r>
          </w:p>
        </w:tc>
        <w:tc>
          <w:tcPr/>
          <w:p>
            <w:pPr>
              <w:pStyle w:val="Compact"/>
              <w:jc w:val="left"/>
            </w:pPr>
            <w:r>
              <w:rPr>
                <w:rStyle w:val="VerbatimChar"/>
              </w:rPr>
              <w:t xml:space="preserve">AssignMessage</w:t>
            </w:r>
          </w:p>
        </w:tc>
        <w:tc>
          <w:tcPr/>
          <w:p>
            <w:pPr>
              <w:pStyle w:val="Compact"/>
              <w:jc w:val="left"/>
            </w:pPr>
            <w:r>
              <w:t xml:space="preserve">Strips the client</w:t>
            </w:r>
            <w:r>
              <w:t xml:space="preserve"> </w:t>
            </w:r>
            <w:r>
              <w:rPr>
                <w:rStyle w:val="VerbatimChar"/>
              </w:rPr>
              <w:t xml:space="preserve">Authorization</w:t>
            </w:r>
            <w:r>
              <w:t xml:space="preserve"> </w:t>
            </w:r>
            <w:r>
              <w:t xml:space="preserve">header and any inbound</w:t>
            </w:r>
            <w:r>
              <w:t xml:space="preserve"> </w:t>
            </w:r>
            <w:r>
              <w:rPr>
                <w:rStyle w:val="VerbatimChar"/>
              </w:rPr>
              <w:t xml:space="preserve">x-colt-*</w:t>
            </w:r>
            <w:r>
              <w:t xml:space="preserve"> </w:t>
            </w:r>
            <w:r>
              <w:t xml:space="preserve">header, then injects the verified user context</w:t>
            </w:r>
          </w:p>
        </w:tc>
      </w:tr>
      <w:tr>
        <w:tc>
          <w:tcPr/>
          <w:p>
            <w:pPr>
              <w:pStyle w:val="Compact"/>
              <w:jc w:val="left"/>
            </w:pPr>
            <w:r>
              <w:t xml:space="preserve">—</w:t>
            </w:r>
          </w:p>
        </w:tc>
        <w:tc>
          <w:tcPr/>
          <w:p>
            <w:pPr>
              <w:pStyle w:val="Compact"/>
              <w:jc w:val="left"/>
            </w:pPr>
            <w:r>
              <w:t xml:space="preserve">Target</w:t>
            </w:r>
          </w:p>
        </w:tc>
        <w:tc>
          <w:tcPr/>
          <w:p>
            <w:pPr>
              <w:pStyle w:val="Compact"/>
              <w:jc w:val="left"/>
            </w:pPr>
            <w:r>
              <w:rPr>
                <w:rStyle w:val="VerbatimChar"/>
              </w:rPr>
              <w:t xml:space="preserve">GoogleIDToken</w:t>
            </w:r>
            <w:r>
              <w:t xml:space="preserve">, audience the target Cloud Run service URL, delivered in</w:t>
            </w:r>
            <w:r>
              <w:t xml:space="preserve"> </w:t>
            </w:r>
            <w:r>
              <w:rPr>
                <w:rStyle w:val="VerbatimChar"/>
              </w:rPr>
              <w:t xml:space="preserve">X-Serverless-Authorization</w:t>
            </w:r>
          </w:p>
        </w:tc>
      </w:tr>
      <w:tr>
        <w:tc>
          <w:tcPr/>
          <w:p>
            <w:pPr>
              <w:pStyle w:val="Compact"/>
              <w:jc w:val="left"/>
            </w:pPr>
            <w:r>
              <w:t xml:space="preserve">—</w:t>
            </w:r>
          </w:p>
        </w:tc>
        <w:tc>
          <w:tcPr/>
          <w:p>
            <w:pPr>
              <w:pStyle w:val="Compact"/>
              <w:jc w:val="left"/>
            </w:pPr>
            <w:r>
              <w:rPr>
                <w:rStyle w:val="VerbatimChar"/>
              </w:rPr>
              <w:t xml:space="preserve">FaultRule</w:t>
            </w:r>
          </w:p>
        </w:tc>
        <w:tc>
          <w:tcPr/>
          <w:p>
            <w:pPr>
              <w:pStyle w:val="Compact"/>
              <w:jc w:val="left"/>
            </w:pPr>
            <w:r>
              <w:t xml:space="preserve">Converts quota and spike-arrest faults to 429 with</w:t>
            </w:r>
            <w:r>
              <w:t xml:space="preserve"> </w:t>
            </w:r>
            <w:r>
              <w:rPr>
                <w:rStyle w:val="VerbatimChar"/>
              </w:rPr>
              <w:t xml:space="preserve">Retry-After</w:t>
            </w:r>
          </w:p>
        </w:tc>
      </w:tr>
    </w:tbl>
    <w:p>
      <w:pPr>
        <w:pStyle w:val="BodyText"/>
      </w:pPr>
      <w:r>
        <w:t xml:space="preserve">Authorisation is enforced before quota: an unauthorised caller must not consume another user’s counter.</w:t>
      </w:r>
    </w:p>
    <w:p>
      <w:pPr>
        <w:pStyle w:val="BodyText"/>
      </w:pPr>
      <w:r>
        <w:rPr>
          <w:b/>
          <w:bCs/>
        </w:rPr>
        <w:t xml:space="preserve">Path to role mapping</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Path</w:t>
            </w:r>
          </w:p>
        </w:tc>
        <w:tc>
          <w:tcPr>
            <w:shd w:val="clear" w:color="auto" w:fill="1F3864"/>
          </w:tcPr>
          <w:p>
            <w:pPr>
              <w:pStyle w:val="Compact"/>
              <w:jc w:val="left"/>
            </w:pPr>
            <w:r>
              <w:rPr>
                <w:b/>
                <w:color w:val="FFFFFF"/>
              </w:rPr>
              <w:t xml:space="preserve">Required App Role</w:t>
            </w:r>
          </w:p>
        </w:tc>
      </w:tr>
      <w:tr>
        <w:tc>
          <w:tcPr/>
          <w:p>
            <w:pPr>
              <w:pStyle w:val="Compact"/>
              <w:jc w:val="left"/>
            </w:pPr>
            <w:r>
              <w:rPr>
                <w:rStyle w:val="VerbatimChar"/>
              </w:rPr>
              <w:t xml:space="preserve">/api/translation/*</w:t>
            </w:r>
          </w:p>
        </w:tc>
        <w:tc>
          <w:tcPr/>
          <w:p>
            <w:pPr>
              <w:pStyle w:val="Compact"/>
              <w:jc w:val="left"/>
            </w:pPr>
            <w:r>
              <w:rPr>
                <w:rStyle w:val="VerbatimChar"/>
              </w:rPr>
              <w:t xml:space="preserve">Translation.User</w:t>
            </w:r>
          </w:p>
        </w:tc>
      </w:tr>
      <w:tr>
        <w:tc>
          <w:tcPr/>
          <w:p>
            <w:pPr>
              <w:pStyle w:val="Compact"/>
              <w:jc w:val="left"/>
            </w:pPr>
            <w:r>
              <w:rPr>
                <w:rStyle w:val="VerbatimChar"/>
              </w:rPr>
              <w:t xml:space="preserve">/api/sales/*</w:t>
            </w:r>
          </w:p>
        </w:tc>
        <w:tc>
          <w:tcPr/>
          <w:p>
            <w:pPr>
              <w:pStyle w:val="Compact"/>
              <w:jc w:val="left"/>
            </w:pPr>
            <w:r>
              <w:rPr>
                <w:rStyle w:val="VerbatimChar"/>
              </w:rPr>
              <w:t xml:space="preserve">SalesAgent.User</w:t>
            </w:r>
          </w:p>
        </w:tc>
      </w:tr>
      <w:tr>
        <w:tc>
          <w:tcPr/>
          <w:p>
            <w:pPr>
              <w:pStyle w:val="Compact"/>
              <w:jc w:val="left"/>
            </w:pPr>
            <w:r>
              <w:t xml:space="preserve">Anything else</w:t>
            </w:r>
          </w:p>
        </w:tc>
        <w:tc>
          <w:tcPr/>
          <w:p>
            <w:pPr>
              <w:pStyle w:val="Compact"/>
              <w:jc w:val="left"/>
            </w:pPr>
            <w:r>
              <w:t xml:space="preserve">Denied by the default flow</w:t>
            </w:r>
          </w:p>
        </w:tc>
      </w:tr>
    </w:tbl>
    <w:bookmarkEnd w:id="136"/>
    <w:bookmarkStart w:id="141" w:name="rate-limiting-model"/>
    <w:p>
      <w:pPr>
        <w:pStyle w:val="Heading2"/>
      </w:pPr>
      <w:r>
        <w:t xml:space="preserve">7.4 Rate limiting model</w:t>
      </w:r>
    </w:p>
    <w:bookmarkStart w:id="137" w:name="what-is-keyed-on-what"/>
    <w:p>
      <w:pPr>
        <w:pStyle w:val="Heading3"/>
      </w:pPr>
      <w:r>
        <w:t xml:space="preserve">7.4.1 What is keyed on what</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Layer</w:t>
            </w:r>
          </w:p>
        </w:tc>
        <w:tc>
          <w:tcPr>
            <w:shd w:val="clear" w:color="auto" w:fill="1F3864"/>
          </w:tcPr>
          <w:p>
            <w:pPr>
              <w:pStyle w:val="Compact"/>
              <w:jc w:val="left"/>
            </w:pPr>
            <w:r>
              <w:rPr>
                <w:b/>
                <w:color w:val="FFFFFF"/>
              </w:rPr>
              <w:t xml:space="preserve">Policy</w:t>
            </w:r>
          </w:p>
        </w:tc>
        <w:tc>
          <w:tcPr>
            <w:shd w:val="clear" w:color="auto" w:fill="1F3864"/>
          </w:tcPr>
          <w:p>
            <w:pPr>
              <w:pStyle w:val="Compact"/>
              <w:jc w:val="left"/>
            </w:pPr>
            <w:r>
              <w:rPr>
                <w:b/>
                <w:color w:val="FFFFFF"/>
              </w:rPr>
              <w:t xml:space="preserve">Key</w:t>
            </w:r>
          </w:p>
        </w:tc>
        <w:tc>
          <w:tcPr>
            <w:shd w:val="clear" w:color="auto" w:fill="1F3864"/>
          </w:tcPr>
          <w:p>
            <w:pPr>
              <w:pStyle w:val="Compact"/>
              <w:jc w:val="left"/>
            </w:pPr>
            <w:r>
              <w:rPr>
                <w:b/>
                <w:color w:val="FFFFFF"/>
              </w:rPr>
              <w:t xml:space="preserve">Purpose</w:t>
            </w:r>
          </w:p>
        </w:tc>
      </w:tr>
      <w:tr>
        <w:tc>
          <w:tcPr/>
          <w:p>
            <w:pPr>
              <w:pStyle w:val="Compact"/>
              <w:jc w:val="left"/>
            </w:pPr>
            <w:r>
              <w:t xml:space="preserve">Burst</w:t>
            </w:r>
          </w:p>
        </w:tc>
        <w:tc>
          <w:tcPr/>
          <w:p>
            <w:pPr>
              <w:pStyle w:val="Compact"/>
              <w:jc w:val="left"/>
            </w:pPr>
            <w:r>
              <w:rPr>
                <w:rStyle w:val="VerbatimChar"/>
              </w:rPr>
              <w:t xml:space="preserve">SpikeArrest</w:t>
            </w:r>
          </w:p>
        </w:tc>
        <w:tc>
          <w:tcPr/>
          <w:p>
            <w:pPr>
              <w:pStyle w:val="Compact"/>
              <w:jc w:val="left"/>
            </w:pPr>
            <w:r>
              <w:rPr>
                <w:rStyle w:val="VerbatimChar"/>
              </w:rPr>
              <w:t xml:space="preserve">oid</w:t>
            </w:r>
          </w:p>
        </w:tc>
        <w:tc>
          <w:tcPr/>
          <w:p>
            <w:pPr>
              <w:pStyle w:val="Compact"/>
              <w:jc w:val="left"/>
            </w:pPr>
            <w:r>
              <w:t xml:space="preserve">Smooths a single user’s bursts</w:t>
            </w:r>
          </w:p>
        </w:tc>
      </w:tr>
      <w:tr>
        <w:tc>
          <w:tcPr/>
          <w:p>
            <w:pPr>
              <w:pStyle w:val="Compact"/>
              <w:jc w:val="left"/>
            </w:pPr>
            <w:r>
              <w:t xml:space="preserve">Requests</w:t>
            </w:r>
          </w:p>
        </w:tc>
        <w:tc>
          <w:tcPr/>
          <w:p>
            <w:pPr>
              <w:pStyle w:val="Compact"/>
              <w:jc w:val="left"/>
            </w:pPr>
            <w:r>
              <w:rPr>
                <w:rStyle w:val="VerbatimChar"/>
              </w:rPr>
              <w:t xml:space="preserve">Quota</w:t>
            </w:r>
            <w:r>
              <w:t xml:space="preserve"> </w:t>
            </w:r>
            <w:r>
              <w:t xml:space="preserve">per minute</w:t>
            </w:r>
          </w:p>
        </w:tc>
        <w:tc>
          <w:tcPr/>
          <w:p>
            <w:pPr>
              <w:pStyle w:val="Compact"/>
              <w:jc w:val="left"/>
            </w:pPr>
            <w:r>
              <w:rPr>
                <w:rStyle w:val="VerbatimChar"/>
              </w:rPr>
              <w:t xml:space="preserve">oid</w:t>
            </w:r>
          </w:p>
        </w:tc>
        <w:tc>
          <w:tcPr/>
          <w:p>
            <w:pPr>
              <w:pStyle w:val="Compact"/>
              <w:jc w:val="left"/>
            </w:pPr>
            <w:r>
              <w:t xml:space="preserve">Abuse control</w:t>
            </w:r>
          </w:p>
        </w:tc>
      </w:tr>
      <w:tr>
        <w:tc>
          <w:tcPr/>
          <w:p>
            <w:pPr>
              <w:pStyle w:val="Compact"/>
              <w:jc w:val="left"/>
            </w:pPr>
            <w:r>
              <w:t xml:space="preserve">Requests</w:t>
            </w:r>
          </w:p>
        </w:tc>
        <w:tc>
          <w:tcPr/>
          <w:p>
            <w:pPr>
              <w:pStyle w:val="Compact"/>
              <w:jc w:val="left"/>
            </w:pPr>
            <w:r>
              <w:rPr>
                <w:rStyle w:val="VerbatimChar"/>
              </w:rPr>
              <w:t xml:space="preserve">Quota</w:t>
            </w:r>
            <w:r>
              <w:t xml:space="preserve"> </w:t>
            </w:r>
            <w:r>
              <w:t xml:space="preserve">per day</w:t>
            </w:r>
          </w:p>
        </w:tc>
        <w:tc>
          <w:tcPr/>
          <w:p>
            <w:pPr>
              <w:pStyle w:val="Compact"/>
              <w:jc w:val="left"/>
            </w:pPr>
            <w:r>
              <w:rPr>
                <w:rStyle w:val="VerbatimChar"/>
              </w:rPr>
              <w:t xml:space="preserve">oid</w:t>
            </w:r>
          </w:p>
        </w:tc>
        <w:tc>
          <w:tcPr/>
          <w:p>
            <w:pPr>
              <w:pStyle w:val="Compact"/>
              <w:jc w:val="left"/>
            </w:pPr>
            <w:r>
              <w:t xml:space="preserve">Fair-use ceiling</w:t>
            </w:r>
          </w:p>
        </w:tc>
      </w:tr>
      <w:tr>
        <w:tc>
          <w:tcPr/>
          <w:p>
            <w:pPr>
              <w:pStyle w:val="Compact"/>
              <w:jc w:val="left"/>
            </w:pPr>
            <w:r>
              <w:t xml:space="preserve">Prompt size</w:t>
            </w:r>
          </w:p>
        </w:tc>
        <w:tc>
          <w:tcPr/>
          <w:p>
            <w:pPr>
              <w:pStyle w:val="Compact"/>
              <w:jc w:val="left"/>
            </w:pPr>
            <w:r>
              <w:rPr>
                <w:rStyle w:val="VerbatimChar"/>
              </w:rPr>
              <w:t xml:space="preserve">PromptTokenLimit</w:t>
            </w:r>
          </w:p>
        </w:tc>
        <w:tc>
          <w:tcPr/>
          <w:p>
            <w:pPr>
              <w:pStyle w:val="Compact"/>
              <w:jc w:val="left"/>
            </w:pPr>
            <w:r>
              <w:t xml:space="preserve">—</w:t>
            </w:r>
          </w:p>
        </w:tc>
        <w:tc>
          <w:tcPr/>
          <w:p>
            <w:pPr>
              <w:pStyle w:val="Compact"/>
              <w:jc w:val="left"/>
            </w:pPr>
            <w:r>
              <w:t xml:space="preserve">Bounds a single oversized prompt</w:t>
            </w:r>
          </w:p>
        </w:tc>
      </w:tr>
      <w:tr>
        <w:tc>
          <w:tcPr/>
          <w:p>
            <w:pPr>
              <w:pStyle w:val="Compact"/>
              <w:jc w:val="left"/>
            </w:pPr>
            <w:r>
              <w:t xml:space="preserve">Model spend</w:t>
            </w:r>
          </w:p>
        </w:tc>
        <w:tc>
          <w:tcPr/>
          <w:p>
            <w:pPr>
              <w:pStyle w:val="Compact"/>
              <w:jc w:val="left"/>
            </w:pPr>
            <w:r>
              <w:rPr>
                <w:rStyle w:val="VerbatimChar"/>
              </w:rPr>
              <w:t xml:space="preserve">LLMTokenQuota</w:t>
            </w:r>
          </w:p>
        </w:tc>
        <w:tc>
          <w:tcPr/>
          <w:p>
            <w:pPr>
              <w:pStyle w:val="Compact"/>
              <w:jc w:val="left"/>
            </w:pPr>
            <w:r>
              <w:rPr>
                <w:rStyle w:val="VerbatimChar"/>
              </w:rPr>
              <w:t xml:space="preserve">oid</w:t>
            </w:r>
          </w:p>
        </w:tc>
        <w:tc>
          <w:tcPr/>
          <w:p>
            <w:pPr>
              <w:pStyle w:val="Compact"/>
              <w:jc w:val="left"/>
            </w:pPr>
            <w:r>
              <w:t xml:space="preserve">The consumption budget</w:t>
            </w:r>
          </w:p>
        </w:tc>
      </w:tr>
      <w:tr>
        <w:tc>
          <w:tcPr/>
          <w:p>
            <w:pPr>
              <w:pStyle w:val="Compact"/>
              <w:jc w:val="left"/>
            </w:pPr>
            <w:r>
              <w:t xml:space="preserve">Tracking</w:t>
            </w:r>
          </w:p>
        </w:tc>
        <w:tc>
          <w:tcPr/>
          <w:p>
            <w:pPr>
              <w:pStyle w:val="Compact"/>
              <w:jc w:val="left"/>
            </w:pPr>
            <w:r>
              <w:rPr>
                <w:rStyle w:val="VerbatimChar"/>
              </w:rPr>
              <w:t xml:space="preserve">StatisticsCollector</w:t>
            </w:r>
          </w:p>
        </w:tc>
        <w:tc>
          <w:tcPr/>
          <w:p>
            <w:pPr>
              <w:pStyle w:val="Compact"/>
              <w:jc w:val="left"/>
            </w:pPr>
            <w:r>
              <w:rPr>
                <w:rStyle w:val="VerbatimChar"/>
              </w:rPr>
              <w:t xml:space="preserve">department</w:t>
            </w:r>
          </w:p>
        </w:tc>
        <w:tc>
          <w:tcPr/>
          <w:p>
            <w:pPr>
              <w:pStyle w:val="Compact"/>
              <w:jc w:val="left"/>
            </w:pPr>
            <w:r>
              <w:t xml:space="preserve">A reporting dimension, not a limit</w:t>
            </w:r>
          </w:p>
        </w:tc>
      </w:tr>
    </w:tbl>
    <w:p>
      <w:pPr>
        <w:pStyle w:val="BodyText"/>
      </w:pPr>
      <w:r>
        <w:t xml:space="preserve">Every quota and burst control is keyed on</w:t>
      </w:r>
      <w:r>
        <w:t xml:space="preserve"> </w:t>
      </w:r>
      <w:r>
        <w:rPr>
          <w:rStyle w:val="VerbatimChar"/>
        </w:rPr>
        <w:t xml:space="preserve">oid</w:t>
      </w:r>
      <w:r>
        <w:t xml:space="preserve">, not</w:t>
      </w:r>
      <w:r>
        <w:t xml:space="preserve"> </w:t>
      </w:r>
      <w:r>
        <w:rPr>
          <w:rStyle w:val="VerbatimChar"/>
        </w:rPr>
        <w:t xml:space="preserve">department</w:t>
      </w:r>
      <w:r>
        <w:t xml:space="preserve">: G13 (per-user rate limiting and cost attribution) fixes the consumption budget at the individual. A quota keyed on department would create a shared pool in which one user could exhaust a colleague’s allowance. TR-18 (per-user rate limiting at Apigee) requires this enforcement in exactly one place; the Backend-for-Frontend must not duplicate it.</w:t>
      </w:r>
    </w:p>
    <w:bookmarkEnd w:id="137"/>
    <w:bookmarkStart w:id="138" w:name="the-four-policies-are-not-substitutes"/>
    <w:p>
      <w:pPr>
        <w:pStyle w:val="Heading3"/>
      </w:pPr>
      <w:r>
        <w:t xml:space="preserve">7.4.2 The four policies are not substitutes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Policy</w:t>
            </w:r>
          </w:p>
        </w:tc>
        <w:tc>
          <w:tcPr>
            <w:shd w:val="clear" w:color="auto" w:fill="1F3864"/>
          </w:tcPr>
          <w:p>
            <w:pPr>
              <w:pStyle w:val="Compact"/>
              <w:jc w:val="left"/>
            </w:pPr>
            <w:r>
              <w:rPr>
                <w:b/>
                <w:color w:val="FFFFFF"/>
              </w:rPr>
              <w:t xml:space="preserve">Purpose</w:t>
            </w:r>
          </w:p>
        </w:tc>
        <w:tc>
          <w:tcPr>
            <w:shd w:val="clear" w:color="auto" w:fill="1F3864"/>
          </w:tcPr>
          <w:p>
            <w:pPr>
              <w:pStyle w:val="Compact"/>
              <w:jc w:val="left"/>
            </w:pPr>
            <w:r>
              <w:rPr>
                <w:b/>
                <w:color w:val="FFFFFF"/>
              </w:rPr>
              <w:t xml:space="preserve">Type</w:t>
            </w:r>
          </w:p>
        </w:tc>
      </w:tr>
      <w:tr>
        <w:tc>
          <w:tcPr/>
          <w:p>
            <w:pPr>
              <w:pStyle w:val="Compact"/>
              <w:jc w:val="left"/>
            </w:pPr>
            <w:r>
              <w:rPr>
                <w:rStyle w:val="VerbatimChar"/>
              </w:rPr>
              <w:t xml:space="preserve">SpikeArrest</w:t>
            </w:r>
          </w:p>
        </w:tc>
        <w:tc>
          <w:tcPr/>
          <w:p>
            <w:pPr>
              <w:pStyle w:val="Compact"/>
              <w:jc w:val="left"/>
            </w:pPr>
            <w:r>
              <w:t xml:space="preserve">Protects the backend from traffic spikes</w:t>
            </w:r>
          </w:p>
        </w:tc>
        <w:tc>
          <w:tcPr/>
          <w:p>
            <w:pPr>
              <w:pStyle w:val="Compact"/>
              <w:jc w:val="left"/>
            </w:pPr>
            <w:r>
              <w:t xml:space="preserve">Standard</w:t>
            </w:r>
          </w:p>
        </w:tc>
      </w:tr>
      <w:tr>
        <w:tc>
          <w:tcPr/>
          <w:p>
            <w:pPr>
              <w:pStyle w:val="Compact"/>
              <w:jc w:val="left"/>
            </w:pPr>
            <w:r>
              <w:rPr>
                <w:rStyle w:val="VerbatimChar"/>
              </w:rPr>
              <w:t xml:space="preserve">Quota</w:t>
            </w:r>
          </w:p>
        </w:tc>
        <w:tc>
          <w:tcPr/>
          <w:p>
            <w:pPr>
              <w:pStyle w:val="Compact"/>
              <w:jc w:val="left"/>
            </w:pPr>
            <w:r>
              <w:t xml:space="preserve">Limits calls per consumer over longer intervals</w:t>
            </w:r>
          </w:p>
        </w:tc>
        <w:tc>
          <w:tcPr/>
          <w:p>
            <w:pPr>
              <w:pStyle w:val="Compact"/>
              <w:jc w:val="left"/>
            </w:pPr>
            <w:r>
              <w:t xml:space="preserve">Standard</w:t>
            </w:r>
          </w:p>
        </w:tc>
      </w:tr>
      <w:tr>
        <w:tc>
          <w:tcPr/>
          <w:p>
            <w:pPr>
              <w:pStyle w:val="Compact"/>
              <w:jc w:val="left"/>
            </w:pPr>
            <w:r>
              <w:rPr>
                <w:rStyle w:val="VerbatimChar"/>
              </w:rPr>
              <w:t xml:space="preserve">LLMTokenQuota</w:t>
            </w:r>
          </w:p>
        </w:tc>
        <w:tc>
          <w:tcPr/>
          <w:p>
            <w:pPr>
              <w:pStyle w:val="Compact"/>
              <w:jc w:val="left"/>
            </w:pPr>
            <w:r>
              <w:t xml:space="preserve">Manages total token consumption per API Product, for cost control</w:t>
            </w:r>
          </w:p>
        </w:tc>
        <w:tc>
          <w:tcPr/>
          <w:p>
            <w:pPr>
              <w:pStyle w:val="Compact"/>
              <w:jc w:val="left"/>
            </w:pPr>
            <w:r>
              <w:t xml:space="preserve">Extensible</w:t>
            </w:r>
          </w:p>
        </w:tc>
      </w:tr>
      <w:tr>
        <w:tc>
          <w:tcPr/>
          <w:p>
            <w:pPr>
              <w:pStyle w:val="Compact"/>
              <w:jc w:val="left"/>
            </w:pPr>
            <w:r>
              <w:rPr>
                <w:rStyle w:val="VerbatimChar"/>
              </w:rPr>
              <w:t xml:space="preserve">PromptTokenLimit</w:t>
            </w:r>
          </w:p>
        </w:tc>
        <w:tc>
          <w:tcPr/>
          <w:p>
            <w:pPr>
              <w:pStyle w:val="Compact"/>
              <w:jc w:val="left"/>
            </w:pPr>
            <w:r>
              <w:t xml:space="preserve">Throttles on prompt size — the token-volume equivalent of spike arrest</w:t>
            </w:r>
          </w:p>
        </w:tc>
        <w:tc>
          <w:tcPr/>
          <w:p>
            <w:pPr>
              <w:pStyle w:val="Compact"/>
              <w:jc w:val="left"/>
            </w:pPr>
            <w:r>
              <w:t xml:space="preserve">Extensible</w:t>
            </w:r>
          </w:p>
        </w:tc>
      </w:tr>
    </w:tbl>
    <w:p>
      <w:pPr>
        <w:pStyle w:val="BodyText"/>
      </w:pPr>
      <w:r>
        <w:rPr>
          <w:rStyle w:val="VerbatimChar"/>
        </w:rPr>
        <w:t xml:space="preserve">PromptTokenLimit</w:t>
      </w:r>
      <w:r>
        <w:t xml:space="preserve"> </w:t>
      </w:r>
      <w:r>
        <w:t xml:space="preserve">enforces a rate and keeps no persistent count; it does not substitute for</w:t>
      </w:r>
      <w:r>
        <w:t xml:space="preserve"> </w:t>
      </w:r>
      <w:r>
        <w:rPr>
          <w:rStyle w:val="VerbatimChar"/>
        </w:rPr>
        <w:t xml:space="preserve">LLMTokenQuota</w:t>
      </w:r>
      <w:r>
        <w:t xml:space="preserve"> </w:t>
      </w:r>
      <w:r>
        <w:t xml:space="preserve">for billing or budget purposes.</w:t>
      </w:r>
    </w:p>
    <w:bookmarkEnd w:id="138"/>
    <w:bookmarkStart w:id="139" w:name="fault-behaviour-and-counter-scope"/>
    <w:p>
      <w:pPr>
        <w:pStyle w:val="Heading3"/>
      </w:pPr>
      <w:r>
        <w:t xml:space="preserve">7.4.3 Fault behaviour and counter scope</w:t>
      </w:r>
    </w:p>
    <w:p>
      <w:pPr>
        <w:pStyle w:val="FirstParagraph"/>
      </w:pPr>
      <w:r>
        <w:t xml:space="preserve">Three properties of the policy set differ from the platform’s default expectation and are specified here to remove ambiguity.</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Property</w:t>
            </w:r>
          </w:p>
        </w:tc>
        <w:tc>
          <w:tcPr>
            <w:shd w:val="clear" w:color="auto" w:fill="1F3864"/>
          </w:tcPr>
          <w:p>
            <w:pPr>
              <w:pStyle w:val="Compact"/>
              <w:jc w:val="left"/>
            </w:pPr>
            <w:r>
              <w:rPr>
                <w:b/>
                <w:color w:val="FFFFFF"/>
              </w:rPr>
              <w:t xml:space="preserve">Specification</w:t>
            </w:r>
          </w:p>
        </w:tc>
      </w:tr>
      <w:tr>
        <w:tc>
          <w:tcPr/>
          <w:p>
            <w:pPr>
              <w:pStyle w:val="Compact"/>
              <w:jc w:val="left"/>
            </w:pPr>
            <w:r>
              <w:rPr>
                <w:rStyle w:val="VerbatimChar"/>
              </w:rPr>
              <w:t xml:space="preserve">Quota</w:t>
            </w:r>
            <w:r>
              <w:t xml:space="preserve"> </w:t>
            </w:r>
            <w:r>
              <w:t xml:space="preserve">and</w:t>
            </w:r>
            <w:r>
              <w:t xml:space="preserve"> </w:t>
            </w:r>
            <w:r>
              <w:rPr>
                <w:rStyle w:val="VerbatimChar"/>
              </w:rPr>
              <w:t xml:space="preserve">SpikeArrest</w:t>
            </w:r>
            <w:r>
              <w:t xml:space="preserve"> </w:t>
            </w:r>
            <w:r>
              <w:t xml:space="preserve">fault code</w:t>
            </w:r>
          </w:p>
        </w:tc>
        <w:tc>
          <w:tcPr/>
          <w:p>
            <w:pPr>
              <w:pStyle w:val="Compact"/>
              <w:jc w:val="left"/>
            </w:pPr>
            <w:r>
              <w:t xml:space="preserve">Returns HTTP 500 by default, not 429. A</w:t>
            </w:r>
            <w:r>
              <w:t xml:space="preserve"> </w:t>
            </w:r>
            <w:r>
              <w:rPr>
                <w:rStyle w:val="VerbatimChar"/>
              </w:rPr>
              <w:t xml:space="preserve">FaultRule</w:t>
            </w:r>
            <w:r>
              <w:t xml:space="preserve"> </w:t>
            </w:r>
            <w:r>
              <w:t xml:space="preserve">catches the fault names and returns 429 with</w:t>
            </w:r>
            <w:r>
              <w:t xml:space="preserve"> </w:t>
            </w:r>
            <w:r>
              <w:rPr>
                <w:rStyle w:val="VerbatimChar"/>
              </w:rPr>
              <w:t xml:space="preserve">Retry-After</w:t>
            </w:r>
            <w:r>
              <w:t xml:space="preserve"> </w:t>
            </w:r>
            <w:r>
              <w:t xml:space="preserve">instead — a control the platform owns, rather than a support-gated organisation property.</w:t>
            </w:r>
            <w:r>
              <w:t xml:space="preserve"> </w:t>
            </w:r>
            <w:r>
              <w:rPr>
                <w:rStyle w:val="VerbatimChar"/>
              </w:rPr>
              <w:t xml:space="preserve">LLMTokenQuota</w:t>
            </w:r>
            <w:r>
              <w:t xml:space="preserve"> </w:t>
            </w:r>
            <w:r>
              <w:t xml:space="preserve">returns 429 by default; the two policy families are not symmetric</w:t>
            </w:r>
          </w:p>
        </w:tc>
      </w:tr>
      <w:tr>
        <w:tc>
          <w:tcPr/>
          <w:p>
            <w:pPr>
              <w:pStyle w:val="Compact"/>
              <w:jc w:val="left"/>
            </w:pPr>
            <w:r>
              <w:rPr>
                <w:rStyle w:val="VerbatimChar"/>
              </w:rPr>
              <w:t xml:space="preserve">SpikeArrest</w:t>
            </w:r>
            <w:r>
              <w:t xml:space="preserve"> </w:t>
            </w:r>
            <w:r>
              <w:t xml:space="preserve">scope</w:t>
            </w:r>
          </w:p>
        </w:tc>
        <w:tc>
          <w:tcPr/>
          <w:p>
            <w:pPr>
              <w:pStyle w:val="Compact"/>
              <w:jc w:val="left"/>
            </w:pPr>
            <w:r>
              <w:t xml:space="preserve">Per message processor unless</w:t>
            </w:r>
            <w:r>
              <w:t xml:space="preserve"> </w:t>
            </w:r>
            <w:r>
              <w:rPr>
                <w:rStyle w:val="VerbatimChar"/>
              </w:rPr>
              <w:t xml:space="preserve">UseEffectiveCount</w:t>
            </w:r>
            <w:r>
              <w:t xml:space="preserve"> </w:t>
            </w:r>
            <w:r>
              <w:t xml:space="preserve">is</w:t>
            </w:r>
            <w:r>
              <w:t xml:space="preserve"> </w:t>
            </w:r>
            <w:r>
              <w:rPr>
                <w:rStyle w:val="VerbatimChar"/>
              </w:rPr>
              <w:t xml:space="preserve">true</w:t>
            </w:r>
            <w:r>
              <w:t xml:space="preserve">, in which case it is a single platform-wide rate. The default policy template ships with the element set to</w:t>
            </w:r>
            <w:r>
              <w:t xml:space="preserve"> </w:t>
            </w:r>
            <w:r>
              <w:rPr>
                <w:rStyle w:val="VerbatimChar"/>
              </w:rPr>
              <w:t xml:space="preserve">true</w:t>
            </w:r>
            <w:r>
              <w:t xml:space="preserve">; a pipeline check must fail the build if it is absent</w:t>
            </w:r>
          </w:p>
        </w:tc>
      </w:tr>
      <w:tr>
        <w:tc>
          <w:tcPr/>
          <w:p>
            <w:pPr>
              <w:pStyle w:val="Compact"/>
              <w:jc w:val="left"/>
            </w:pPr>
            <w:r>
              <w:rPr>
                <w:rStyle w:val="VerbatimChar"/>
              </w:rPr>
              <w:t xml:space="preserve">Quota</w:t>
            </w:r>
            <w:r>
              <w:t xml:space="preserve"> </w:t>
            </w:r>
            <w:r>
              <w:t xml:space="preserve">counter scope</w:t>
            </w:r>
          </w:p>
        </w:tc>
        <w:tc>
          <w:tcPr/>
          <w:p>
            <w:pPr>
              <w:pStyle w:val="Compact"/>
              <w:jc w:val="left"/>
            </w:pPr>
            <w:r>
              <w:t xml:space="preserve">Per proxy, not per API Product. Proxies within the same product do not share a counter. The user API and the AI gateway are each built as a single proxy with conditional flows per path for this reason; splitting either proxy by path would multiply its effective token budget</w:t>
            </w:r>
          </w:p>
        </w:tc>
      </w:tr>
    </w:tbl>
    <w:p>
      <w:pPr>
        <w:pStyle w:val="BodyText"/>
      </w:pPr>
      <w:r>
        <w:t xml:space="preserve">The</w:t>
      </w:r>
      <w:r>
        <w:t xml:space="preserve"> </w:t>
      </w:r>
      <w:r>
        <w:rPr>
          <w:rStyle w:val="VerbatimChar"/>
        </w:rPr>
        <w:t xml:space="preserve">second</w:t>
      </w:r>
      <w:r>
        <w:t xml:space="preserve"> </w:t>
      </w:r>
      <w:r>
        <w:t xml:space="preserve">time unit is supported only for non-distributed</w:t>
      </w:r>
      <w:r>
        <w:t xml:space="preserve"> </w:t>
      </w:r>
      <w:r>
        <w:rPr>
          <w:rStyle w:val="VerbatimChar"/>
        </w:rPr>
        <w:t xml:space="preserve">Quota</w:t>
      </w:r>
      <w:r>
        <w:t xml:space="preserve"> </w:t>
      </w:r>
      <w:r>
        <w:t xml:space="preserve">counters; sub-minute limiting uses</w:t>
      </w:r>
      <w:r>
        <w:t xml:space="preserve"> </w:t>
      </w:r>
      <w:r>
        <w:rPr>
          <w:rStyle w:val="VerbatimChar"/>
        </w:rPr>
        <w:t xml:space="preserve">SpikeArrest</w:t>
      </w:r>
      <w:r>
        <w:t xml:space="preserve">.</w:t>
      </w:r>
    </w:p>
    <w:bookmarkEnd w:id="139"/>
    <w:bookmarkStart w:id="140" w:name="dynamic-quota"/>
    <w:p>
      <w:pPr>
        <w:pStyle w:val="Heading3"/>
      </w:pPr>
      <w:r>
        <w:t xml:space="preserve">7.4.4 Dynamic quota</w:t>
      </w:r>
    </w:p>
    <w:p>
      <w:pPr>
        <w:pStyle w:val="FirstParagraph"/>
      </w:pPr>
      <w:r>
        <w:t xml:space="preserve">Limits are held as API Product custom attributes and referenced from policy, so a tier change is an edit against the product rather than a proxy redeploy. This requires a credential Apigee can resolve to a product, which</w:t>
      </w:r>
      <w:r>
        <w:t xml:space="preserve"> </w:t>
      </w:r>
      <w:r>
        <w:rPr>
          <w:rStyle w:val="VerbatimChar"/>
        </w:rPr>
        <w:t xml:space="preserve">VerifyAPIKey</w:t>
      </w:r>
      <w:r>
        <w:t xml:space="preserve"> </w:t>
      </w:r>
      <w:r>
        <w:t xml:space="preserve">(step 5) provides; the Backend-for-Frontend holds that key in Secret Manager.</w:t>
      </w:r>
    </w:p>
    <w:bookmarkEnd w:id="140"/>
    <w:bookmarkEnd w:id="141"/>
    <w:bookmarkStart w:id="142" w:name="how-apigee-reaches-the-backends"/>
    <w:p>
      <w:pPr>
        <w:pStyle w:val="Heading2"/>
      </w:pPr>
      <w:r>
        <w:t xml:space="preserve">7.5 How Apigee reaches the backends</w:t>
      </w:r>
    </w:p>
    <w:p>
      <w:pPr>
        <w:pStyle w:val="FirstParagraph"/>
      </w:pPr>
      <w:r>
        <w:t xml:space="preserve">Apigee and Identity-Aware Proxy authenticate a machine caller to Cloud Run by different mechanisms, and the platform uses both, in different places.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pPr>
          </w:p>
        </w:tc>
        <w:tc>
          <w:tcPr>
            <w:shd w:val="clear" w:color="auto" w:fill="1F3864"/>
          </w:tcPr>
          <w:p>
            <w:pPr>
              <w:pStyle w:val="Compact"/>
              <w:jc w:val="left"/>
            </w:pPr>
            <w:r>
              <w:rPr>
                <w:b/>
                <w:color w:val="FFFFFF"/>
              </w:rPr>
              <w:t xml:space="preserve">Cloud Run IAM</w:t>
            </w:r>
          </w:p>
        </w:tc>
        <w:tc>
          <w:tcPr>
            <w:shd w:val="clear" w:color="auto" w:fill="1F3864"/>
          </w:tcPr>
          <w:p>
            <w:pPr>
              <w:pStyle w:val="Compact"/>
              <w:jc w:val="left"/>
            </w:pPr>
            <w:r>
              <w:rPr>
                <w:b/>
                <w:color w:val="FFFFFF"/>
              </w:rPr>
              <w:t xml:space="preserve">IAP</w:t>
            </w:r>
          </w:p>
        </w:tc>
      </w:tr>
      <w:tr>
        <w:tc>
          <w:tcPr/>
          <w:p>
            <w:pPr>
              <w:pStyle w:val="Compact"/>
              <w:jc w:val="left"/>
            </w:pPr>
            <w:r>
              <w:t xml:space="preserve">Caller presents</w:t>
            </w:r>
          </w:p>
        </w:tc>
        <w:tc>
          <w:tcPr/>
          <w:p>
            <w:pPr>
              <w:pStyle w:val="Compact"/>
              <w:jc w:val="left"/>
            </w:pPr>
            <w:r>
              <w:t xml:space="preserve">A Google ID token, audience the service URL</w:t>
            </w:r>
          </w:p>
        </w:tc>
        <w:tc>
          <w:tcPr/>
          <w:p>
            <w:pPr>
              <w:pStyle w:val="Compact"/>
              <w:jc w:val="left"/>
            </w:pPr>
            <w:r>
              <w:t xml:space="preserve">An IAP ID token, audience the OAuth client ID</w:t>
            </w:r>
          </w:p>
        </w:tc>
      </w:tr>
      <w:tr>
        <w:tc>
          <w:tcPr/>
          <w:p>
            <w:pPr>
              <w:pStyle w:val="Compact"/>
              <w:jc w:val="left"/>
            </w:pPr>
            <w:r>
              <w:t xml:space="preserve">Carried in</w:t>
            </w:r>
          </w:p>
        </w:tc>
        <w:tc>
          <w:tcPr/>
          <w:p>
            <w:pPr>
              <w:pStyle w:val="Compact"/>
              <w:jc w:val="left"/>
            </w:pPr>
            <w:r>
              <w:rPr>
                <w:rStyle w:val="VerbatimChar"/>
              </w:rPr>
              <w:t xml:space="preserve">Authorization</w:t>
            </w:r>
            <w:r>
              <w:t xml:space="preserve">, or</w:t>
            </w:r>
            <w:r>
              <w:t xml:space="preserve"> </w:t>
            </w:r>
            <w:r>
              <w:rPr>
                <w:rStyle w:val="VerbatimChar"/>
              </w:rPr>
              <w:t xml:space="preserve">X-Serverless-Authorization</w:t>
            </w:r>
          </w:p>
        </w:tc>
        <w:tc>
          <w:tcPr/>
          <w:p>
            <w:pPr>
              <w:pStyle w:val="Compact"/>
              <w:jc w:val="left"/>
            </w:pPr>
            <w:r>
              <w:rPr>
                <w:rStyle w:val="VerbatimChar"/>
              </w:rPr>
              <w:t xml:space="preserve">Authorization</w:t>
            </w:r>
            <w:r>
              <w:t xml:space="preserve">, or</w:t>
            </w:r>
            <w:r>
              <w:t xml:space="preserve"> </w:t>
            </w:r>
            <w:r>
              <w:rPr>
                <w:rStyle w:val="VerbatimChar"/>
              </w:rPr>
              <w:t xml:space="preserve">Proxy-Authorization</w:t>
            </w:r>
            <w:r>
              <w:t xml:space="preserve"> </w:t>
            </w:r>
            <w:r>
              <w:t xml:space="preserve">if the application already uses</w:t>
            </w:r>
            <w:r>
              <w:t xml:space="preserve"> </w:t>
            </w:r>
            <w:r>
              <w:rPr>
                <w:rStyle w:val="VerbatimChar"/>
              </w:rPr>
              <w:t xml:space="preserve">Authorization</w:t>
            </w:r>
          </w:p>
        </w:tc>
      </w:tr>
      <w:tr>
        <w:tc>
          <w:tcPr/>
          <w:p>
            <w:pPr>
              <w:pStyle w:val="Compact"/>
              <w:jc w:val="left"/>
            </w:pPr>
            <w:r>
              <w:t xml:space="preserve">Validated by</w:t>
            </w:r>
          </w:p>
        </w:tc>
        <w:tc>
          <w:tcPr/>
          <w:p>
            <w:pPr>
              <w:pStyle w:val="Compact"/>
              <w:jc w:val="left"/>
            </w:pPr>
            <w:r>
              <w:t xml:space="preserve">Cloud Run, against</w:t>
            </w:r>
            <w:r>
              <w:t xml:space="preserve"> </w:t>
            </w:r>
            <w:r>
              <w:rPr>
                <w:rStyle w:val="VerbatimChar"/>
              </w:rPr>
              <w:t xml:space="preserve">roles/run.invoker</w:t>
            </w:r>
          </w:p>
        </w:tc>
        <w:tc>
          <w:tcPr/>
          <w:p>
            <w:pPr>
              <w:pStyle w:val="Compact"/>
              <w:jc w:val="left"/>
            </w:pPr>
            <w:r>
              <w:t xml:space="preserve">IAP, before the request reaches the service</w:t>
            </w:r>
          </w:p>
        </w:tc>
      </w:tr>
    </w:tbl>
    <w:p>
      <w:pPr>
        <w:pStyle w:val="BodyText"/>
      </w:pPr>
      <w:r>
        <w:rPr>
          <w:rStyle w:val="VerbatimChar"/>
        </w:rPr>
        <w:t xml:space="preserve">X-Serverless-Authorization</w:t>
      </w:r>
      <w:r>
        <w:t xml:space="preserve"> </w:t>
      </w:r>
      <w:r>
        <w:t xml:space="preserve">is the header IAP itself uses to authenticate to Cloud Run on its internal hop; Cloud Run passes the header through to the container after stripping its signature. Where IAP is in the path, a caller must not construct this header itself. Where a service carries no IAP — as with the backends described below —</w:t>
      </w:r>
      <w:r>
        <w:t xml:space="preserve"> </w:t>
      </w:r>
      <w:r>
        <w:rPr>
          <w:rStyle w:val="VerbatimChar"/>
        </w:rPr>
        <w:t xml:space="preserve">X-Serverless-Authorization</w:t>
      </w:r>
      <w:r>
        <w:t xml:space="preserve"> </w:t>
      </w:r>
      <w:r>
        <w:t xml:space="preserve">is the documented header for a caller presenting a Cloud Run IAM token, leaving</w:t>
      </w:r>
      <w:r>
        <w:t xml:space="preserve"> </w:t>
      </w:r>
      <w:r>
        <w:rPr>
          <w:rStyle w:val="VerbatimChar"/>
        </w:rPr>
        <w:t xml:space="preserve">Authorization</w:t>
      </w:r>
      <w:r>
        <w:t xml:space="preserve"> </w:t>
      </w:r>
      <w:r>
        <w:t xml:space="preserve">free for the application’s own use. The Backend-for-Frontend sits behind IAP and does receive this header on inbound requests; it must strip it before forwarding, per</w:t>
      </w:r>
      <w:r>
        <w:t xml:space="preserve"> </w:t>
      </w:r>
      <w:r>
        <w:rPr>
          <w:b/>
          <w:bCs/>
        </w:rPr>
        <w:t xml:space="preserve">The Backend-for-Frontend service contract</w:t>
      </w:r>
      <w:r>
        <w:t xml:space="preserve">.</w:t>
      </w:r>
    </w:p>
    <w:bookmarkEnd w:id="142"/>
    <w:bookmarkStart w:id="148" w:name="the-backend-hop-cloud-run-iam"/>
    <w:p>
      <w:pPr>
        <w:pStyle w:val="Heading2"/>
      </w:pPr>
      <w:r>
        <w:t xml:space="preserve">7.6 The backend hop — Cloud Run IAM</w:t>
      </w:r>
    </w:p>
    <w:p>
      <w:pPr>
        <w:pStyle w:val="FirstParagraph"/>
      </w:pPr>
      <w:r>
        <w:t xml:space="preserve">IAP is used in exactly one place on this platform: the front door, authenticating people. The hop from Apigee to the backend Cloud Run services uses Cloud Run IAM.</w:t>
      </w:r>
    </w:p>
    <w:p>
      <w:pPr>
        <w:pStyle w:val="CaptionedFigure"/>
      </w:pPr>
      <w:r>
        <w:drawing>
          <wp:inline>
            <wp:extent cx="4343400" cy="7291348"/>
            <wp:effectExtent b="0" l="0" r="0" t="0"/>
            <wp:docPr descr="Apigee to Cloud Run backend flow — the request path from the Apigee runtime through the PSC service attachment and Backend ILB to Cloud Run backends, with no IAP in the path" title="" id="144" name="Picture"/>
            <a:graphic>
              <a:graphicData uri="http://schemas.openxmlformats.org/drawingml/2006/picture">
                <pic:pic>
                  <pic:nvPicPr>
                    <pic:cNvPr descr="diagrams/apigee-cloudrun-backend-flow.png" id="145" name="Picture"/>
                    <pic:cNvPicPr>
                      <a:picLocks noChangeArrowheads="1" noChangeAspect="1"/>
                    </pic:cNvPicPr>
                  </pic:nvPicPr>
                  <pic:blipFill>
                    <a:blip r:embed="rId143"/>
                    <a:stretch>
                      <a:fillRect/>
                    </a:stretch>
                  </pic:blipFill>
                  <pic:spPr bwMode="auto">
                    <a:xfrm>
                      <a:off x="0" y="0"/>
                      <a:ext cx="4343400" cy="7291348"/>
                    </a:xfrm>
                    <a:prstGeom prst="rect">
                      <a:avLst/>
                    </a:prstGeom>
                    <a:noFill/>
                    <a:ln w="9525">
                      <a:noFill/>
                      <a:headEnd/>
                      <a:tailEnd/>
                    </a:ln>
                  </pic:spPr>
                </pic:pic>
              </a:graphicData>
            </a:graphic>
          </wp:inline>
        </w:drawing>
      </w:r>
    </w:p>
    <w:p>
      <w:pPr>
        <w:pStyle w:val="ImageCaption"/>
      </w:pPr>
      <w:r>
        <w:t xml:space="preserve">Apigee to Cloud Run backend flow — the request path from the Apigee runtime through the PSC service attachment and Backend ILB to Cloud Run backends, with no IAP in the path</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Component</w:t>
            </w:r>
          </w:p>
        </w:tc>
        <w:tc>
          <w:tcPr>
            <w:shd w:val="clear" w:color="auto" w:fill="1F3864"/>
          </w:tcPr>
          <w:p>
            <w:pPr>
              <w:pStyle w:val="Compact"/>
              <w:jc w:val="left"/>
            </w:pPr>
            <w:r>
              <w:rPr>
                <w:b/>
                <w:color w:val="FFFFFF"/>
              </w:rPr>
              <w:t xml:space="preserve">Setting</w:t>
            </w:r>
          </w:p>
        </w:tc>
      </w:tr>
      <w:tr>
        <w:tc>
          <w:tcPr/>
          <w:p>
            <w:pPr>
              <w:pStyle w:val="Compact"/>
              <w:jc w:val="left"/>
            </w:pPr>
            <w:r>
              <w:rPr>
                <w:rStyle w:val="VerbatimChar"/>
              </w:rPr>
              <w:t xml:space="preserve">bs-aihub-bff</w:t>
            </w:r>
            <w:r>
              <w:t xml:space="preserve"> </w:t>
            </w:r>
            <w:r>
              <w:t xml:space="preserve">in</w:t>
            </w:r>
            <w:r>
              <w:t xml:space="preserve"> </w:t>
            </w:r>
            <w:r>
              <w:rPr>
                <w:rStyle w:val="VerbatimChar"/>
              </w:rPr>
              <w:t xml:space="preserve">gclt-aicoe-dev-aihub-ui</w:t>
            </w:r>
          </w:p>
        </w:tc>
        <w:tc>
          <w:tcPr/>
          <w:p>
            <w:pPr>
              <w:pStyle w:val="Compact"/>
              <w:jc w:val="left"/>
            </w:pPr>
            <w:r>
              <w:t xml:space="preserve">IAP on, workforce pool. The only IAP in the platform</w:t>
            </w:r>
          </w:p>
        </w:tc>
      </w:tr>
      <w:tr>
        <w:tc>
          <w:tcPr/>
          <w:p>
            <w:pPr>
              <w:pStyle w:val="Compact"/>
              <w:jc w:val="left"/>
            </w:pPr>
            <w:r>
              <w:t xml:space="preserve">IAP service agent of</w:t>
            </w:r>
            <w:r>
              <w:t xml:space="preserve"> </w:t>
            </w:r>
            <w:r>
              <w:rPr>
                <w:rStyle w:val="VerbatimChar"/>
              </w:rPr>
              <w:t xml:space="preserve">gclt-aicoe-dev-aihub-ui</w:t>
            </w:r>
          </w:p>
        </w:tc>
        <w:tc>
          <w:tcPr/>
          <w:p>
            <w:pPr>
              <w:pStyle w:val="Compact"/>
              <w:jc w:val="left"/>
            </w:pPr>
            <w:r>
              <w:rPr>
                <w:rStyle w:val="VerbatimChar"/>
              </w:rPr>
              <w:t xml:space="preserve">roles/run.invoker</w:t>
            </w:r>
            <w:r>
              <w:t xml:space="preserve"> </w:t>
            </w:r>
            <w:r>
              <w:t xml:space="preserve">on the Backend-for-Frontend</w:t>
            </w:r>
          </w:p>
        </w:tc>
      </w:tr>
      <w:tr>
        <w:tc>
          <w:tcPr/>
          <w:p>
            <w:pPr>
              <w:pStyle w:val="Compact"/>
              <w:jc w:val="left"/>
            </w:pPr>
            <w:r>
              <w:t xml:space="preserve">Backend services in</w:t>
            </w:r>
            <w:r>
              <w:t xml:space="preserve"> </w:t>
            </w:r>
            <w:r>
              <w:rPr>
                <w:rStyle w:val="VerbatimChar"/>
              </w:rPr>
              <w:t xml:space="preserve">gclt-aicoe-dev-st</w:t>
            </w:r>
          </w:p>
        </w:tc>
        <w:tc>
          <w:tcPr/>
          <w:p>
            <w:pPr>
              <w:pStyle w:val="Compact"/>
              <w:jc w:val="left"/>
            </w:pPr>
            <w:r>
              <w:t xml:space="preserve">IAP off</w:t>
            </w:r>
          </w:p>
        </w:tc>
      </w:tr>
      <w:tr>
        <w:tc>
          <w:tcPr/>
          <w:p>
            <w:pPr>
              <w:pStyle w:val="Compact"/>
              <w:jc w:val="left"/>
            </w:pPr>
            <w:r>
              <w:t xml:space="preserve">Backend Cloud Run services</w:t>
            </w:r>
          </w:p>
        </w:tc>
        <w:tc>
          <w:tcPr/>
          <w:p>
            <w:pPr>
              <w:pStyle w:val="Compact"/>
              <w:jc w:val="left"/>
            </w:pPr>
            <w:r>
              <w:t xml:space="preserve">IAP off. Ingress</w:t>
            </w:r>
            <w:r>
              <w:t xml:space="preserve"> </w:t>
            </w:r>
            <w:r>
              <w:rPr>
                <w:rStyle w:val="VerbatimChar"/>
              </w:rPr>
              <w:t xml:space="preserve">internal-and-cloud-load-balancing</w:t>
            </w:r>
            <w:r>
              <w:t xml:space="preserve">. No</w:t>
            </w:r>
            <w:r>
              <w:t xml:space="preserve"> </w:t>
            </w:r>
            <w:r>
              <w:rPr>
                <w:rStyle w:val="VerbatimChar"/>
              </w:rPr>
              <w:t xml:space="preserve">allUsers</w:t>
            </w:r>
            <w:r>
              <w:t xml:space="preserve"> </w:t>
            </w:r>
            <w:r>
              <w:t xml:space="preserve">binding</w:t>
            </w:r>
          </w:p>
        </w:tc>
      </w:tr>
      <w:tr>
        <w:tc>
          <w:tcPr/>
          <w:p>
            <w:pPr>
              <w:pStyle w:val="Compact"/>
              <w:jc w:val="left"/>
            </w:pPr>
            <w:r>
              <w:rPr>
                <w:rStyle w:val="VerbatimChar"/>
              </w:rPr>
              <w:t xml:space="preserve">apigee-int-runtime@</w:t>
            </w:r>
          </w:p>
        </w:tc>
        <w:tc>
          <w:tcPr/>
          <w:p>
            <w:pPr>
              <w:pStyle w:val="Compact"/>
              <w:jc w:val="left"/>
            </w:pPr>
            <w:r>
              <w:rPr>
                <w:rStyle w:val="VerbatimChar"/>
              </w:rPr>
              <w:t xml:space="preserve">roles/run.invoker</w:t>
            </w:r>
            <w:r>
              <w:t xml:space="preserve"> </w:t>
            </w:r>
            <w:r>
              <w:t xml:space="preserve">on each backend Cloud Run service. This is the entire grant</w:t>
            </w:r>
          </w:p>
        </w:tc>
      </w:tr>
      <w:tr>
        <w:tc>
          <w:tcPr/>
          <w:p>
            <w:pPr>
              <w:pStyle w:val="Compact"/>
              <w:jc w:val="left"/>
            </w:pPr>
            <w:r>
              <w:t xml:space="preserve">Apigee TargetEndpoint</w:t>
            </w:r>
          </w:p>
        </w:tc>
        <w:tc>
          <w:tcPr/>
          <w:p>
            <w:pPr>
              <w:pStyle w:val="Compact"/>
              <w:jc w:val="left"/>
            </w:pPr>
            <w:r>
              <w:rPr>
                <w:rStyle w:val="VerbatimChar"/>
              </w:rPr>
              <w:t xml:space="preserve">&lt;Authentication&gt;&lt;GoogleIDToken&gt;&lt;Audience&gt;</w:t>
            </w:r>
            <w:r>
              <w:t xml:space="preserve"> </w:t>
            </w:r>
            <w:r>
              <w:t xml:space="preserve">set to the Cloud Run service URL, header set to</w:t>
            </w:r>
            <w:r>
              <w:t xml:space="preserve"> </w:t>
            </w:r>
            <w:r>
              <w:rPr>
                <w:rStyle w:val="VerbatimChar"/>
              </w:rPr>
              <w:t xml:space="preserve">X-Serverless-Authorization</w:t>
            </w:r>
          </w:p>
        </w:tc>
      </w:tr>
    </w:tbl>
    <w:bookmarkStart w:id="146" w:name="why-the-backends-carry-no-iap"/>
    <w:p>
      <w:pPr>
        <w:pStyle w:val="Heading3"/>
      </w:pPr>
      <w:r>
        <w:t xml:space="preserve">7.6.1 Why the backends carry no IAP</w:t>
      </w:r>
    </w:p>
    <w:p>
      <w:pPr>
        <w:pStyle w:val="FirstParagraph"/>
      </w:pPr>
      <w:r>
        <w:t xml:space="preserve">A load balancer invoking a Cloud Run service through a serverless network endpoint group does not pass the caller’s identity through; Cloud Run would otherwise see an anonymous request, which would require an</w:t>
      </w:r>
      <w:r>
        <w:t xml:space="preserve"> </w:t>
      </w:r>
      <w:r>
        <w:rPr>
          <w:rStyle w:val="VerbatimChar"/>
        </w:rPr>
        <w:t xml:space="preserve">allUsers</w:t>
      </w:r>
      <w:r>
        <w:t xml:space="preserve"> </w:t>
      </w:r>
      <w:r>
        <w:t xml:space="preserve">binding forbidden by domain-restricted sharing. IAP addresses this by validating the caller and invoking the container as its own service agent. A machine caller supplying its own token achieves the same outcome without it: Apigee sends a Google ID token in</w:t>
      </w:r>
      <w:r>
        <w:t xml:space="preserve"> </w:t>
      </w:r>
      <w:r>
        <w:rPr>
          <w:rStyle w:val="VerbatimChar"/>
        </w:rPr>
        <w:t xml:space="preserve">X-Serverless-Authorization</w:t>
      </w:r>
      <w:r>
        <w:t xml:space="preserve">, the load balancer passes the header through unmodified, and Cloud Run validates it against</w:t>
      </w:r>
      <w:r>
        <w:t xml:space="preserve"> </w:t>
      </w:r>
      <w:r>
        <w:rPr>
          <w:rStyle w:val="VerbatimChar"/>
        </w:rPr>
        <w:t xml:space="preserve">roles/run.invoker</w:t>
      </w:r>
      <w:r>
        <w:t xml:space="preserve"> </w:t>
      </w:r>
      <w:r>
        <w:t xml:space="preserve">scoped to one service account. This removes one component and avoids the per-service OAuth client and the IAP latency the alternative would add on a hop executed on every API call. IAP is not the authorisation mechanism on this path; entitlement is enforced earlier, by the App Role check on the Entra token in</w:t>
      </w:r>
      <w:r>
        <w:t xml:space="preserve"> </w:t>
      </w:r>
      <w:r>
        <w:rPr>
          <w:b/>
          <w:bCs/>
        </w:rPr>
        <w:t xml:space="preserve">The user API proxy — policy chain</w:t>
      </w:r>
      <w:r>
        <w:t xml:space="preserve">.</w:t>
      </w:r>
    </w:p>
    <w:bookmarkEnd w:id="146"/>
    <w:bookmarkStart w:id="147" w:name="what-the-backend-learns-about-the-caller"/>
    <w:p>
      <w:pPr>
        <w:pStyle w:val="Heading3"/>
      </w:pPr>
      <w:r>
        <w:t xml:space="preserve">7.6.2 What the backend learns about the caller</w:t>
      </w:r>
    </w:p>
    <w:p>
      <w:pPr>
        <w:pStyle w:val="FirstParagraph"/>
      </w:pPr>
      <w:r>
        <w:t xml:space="preserve">Cloud Run validates the token before the container runs, so the backend knows the request originated from</w:t>
      </w:r>
      <w:r>
        <w:t xml:space="preserve"> </w:t>
      </w:r>
      <w:r>
        <w:rPr>
          <w:rStyle w:val="VerbatimChar"/>
        </w:rPr>
        <w:t xml:space="preserve">apigee-int-runtime</w:t>
      </w:r>
      <w:r>
        <w:t xml:space="preserve"> </w:t>
      </w:r>
      <w:r>
        <w:t xml:space="preserve">and from no other principal. The user’s identity is carried separately, in the context headers Apigee injects after verifying the Entra token. This trust chain holds only while</w:t>
      </w:r>
      <w:r>
        <w:t xml:space="preserve"> </w:t>
      </w:r>
      <w:r>
        <w:rPr>
          <w:rStyle w:val="VerbatimChar"/>
        </w:rPr>
        <w:t xml:space="preserve">run.invoker</w:t>
      </w:r>
      <w:r>
        <w:t xml:space="preserve"> </w:t>
      </w:r>
      <w:r>
        <w:t xml:space="preserve">remains scoped to the one service account and the</w:t>
      </w:r>
      <w:r>
        <w:t xml:space="preserve"> </w:t>
      </w:r>
      <w:r>
        <w:rPr>
          <w:rStyle w:val="VerbatimChar"/>
        </w:rPr>
        <w:t xml:space="preserve">allUsers</w:t>
      </w:r>
      <w:r>
        <w:t xml:space="preserve"> </w:t>
      </w:r>
      <w:r>
        <w:t xml:space="preserve">binding remains absent; both are load-bearing security controls, not routine hardening. Backends must strip any inbound</w:t>
      </w:r>
      <w:r>
        <w:t xml:space="preserve"> </w:t>
      </w:r>
      <w:r>
        <w:rPr>
          <w:rStyle w:val="VerbatimChar"/>
        </w:rPr>
        <w:t xml:space="preserve">x-colt-*</w:t>
      </w:r>
      <w:r>
        <w:t xml:space="preserve"> </w:t>
      </w:r>
      <w:r>
        <w:t xml:space="preserve">header before setting their own.</w:t>
      </w:r>
    </w:p>
    <w:bookmarkEnd w:id="147"/>
    <w:bookmarkEnd w:id="148"/>
    <w:bookmarkStart w:id="149" w:name="apigee-deployment-governance"/>
    <w:p>
      <w:pPr>
        <w:pStyle w:val="Heading2"/>
      </w:pPr>
      <w:r>
        <w:t xml:space="preserve">7.7 Apigee deployment governance</w:t>
      </w:r>
    </w:p>
    <w:p>
      <w:pPr>
        <w:pStyle w:val="FirstParagraph"/>
      </w:pPr>
      <w:r>
        <w:t xml:space="preserve">Apigee proxies have no equivalent of Binary Authorization: nothing in the platform cryptographically prevents a proxy being edited and deployed from the console, and this proxy carries the platform’s only per-user rate-limiting and model-usage controls. The following controls compensate:</w:t>
      </w:r>
    </w:p>
    <w:p>
      <w:pPr>
        <w:pStyle w:val="Compact"/>
        <w:numPr>
          <w:ilvl w:val="0"/>
          <w:numId w:val="1013"/>
        </w:numPr>
      </w:pPr>
      <w:r>
        <w:t xml:space="preserve">Proxy bundles are held in Git. The Apigee console is read-only for human operators.</w:t>
      </w:r>
    </w:p>
    <w:p>
      <w:pPr>
        <w:pStyle w:val="Compact"/>
        <w:numPr>
          <w:ilvl w:val="0"/>
          <w:numId w:val="1013"/>
        </w:numPr>
      </w:pPr>
      <w:r>
        <w:t xml:space="preserve">Only the pipeline service account holds the deploy role, per the Apigee proxy and API Product deploy approval control in</w:t>
      </w:r>
      <w:r>
        <w:t xml:space="preserve"> </w:t>
      </w:r>
      <w:r>
        <w:rPr>
          <w:b/>
          <w:bCs/>
        </w:rPr>
        <w:t xml:space="preserve">RACI — roles and responsibilities</w:t>
      </w:r>
      <w:r>
        <w:t xml:space="preserve">.</w:t>
      </w:r>
    </w:p>
    <w:p>
      <w:pPr>
        <w:pStyle w:val="Compact"/>
        <w:numPr>
          <w:ilvl w:val="0"/>
          <w:numId w:val="1013"/>
        </w:numPr>
      </w:pPr>
      <w:r>
        <w:t xml:space="preserve">A log-based metric,</w:t>
      </w:r>
      <w:r>
        <w:t xml:space="preserve"> </w:t>
      </w:r>
      <w:r>
        <w:rPr>
          <w:rStyle w:val="VerbatimChar"/>
        </w:rPr>
        <w:t xml:space="preserve">apigee-deploy-by-human</w:t>
      </w:r>
      <w:r>
        <w:t xml:space="preserve">, alerts on any deployment performed by a principal other than the pipeline service account, per</w:t>
      </w:r>
      <w:r>
        <w:t xml:space="preserve"> </w:t>
      </w:r>
      <w:r>
        <w:rPr>
          <w:b/>
          <w:bCs/>
        </w:rPr>
        <w:t xml:space="preserve">TechOps — Logging, Monitoring and Cost</w:t>
      </w:r>
      <w:r>
        <w:t xml:space="preserve">.</w:t>
      </w:r>
    </w:p>
    <w:p>
      <w:pPr>
        <w:pStyle w:val="Compact"/>
        <w:numPr>
          <w:ilvl w:val="0"/>
          <w:numId w:val="1013"/>
        </w:numPr>
      </w:pPr>
      <w:r>
        <w:t xml:space="preserve">Gateway verification tests run in the pipeline as an automated build gate, not as a manual step.</w:t>
      </w:r>
    </w:p>
    <w:p>
      <w:pPr>
        <w:pStyle w:val="FirstParagraph"/>
      </w:pPr>
      <w:r>
        <w:t xml:space="preserve">A configuration change made directly in the console is treated as drift to be detected and reconciled, not as a legitimate deployment path. What is exported to Git and what is not is set out in</w:t>
      </w:r>
      <w:r>
        <w:t xml:space="preserve"> </w:t>
      </w:r>
      <w:r>
        <w:rPr>
          <w:b/>
          <w:bCs/>
        </w:rPr>
        <w:t xml:space="preserve">Backup and Restore</w:t>
      </w:r>
      <w:r>
        <w:t xml:space="preserve">.</w:t>
      </w:r>
    </w:p>
    <w:p>
      <w:r>
        <w:pict>
          <v:rect style="width:0;height:1.5pt" o:hralign="center" o:hrstd="t" o:hr="t"/>
        </w:pict>
      </w:r>
    </w:p>
    <w:bookmarkEnd w:id="149"/>
    <w:bookmarkEnd w:id="150"/>
    <w:bookmarkStart w:id="170" w:name="X7ed2fc446ee68d5c6832ddf70ad805cba21b6a2"/>
    <w:p>
      <w:pPr>
        <w:pStyle w:val="Heading1"/>
      </w:pPr>
      <w:r>
        <w:t xml:space="preserve">8. AI Gateway and Vertex AI — Apigee</w:t>
      </w:r>
      <w:r>
        <w:t xml:space="preserve"> </w:t>
      </w:r>
      <w:r>
        <w:rPr>
          <w:rStyle w:val="VerbatimChar"/>
        </w:rPr>
        <w:t xml:space="preserve">llm</w:t>
      </w:r>
      <w:r>
        <w:t xml:space="preserve"> </w:t>
      </w:r>
      <w:r>
        <w:t xml:space="preserve">Environment</w:t>
      </w:r>
    </w:p>
    <w:p>
      <w:pPr>
        <w:pStyle w:val="FirstParagraph"/>
      </w:pPr>
      <w:r>
        <w:rPr>
          <w:b/>
          <w:bCs/>
        </w:rPr>
        <w:t xml:space="preserve">Scope.</w:t>
      </w:r>
      <w:r>
        <w:t xml:space="preserve"> </w:t>
      </w:r>
      <w:r>
        <w:t xml:space="preserve">This section applies to</w:t>
      </w:r>
      <w:r>
        <w:t xml:space="preserve"> </w:t>
      </w:r>
      <w:r>
        <w:rPr>
          <w:b/>
          <w:bCs/>
        </w:rPr>
        <w:t xml:space="preserve">Dev and Prod only.</w:t>
      </w:r>
      <w:r>
        <w:t xml:space="preserve"> </w:t>
      </w:r>
      <w:r>
        <w:t xml:space="preserve">Sandbox reaches Vertex AI directly; no gateway metering or Model Armor screening applies there, per</w:t>
      </w:r>
      <w:r>
        <w:t xml:space="preserve"> </w:t>
      </w:r>
      <w:r>
        <w:rPr>
          <w:b/>
          <w:bCs/>
        </w:rPr>
        <w:t xml:space="preserve">User access — Sandbox</w:t>
      </w:r>
      <w:r>
        <w:t xml:space="preserve">.</w:t>
      </w:r>
    </w:p>
    <w:bookmarkStart w:id="151" w:name="three-components-three-locations"/>
    <w:p>
      <w:pPr>
        <w:pStyle w:val="Heading2"/>
      </w:pPr>
      <w:r>
        <w:t xml:space="preserve">8.1 Three components, three locations</w:t>
      </w:r>
    </w:p>
    <w:p>
      <w:pPr>
        <w:pStyle w:val="FirstParagraph"/>
      </w:pPr>
      <w:r>
        <w:t xml:space="preserve">An</w:t>
      </w:r>
      <w:r>
        <w:t xml:space="preserve"> </w:t>
      </w:r>
      <w:r>
        <w:t xml:space="preserve">“</w:t>
      </w:r>
      <w:r>
        <w:t xml:space="preserve">AI gateway</w:t>
      </w:r>
      <w:r>
        <w:t xml:space="preserve">”</w:t>
      </w:r>
      <w:r>
        <w:t xml:space="preserve"> </w:t>
      </w:r>
      <w:r>
        <w:t xml:space="preserve">is three distinct components, each with its own home.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Component</w:t>
            </w:r>
          </w:p>
        </w:tc>
        <w:tc>
          <w:tcPr>
            <w:shd w:val="clear" w:color="auto" w:fill="1F3864"/>
          </w:tcPr>
          <w:p>
            <w:pPr>
              <w:pStyle w:val="Compact"/>
              <w:jc w:val="left"/>
            </w:pPr>
            <w:r>
              <w:rPr>
                <w:b/>
                <w:color w:val="FFFFFF"/>
              </w:rPr>
              <w:t xml:space="preserve">Location</w:t>
            </w:r>
          </w:p>
        </w:tc>
        <w:tc>
          <w:tcPr>
            <w:shd w:val="clear" w:color="auto" w:fill="1F3864"/>
          </w:tcPr>
          <w:p>
            <w:pPr>
              <w:pStyle w:val="Compact"/>
              <w:jc w:val="left"/>
            </w:pPr>
            <w:r>
              <w:rPr>
                <w:b/>
                <w:color w:val="FFFFFF"/>
              </w:rPr>
              <w:t xml:space="preserve">Reason</w:t>
            </w:r>
          </w:p>
        </w:tc>
      </w:tr>
      <w:tr>
        <w:tc>
          <w:tcPr/>
          <w:p>
            <w:pPr>
              <w:pStyle w:val="Compact"/>
              <w:jc w:val="left"/>
            </w:pPr>
            <w:r>
              <w:t xml:space="preserve">Central inference project</w:t>
            </w:r>
          </w:p>
        </w:tc>
        <w:tc>
          <w:tcPr/>
          <w:p>
            <w:pPr>
              <w:pStyle w:val="Compact"/>
              <w:jc w:val="left"/>
            </w:pPr>
            <w:r>
              <w:rPr>
                <w:rStyle w:val="VerbatimChar"/>
              </w:rPr>
              <w:t xml:space="preserve">gclt-aicoe-dev-llm</w:t>
            </w:r>
          </w:p>
        </w:tc>
        <w:tc>
          <w:tcPr/>
          <w:p>
            <w:pPr>
              <w:pStyle w:val="Compact"/>
              <w:jc w:val="left"/>
            </w:pPr>
            <w:r>
              <w:t xml:space="preserve">Quota pool, billing boundary, CMEK ring, Model Armor templates, Sensitive Data Protection templates</w:t>
            </w:r>
          </w:p>
        </w:tc>
      </w:tr>
      <w:tr>
        <w:tc>
          <w:tcPr/>
          <w:p>
            <w:pPr>
              <w:pStyle w:val="Compact"/>
              <w:jc w:val="left"/>
            </w:pPr>
            <w:r>
              <w:t xml:space="preserve">Policy enforcement</w:t>
            </w:r>
          </w:p>
        </w:tc>
        <w:tc>
          <w:tcPr/>
          <w:p>
            <w:pPr>
              <w:pStyle w:val="Compact"/>
              <w:jc w:val="left"/>
            </w:pPr>
            <w:r>
              <w:t xml:space="preserve">The</w:t>
            </w:r>
            <w:r>
              <w:t xml:space="preserve"> </w:t>
            </w:r>
            <w:r>
              <w:rPr>
                <w:rStyle w:val="VerbatimChar"/>
              </w:rPr>
              <w:t xml:space="preserve">llm</w:t>
            </w:r>
            <w:r>
              <w:t xml:space="preserve"> </w:t>
            </w:r>
            <w:r>
              <w:t xml:space="preserve">environment, in the same</w:t>
            </w:r>
            <w:r>
              <w:t xml:space="preserve"> </w:t>
            </w:r>
            <w:r>
              <w:rPr>
                <w:rStyle w:val="VerbatimChar"/>
              </w:rPr>
              <w:t xml:space="preserve">gclt-aicoe-dev-apigee</w:t>
            </w:r>
            <w:r>
              <w:t xml:space="preserve"> </w:t>
            </w:r>
            <w:r>
              <w:t xml:space="preserve">organisation used by the</w:t>
            </w:r>
            <w:r>
              <w:t xml:space="preserve"> </w:t>
            </w:r>
            <w:r>
              <w:rPr>
                <w:rStyle w:val="VerbatimChar"/>
              </w:rPr>
              <w:t xml:space="preserve">int</w:t>
            </w:r>
            <w:r>
              <w:t xml:space="preserve"> </w:t>
            </w:r>
            <w:r>
              <w:t xml:space="preserve">environment</w:t>
            </w:r>
          </w:p>
        </w:tc>
        <w:tc>
          <w:tcPr/>
          <w:p>
            <w:pPr>
              <w:pStyle w:val="Compact"/>
              <w:jc w:val="left"/>
            </w:pPr>
            <w:r>
              <w:t xml:space="preserve">A second Apigee organisation carries real cost and provides no isolation that a separate environment, environment group and runtime service account do not already provide</w:t>
            </w:r>
          </w:p>
        </w:tc>
      </w:tr>
      <w:tr>
        <w:tc>
          <w:tcPr/>
          <w:p>
            <w:pPr>
              <w:pStyle w:val="Compact"/>
              <w:jc w:val="left"/>
            </w:pPr>
            <w:r>
              <w:t xml:space="preserve">Consumer entry point</w:t>
            </w:r>
          </w:p>
        </w:tc>
        <w:tc>
          <w:tcPr/>
          <w:p>
            <w:pPr>
              <w:pStyle w:val="Compact"/>
              <w:jc w:val="left"/>
            </w:pPr>
            <w:r>
              <w:t xml:space="preserve">The Private Service Connect service endpoint, private DNS</w:t>
            </w:r>
            <w:r>
              <w:t xml:space="preserve"> </w:t>
            </w:r>
            <w:r>
              <w:rPr>
                <w:rStyle w:val="VerbatimChar"/>
              </w:rPr>
              <w:t xml:space="preserve">llm.aicoe-dev-int.colt.net</w:t>
            </w:r>
          </w:p>
        </w:tc>
        <w:tc>
          <w:tcPr/>
          <w:p>
            <w:pPr>
              <w:pStyle w:val="Compact"/>
              <w:jc w:val="left"/>
            </w:pPr>
            <w:r>
              <w:t xml:space="preserve">Cloud Run cannot consume a service attachment directly, and no CSOC firewall opening or Colt routing is required</w:t>
            </w:r>
          </w:p>
        </w:tc>
      </w:tr>
    </w:tbl>
    <w:p>
      <w:pPr>
        <w:pStyle w:val="BodyText"/>
      </w:pPr>
      <w:r>
        <w:rPr>
          <w:b/>
          <w:bCs/>
        </w:rPr>
        <w:t xml:space="preserve">A second Apigee organisation for the AI gateway is rejected as a design option</w:t>
      </w:r>
      <w:r>
        <w:t xml:space="preserve">: it duplicates cost and provides no isolation the</w:t>
      </w:r>
      <w:r>
        <w:t xml:space="preserve"> </w:t>
      </w:r>
      <w:r>
        <w:rPr>
          <w:rStyle w:val="VerbatimChar"/>
        </w:rPr>
        <w:t xml:space="preserve">llm</w:t>
      </w:r>
      <w:r>
        <w:t xml:space="preserve"> </w:t>
      </w:r>
      <w:r>
        <w:t xml:space="preserve">environment does not already provide. One organisation, two environments, is the adopted design.</w:t>
      </w:r>
    </w:p>
    <w:bookmarkEnd w:id="151"/>
    <w:bookmarkStart w:id="152" w:name="the-ai-gateway-proxy-policy-chain"/>
    <w:p>
      <w:pPr>
        <w:pStyle w:val="Heading2"/>
      </w:pPr>
      <w:r>
        <w:t xml:space="preserve">8.2 The AI gateway proxy — policy chain</w:t>
      </w:r>
    </w:p>
    <w:p>
      <w:pPr>
        <w:pStyle w:val="FirstParagraph"/>
      </w:pPr>
      <w:r>
        <w:t xml:space="preserve">Deployed to</w:t>
      </w:r>
      <w:r>
        <w:t xml:space="preserve"> </w:t>
      </w:r>
      <w:r>
        <w:rPr>
          <w:rStyle w:val="VerbatimChar"/>
        </w:rPr>
        <w:t xml:space="preserve">llm</w:t>
      </w:r>
      <w:r>
        <w:t xml:space="preserve"> </w:t>
      </w:r>
      <w:r>
        <w:t xml:space="preserve">under service account</w:t>
      </w:r>
      <w:r>
        <w:t xml:space="preserve"> </w:t>
      </w:r>
      <w:r>
        <w:rPr>
          <w:rStyle w:val="VerbatimChar"/>
        </w:rPr>
        <w:t xml:space="preserve">apigee-llm-runtime</w:t>
      </w:r>
      <w:r>
        <w:t xml:space="preserv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Policy</w:t>
            </w:r>
          </w:p>
        </w:tc>
        <w:tc>
          <w:tcPr>
            <w:shd w:val="clear" w:color="auto" w:fill="1F3864"/>
          </w:tcPr>
          <w:p>
            <w:pPr>
              <w:pStyle w:val="Compact"/>
              <w:jc w:val="left"/>
            </w:pPr>
            <w:r>
              <w:rPr>
                <w:b/>
                <w:color w:val="FFFFFF"/>
              </w:rPr>
              <w:t xml:space="preserve">Function</w:t>
            </w:r>
          </w:p>
        </w:tc>
      </w:tr>
      <w:tr>
        <w:tc>
          <w:tcPr/>
          <w:p>
            <w:pPr>
              <w:pStyle w:val="Compact"/>
              <w:jc w:val="left"/>
            </w:pPr>
            <w:r>
              <w:t xml:space="preserve">1</w:t>
            </w:r>
          </w:p>
        </w:tc>
        <w:tc>
          <w:tcPr/>
          <w:p>
            <w:pPr>
              <w:pStyle w:val="Compact"/>
              <w:jc w:val="left"/>
            </w:pPr>
            <w:r>
              <w:rPr>
                <w:rStyle w:val="VerbatimChar"/>
              </w:rPr>
              <w:t xml:space="preserve">SpikeArrest</w:t>
            </w:r>
          </w:p>
        </w:tc>
        <w:tc>
          <w:tcPr/>
          <w:p>
            <w:pPr>
              <w:pStyle w:val="Compact"/>
              <w:jc w:val="left"/>
            </w:pPr>
            <w:r>
              <w:t xml:space="preserve">Smooths bursts before any credentialled or paid step runs. First because it requires no credential</w:t>
            </w:r>
          </w:p>
        </w:tc>
      </w:tr>
      <w:tr>
        <w:tc>
          <w:tcPr/>
          <w:p>
            <w:pPr>
              <w:pStyle w:val="Compact"/>
              <w:jc w:val="left"/>
            </w:pPr>
            <w:r>
              <w:t xml:space="preserve">2</w:t>
            </w:r>
          </w:p>
        </w:tc>
        <w:tc>
          <w:tcPr/>
          <w:p>
            <w:pPr>
              <w:pStyle w:val="Compact"/>
              <w:jc w:val="left"/>
            </w:pPr>
            <w:r>
              <w:rPr>
                <w:rStyle w:val="VerbatimChar"/>
              </w:rPr>
              <w:t xml:space="preserve">VerifyJWT</w:t>
            </w:r>
          </w:p>
        </w:tc>
        <w:tc>
          <w:tcPr/>
          <w:p>
            <w:pPr>
              <w:pStyle w:val="Compact"/>
              <w:jc w:val="left"/>
            </w:pPr>
            <w:r>
              <w:t xml:space="preserve">Validates the calling service’s Google identity token, then checks the service account against the permitted list</w:t>
            </w:r>
          </w:p>
        </w:tc>
      </w:tr>
      <w:tr>
        <w:tc>
          <w:tcPr/>
          <w:p>
            <w:pPr>
              <w:pStyle w:val="Compact"/>
              <w:jc w:val="left"/>
            </w:pPr>
            <w:r>
              <w:t xml:space="preserve">3</w:t>
            </w:r>
          </w:p>
        </w:tc>
        <w:tc>
          <w:tcPr/>
          <w:p>
            <w:pPr>
              <w:pStyle w:val="Compact"/>
              <w:jc w:val="left"/>
            </w:pPr>
            <w:r>
              <w:rPr>
                <w:rStyle w:val="VerbatimChar"/>
              </w:rPr>
              <w:t xml:space="preserve">VerifyAPIKey</w:t>
            </w:r>
            <w:r>
              <w:t xml:space="preserve"> </w:t>
            </w:r>
            <w:r>
              <w:t xml:space="preserve">/ OAuth</w:t>
            </w:r>
          </w:p>
        </w:tc>
        <w:tc>
          <w:tcPr/>
          <w:p>
            <w:pPr>
              <w:pStyle w:val="Compact"/>
              <w:jc w:val="left"/>
            </w:pPr>
            <w:r>
              <w:t xml:space="preserve">Resolves the API Product the token quota is measured against</w:t>
            </w:r>
          </w:p>
        </w:tc>
      </w:tr>
      <w:tr>
        <w:tc>
          <w:tcPr/>
          <w:p>
            <w:pPr>
              <w:pStyle w:val="Compact"/>
              <w:jc w:val="left"/>
            </w:pPr>
            <w:r>
              <w:t xml:space="preserve">4</w:t>
            </w:r>
          </w:p>
        </w:tc>
        <w:tc>
          <w:tcPr/>
          <w:p>
            <w:pPr>
              <w:pStyle w:val="Compact"/>
              <w:jc w:val="left"/>
            </w:pPr>
            <w:r>
              <w:rPr>
                <w:rStyle w:val="VerbatimChar"/>
              </w:rPr>
              <w:t xml:space="preserve">VerifyJWT</w:t>
            </w:r>
          </w:p>
        </w:tc>
        <w:tc>
          <w:tcPr/>
          <w:p>
            <w:pPr>
              <w:pStyle w:val="Compact"/>
              <w:jc w:val="left"/>
            </w:pPr>
            <w:r>
              <w:t xml:space="preserve">Validates the forwarded user assertion, extracting subject and groups</w:t>
            </w:r>
          </w:p>
        </w:tc>
      </w:tr>
      <w:tr>
        <w:tc>
          <w:tcPr/>
          <w:p>
            <w:pPr>
              <w:pStyle w:val="Compact"/>
              <w:jc w:val="left"/>
            </w:pPr>
            <w:r>
              <w:t xml:space="preserve">5</w:t>
            </w:r>
          </w:p>
        </w:tc>
        <w:tc>
          <w:tcPr/>
          <w:p>
            <w:pPr>
              <w:pStyle w:val="Compact"/>
              <w:jc w:val="left"/>
            </w:pPr>
            <w:r>
              <w:rPr>
                <w:rStyle w:val="VerbatimChar"/>
              </w:rPr>
              <w:t xml:space="preserve">KeyValueMapOperations</w:t>
            </w:r>
          </w:p>
        </w:tc>
        <w:tc>
          <w:tcPr/>
          <w:p>
            <w:pPr>
              <w:pStyle w:val="Compact"/>
              <w:jc w:val="left"/>
            </w:pPr>
            <w:r>
              <w:t xml:space="preserve">Maps group to business unit using</w:t>
            </w:r>
            <w:r>
              <w:t xml:space="preserve"> </w:t>
            </w:r>
            <w:r>
              <w:rPr>
                <w:rStyle w:val="VerbatimChar"/>
              </w:rPr>
              <w:t xml:space="preserve">group-to-bu</w:t>
            </w:r>
          </w:p>
        </w:tc>
      </w:tr>
      <w:tr>
        <w:tc>
          <w:tcPr/>
          <w:p>
            <w:pPr>
              <w:pStyle w:val="Compact"/>
              <w:jc w:val="left"/>
            </w:pPr>
            <w:r>
              <w:t xml:space="preserve">6</w:t>
            </w:r>
          </w:p>
        </w:tc>
        <w:tc>
          <w:tcPr/>
          <w:p>
            <w:pPr>
              <w:pStyle w:val="Compact"/>
              <w:jc w:val="left"/>
            </w:pPr>
            <w:r>
              <w:rPr>
                <w:rStyle w:val="VerbatimChar"/>
              </w:rPr>
              <w:t xml:space="preserve">PromptTokenLimit</w:t>
            </w:r>
          </w:p>
        </w:tc>
        <w:tc>
          <w:tcPr/>
          <w:p>
            <w:pPr>
              <w:pStyle w:val="Compact"/>
              <w:jc w:val="left"/>
            </w:pPr>
            <w:r>
              <w:t xml:space="preserve">Caps a single prompt, bounding how far the quota in step 7 can be overshot in one call</w:t>
            </w:r>
          </w:p>
        </w:tc>
      </w:tr>
      <w:tr>
        <w:tc>
          <w:tcPr/>
          <w:p>
            <w:pPr>
              <w:pStyle w:val="Compact"/>
              <w:jc w:val="left"/>
            </w:pPr>
            <w:r>
              <w:t xml:space="preserve">7</w:t>
            </w:r>
          </w:p>
        </w:tc>
        <w:tc>
          <w:tcPr/>
          <w:p>
            <w:pPr>
              <w:pStyle w:val="Compact"/>
              <w:jc w:val="left"/>
            </w:pPr>
            <w:r>
              <w:rPr>
                <w:rStyle w:val="VerbatimChar"/>
              </w:rPr>
              <w:t xml:space="preserve">LLMTokenQuota</w:t>
            </w:r>
            <w:r>
              <w:t xml:space="preserve"> </w:t>
            </w:r>
            <w:r>
              <w:t xml:space="preserve">— enforce mode</w:t>
            </w:r>
          </w:p>
        </w:tc>
        <w:tc>
          <w:tcPr/>
          <w:p>
            <w:pPr>
              <w:pStyle w:val="Compact"/>
              <w:jc w:val="left"/>
            </w:pPr>
            <w:r>
              <w:t xml:space="preserve">Rejects with 429 when the allowance is spent</w:t>
            </w:r>
          </w:p>
        </w:tc>
      </w:tr>
      <w:tr>
        <w:tc>
          <w:tcPr/>
          <w:p>
            <w:pPr>
              <w:pStyle w:val="Compact"/>
              <w:jc w:val="left"/>
            </w:pPr>
            <w:r>
              <w:t xml:space="preserve">8</w:t>
            </w:r>
          </w:p>
        </w:tc>
        <w:tc>
          <w:tcPr/>
          <w:p>
            <w:pPr>
              <w:pStyle w:val="Compact"/>
              <w:jc w:val="left"/>
            </w:pPr>
            <w:r>
              <w:rPr>
                <w:rStyle w:val="VerbatimChar"/>
              </w:rPr>
              <w:t xml:space="preserve">SanitizeUserPrompt</w:t>
            </w:r>
          </w:p>
        </w:tc>
        <w:tc>
          <w:tcPr/>
          <w:p>
            <w:pPr>
              <w:pStyle w:val="Compact"/>
              <w:jc w:val="left"/>
            </w:pPr>
            <w:r>
              <w:t xml:space="preserve">Model Armor, template selected from</w:t>
            </w:r>
            <w:r>
              <w:t xml:space="preserve"> </w:t>
            </w:r>
            <w:r>
              <w:rPr>
                <w:rStyle w:val="VerbatimChar"/>
              </w:rPr>
              <w:t xml:space="preserve">bu-armor-template</w:t>
            </w:r>
            <w:r>
              <w:t xml:space="preserve">. The response is checked for</w:t>
            </w:r>
            <w:r>
              <w:t xml:space="preserve"> </w:t>
            </w:r>
            <w:r>
              <w:rPr>
                <w:rStyle w:val="VerbatimChar"/>
              </w:rPr>
              <w:t xml:space="preserve">EXECUTION_SKIPPED</w:t>
            </w:r>
            <w:r>
              <w:t xml:space="preserve">, not only for a match</w:t>
            </w:r>
          </w:p>
        </w:tc>
      </w:tr>
      <w:tr>
        <w:tc>
          <w:tcPr/>
          <w:p>
            <w:pPr>
              <w:pStyle w:val="Compact"/>
              <w:jc w:val="left"/>
            </w:pPr>
            <w:r>
              <w:t xml:space="preserve">9</w:t>
            </w:r>
          </w:p>
        </w:tc>
        <w:tc>
          <w:tcPr/>
          <w:p>
            <w:pPr>
              <w:pStyle w:val="Compact"/>
              <w:jc w:val="left"/>
            </w:pPr>
            <w:r>
              <w:rPr>
                <w:rStyle w:val="VerbatimChar"/>
              </w:rPr>
              <w:t xml:space="preserve">AssignMessage</w:t>
            </w:r>
          </w:p>
        </w:tc>
        <w:tc>
          <w:tcPr/>
          <w:p>
            <w:pPr>
              <w:pStyle w:val="Compact"/>
              <w:jc w:val="left"/>
            </w:pPr>
            <w:r>
              <w:t xml:space="preserve">Sets</w:t>
            </w:r>
            <w:r>
              <w:t xml:space="preserve"> </w:t>
            </w:r>
            <w:r>
              <w:rPr>
                <w:rStyle w:val="VerbatimChar"/>
              </w:rPr>
              <w:t xml:space="preserve">safetySettings</w:t>
            </w:r>
            <w:r>
              <w:t xml:space="preserve"> </w:t>
            </w:r>
            <w:r>
              <w:t xml:space="preserve">on the request body, so the caller cannot weaken them</w:t>
            </w:r>
          </w:p>
        </w:tc>
      </w:tr>
      <w:tr>
        <w:tc>
          <w:tcPr/>
          <w:p>
            <w:pPr>
              <w:pStyle w:val="Compact"/>
              <w:jc w:val="left"/>
            </w:pPr>
            <w:r>
              <w:t xml:space="preserve">10</w:t>
            </w:r>
          </w:p>
        </w:tc>
        <w:tc>
          <w:tcPr/>
          <w:p>
            <w:pPr>
              <w:pStyle w:val="Compact"/>
              <w:jc w:val="left"/>
            </w:pPr>
            <w:r>
              <w:rPr>
                <w:rStyle w:val="VerbatimChar"/>
              </w:rPr>
              <w:t xml:space="preserve">KeyValueMapOperations</w:t>
            </w:r>
          </w:p>
        </w:tc>
        <w:tc>
          <w:tcPr/>
          <w:p>
            <w:pPr>
              <w:pStyle w:val="Compact"/>
              <w:jc w:val="left"/>
            </w:pPr>
            <w:r>
              <w:t xml:space="preserve">Selects the model from</w:t>
            </w:r>
            <w:r>
              <w:t xml:space="preserve"> </w:t>
            </w:r>
            <w:r>
              <w:rPr>
                <w:rStyle w:val="VerbatimChar"/>
              </w:rPr>
              <w:t xml:space="preserve">allowed-models</w:t>
            </w:r>
            <w:r>
              <w:t xml:space="preserve"> </w:t>
            </w:r>
            <w:r>
              <w:t xml:space="preserve">and sets the target</w:t>
            </w:r>
          </w:p>
        </w:tc>
      </w:tr>
      <w:tr>
        <w:tc>
          <w:tcPr/>
          <w:p>
            <w:pPr>
              <w:pStyle w:val="Compact"/>
              <w:jc w:val="left"/>
            </w:pPr>
            <w:r>
              <w:t xml:space="preserve">—</w:t>
            </w:r>
          </w:p>
        </w:tc>
        <w:tc>
          <w:tcPr/>
          <w:p>
            <w:pPr>
              <w:pStyle w:val="Compact"/>
              <w:jc w:val="left"/>
            </w:pPr>
            <w:r>
              <w:t xml:space="preserve">Target</w:t>
            </w:r>
          </w:p>
        </w:tc>
        <w:tc>
          <w:tcPr/>
          <w:p>
            <w:pPr>
              <w:pStyle w:val="Compact"/>
              <w:jc w:val="left"/>
            </w:pPr>
            <w:r>
              <w:t xml:space="preserve">Vertex AI, via target server</w:t>
            </w:r>
            <w:r>
              <w:t xml:space="preserve"> </w:t>
            </w:r>
            <w:r>
              <w:rPr>
                <w:rStyle w:val="VerbatimChar"/>
              </w:rPr>
              <w:t xml:space="preserve">vertex</w:t>
            </w:r>
            <w:r>
              <w:t xml:space="preserve">, authenticating as</w:t>
            </w:r>
            <w:r>
              <w:t xml:space="preserve"> </w:t>
            </w:r>
            <w:r>
              <w:rPr>
                <w:rStyle w:val="VerbatimChar"/>
              </w:rPr>
              <w:t xml:space="preserve">apigee-llm-runtime</w:t>
            </w:r>
          </w:p>
        </w:tc>
      </w:tr>
      <w:tr>
        <w:tc>
          <w:tcPr/>
          <w:p>
            <w:pPr>
              <w:pStyle w:val="Compact"/>
              <w:jc w:val="left"/>
            </w:pPr>
            <w:r>
              <w:t xml:space="preserve">11</w:t>
            </w:r>
          </w:p>
        </w:tc>
        <w:tc>
          <w:tcPr/>
          <w:p>
            <w:pPr>
              <w:pStyle w:val="Compact"/>
              <w:jc w:val="left"/>
            </w:pPr>
            <w:r>
              <w:rPr>
                <w:rStyle w:val="VerbatimChar"/>
              </w:rPr>
              <w:t xml:space="preserve">SanitizeModelResponse</w:t>
            </w:r>
          </w:p>
        </w:tc>
        <w:tc>
          <w:tcPr/>
          <w:p>
            <w:pPr>
              <w:pStyle w:val="Compact"/>
              <w:jc w:val="left"/>
            </w:pPr>
            <w:r>
              <w:t xml:space="preserve">Model Armor on the return path</w:t>
            </w:r>
          </w:p>
        </w:tc>
      </w:tr>
      <w:tr>
        <w:tc>
          <w:tcPr/>
          <w:p>
            <w:pPr>
              <w:pStyle w:val="Compact"/>
              <w:jc w:val="left"/>
            </w:pPr>
            <w:r>
              <w:t xml:space="preserve">12</w:t>
            </w:r>
          </w:p>
        </w:tc>
        <w:tc>
          <w:tcPr/>
          <w:p>
            <w:pPr>
              <w:pStyle w:val="Compact"/>
              <w:jc w:val="left"/>
            </w:pPr>
            <w:r>
              <w:rPr>
                <w:rStyle w:val="VerbatimChar"/>
              </w:rPr>
              <w:t xml:space="preserve">LLMTokenQuota</w:t>
            </w:r>
            <w:r>
              <w:t xml:space="preserve"> </w:t>
            </w:r>
            <w:r>
              <w:t xml:space="preserve">— count mode</w:t>
            </w:r>
          </w:p>
        </w:tc>
        <w:tc>
          <w:tcPr/>
          <w:p>
            <w:pPr>
              <w:pStyle w:val="Compact"/>
              <w:jc w:val="left"/>
            </w:pPr>
            <w:r>
              <w:t xml:space="preserve">Records tokens actually consumed</w:t>
            </w:r>
          </w:p>
        </w:tc>
      </w:tr>
      <w:tr>
        <w:tc>
          <w:tcPr/>
          <w:p>
            <w:pPr>
              <w:pStyle w:val="Compact"/>
              <w:jc w:val="left"/>
            </w:pPr>
            <w:r>
              <w:t xml:space="preserve">13</w:t>
            </w:r>
          </w:p>
        </w:tc>
        <w:tc>
          <w:tcPr/>
          <w:p>
            <w:pPr>
              <w:pStyle w:val="Compact"/>
              <w:jc w:val="left"/>
            </w:pPr>
            <w:r>
              <w:rPr>
                <w:rStyle w:val="VerbatimChar"/>
              </w:rPr>
              <w:t xml:space="preserve">StatisticsCollector</w:t>
            </w:r>
          </w:p>
        </w:tc>
        <w:tc>
          <w:tcPr/>
          <w:p>
            <w:pPr>
              <w:pStyle w:val="Compact"/>
              <w:jc w:val="left"/>
            </w:pPr>
            <w:r>
              <w:t xml:space="preserve">Tokens by subject, business unit and product</w:t>
            </w:r>
          </w:p>
        </w:tc>
      </w:tr>
      <w:tr>
        <w:tc>
          <w:tcPr/>
          <w:p>
            <w:pPr>
              <w:pStyle w:val="Compact"/>
              <w:jc w:val="left"/>
            </w:pPr>
            <w:r>
              <w:t xml:space="preserve">14</w:t>
            </w:r>
          </w:p>
        </w:tc>
        <w:tc>
          <w:tcPr/>
          <w:p>
            <w:pPr>
              <w:pStyle w:val="Compact"/>
              <w:jc w:val="left"/>
            </w:pPr>
            <w:r>
              <w:rPr>
                <w:rStyle w:val="VerbatimChar"/>
              </w:rPr>
              <w:t xml:space="preserve">MessageLogging</w:t>
            </w:r>
          </w:p>
        </w:tc>
        <w:tc>
          <w:tcPr/>
          <w:p>
            <w:pPr>
              <w:pStyle w:val="Compact"/>
              <w:jc w:val="left"/>
            </w:pPr>
            <w:r>
              <w:t xml:space="preserve">Metadata only, per CR-19 (prompt content not logged by default)</w:t>
            </w:r>
          </w:p>
        </w:tc>
      </w:tr>
    </w:tbl>
    <w:p>
      <w:pPr>
        <w:pStyle w:val="BodyText"/>
      </w:pPr>
      <w:r>
        <w:t xml:space="preserve">The enforce and count instances of</w:t>
      </w:r>
      <w:r>
        <w:t xml:space="preserve"> </w:t>
      </w:r>
      <w:r>
        <w:rPr>
          <w:rStyle w:val="VerbatimChar"/>
        </w:rPr>
        <w:t xml:space="preserve">LLMTokenQuota</w:t>
      </w:r>
      <w:r>
        <w:t xml:space="preserve"> </w:t>
      </w:r>
      <w:r>
        <w:t xml:space="preserve">are both required: the enforce instance in the request flow rejects a call once the quota is exhausted; the count instance in the response flow records what was actually consumed. Policy order follows spike arrest, then credential verification, then quota enforcement keyed on the verified identity.</w:t>
      </w:r>
    </w:p>
    <w:p>
      <w:pPr>
        <w:pStyle w:val="BodyText"/>
      </w:pPr>
      <w:r>
        <w:rPr>
          <w:b/>
          <w:bCs/>
        </w:rPr>
        <w:t xml:space="preserve">Document handling for translation.</w:t>
      </w:r>
      <w:r>
        <w:t xml:space="preserve"> </w:t>
      </w:r>
      <w:r>
        <w:t xml:space="preserve">The translation worker does not pass the source PDF or DOCX file to the model. It extracts text from the document, chunks it, and sends the extracted text to the model as a standard text prompt, per</w:t>
      </w:r>
      <w:r>
        <w:t xml:space="preserve"> </w:t>
      </w:r>
      <w:r>
        <w:rPr>
          <w:b/>
          <w:bCs/>
        </w:rPr>
        <w:t xml:space="preserve">Asynchronous translation — Sandbox and Dev</w:t>
      </w:r>
      <w:r>
        <w:t xml:space="preserve">. No multimodal payload — inline or by</w:t>
      </w:r>
      <w:r>
        <w:t xml:space="preserve"> </w:t>
      </w:r>
      <w:r>
        <w:rPr>
          <w:rStyle w:val="VerbatimChar"/>
        </w:rPr>
        <w:t xml:space="preserve">gs://</w:t>
      </w:r>
      <w:r>
        <w:t xml:space="preserve"> </w:t>
      </w:r>
      <w:r>
        <w:t xml:space="preserve">reference — is sent to Vertex AI by either usecase on this platform. Neither usecase streams a model response either: the Sales Agent returns a single-turn response per BR-02, and translation is served by a synchronous API plus an asynchronous worker.</w:t>
      </w:r>
    </w:p>
    <w:p>
      <w:pPr>
        <w:pStyle w:val="BodyText"/>
      </w:pPr>
      <w:r>
        <w:rPr>
          <w:b/>
          <w:bCs/>
        </w:rPr>
        <w:t xml:space="preserve">Model Armor policy commitment, split by GA status.</w:t>
      </w:r>
      <w:r>
        <w:t xml:space="preserve"> </w:t>
      </w:r>
      <w:r>
        <w:rPr>
          <w:rStyle w:val="VerbatimChar"/>
        </w:rPr>
        <w:t xml:space="preserve">LLMTokenQuota</w:t>
      </w:r>
      <w:r>
        <w:t xml:space="preserve"> </w:t>
      </w:r>
      <w:r>
        <w:t xml:space="preserve">and</w:t>
      </w:r>
      <w:r>
        <w:t xml:space="preserve"> </w:t>
      </w:r>
      <w:r>
        <w:rPr>
          <w:rStyle w:val="VerbatimChar"/>
        </w:rPr>
        <w:t xml:space="preserve">PromptTokenLimit</w:t>
      </w:r>
      <w:r>
        <w:t xml:space="preserve"> </w:t>
      </w:r>
      <w:r>
        <w:t xml:space="preserve">are General Availability policies and are committed as controls. The Apigee-native Model Armor policies (</w:t>
      </w:r>
      <w:r>
        <w:rPr>
          <w:rStyle w:val="VerbatimChar"/>
        </w:rPr>
        <w:t xml:space="preserve">SanitizeUserPrompt</w:t>
      </w:r>
      <w:r>
        <w:t xml:space="preserve">,</w:t>
      </w:r>
      <w:r>
        <w:t xml:space="preserve"> </w:t>
      </w:r>
      <w:r>
        <w:rPr>
          <w:rStyle w:val="VerbatimChar"/>
        </w:rPr>
        <w:t xml:space="preserve">SanitizeModelResponse</w:t>
      </w:r>
      <w:r>
        <w:t xml:space="preserve">) are Pre-GA, governed by the Pre-GA Offerings Terms with limited support, and are Extensible policies with their own cost implications; they are not committed as a control at this stage. Gate P13 (Apigee licence entitlement and cost model) covers this position. The project-level Model Armor capability described in</w:t>
      </w:r>
      <w:r>
        <w:t xml:space="preserve"> </w:t>
      </w:r>
      <w:r>
        <w:rPr>
          <w:b/>
          <w:bCs/>
        </w:rPr>
        <w:t xml:space="preserve">Model Armor</w:t>
      </w:r>
      <w:r>
        <w:t xml:space="preserve"> </w:t>
      </w:r>
      <w:r>
        <w:t xml:space="preserve">below does not depend on Apigee and is unaffected by this split. If the Apigee-native policies prove cost-prohibitive, the fallback moves prompt and response screening into the application — calling the Model Armor API directly from Cloud Run — at the cost of losing central, gateway-enforced screening; this trade is recorded in</w:t>
      </w:r>
      <w:r>
        <w:t xml:space="preserve"> </w:t>
      </w:r>
      <w:r>
        <w:rPr>
          <w:b/>
          <w:bCs/>
        </w:rPr>
        <w:t xml:space="preserve">Decision Log</w:t>
      </w:r>
      <w:r>
        <w:t xml:space="preserve">, not assumed.</w:t>
      </w:r>
    </w:p>
    <w:bookmarkEnd w:id="152"/>
    <w:bookmarkStart w:id="153" w:name="token-quota-and-cost-attribution"/>
    <w:p>
      <w:pPr>
        <w:pStyle w:val="Heading2"/>
      </w:pPr>
      <w:r>
        <w:t xml:space="preserve">8.3 Token quota and cost attribution</w:t>
      </w:r>
    </w:p>
    <w:p>
      <w:pPr>
        <w:pStyle w:val="FirstParagraph"/>
      </w:pPr>
      <w:r>
        <w:t xml:space="preserve">Apigee’s Tokens Consumption Report, under Custom Reports, provides per-consumer token accounting by Developer App and Product without a purpose-built export pipeline, satisfying BR-14 (model consumption and cost attribution) as a first-party capability. An export is still taken for long-term cost analysis.</w:t>
      </w:r>
    </w:p>
    <w:p>
      <w:pPr>
        <w:pStyle w:val="BodyText"/>
      </w:pPr>
      <w:r>
        <w:rPr>
          <w:b/>
          <w:bCs/>
        </w:rPr>
        <w:t xml:space="preserve">Per-user counting requires user identity to reach Apigee.</w:t>
      </w:r>
      <w:r>
        <w:t xml:space="preserve"> </w:t>
      </w:r>
      <w:r>
        <w:t xml:space="preserve">Counting by service account alone attributes consumption to the calling service, not the person; the backends must forward the verified user context on outbound LLM calls for per-user attribution, and hence for BR-15 (per-user consumption budget), to hold.</w:t>
      </w:r>
    </w:p>
    <w:p>
      <w:pPr>
        <w:pStyle w:val="BodyText"/>
      </w:pPr>
      <w:r>
        <w:rPr>
          <w:b/>
          <w:bCs/>
        </w:rPr>
        <w:t xml:space="preserve">An Apigee credential is required in addition to the Google ID token that authenticates the calling service</w:t>
      </w:r>
      <w:r>
        <w:t xml:space="preserve">, because</w:t>
      </w:r>
      <w:r>
        <w:t xml:space="preserve"> </w:t>
      </w:r>
      <w:r>
        <w:rPr>
          <w:rStyle w:val="VerbatimChar"/>
        </w:rPr>
        <w:t xml:space="preserve">LLMTokenQuota</w:t>
      </w:r>
      <w:r>
        <w:t xml:space="preserve"> </w:t>
      </w:r>
      <w:r>
        <w:t xml:space="preserve">is keyed on API Products, and Apigee must resolve a consumer to measure against one. This is the role of the</w:t>
      </w:r>
      <w:r>
        <w:t xml:space="preserve"> </w:t>
      </w:r>
      <w:r>
        <w:rPr>
          <w:rStyle w:val="VerbatimChar"/>
        </w:rPr>
        <w:t xml:space="preserve">VerifyAPIKey</w:t>
      </w:r>
      <w:r>
        <w:t xml:space="preserve"> </w:t>
      </w:r>
      <w:r>
        <w:t xml:space="preserve">or OAuth step.</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Approach</w:t>
            </w:r>
          </w:p>
        </w:tc>
        <w:tc>
          <w:tcPr>
            <w:shd w:val="clear" w:color="auto" w:fill="1F3864"/>
          </w:tcPr>
          <w:p>
            <w:pPr>
              <w:pStyle w:val="Compact"/>
              <w:jc w:val="left"/>
            </w:pPr>
            <w:r>
              <w:rPr>
                <w:b/>
                <w:color w:val="FFFFFF"/>
              </w:rPr>
              <w:t xml:space="preserve">Provides</w:t>
            </w:r>
          </w:p>
        </w:tc>
        <w:tc>
          <w:tcPr>
            <w:shd w:val="clear" w:color="auto" w:fill="1F3864"/>
          </w:tcPr>
          <w:p>
            <w:pPr>
              <w:pStyle w:val="Compact"/>
              <w:jc w:val="left"/>
            </w:pPr>
            <w:r>
              <w:rPr>
                <w:b/>
                <w:color w:val="FFFFFF"/>
              </w:rPr>
              <w:t xml:space="preserve">Cost</w:t>
            </w:r>
          </w:p>
        </w:tc>
      </w:tr>
      <w:tr>
        <w:tc>
          <w:tcPr/>
          <w:p>
            <w:pPr>
              <w:pStyle w:val="Compact"/>
              <w:jc w:val="left"/>
            </w:pPr>
            <w:r>
              <w:t xml:space="preserve">API Product per business-unit tier, with an OAuth2 client credential per consumer service</w:t>
            </w:r>
          </w:p>
        </w:tc>
        <w:tc>
          <w:tcPr/>
          <w:p>
            <w:pPr>
              <w:pStyle w:val="Compact"/>
              <w:jc w:val="left"/>
            </w:pPr>
            <w:r>
              <w:t xml:space="preserve">Native token quota, product tiering, built-in consumption reports</w:t>
            </w:r>
          </w:p>
        </w:tc>
        <w:tc>
          <w:tcPr/>
          <w:p>
            <w:pPr>
              <w:pStyle w:val="Compact"/>
              <w:jc w:val="left"/>
            </w:pPr>
            <w:r>
              <w:t xml:space="preserve">One additional credential per service in Secret Manager, with CMEK, a rotation owner and an expiry alert</w:t>
            </w:r>
          </w:p>
        </w:tc>
      </w:tr>
      <w:tr>
        <w:tc>
          <w:tcPr/>
          <w:p>
            <w:pPr>
              <w:pStyle w:val="Compact"/>
              <w:jc w:val="left"/>
            </w:pPr>
            <w:r>
              <w:t xml:space="preserve">Google ID token only, with a generic</w:t>
            </w:r>
            <w:r>
              <w:t xml:space="preserve"> </w:t>
            </w:r>
            <w:r>
              <w:rPr>
                <w:rStyle w:val="VerbatimChar"/>
              </w:rPr>
              <w:t xml:space="preserve">Quota</w:t>
            </w:r>
            <w:r>
              <w:t xml:space="preserve"> </w:t>
            </w:r>
            <w:r>
              <w:t xml:space="preserve">on a custom identifier</w:t>
            </w:r>
          </w:p>
        </w:tc>
        <w:tc>
          <w:tcPr/>
          <w:p>
            <w:pPr>
              <w:pStyle w:val="Compact"/>
              <w:jc w:val="left"/>
            </w:pPr>
            <w:r>
              <w:t xml:space="preserve">No new secrets</w:t>
            </w:r>
          </w:p>
        </w:tc>
        <w:tc>
          <w:tcPr/>
          <w:p>
            <w:pPr>
              <w:pStyle w:val="Compact"/>
              <w:jc w:val="left"/>
            </w:pPr>
            <w:r>
              <w:t xml:space="preserve">No product tiers and no built-in reports; counting must be built</w:t>
            </w:r>
          </w:p>
        </w:tc>
      </w:tr>
    </w:tbl>
    <w:p>
      <w:pPr>
        <w:pStyle w:val="BodyText"/>
      </w:pPr>
      <w:r>
        <w:t xml:space="preserve">The adopted design is the first: the credential management burden is well understood, and the consumption reporting is the capability the platform needs.</w:t>
      </w:r>
    </w:p>
    <w:p>
      <w:pPr>
        <w:pStyle w:val="BodyText"/>
      </w:pPr>
      <w:r>
        <w:rPr>
          <w:b/>
          <w:bCs/>
        </w:rPr>
        <w:t xml:space="preserve">Chargeback is designed but not operationalised.</w:t>
      </w:r>
      <w:r>
        <w:t xml:space="preserve"> </w:t>
      </w:r>
      <w:r>
        <w:t xml:space="preserve">Token counts per user and department exist as data, but the monthly reporting owner, the unit rate, reconciliation against the Vertex AI bill, per-project budget alerts, and an alert on Extensible-proxy call volume are not yet defined.</w:t>
      </w:r>
    </w:p>
    <w:bookmarkEnd w:id="153"/>
    <w:bookmarkStart w:id="158" w:name="model-armor"/>
    <w:p>
      <w:pPr>
        <w:pStyle w:val="Heading2"/>
      </w:pPr>
      <w:r>
        <w:t xml:space="preserve">8.4 Model Armor</w:t>
      </w:r>
    </w:p>
    <w:p>
      <w:pPr>
        <w:pStyle w:val="FirstParagraph"/>
      </w:pPr>
      <w:r>
        <w:t xml:space="preserve">Model Armor screens for prompt injection, jailbreak patterns, malicious URLs and sensitive data, using Sensitive Data Protection info types. The gateway proxy invokes it through the</w:t>
      </w:r>
      <w:r>
        <w:t xml:space="preserve"> </w:t>
      </w:r>
      <w:r>
        <w:rPr>
          <w:rStyle w:val="VerbatimChar"/>
        </w:rPr>
        <w:t xml:space="preserve">SanitizeUserPrompt</w:t>
      </w:r>
      <w:r>
        <w:t xml:space="preserve"> </w:t>
      </w:r>
      <w:r>
        <w:t xml:space="preserve">and</w:t>
      </w:r>
      <w:r>
        <w:t xml:space="preserve"> </w:t>
      </w:r>
      <w:r>
        <w:rPr>
          <w:rStyle w:val="VerbatimChar"/>
        </w:rPr>
        <w:t xml:space="preserve">SanitizeModelResponse</w:t>
      </w:r>
      <w:r>
        <w:t xml:space="preserve"> </w:t>
      </w:r>
      <w:r>
        <w:t xml:space="preserve">policies.</w:t>
      </w:r>
    </w:p>
    <w:bookmarkStart w:id="154" w:name="screening-pattern"/>
    <w:p>
      <w:pPr>
        <w:pStyle w:val="Heading3"/>
      </w:pPr>
      <w:r>
        <w:t xml:space="preserve">8.4.1 Screening pattern</w:t>
      </w:r>
    </w:p>
    <w:p>
      <w:pPr>
        <w:pStyle w:val="FirstParagraph"/>
      </w:pPr>
      <w:r>
        <w:t xml:space="preserve">Model Armor supports two integration patterns, and the platform’s residency policy admits only one of them.</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Pattern</w:t>
            </w:r>
          </w:p>
        </w:tc>
        <w:tc>
          <w:tcPr>
            <w:shd w:val="clear" w:color="auto" w:fill="1F3864"/>
          </w:tcPr>
          <w:p>
            <w:pPr>
              <w:pStyle w:val="Compact"/>
              <w:jc w:val="left"/>
            </w:pPr>
            <w:r>
              <w:rPr>
                <w:b/>
                <w:color w:val="FFFFFF"/>
              </w:rPr>
              <w:t xml:space="preserve">Mechanism</w:t>
            </w:r>
          </w:p>
        </w:tc>
        <w:tc>
          <w:tcPr>
            <w:shd w:val="clear" w:color="auto" w:fill="1F3864"/>
          </w:tcPr>
          <w:p>
            <w:pPr>
              <w:pStyle w:val="Compact"/>
              <w:jc w:val="left"/>
            </w:pPr>
            <w:r>
              <w:rPr>
                <w:b/>
                <w:color w:val="FFFFFF"/>
              </w:rPr>
              <w:t xml:space="preserve">Available here</w:t>
            </w:r>
          </w:p>
        </w:tc>
      </w:tr>
      <w:tr>
        <w:tc>
          <w:tcPr/>
          <w:p>
            <w:pPr>
              <w:pStyle w:val="Compact"/>
              <w:jc w:val="left"/>
            </w:pPr>
            <w:r>
              <w:t xml:space="preserve">Called explicitly</w:t>
            </w:r>
          </w:p>
        </w:tc>
        <w:tc>
          <w:tcPr/>
          <w:p>
            <w:pPr>
              <w:pStyle w:val="Compact"/>
              <w:jc w:val="left"/>
            </w:pPr>
            <w:r>
              <w:t xml:space="preserve">The gateway proxy calls the Model Armor API against a template in</w:t>
            </w:r>
            <w:r>
              <w:t xml:space="preserve"> </w:t>
            </w:r>
            <w:r>
              <w:rPr>
                <w:rStyle w:val="VerbatimChar"/>
              </w:rPr>
              <w:t xml:space="preserve">europe-west1</w:t>
            </w:r>
          </w:p>
        </w:tc>
        <w:tc>
          <w:tcPr/>
          <w:p>
            <w:pPr>
              <w:pStyle w:val="Compact"/>
              <w:jc w:val="left"/>
            </w:pPr>
            <w:r>
              <w:t xml:space="preserve">Yes — the adopted design</w:t>
            </w:r>
          </w:p>
        </w:tc>
      </w:tr>
      <w:tr>
        <w:tc>
          <w:tcPr/>
          <w:p>
            <w:pPr>
              <w:pStyle w:val="Compact"/>
              <w:jc w:val="left"/>
            </w:pPr>
            <w:r>
              <w:t xml:space="preserve">Built-in Vertex AI integration</w:t>
            </w:r>
          </w:p>
        </w:tc>
        <w:tc>
          <w:tcPr/>
          <w:p>
            <w:pPr>
              <w:pStyle w:val="Compact"/>
              <w:jc w:val="left"/>
            </w:pPr>
            <w:r>
              <w:t xml:space="preserve">Configured once per project; every Vertex AI call is screened automatically, with no proxy involvement</w:t>
            </w:r>
          </w:p>
        </w:tc>
        <w:tc>
          <w:tcPr/>
          <w:p>
            <w:pPr>
              <w:pStyle w:val="Compact"/>
              <w:jc w:val="left"/>
            </w:pPr>
            <w:r>
              <w:t xml:space="preserve">No. This pattern requires the template to sit in</w:t>
            </w:r>
            <w:r>
              <w:t xml:space="preserve"> </w:t>
            </w:r>
            <w:r>
              <w:rPr>
                <w:rStyle w:val="VerbatimChar"/>
              </w:rPr>
              <w:t xml:space="preserve">us-central1</w:t>
            </w:r>
            <w:r>
              <w:t xml:space="preserve">,</w:t>
            </w:r>
            <w:r>
              <w:t xml:space="preserve"> </w:t>
            </w:r>
            <w:r>
              <w:rPr>
                <w:rStyle w:val="VerbatimChar"/>
              </w:rPr>
              <w:t xml:space="preserve">us-east4</w:t>
            </w:r>
            <w:r>
              <w:t xml:space="preserve">,</w:t>
            </w:r>
            <w:r>
              <w:t xml:space="preserve"> </w:t>
            </w:r>
            <w:r>
              <w:rPr>
                <w:rStyle w:val="VerbatimChar"/>
              </w:rPr>
              <w:t xml:space="preserve">us-west1</w:t>
            </w:r>
            <w:r>
              <w:t xml:space="preserve"> </w:t>
            </w:r>
            <w:r>
              <w:t xml:space="preserve">or</w:t>
            </w:r>
            <w:r>
              <w:t xml:space="preserve"> </w:t>
            </w:r>
            <w:r>
              <w:rPr>
                <w:rStyle w:val="VerbatimChar"/>
              </w:rPr>
              <w:t xml:space="preserve">europe-west4</w:t>
            </w:r>
            <w:r>
              <w:t xml:space="preserve">, none of which G3 (data stays in the EU) and the pinned</w:t>
            </w:r>
            <w:r>
              <w:t xml:space="preserve"> </w:t>
            </w:r>
            <w:r>
              <w:rPr>
                <w:rStyle w:val="VerbatimChar"/>
              </w:rPr>
              <w:t xml:space="preserve">gcp.resourceLocations</w:t>
            </w:r>
            <w:r>
              <w:t xml:space="preserve"> </w:t>
            </w:r>
            <w:r>
              <w:t xml:space="preserve">policy permit</w:t>
            </w:r>
          </w:p>
        </w:tc>
      </w:tr>
    </w:tbl>
    <w:p>
      <w:pPr>
        <w:pStyle w:val="BodyText"/>
      </w:pPr>
      <w:r>
        <w:t xml:space="preserve">The built-in pattern would screen a call regardless of path, including one that bypassed the gateway. With only the explicit pattern available, screening depends on traffic passing through the gateway. This dependency is closed by G14 (the AI gateway is mandatory, not advisory):</w:t>
      </w:r>
      <w:r>
        <w:t xml:space="preserve"> </w:t>
      </w:r>
      <w:r>
        <w:rPr>
          <w:rStyle w:val="VerbatimChar"/>
        </w:rPr>
        <w:t xml:space="preserve">roles/aiplatform.user</w:t>
      </w:r>
      <w:r>
        <w:t xml:space="preserve"> </w:t>
      </w:r>
      <w:r>
        <w:t xml:space="preserve">is granted to</w:t>
      </w:r>
      <w:r>
        <w:t xml:space="preserve"> </w:t>
      </w:r>
      <w:r>
        <w:rPr>
          <w:rStyle w:val="VerbatimChar"/>
        </w:rPr>
        <w:t xml:space="preserve">apigee-llm-runtime</w:t>
      </w:r>
      <w:r>
        <w:t xml:space="preserve"> </w:t>
      </w:r>
      <w:r>
        <w:t xml:space="preserve">and to no workload service account, so no caller can reach a model except through the gateway. This IAM control is what makes explicit screening equivalent in effect to built-in screening, and is a load-bearing part of this design rather than a hardening measure to be deferred.</w:t>
      </w:r>
    </w:p>
    <w:bookmarkEnd w:id="154"/>
    <w:bookmarkStart w:id="155" w:name="templates"/>
    <w:p>
      <w:pPr>
        <w:pStyle w:val="Heading3"/>
      </w:pPr>
      <w:r>
        <w:t xml:space="preserve">8.4.2 Templates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Template</w:t>
            </w:r>
          </w:p>
        </w:tc>
        <w:tc>
          <w:tcPr>
            <w:shd w:val="clear" w:color="auto" w:fill="1F3864"/>
          </w:tcPr>
          <w:p>
            <w:pPr>
              <w:pStyle w:val="Compact"/>
              <w:jc w:val="left"/>
            </w:pPr>
            <w:r>
              <w:rPr>
                <w:b/>
                <w:color w:val="FFFFFF"/>
              </w:rPr>
              <w:t xml:space="preserve">Configuration</w:t>
            </w:r>
          </w:p>
        </w:tc>
        <w:tc>
          <w:tcPr>
            <w:shd w:val="clear" w:color="auto" w:fill="1F3864"/>
          </w:tcPr>
          <w:p>
            <w:pPr>
              <w:pStyle w:val="Compact"/>
              <w:jc w:val="left"/>
            </w:pPr>
            <w:r>
              <w:rPr>
                <w:b/>
                <w:color w:val="FFFFFF"/>
              </w:rPr>
              <w:t xml:space="preserve">Applied to</w:t>
            </w:r>
          </w:p>
        </w:tc>
      </w:tr>
      <w:tr>
        <w:tc>
          <w:tcPr/>
          <w:p>
            <w:pPr>
              <w:pStyle w:val="Compact"/>
              <w:jc w:val="left"/>
            </w:pPr>
            <w:r>
              <w:rPr>
                <w:rStyle w:val="VerbatimChar"/>
              </w:rPr>
              <w:t xml:space="preserve">aicoe-default</w:t>
            </w:r>
          </w:p>
        </w:tc>
        <w:tc>
          <w:tcPr/>
          <w:p>
            <w:pPr>
              <w:pStyle w:val="Compact"/>
              <w:jc w:val="left"/>
            </w:pPr>
            <w:r>
              <w:t xml:space="preserve">Prompt injection and jailbreak detection enabled, confidence Medium and above; malicious URL detection enabled; sensitive-data protection using the templates in</w:t>
            </w:r>
            <w:r>
              <w:t xml:space="preserve"> </w:t>
            </w:r>
            <w:r>
              <w:rPr>
                <w:b/>
                <w:bCs/>
              </w:rPr>
              <w:t xml:space="preserve">Sensitive Data Protection templates</w:t>
            </w:r>
            <w:r>
              <w:t xml:space="preserve">; Responsible AI filters per content policy</w:t>
            </w:r>
          </w:p>
        </w:tc>
        <w:tc>
          <w:tcPr/>
          <w:p>
            <w:pPr>
              <w:pStyle w:val="Compact"/>
              <w:jc w:val="left"/>
            </w:pPr>
            <w:r>
              <w:t xml:space="preserve">Internal-facing business units</w:t>
            </w:r>
          </w:p>
        </w:tc>
      </w:tr>
      <w:tr>
        <w:tc>
          <w:tcPr/>
          <w:p>
            <w:pPr>
              <w:pStyle w:val="Compact"/>
              <w:jc w:val="left"/>
            </w:pPr>
            <w:r>
              <w:rPr>
                <w:rStyle w:val="VerbatimChar"/>
              </w:rPr>
              <w:t xml:space="preserve">aicoe-strict</w:t>
            </w:r>
          </w:p>
        </w:tc>
        <w:tc>
          <w:tcPr/>
          <w:p>
            <w:pPr>
              <w:pStyle w:val="Compact"/>
              <w:jc w:val="left"/>
            </w:pPr>
            <w:r>
              <w:t xml:space="preserve">Tighter thresholds throughout</w:t>
            </w:r>
          </w:p>
        </w:tc>
        <w:tc>
          <w:tcPr/>
          <w:p>
            <w:pPr>
              <w:pStyle w:val="Compact"/>
              <w:jc w:val="left"/>
            </w:pPr>
            <w:r>
              <w:t xml:space="preserve">Business units handling customer data</w:t>
            </w:r>
          </w:p>
        </w:tc>
      </w:tr>
    </w:tbl>
    <w:p>
      <w:pPr>
        <w:pStyle w:val="BodyText"/>
      </w:pPr>
      <w:r>
        <w:t xml:space="preserve">Both are created in</w:t>
      </w:r>
      <w:r>
        <w:t xml:space="preserve"> </w:t>
      </w:r>
      <w:r>
        <w:rPr>
          <w:rStyle w:val="VerbatimChar"/>
        </w:rPr>
        <w:t xml:space="preserve">gclt-aicoe-dev-llm</w:t>
      </w:r>
      <w:r>
        <w:t xml:space="preserve">, region</w:t>
      </w:r>
      <w:r>
        <w:t xml:space="preserve"> </w:t>
      </w:r>
      <w:r>
        <w:rPr>
          <w:rStyle w:val="VerbatimChar"/>
        </w:rPr>
        <w:t xml:space="preserve">europe-west1</w:t>
      </w:r>
      <w:r>
        <w:t xml:space="preserve">. The</w:t>
      </w:r>
      <w:r>
        <w:t xml:space="preserve"> </w:t>
      </w:r>
      <w:r>
        <w:rPr>
          <w:rStyle w:val="VerbatimChar"/>
        </w:rPr>
        <w:t xml:space="preserve">bu-armor-template</w:t>
      </w:r>
      <w:r>
        <w:t xml:space="preserve"> </w:t>
      </w:r>
      <w:r>
        <w:t xml:space="preserve">key value map selects between them per business unit.</w:t>
      </w:r>
    </w:p>
    <w:bookmarkEnd w:id="155"/>
    <w:bookmarkStart w:id="156" w:name="Xc175c48e796276010efc48db7b18c61a1d72f7e"/>
    <w:p>
      <w:pPr>
        <w:pStyle w:val="Heading3"/>
      </w:pPr>
      <w:r>
        <w:t xml:space="preserve">8.4.3 Limits and the</w:t>
      </w:r>
      <w:r>
        <w:t xml:space="preserve"> </w:t>
      </w:r>
      <w:r>
        <w:rPr>
          <w:rStyle w:val="VerbatimChar"/>
        </w:rPr>
        <w:t xml:space="preserve">EXECUTION_SKIPPED</w:t>
      </w:r>
      <w:r>
        <w:t xml:space="preserve"> </w:t>
      </w:r>
      <w:r>
        <w:t xml:space="preserve">behaviour</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Filter</w:t>
            </w:r>
          </w:p>
        </w:tc>
        <w:tc>
          <w:tcPr>
            <w:shd w:val="clear" w:color="auto" w:fill="1F3864"/>
          </w:tcPr>
          <w:p>
            <w:pPr>
              <w:pStyle w:val="Compact"/>
              <w:jc w:val="left"/>
            </w:pPr>
            <w:r>
              <w:rPr>
                <w:b/>
                <w:color w:val="FFFFFF"/>
              </w:rPr>
              <w:t xml:space="preserve">Token limit</w:t>
            </w:r>
          </w:p>
        </w:tc>
      </w:tr>
      <w:tr>
        <w:tc>
          <w:tcPr/>
          <w:p>
            <w:pPr>
              <w:pStyle w:val="Compact"/>
              <w:jc w:val="left"/>
            </w:pPr>
            <w:r>
              <w:t xml:space="preserve">Prompt injection and jailbreak detection</w:t>
            </w:r>
          </w:p>
        </w:tc>
        <w:tc>
          <w:tcPr/>
          <w:p>
            <w:pPr>
              <w:pStyle w:val="Compact"/>
              <w:jc w:val="left"/>
            </w:pPr>
            <w:r>
              <w:t xml:space="preserve">10,000 tokens</w:t>
            </w:r>
          </w:p>
        </w:tc>
      </w:tr>
      <w:tr>
        <w:tc>
          <w:tcPr/>
          <w:p>
            <w:pPr>
              <w:pStyle w:val="Compact"/>
              <w:jc w:val="left"/>
            </w:pPr>
            <w:r>
              <w:t xml:space="preserve">Responsible AI</w:t>
            </w:r>
          </w:p>
        </w:tc>
        <w:tc>
          <w:tcPr/>
          <w:p>
            <w:pPr>
              <w:pStyle w:val="Compact"/>
              <w:jc w:val="left"/>
            </w:pPr>
            <w:r>
              <w:t xml:space="preserve">10,000 tokens</w:t>
            </w:r>
          </w:p>
        </w:tc>
      </w:tr>
      <w:tr>
        <w:tc>
          <w:tcPr/>
          <w:p>
            <w:pPr>
              <w:pStyle w:val="Compact"/>
              <w:jc w:val="left"/>
            </w:pPr>
            <w:r>
              <w:t xml:space="preserve">Child sexual abuse material</w:t>
            </w:r>
          </w:p>
        </w:tc>
        <w:tc>
          <w:tcPr/>
          <w:p>
            <w:pPr>
              <w:pStyle w:val="Compact"/>
              <w:jc w:val="left"/>
            </w:pPr>
            <w:r>
              <w:t xml:space="preserve">10,000 tokens</w:t>
            </w:r>
          </w:p>
        </w:tc>
      </w:tr>
      <w:tr>
        <w:tc>
          <w:tcPr/>
          <w:p>
            <w:pPr>
              <w:pStyle w:val="Compact"/>
              <w:jc w:val="left"/>
            </w:pPr>
            <w:r>
              <w:t xml:space="preserve">Sensitive Data Protection</w:t>
            </w:r>
          </w:p>
        </w:tc>
        <w:tc>
          <w:tcPr/>
          <w:p>
            <w:pPr>
              <w:pStyle w:val="Compact"/>
              <w:jc w:val="left"/>
            </w:pPr>
            <w:r>
              <w:t xml:space="preserve">130,000 tokens</w:t>
            </w:r>
          </w:p>
        </w:tc>
      </w:tr>
    </w:tbl>
    <w:p>
      <w:pPr>
        <w:pStyle w:val="BodyText"/>
      </w:pPr>
      <w:r>
        <w:t xml:space="preserve">Input size is limited to 4 MB for all supported files and text; content above this limit is skipped entirely. The API quota is 1,200 queries per minute per project, adjustable on request.</w:t>
      </w:r>
    </w:p>
    <w:p>
      <w:pPr>
        <w:pStyle w:val="BodyText"/>
      </w:pPr>
      <w:r>
        <w:rPr>
          <w:b/>
          <w:bCs/>
        </w:rPr>
        <w:t xml:space="preserve">Content exceeding a filter’s token limit does not fail and does not block — it returns</w:t>
      </w:r>
      <w:r>
        <w:rPr>
          <w:b/>
          <w:bCs/>
        </w:rPr>
        <w:t xml:space="preserve"> </w:t>
      </w:r>
      <w:r>
        <w:rPr>
          <w:rStyle w:val="VerbatimChar"/>
          <w:b/>
          <w:bCs/>
        </w:rPr>
        <w:t xml:space="preserve">EXECUTION_SKIPPED</w:t>
      </w:r>
      <w:r>
        <w:rPr>
          <w:b/>
          <w:bCs/>
        </w:rPr>
        <w:t xml:space="preserve">.</w:t>
      </w:r>
      <w:r>
        <w:t xml:space="preserve"> </w:t>
      </w:r>
      <w:r>
        <w:t xml:space="preserve">Content within the limit and clean returns</w:t>
      </w:r>
      <w:r>
        <w:t xml:space="preserve"> </w:t>
      </w:r>
      <w:r>
        <w:rPr>
          <w:rStyle w:val="VerbatimChar"/>
        </w:rPr>
        <w:t xml:space="preserve">NO_MATCH_FOUND</w:t>
      </w:r>
      <w:r>
        <w:t xml:space="preserve">. Both outcomes look identical to code that checks only for a match.</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Outcome</w:t>
            </w:r>
          </w:p>
        </w:tc>
        <w:tc>
          <w:tcPr>
            <w:shd w:val="clear" w:color="auto" w:fill="1F3864"/>
          </w:tcPr>
          <w:p>
            <w:pPr>
              <w:pStyle w:val="Compact"/>
              <w:jc w:val="left"/>
            </w:pPr>
            <w:r>
              <w:rPr>
                <w:b/>
                <w:color w:val="FFFFFF"/>
              </w:rPr>
              <w:t xml:space="preserve">Handling</w:t>
            </w:r>
          </w:p>
        </w:tc>
      </w:tr>
      <w:tr>
        <w:tc>
          <w:tcPr/>
          <w:p>
            <w:pPr>
              <w:pStyle w:val="Compact"/>
              <w:jc w:val="left"/>
            </w:pPr>
            <w:r>
              <w:rPr>
                <w:rStyle w:val="VerbatimChar"/>
              </w:rPr>
              <w:t xml:space="preserve">MATCH_FOUND</w:t>
            </w:r>
          </w:p>
        </w:tc>
        <w:tc>
          <w:tcPr/>
          <w:p>
            <w:pPr>
              <w:pStyle w:val="Compact"/>
              <w:jc w:val="left"/>
            </w:pPr>
            <w:r>
              <w:t xml:space="preserve">Block, log, return an error to the caller</w:t>
            </w:r>
          </w:p>
        </w:tc>
      </w:tr>
      <w:tr>
        <w:tc>
          <w:tcPr/>
          <w:p>
            <w:pPr>
              <w:pStyle w:val="Compact"/>
              <w:jc w:val="left"/>
            </w:pPr>
            <w:r>
              <w:rPr>
                <w:rStyle w:val="VerbatimChar"/>
              </w:rPr>
              <w:t xml:space="preserve">NO_MATCH_FOUND</w:t>
            </w:r>
          </w:p>
        </w:tc>
        <w:tc>
          <w:tcPr/>
          <w:p>
            <w:pPr>
              <w:pStyle w:val="Compact"/>
              <w:jc w:val="left"/>
            </w:pPr>
            <w:r>
              <w:t xml:space="preserve">Proceed</w:t>
            </w:r>
          </w:p>
        </w:tc>
      </w:tr>
      <w:tr>
        <w:tc>
          <w:tcPr/>
          <w:p>
            <w:pPr>
              <w:pStyle w:val="Compact"/>
              <w:jc w:val="left"/>
            </w:pPr>
            <w:r>
              <w:rPr>
                <w:rStyle w:val="VerbatimChar"/>
              </w:rPr>
              <w:t xml:space="preserve">EXECUTION_SKIPPED</w:t>
            </w:r>
          </w:p>
        </w:tc>
        <w:tc>
          <w:tcPr/>
          <w:p>
            <w:pPr>
              <w:pStyle w:val="Compact"/>
              <w:jc w:val="left"/>
            </w:pPr>
            <w:r>
              <w:t xml:space="preserve">Handled per usecase, specified below. The proxy must not treat this the same as</w:t>
            </w:r>
            <w:r>
              <w:t xml:space="preserve"> </w:t>
            </w:r>
            <w:r>
              <w:rPr>
                <w:rStyle w:val="VerbatimChar"/>
              </w:rPr>
              <w:t xml:space="preserve">NO_MATCH_FOUND</w:t>
            </w:r>
          </w:p>
        </w:tc>
      </w:tr>
    </w:tbl>
    <w:p>
      <w:pPr>
        <w:pStyle w:val="BodyText"/>
      </w:pPr>
      <w:r>
        <w:rPr>
          <w:b/>
          <w:bCs/>
        </w:rPr>
        <w:t xml:space="preserve">Adopted handling, by usecase.</w:t>
      </w:r>
      <w:r>
        <w:t xml:space="preserve"> </w:t>
      </w:r>
      <w:r>
        <w:t xml:space="preserve">For the Sales Agent, where unscreened input is precisely the risk addressed in</w:t>
      </w:r>
      <w:r>
        <w:t xml:space="preserve"> </w:t>
      </w:r>
      <w:r>
        <w:rPr>
          <w:b/>
          <w:bCs/>
        </w:rPr>
        <w:t xml:space="preserve">Application-level controls</w:t>
      </w:r>
      <w:r>
        <w:t xml:space="preserve"> </w:t>
      </w:r>
      <w:r>
        <w:t xml:space="preserve">below,</w:t>
      </w:r>
      <w:r>
        <w:t xml:space="preserve"> </w:t>
      </w:r>
      <w:r>
        <w:rPr>
          <w:rStyle w:val="VerbatimChar"/>
        </w:rPr>
        <w:t xml:space="preserve">EXECUTION_SKIPPED</w:t>
      </w:r>
      <w:r>
        <w:t xml:space="preserve"> </w:t>
      </w:r>
      <w:r>
        <w:t xml:space="preserve">results in block or chunk-and-rescreen. For document translation, where content originates from platform storage rather than direct user input,</w:t>
      </w:r>
      <w:r>
        <w:t xml:space="preserve"> </w:t>
      </w:r>
      <w:r>
        <w:rPr>
          <w:rStyle w:val="VerbatimChar"/>
        </w:rPr>
        <w:t xml:space="preserve">EXECUTION_SKIPPED</w:t>
      </w:r>
      <w:r>
        <w:t xml:space="preserve"> </w:t>
      </w:r>
      <w:r>
        <w:t xml:space="preserve">results in proceed with a logged entry. In both cases, the</w:t>
      </w:r>
      <w:r>
        <w:t xml:space="preserve"> </w:t>
      </w:r>
      <w:r>
        <w:rPr>
          <w:rStyle w:val="VerbatimChar"/>
        </w:rPr>
        <w:t xml:space="preserve">EXECUTION_SKIPPED</w:t>
      </w:r>
      <w:r>
        <w:t xml:space="preserve"> </w:t>
      </w:r>
      <w:r>
        <w:t xml:space="preserve">rate is alerted on; a sustained rise indicates either a legitimate change in usage or an attempt to locate the gap.</w:t>
      </w:r>
    </w:p>
    <w:p>
      <w:pPr>
        <w:pStyle w:val="BodyText"/>
      </w:pPr>
      <w:r>
        <w:t xml:space="preserve">Screening a prompt and its response is two API calls. Against the 1,200 queries-per-minute project quota, this yields a platform-wide ceiling of PR-17 (screened model calls, platform ceiling) — approximately 600 screened model calls per minute across every usecase sharing</w:t>
      </w:r>
      <w:r>
        <w:t xml:space="preserve"> </w:t>
      </w:r>
      <w:r>
        <w:rPr>
          <w:rStyle w:val="VerbatimChar"/>
        </w:rPr>
        <w:t xml:space="preserve">gclt-aicoe-dev-llm</w:t>
      </w:r>
      <w:r>
        <w:t xml:space="preserve">. This figure is compared against expected peak load before go-live, and a quota increase is requested early if the margin is narrow; quota increases are not instant.</w:t>
      </w:r>
    </w:p>
    <w:bookmarkEnd w:id="156"/>
    <w:bookmarkStart w:id="157" w:name="residual-risk-statement"/>
    <w:p>
      <w:pPr>
        <w:pStyle w:val="Heading3"/>
      </w:pPr>
      <w:r>
        <w:t xml:space="preserve">8.4.4 Residual risk statement</w:t>
      </w:r>
    </w:p>
    <w:p>
      <w:pPr>
        <w:pStyle w:val="BlockText"/>
      </w:pPr>
      <w:r>
        <w:t xml:space="preserve">Prompt screening is performed by the API gateway rather than by the built-in Vertex AI integration, which requires a template region the organisation’s resource-location policy does not permit. Screening therefore depends on traffic passing through the gateway; the compensating control is that no workload service account holds permission to call a model directly. Filters screen up to 10,000 tokens (130,000 for sensitive-data detection); content above the limit returns</w:t>
      </w:r>
      <w:r>
        <w:t xml:space="preserve"> </w:t>
      </w:r>
      <w:r>
        <w:rPr>
          <w:rStyle w:val="VerbatimChar"/>
        </w:rPr>
        <w:t xml:space="preserve">EXECUTION_SKIPPED</w:t>
      </w:r>
      <w:r>
        <w:t xml:space="preserve"> </w:t>
      </w:r>
      <w:r>
        <w:t xml:space="preserve">rather than an error, so an unscreened request is silent unless the proxy handles that outcome explicitly, per the adopted handling above. Indirect prompt injection through retrieved documents is mitigated by prompt construction rather than by screening, per</w:t>
      </w:r>
      <w:r>
        <w:t xml:space="preserve"> </w:t>
      </w:r>
      <w:r>
        <w:rPr>
          <w:b/>
          <w:bCs/>
        </w:rPr>
        <w:t xml:space="preserve">Application-level controls</w:t>
      </w:r>
      <w:r>
        <w:t xml:space="preserve">.</w:t>
      </w:r>
    </w:p>
    <w:bookmarkEnd w:id="157"/>
    <w:bookmarkEnd w:id="158"/>
    <w:bookmarkStart w:id="159" w:name="sensitive-data-protection-templates"/>
    <w:p>
      <w:pPr>
        <w:pStyle w:val="Heading2"/>
      </w:pPr>
      <w:r>
        <w:t xml:space="preserve">8.5 Sensitive Data Protection templates</w:t>
      </w:r>
    </w:p>
    <w:p>
      <w:pPr>
        <w:pStyle w:val="FirstParagraph"/>
      </w:pPr>
      <w:r>
        <w:t xml:space="preserve">Model Armor’s sensitive-data filter is configured against platform-defined inspection rules rather than its defaults.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Template</w:t>
            </w:r>
          </w:p>
        </w:tc>
        <w:tc>
          <w:tcPr>
            <w:shd w:val="clear" w:color="auto" w:fill="1F3864"/>
          </w:tcPr>
          <w:p>
            <w:pPr>
              <w:pStyle w:val="Compact"/>
              <w:jc w:val="left"/>
            </w:pPr>
            <w:r>
              <w:rPr>
                <w:b/>
                <w:color w:val="FFFFFF"/>
              </w:rPr>
              <w:t xml:space="preserve">Configuration</w:t>
            </w:r>
          </w:p>
        </w:tc>
      </w:tr>
      <w:tr>
        <w:tc>
          <w:tcPr/>
          <w:p>
            <w:pPr>
              <w:pStyle w:val="Compact"/>
              <w:jc w:val="left"/>
            </w:pPr>
            <w:r>
              <w:t xml:space="preserve">Inspection, in</w:t>
            </w:r>
            <w:r>
              <w:t xml:space="preserve"> </w:t>
            </w:r>
            <w:r>
              <w:rPr>
                <w:rStyle w:val="VerbatimChar"/>
              </w:rPr>
              <w:t xml:space="preserve">gclt-aicoe-dev-llm</w:t>
            </w:r>
            <w:r>
              <w:t xml:space="preserve">,</w:t>
            </w:r>
            <w:r>
              <w:t xml:space="preserve"> </w:t>
            </w:r>
            <w:r>
              <w:rPr>
                <w:rStyle w:val="VerbatimChar"/>
              </w:rPr>
              <w:t xml:space="preserve">europe-west1</w:t>
            </w:r>
          </w:p>
        </w:tc>
        <w:tc>
          <w:tcPr/>
          <w:p>
            <w:pPr>
              <w:pStyle w:val="Compact"/>
              <w:jc w:val="left"/>
            </w:pPr>
            <w:r>
              <w:t xml:space="preserve">Info types covering the personal-data categories relevant to Colt — names, email addresses, phone numbers, national identifiers, payment details. Likelihood threshold Possible</w:t>
            </w:r>
          </w:p>
        </w:tc>
      </w:tr>
      <w:tr>
        <w:tc>
          <w:tcPr/>
          <w:p>
            <w:pPr>
              <w:pStyle w:val="Compact"/>
              <w:jc w:val="left"/>
            </w:pPr>
            <w:r>
              <w:t xml:space="preserve">De-identification</w:t>
            </w:r>
          </w:p>
        </w:tc>
        <w:tc>
          <w:tcPr/>
          <w:p>
            <w:pPr>
              <w:pStyle w:val="Compact"/>
              <w:jc w:val="left"/>
            </w:pPr>
            <w:r>
              <w:t xml:space="preserve">Replaces findings with a placeholder</w:t>
            </w:r>
          </w:p>
        </w:tc>
      </w:tr>
    </w:tbl>
    <w:p>
      <w:pPr>
        <w:pStyle w:val="BodyText"/>
      </w:pPr>
      <w:r>
        <w:t xml:space="preserve">Block-or-redact is a per-business-unit decision. Translation prompts legitimately contain personal data, so redaction rather than blocking applies there, per CR-20 (personal data in prompts redacted rather than blocked for translation). Business units where personal data in a prompt is not expected use blocking.</w:t>
      </w:r>
    </w:p>
    <w:bookmarkEnd w:id="159"/>
    <w:bookmarkStart w:id="163" w:name="Xb6996438b8a676f462cf888a6e6231fde01c586"/>
    <w:p>
      <w:pPr>
        <w:pStyle w:val="Heading2"/>
      </w:pPr>
      <w:r>
        <w:t xml:space="preserve">8.6 Vector Search and retrieval-time isolation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Component</w:t>
            </w:r>
          </w:p>
        </w:tc>
        <w:tc>
          <w:tcPr>
            <w:shd w:val="clear" w:color="auto" w:fill="1F3864"/>
          </w:tcPr>
          <w:p>
            <w:pPr>
              <w:pStyle w:val="Compact"/>
              <w:jc w:val="left"/>
            </w:pPr>
            <w:r>
              <w:rPr>
                <w:b/>
                <w:color w:val="FFFFFF"/>
              </w:rPr>
              <w:t xml:space="preserve">Configuration</w:t>
            </w:r>
          </w:p>
        </w:tc>
        <w:tc>
          <w:tcPr>
            <w:shd w:val="clear" w:color="auto" w:fill="1F3864"/>
          </w:tcPr>
          <w:p>
            <w:pPr>
              <w:pStyle w:val="Compact"/>
              <w:jc w:val="left"/>
            </w:pPr>
            <w:r>
              <w:rPr>
                <w:b/>
                <w:color w:val="FFFFFF"/>
              </w:rPr>
              <w:t xml:space="preserve">Rationale</w:t>
            </w:r>
          </w:p>
        </w:tc>
      </w:tr>
      <w:tr>
        <w:tc>
          <w:tcPr/>
          <w:p>
            <w:pPr>
              <w:pStyle w:val="Compact"/>
              <w:jc w:val="left"/>
            </w:pPr>
            <w:r>
              <w:t xml:space="preserve">Index</w:t>
            </w:r>
          </w:p>
        </w:tc>
        <w:tc>
          <w:tcPr/>
          <w:p>
            <w:pPr>
              <w:pStyle w:val="Compact"/>
              <w:jc w:val="left"/>
            </w:pPr>
            <w:r>
              <w:rPr>
                <w:rStyle w:val="VerbatimChar"/>
              </w:rPr>
              <w:t xml:space="preserve">aicoe-business-index</w:t>
            </w:r>
            <w:r>
              <w:t xml:space="preserve">,</w:t>
            </w:r>
            <w:r>
              <w:t xml:space="preserve"> </w:t>
            </w:r>
            <w:r>
              <w:rPr>
                <w:rStyle w:val="VerbatimChar"/>
              </w:rPr>
              <w:t xml:space="preserve">europe-west1</w:t>
            </w:r>
            <w:r>
              <w:t xml:space="preserve">, CMEK</w:t>
            </w:r>
            <w:r>
              <w:t xml:space="preserve"> </w:t>
            </w:r>
            <w:r>
              <w:rPr>
                <w:rStyle w:val="VerbatimChar"/>
              </w:rPr>
              <w:t xml:space="preserve">st/vxai-index</w:t>
            </w:r>
            <w:r>
              <w:t xml:space="preserve">, per</w:t>
            </w:r>
            <w:r>
              <w:t xml:space="preserve"> </w:t>
            </w:r>
            <w:r>
              <w:rPr>
                <w:b/>
                <w:bCs/>
              </w:rPr>
              <w:t xml:space="preserve">Compute and Data Platform</w:t>
            </w:r>
            <w:r>
              <w:t xml:space="preserve">. Dimensions match the embedding model</w:t>
            </w:r>
          </w:p>
        </w:tc>
        <w:tc>
          <w:tcPr/>
          <w:p>
            <w:pPr>
              <w:pStyle w:val="Compact"/>
              <w:jc w:val="left"/>
            </w:pPr>
            <w:r>
              <w:t xml:space="preserve">The corpus</w:t>
            </w:r>
          </w:p>
        </w:tc>
      </w:tr>
      <w:tr>
        <w:tc>
          <w:tcPr/>
          <w:p>
            <w:pPr>
              <w:pStyle w:val="Compact"/>
              <w:jc w:val="left"/>
            </w:pPr>
            <w:r>
              <w:t xml:space="preserve">Index endpoint</w:t>
            </w:r>
          </w:p>
        </w:tc>
        <w:tc>
          <w:tcPr/>
          <w:p>
            <w:pPr>
              <w:pStyle w:val="Compact"/>
              <w:jc w:val="left"/>
            </w:pPr>
            <w:r>
              <w:rPr>
                <w:rStyle w:val="VerbatimChar"/>
              </w:rPr>
              <w:t xml:space="preserve">aicoe-business-endpoint</w:t>
            </w:r>
            <w:r>
              <w:t xml:space="preserve">,</w:t>
            </w:r>
            <w:r>
              <w:t xml:space="preserve"> </w:t>
            </w:r>
            <w:r>
              <w:rPr>
                <w:rStyle w:val="VerbatimChar"/>
              </w:rPr>
              <w:t xml:space="preserve">europe-west1</w:t>
            </w:r>
            <w:r>
              <w:t xml:space="preserve">, access by Private Service Connect, project allowlist</w:t>
            </w:r>
            <w:r>
              <w:t xml:space="preserve"> </w:t>
            </w:r>
            <w:r>
              <w:rPr>
                <w:rStyle w:val="VerbatimChar"/>
              </w:rPr>
              <w:t xml:space="preserve">gclt-aicoe-dev-st</w:t>
            </w:r>
          </w:p>
        </w:tc>
        <w:tc>
          <w:tcPr/>
          <w:p>
            <w:pPr>
              <w:pStyle w:val="Compact"/>
              <w:jc w:val="left"/>
            </w:pPr>
            <w:r>
              <w:t xml:space="preserve">No public endpoint</w:t>
            </w:r>
          </w:p>
        </w:tc>
      </w:tr>
      <w:tr>
        <w:tc>
          <w:tcPr/>
          <w:p>
            <w:pPr>
              <w:pStyle w:val="Compact"/>
              <w:jc w:val="left"/>
            </w:pPr>
            <w:r>
              <w:t xml:space="preserve">Replicas</w:t>
            </w:r>
          </w:p>
        </w:tc>
        <w:tc>
          <w:tcPr/>
          <w:p>
            <w:pPr>
              <w:pStyle w:val="Compact"/>
              <w:jc w:val="left"/>
            </w:pPr>
            <w:r>
              <w:t xml:space="preserve">Minimum 2</w:t>
            </w:r>
          </w:p>
        </w:tc>
        <w:tc>
          <w:tcPr/>
          <w:p>
            <w:pPr>
              <w:pStyle w:val="Compact"/>
              <w:jc w:val="left"/>
            </w:pPr>
            <w:r>
              <w:t xml:space="preserve">A single replica means a restart is an outage, per PR-18 (Vector Search availability)</w:t>
            </w:r>
          </w:p>
        </w:tc>
      </w:tr>
      <w:tr>
        <w:tc>
          <w:tcPr/>
          <w:p>
            <w:pPr>
              <w:pStyle w:val="Compact"/>
              <w:jc w:val="left"/>
            </w:pPr>
            <w:r>
              <w:t xml:space="preserve">Connectivity</w:t>
            </w:r>
          </w:p>
        </w:tc>
        <w:tc>
          <w:tcPr/>
          <w:p>
            <w:pPr>
              <w:pStyle w:val="Compact"/>
              <w:jc w:val="left"/>
            </w:pPr>
            <w:r>
              <w:t xml:space="preserve">Automatic, via the service connection policy, per</w:t>
            </w:r>
            <w:r>
              <w:t xml:space="preserve"> </w:t>
            </w:r>
            <w:r>
              <w:rPr>
                <w:b/>
                <w:bCs/>
              </w:rPr>
              <w:t xml:space="preserve">Private Service Connect</w:t>
            </w:r>
          </w:p>
        </w:tc>
        <w:tc>
          <w:tcPr/>
          <w:p>
            <w:pPr>
              <w:pStyle w:val="Compact"/>
              <w:jc w:val="left"/>
            </w:pPr>
            <w:r>
              <w:t xml:space="preserve">Removes recurring manual work per index deployment</w:t>
            </w:r>
          </w:p>
        </w:tc>
      </w:tr>
      <w:tr>
        <w:tc>
          <w:tcPr/>
          <w:p>
            <w:pPr>
              <w:pStyle w:val="Compact"/>
              <w:jc w:val="left"/>
            </w:pPr>
            <w:r>
              <w:t xml:space="preserve">Deployment time</w:t>
            </w:r>
          </w:p>
        </w:tc>
        <w:tc>
          <w:tcPr/>
          <w:p>
            <w:pPr>
              <w:pStyle w:val="Compact"/>
              <w:jc w:val="left"/>
            </w:pPr>
            <w:r>
              <w:t xml:space="preserve">20 to 60 minutes</w:t>
            </w:r>
          </w:p>
        </w:tc>
        <w:tc>
          <w:tcPr/>
          <w:p>
            <w:pPr>
              <w:pStyle w:val="Compact"/>
              <w:jc w:val="left"/>
            </w:pPr>
            <w:r>
              <w:t xml:space="preserve">Scheduled ahead of when the index is needed</w:t>
            </w:r>
          </w:p>
        </w:tc>
      </w:tr>
      <w:tr>
        <w:tc>
          <w:tcPr/>
          <w:p>
            <w:pPr>
              <w:pStyle w:val="Compact"/>
              <w:jc w:val="left"/>
            </w:pPr>
            <w:r>
              <w:t xml:space="preserve">Access</w:t>
            </w:r>
          </w:p>
        </w:tc>
        <w:tc>
          <w:tcPr/>
          <w:p>
            <w:pPr>
              <w:pStyle w:val="Compact"/>
              <w:jc w:val="left"/>
            </w:pPr>
            <w:r>
              <w:rPr>
                <w:rStyle w:val="VerbatimChar"/>
              </w:rPr>
              <w:t xml:space="preserve">salesagent-sa</w:t>
            </w:r>
            <w:r>
              <w:t xml:space="preserve"> </w:t>
            </w:r>
            <w:r>
              <w:t xml:space="preserve">holds Vertex AI User in</w:t>
            </w:r>
            <w:r>
              <w:t xml:space="preserve"> </w:t>
            </w:r>
            <w:r>
              <w:rPr>
                <w:rStyle w:val="VerbatimChar"/>
              </w:rPr>
              <w:t xml:space="preserve">gclt-aicoe-dev-st</w:t>
            </w:r>
            <w:r>
              <w:t xml:space="preserve">, scoped to Vector Search only, never to models</w:t>
            </w:r>
          </w:p>
        </w:tc>
        <w:tc>
          <w:tcPr/>
          <w:p>
            <w:pPr>
              <w:pStyle w:val="Compact"/>
              <w:jc w:val="left"/>
            </w:pPr>
            <w:r>
              <w:t xml:space="preserve">Model access is exclusively through the gateway</w:t>
            </w:r>
          </w:p>
        </w:tc>
      </w:tr>
    </w:tbl>
    <w:bookmarkStart w:id="160" w:name="isolation-mechanism"/>
    <w:p>
      <w:pPr>
        <w:pStyle w:val="Heading3"/>
      </w:pPr>
      <w:r>
        <w:t xml:space="preserve">8.6.1 Isolation mechanism</w:t>
      </w:r>
    </w:p>
    <w:p>
      <w:pPr>
        <w:pStyle w:val="FirstParagraph"/>
      </w:pPr>
      <w:r>
        <w:t xml:space="preserve">Business-unit isolation is enforced by a</w:t>
      </w:r>
      <w:r>
        <w:t xml:space="preserve"> </w:t>
      </w:r>
      <w:r>
        <w:rPr>
          <w:rStyle w:val="VerbatimChar"/>
        </w:rPr>
        <w:t xml:space="preserve">restricts</w:t>
      </w:r>
      <w:r>
        <w:t xml:space="preserve"> </w:t>
      </w:r>
      <w:r>
        <w:t xml:space="preserve">field attached to every item in the index and filtered on at query time. This filtering is only as trustworthy as the label written at ingestion: a mislabelled item at write time is a cross-business-unit disclosure that no query-side control can catch.</w:t>
      </w:r>
    </w:p>
    <w:p>
      <w:pPr>
        <w:pStyle w:val="BodyText"/>
      </w:pPr>
      <w:r>
        <w:t xml:space="preserve">The business unit is read from the verified Entra token — a</w:t>
      </w:r>
      <w:r>
        <w:t xml:space="preserve"> </w:t>
      </w:r>
      <w:r>
        <w:rPr>
          <w:rStyle w:val="VerbatimChar"/>
        </w:rPr>
        <w:t xml:space="preserve">department</w:t>
      </w:r>
      <w:r>
        <w:t xml:space="preserve"> </w:t>
      </w:r>
      <w:r>
        <w:t xml:space="preserve">claim, or derived from App Role and group membership — and never from a field in the request body. A body field can be set to any value by the caller; a token claim is signed by Entra and verified by the service. Accepting a business unit from the payload at ingestion would make the isolation ineffective.</w:t>
      </w:r>
    </w:p>
    <w:bookmarkEnd w:id="160"/>
    <w:bookmarkStart w:id="161" w:name="ingestion-handover-contract"/>
    <w:p>
      <w:pPr>
        <w:pStyle w:val="Heading3"/>
      </w:pPr>
      <w:r>
        <w:t xml:space="preserve">8.6.2 Ingestion handover contract</w:t>
      </w:r>
    </w:p>
    <w:p>
      <w:pPr>
        <w:pStyle w:val="FirstParagraph"/>
      </w:pPr>
      <w:r>
        <w:t xml:space="preserve">Ingestion is built separately from this design; the handover contract is:</w:t>
      </w:r>
    </w:p>
    <w:p>
      <w:pPr>
        <w:pStyle w:val="Compact"/>
        <w:numPr>
          <w:ilvl w:val="0"/>
          <w:numId w:val="1014"/>
        </w:numPr>
      </w:pPr>
      <w:r>
        <w:t xml:space="preserve">Verify the token, using the same validation as the read-path services.</w:t>
      </w:r>
    </w:p>
    <w:p>
      <w:pPr>
        <w:pStyle w:val="Compact"/>
        <w:numPr>
          <w:ilvl w:val="0"/>
          <w:numId w:val="1014"/>
        </w:numPr>
      </w:pPr>
      <w:r>
        <w:t xml:space="preserve">Read the business unit from the verified claim, ignoring any value in the request body.</w:t>
      </w:r>
    </w:p>
    <w:p>
      <w:pPr>
        <w:pStyle w:val="Compact"/>
        <w:numPr>
          <w:ilvl w:val="0"/>
          <w:numId w:val="1014"/>
        </w:numPr>
      </w:pPr>
      <w:r>
        <w:t xml:space="preserve">Write the business unit into the item’s</w:t>
      </w:r>
      <w:r>
        <w:t xml:space="preserve"> </w:t>
      </w:r>
      <w:r>
        <w:rPr>
          <w:rStyle w:val="VerbatimChar"/>
        </w:rPr>
        <w:t xml:space="preserve">restricts</w:t>
      </w:r>
      <w:r>
        <w:t xml:space="preserve"> </w:t>
      </w:r>
      <w:r>
        <w:t xml:space="preserve">field at index time.</w:t>
      </w:r>
    </w:p>
    <w:p>
      <w:pPr>
        <w:pStyle w:val="Compact"/>
        <w:numPr>
          <w:ilvl w:val="0"/>
          <w:numId w:val="1014"/>
        </w:numPr>
      </w:pPr>
      <w:r>
        <w:t xml:space="preserve">Record, per document, who ingested it and which business unit was applied.</w:t>
      </w:r>
    </w:p>
    <w:p>
      <w:pPr>
        <w:pStyle w:val="Compact"/>
        <w:numPr>
          <w:ilvl w:val="0"/>
          <w:numId w:val="1014"/>
        </w:numPr>
      </w:pPr>
      <w:r>
        <w:t xml:space="preserve">Provide a re-index path, for when business units change or documents are misfiled.</w:t>
      </w:r>
    </w:p>
    <w:p>
      <w:pPr>
        <w:pStyle w:val="FirstParagraph"/>
      </w:pPr>
      <w:r>
        <w:rPr>
          <w:b/>
          <w:bCs/>
        </w:rPr>
        <w:t xml:space="preserve">Adopted design.</w:t>
      </w:r>
      <w:r>
        <w:t xml:space="preserve"> </w:t>
      </w:r>
      <w:r>
        <w:rPr>
          <w:rStyle w:val="VerbatimChar"/>
        </w:rPr>
        <w:t xml:space="preserve">restricts</w:t>
      </w:r>
      <w:r>
        <w:t xml:space="preserve"> </w:t>
      </w:r>
      <w:r>
        <w:t xml:space="preserve">cannot be bypassed at query time, and ingestion never accepts a body-supplied business unit — the business unit is taken from the verified token claim at every write, per the handover contract above.</w:t>
      </w:r>
    </w:p>
    <w:bookmarkEnd w:id="161"/>
    <w:bookmarkStart w:id="162" w:name="current-authorisation-model"/>
    <w:p>
      <w:pPr>
        <w:pStyle w:val="Heading3"/>
      </w:pPr>
      <w:r>
        <w:t xml:space="preserve">8.6.3 Current authorisation model</w:t>
      </w:r>
    </w:p>
    <w:p>
      <w:pPr>
        <w:pStyle w:val="FirstParagraph"/>
      </w:pPr>
      <w:r>
        <w:t xml:space="preserve">The index has exactly one caller today:</w:t>
      </w:r>
      <w:r>
        <w:t xml:space="preserve"> </w:t>
      </w:r>
      <w:r>
        <w:rPr>
          <w:rStyle w:val="VerbatimChar"/>
        </w:rPr>
        <w:t xml:space="preserve">sales-research-application</w:t>
      </w:r>
      <w:r>
        <w:t xml:space="preserve">, via</w:t>
      </w:r>
      <w:r>
        <w:t xml:space="preserve"> </w:t>
      </w:r>
      <w:r>
        <w:rPr>
          <w:rStyle w:val="VerbatimChar"/>
        </w:rPr>
        <w:t xml:space="preserve">salesagent-sa</w:t>
      </w:r>
      <w:r>
        <w:t xml:space="preserve">.</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Layer</w:t>
            </w:r>
          </w:p>
        </w:tc>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Stops</w:t>
            </w:r>
          </w:p>
        </w:tc>
      </w:tr>
      <w:tr>
        <w:tc>
          <w:tcPr/>
          <w:p>
            <w:pPr>
              <w:pStyle w:val="Compact"/>
              <w:jc w:val="left"/>
            </w:pPr>
            <w:r>
              <w:t xml:space="preserve">1</w:t>
            </w:r>
          </w:p>
        </w:tc>
        <w:tc>
          <w:tcPr/>
          <w:p>
            <w:pPr>
              <w:pStyle w:val="Compact"/>
              <w:jc w:val="left"/>
            </w:pPr>
            <w:r>
              <w:t xml:space="preserve">Network</w:t>
            </w:r>
          </w:p>
        </w:tc>
        <w:tc>
          <w:tcPr/>
          <w:p>
            <w:pPr>
              <w:pStyle w:val="Compact"/>
              <w:jc w:val="left"/>
            </w:pPr>
            <w:r>
              <w:t xml:space="preserve">Endpoint is Private-Service-Connect-only, project allowlist</w:t>
            </w:r>
            <w:r>
              <w:t xml:space="preserve"> </w:t>
            </w:r>
            <w:r>
              <w:rPr>
                <w:rStyle w:val="VerbatimChar"/>
              </w:rPr>
              <w:t xml:space="preserve">gclt-aicoe-dev-st</w:t>
            </w:r>
            <w:r>
              <w:t xml:space="preserve">, reachable only from the VPC</w:t>
            </w:r>
          </w:p>
        </w:tc>
        <w:tc>
          <w:tcPr/>
          <w:p>
            <w:pPr>
              <w:pStyle w:val="Compact"/>
              <w:jc w:val="left"/>
            </w:pPr>
            <w:r>
              <w:t xml:space="preserve">Access from outside the network</w:t>
            </w:r>
          </w:p>
        </w:tc>
      </w:tr>
      <w:tr>
        <w:tc>
          <w:tcPr/>
          <w:p>
            <w:pPr>
              <w:pStyle w:val="Compact"/>
              <w:jc w:val="left"/>
            </w:pPr>
            <w:r>
              <w:t xml:space="preserve">2</w:t>
            </w:r>
          </w:p>
        </w:tc>
        <w:tc>
          <w:tcPr/>
          <w:p>
            <w:pPr>
              <w:pStyle w:val="Compact"/>
              <w:jc w:val="left"/>
            </w:pPr>
            <w:r>
              <w:t xml:space="preserve">Firewall</w:t>
            </w:r>
          </w:p>
        </w:tc>
        <w:tc>
          <w:tcPr/>
          <w:p>
            <w:pPr>
              <w:pStyle w:val="Compact"/>
              <w:jc w:val="left"/>
            </w:pPr>
            <w:r>
              <w:t xml:space="preserve">Egress allowed to the endpoint address only</w:t>
            </w:r>
          </w:p>
        </w:tc>
        <w:tc>
          <w:tcPr/>
          <w:p>
            <w:pPr>
              <w:pStyle w:val="Compact"/>
              <w:jc w:val="left"/>
            </w:pPr>
            <w:r>
              <w:t xml:space="preserve">A compromised service reaching the endpoint from an unexpected source</w:t>
            </w:r>
          </w:p>
        </w:tc>
      </w:tr>
      <w:tr>
        <w:tc>
          <w:tcPr/>
          <w:p>
            <w:pPr>
              <w:pStyle w:val="Compact"/>
              <w:jc w:val="left"/>
            </w:pPr>
            <w:r>
              <w:t xml:space="preserve">3</w:t>
            </w:r>
          </w:p>
        </w:tc>
        <w:tc>
          <w:tcPr/>
          <w:p>
            <w:pPr>
              <w:pStyle w:val="Compact"/>
              <w:jc w:val="left"/>
            </w:pPr>
            <w:r>
              <w:t xml:space="preserve">IAM</w:t>
            </w:r>
          </w:p>
        </w:tc>
        <w:tc>
          <w:tcPr/>
          <w:p>
            <w:pPr>
              <w:pStyle w:val="Compact"/>
              <w:jc w:val="left"/>
            </w:pPr>
            <w:r>
              <w:t xml:space="preserve">Vertex AI User held by</w:t>
            </w:r>
            <w:r>
              <w:t xml:space="preserve"> </w:t>
            </w:r>
            <w:r>
              <w:rPr>
                <w:rStyle w:val="VerbatimChar"/>
              </w:rPr>
              <w:t xml:space="preserve">salesagent-sa</w:t>
            </w:r>
            <w:r>
              <w:t xml:space="preserve"> </w:t>
            </w:r>
            <w:r>
              <w:t xml:space="preserve">alone</w:t>
            </w:r>
          </w:p>
        </w:tc>
        <w:tc>
          <w:tcPr/>
          <w:p>
            <w:pPr>
              <w:pStyle w:val="Compact"/>
              <w:jc w:val="left"/>
            </w:pPr>
            <w:r>
              <w:t xml:space="preserve">Other workloads querying the index</w:t>
            </w:r>
          </w:p>
        </w:tc>
      </w:tr>
      <w:tr>
        <w:tc>
          <w:tcPr/>
          <w:p>
            <w:pPr>
              <w:pStyle w:val="Compact"/>
              <w:jc w:val="left"/>
            </w:pPr>
            <w:r>
              <w:t xml:space="preserve">4</w:t>
            </w:r>
          </w:p>
        </w:tc>
        <w:tc>
          <w:tcPr/>
          <w:p>
            <w:pPr>
              <w:pStyle w:val="Compact"/>
              <w:jc w:val="left"/>
            </w:pPr>
            <w:r>
              <w:t xml:space="preserve">Application</w:t>
            </w:r>
          </w:p>
        </w:tc>
        <w:tc>
          <w:tcPr/>
          <w:p>
            <w:pPr>
              <w:pStyle w:val="Compact"/>
              <w:jc w:val="left"/>
            </w:pPr>
            <w:r>
              <w:t xml:space="preserve">Every query carries a</w:t>
            </w:r>
            <w:r>
              <w:t xml:space="preserve"> </w:t>
            </w:r>
            <w:r>
              <w:rPr>
                <w:rStyle w:val="VerbatimChar"/>
              </w:rPr>
              <w:t xml:space="preserve">restricts</w:t>
            </w:r>
            <w:r>
              <w:t xml:space="preserve"> </w:t>
            </w:r>
            <w:r>
              <w:t xml:space="preserve">filter derived from the verified claim</w:t>
            </w:r>
          </w:p>
        </w:tc>
        <w:tc>
          <w:tcPr/>
          <w:p>
            <w:pPr>
              <w:pStyle w:val="Compact"/>
              <w:jc w:val="left"/>
            </w:pPr>
            <w:r>
              <w:t xml:space="preserve">A user retrieving another business unit’s documents</w:t>
            </w:r>
          </w:p>
        </w:tc>
      </w:tr>
      <w:tr>
        <w:tc>
          <w:tcPr/>
          <w:p>
            <w:pPr>
              <w:pStyle w:val="Compact"/>
              <w:jc w:val="left"/>
            </w:pPr>
            <w:r>
              <w:t xml:space="preserve">5</w:t>
            </w:r>
          </w:p>
        </w:tc>
        <w:tc>
          <w:tcPr/>
          <w:p>
            <w:pPr>
              <w:pStyle w:val="Compact"/>
              <w:jc w:val="left"/>
            </w:pPr>
            <w:r>
              <w:t xml:space="preserve">Ingestion</w:t>
            </w:r>
          </w:p>
        </w:tc>
        <w:tc>
          <w:tcPr/>
          <w:p>
            <w:pPr>
              <w:pStyle w:val="Compact"/>
              <w:jc w:val="left"/>
            </w:pPr>
            <w:r>
              <w:rPr>
                <w:rStyle w:val="VerbatimChar"/>
              </w:rPr>
              <w:t xml:space="preserve">restricts</w:t>
            </w:r>
            <w:r>
              <w:t xml:space="preserve"> </w:t>
            </w:r>
            <w:r>
              <w:t xml:space="preserve">written from the verified claim</w:t>
            </w:r>
          </w:p>
        </w:tc>
        <w:tc>
          <w:tcPr/>
          <w:p>
            <w:pPr>
              <w:pStyle w:val="Compact"/>
              <w:jc w:val="left"/>
            </w:pPr>
            <w:r>
              <w:t xml:space="preserve">A mislabelled document, which layer 4 cannot catch</w:t>
            </w:r>
          </w:p>
        </w:tc>
      </w:tr>
      <w:tr>
        <w:tc>
          <w:tcPr/>
          <w:p>
            <w:pPr>
              <w:pStyle w:val="Compact"/>
              <w:jc w:val="left"/>
            </w:pPr>
            <w:r>
              <w:t xml:space="preserve">6</w:t>
            </w:r>
          </w:p>
        </w:tc>
        <w:tc>
          <w:tcPr/>
          <w:p>
            <w:pPr>
              <w:pStyle w:val="Compact"/>
              <w:jc w:val="left"/>
            </w:pPr>
            <w:r>
              <w:t xml:space="preserve">Audit</w:t>
            </w:r>
          </w:p>
        </w:tc>
        <w:tc>
          <w:tcPr/>
          <w:p>
            <w:pPr>
              <w:pStyle w:val="Compact"/>
              <w:jc w:val="left"/>
            </w:pPr>
            <w:r>
              <w:t xml:space="preserve">Vertex AI Data Access logs, plus a log-based alert on index or endpoint change</w:t>
            </w:r>
          </w:p>
        </w:tc>
        <w:tc>
          <w:tcPr/>
          <w:p>
            <w:pPr>
              <w:pStyle w:val="Compact"/>
              <w:jc w:val="left"/>
            </w:pPr>
            <w:r>
              <w:t xml:space="preserve">Undetected index redeployment or endpoint recreation without Private Service Connect</w:t>
            </w:r>
          </w:p>
        </w:tc>
      </w:tr>
    </w:tbl>
    <w:p>
      <w:pPr>
        <w:pStyle w:val="BodyText"/>
      </w:pPr>
      <w:r>
        <w:t xml:space="preserve">If the corpus becomes user-scoped rather than business-unit-scoped, the query filter must be injected by the service from the verified claim and never accepted from the caller — the same rule as ingestion, applied to reads.</w:t>
      </w:r>
    </w:p>
    <w:bookmarkEnd w:id="162"/>
    <w:bookmarkEnd w:id="163"/>
    <w:bookmarkStart w:id="167" w:name="application-level-controls"/>
    <w:p>
      <w:pPr>
        <w:pStyle w:val="Heading2"/>
      </w:pPr>
      <w:r>
        <w:t xml:space="preserve">8.7 Application-level controls</w:t>
      </w:r>
    </w:p>
    <w:p>
      <w:pPr>
        <w:pStyle w:val="FirstParagraph"/>
      </w:pPr>
      <w:r>
        <w:t xml:space="preserve">Model Armor screening is not a complete control. Two responsibilities remain with the application.</w:t>
      </w:r>
    </w:p>
    <w:bookmarkStart w:id="164" w:name="indirect-prompt-injection"/>
    <w:p>
      <w:pPr>
        <w:pStyle w:val="Heading3"/>
      </w:pPr>
      <w:r>
        <w:t xml:space="preserve">8.7.1 Indirect prompt injection</w:t>
      </w:r>
    </w:p>
    <w:p>
      <w:pPr>
        <w:pStyle w:val="FirstParagraph"/>
      </w:pPr>
      <w:r>
        <w:t xml:space="preserve">The Sales Agent retrieves documents and places them in the model’s context. Model Armor screens the user’s prompt; it does not screen an instruction planted inside a retrieved document, because that content never passes through the prompt filter. Four controls apply:</w:t>
      </w:r>
    </w:p>
    <w:p>
      <w:pPr>
        <w:pStyle w:val="Compact"/>
        <w:numPr>
          <w:ilvl w:val="0"/>
          <w:numId w:val="1015"/>
        </w:numPr>
      </w:pPr>
      <w:r>
        <w:rPr>
          <w:b/>
          <w:bCs/>
        </w:rPr>
        <w:t xml:space="preserve">Delimit retrieved content structurally.</w:t>
      </w:r>
      <w:r>
        <w:t xml:space="preserve"> </w:t>
      </w:r>
      <w:r>
        <w:t xml:space="preserve">Place it in a clearly bounded section of the prompt, with an explicit statement that content inside it is data to be considered, not instructions to be followed.</w:t>
      </w:r>
    </w:p>
    <w:p>
      <w:pPr>
        <w:pStyle w:val="Compact"/>
        <w:numPr>
          <w:ilvl w:val="0"/>
          <w:numId w:val="1015"/>
        </w:numPr>
      </w:pPr>
      <w:r>
        <w:rPr>
          <w:b/>
          <w:bCs/>
        </w:rPr>
        <w:t xml:space="preserve">Screen retrieved chunks, in addition to prompts,</w:t>
      </w:r>
      <w:r>
        <w:t xml:space="preserve"> </w:t>
      </w:r>
      <w:r>
        <w:t xml:space="preserve">for content from less trusted sources. The same Model Armor template applies to retrieved text before it enters the context; this consumes the same 1,200-per-minute quota, so it is applied selectively rather than to every chunk.</w:t>
      </w:r>
    </w:p>
    <w:p>
      <w:pPr>
        <w:pStyle w:val="Compact"/>
        <w:numPr>
          <w:ilvl w:val="0"/>
          <w:numId w:val="1015"/>
        </w:numPr>
      </w:pPr>
      <w:r>
        <w:rPr>
          <w:b/>
          <w:bCs/>
        </w:rPr>
        <w:t xml:space="preserve">Constrain the output shape.</w:t>
      </w:r>
      <w:r>
        <w:t xml:space="preserve"> </w:t>
      </w:r>
      <w:r>
        <w:t xml:space="preserve">Structured output is materially harder to divert than free-form prose.</w:t>
      </w:r>
    </w:p>
    <w:p>
      <w:pPr>
        <w:pStyle w:val="Compact"/>
        <w:numPr>
          <w:ilvl w:val="0"/>
          <w:numId w:val="1015"/>
        </w:numPr>
      </w:pPr>
      <w:r>
        <w:rPr>
          <w:b/>
          <w:bCs/>
        </w:rPr>
        <w:t xml:space="preserve">Authorise every tool call in the user’s context and against the user’s entitlements, never the agent’s.</w:t>
      </w:r>
      <w:r>
        <w:t xml:space="preserve"> </w:t>
      </w:r>
      <w:r>
        <w:t xml:space="preserve">An agent that inherits its own broad permissions for a tool call becomes a confused deputy holding the union of every user’s access. This control is specified now, while the Sales Agent’s tool surface is small, rather than retrofitted after it grows.</w:t>
      </w:r>
    </w:p>
    <w:bookmarkEnd w:id="164"/>
    <w:bookmarkStart w:id="165" w:name="output-handling"/>
    <w:p>
      <w:pPr>
        <w:pStyle w:val="Heading3"/>
      </w:pPr>
      <w:r>
        <w:t xml:space="preserve">8.7.2 Output handling</w:t>
      </w:r>
    </w:p>
    <w:p>
      <w:pPr>
        <w:pStyle w:val="FirstParagraph"/>
      </w:pPr>
      <w:r>
        <w:t xml:space="preserve">Model output rendered as HTML or Markdown carries the same cross-site-scripting exposure addressed in</w:t>
      </w:r>
      <w:r>
        <w:t xml:space="preserve"> </w:t>
      </w:r>
      <w:r>
        <w:rPr>
          <w:b/>
          <w:bCs/>
        </w:rPr>
        <w:t xml:space="preserve">The Backend-for-Frontend service contract</w:t>
      </w:r>
      <w:r>
        <w:t xml:space="preserve">; the sanitise-on-render requirement there applies equally to output returned through the AI gateway.</w:t>
      </w:r>
    </w:p>
    <w:bookmarkEnd w:id="165"/>
    <w:bookmarkStart w:id="166" w:name="X4315b2d0343fea05c03e9216701b3be3a0e1268"/>
    <w:p>
      <w:pPr>
        <w:pStyle w:val="Heading3"/>
      </w:pPr>
      <w:r>
        <w:t xml:space="preserve">8.7.3 Quota-exhaustion handling in long-running consumers</w:t>
      </w:r>
    </w:p>
    <w:p>
      <w:pPr>
        <w:pStyle w:val="FirstParagraph"/>
      </w:pPr>
      <w:r>
        <w:t xml:space="preserve">An agent or worker that receives a 429 mid-run leaves partial state if the response is not handled explicitly. The Sales Agent’s asynchronous job and the translation worker both implement</w:t>
      </w:r>
      <w:r>
        <w:t xml:space="preserve"> </w:t>
      </w:r>
      <w:r>
        <w:rPr>
          <w:rStyle w:val="VerbatimChar"/>
        </w:rPr>
        <w:t xml:space="preserve">Retry-After</w:t>
      </w:r>
      <w:r>
        <w:t xml:space="preserve"> </w:t>
      </w:r>
      <w:r>
        <w:t xml:space="preserve">handling on 429, so that quota exhaustion produces a retry rather than a stuck job.</w:t>
      </w:r>
    </w:p>
    <w:bookmarkEnd w:id="166"/>
    <w:bookmarkEnd w:id="167"/>
    <w:bookmarkStart w:id="168" w:name="semantic-caching-deferred"/>
    <w:p>
      <w:pPr>
        <w:pStyle w:val="Heading2"/>
      </w:pPr>
      <w:r>
        <w:t xml:space="preserve">8.8 Semantic caching — deferred</w:t>
      </w:r>
    </w:p>
    <w:p>
      <w:pPr>
        <w:pStyle w:val="FirstParagraph"/>
      </w:pPr>
      <w:r>
        <w:t xml:space="preserve">Google’s sample repository combines Apigee’s cache layer with Vector Search as the embeddings store, and this platform already runs Vector Search, so the building block exists. Semantic caching is deliberately excluded from the first build: a cache shared across business units is a cross-tenant disclosure, because semantic caching matches on meaning rather than exact string, and a prompt from one business unit can return a cached response generated from another’s.</w:t>
      </w:r>
    </w:p>
    <w:p>
      <w:pPr>
        <w:pStyle w:val="BodyText"/>
      </w:pPr>
      <w:r>
        <w:rPr>
          <w:b/>
          <w:bCs/>
        </w:rPr>
        <w:t xml:space="preserve">Conditions for enabling it later:</w:t>
      </w:r>
    </w:p>
    <w:p>
      <w:pPr>
        <w:pStyle w:val="Compact"/>
        <w:numPr>
          <w:ilvl w:val="0"/>
          <w:numId w:val="1016"/>
        </w:numPr>
      </w:pPr>
      <w:r>
        <w:t xml:space="preserve">The cache key must include the business unit.</w:t>
      </w:r>
    </w:p>
    <w:p>
      <w:pPr>
        <w:pStyle w:val="Compact"/>
        <w:numPr>
          <w:ilvl w:val="0"/>
          <w:numId w:val="1016"/>
        </w:numPr>
      </w:pPr>
      <w:r>
        <w:t xml:space="preserve">Cache entries must be CMEK-encrypted, with a defined retention.</w:t>
      </w:r>
    </w:p>
    <w:p>
      <w:pPr>
        <w:pStyle w:val="Compact"/>
        <w:numPr>
          <w:ilvl w:val="0"/>
          <w:numId w:val="1016"/>
        </w:numPr>
      </w:pPr>
      <w:r>
        <w:t xml:space="preserve">The cache is treated as a data store holding prompt and response content, subject to the same data-protection and retention rules as BigQuery, not as an infrastructure detail.</w:t>
      </w:r>
    </w:p>
    <w:p>
      <w:pPr>
        <w:pStyle w:val="Compact"/>
        <w:numPr>
          <w:ilvl w:val="0"/>
          <w:numId w:val="1016"/>
        </w:numPr>
      </w:pPr>
      <w:r>
        <w:t xml:space="preserve">A cross-tenant leak test must pass before enablement: a prompt from one business unit followed by an equivalent prompt from another must produce a cache miss.</w:t>
      </w:r>
    </w:p>
    <w:bookmarkEnd w:id="168"/>
    <w:bookmarkStart w:id="169" w:name="anti-patterns-rejected"/>
    <w:p>
      <w:pPr>
        <w:pStyle w:val="Heading2"/>
      </w:pPr>
      <w:r>
        <w:t xml:space="preserve">8.9 Anti-patterns rejected</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Anti-pattern</w:t>
            </w:r>
          </w:p>
        </w:tc>
        <w:tc>
          <w:tcPr>
            <w:shd w:val="clear" w:color="auto" w:fill="1F3864"/>
          </w:tcPr>
          <w:p>
            <w:pPr>
              <w:pStyle w:val="Compact"/>
              <w:jc w:val="left"/>
            </w:pPr>
            <w:r>
              <w:rPr>
                <w:b/>
                <w:color w:val="FFFFFF"/>
              </w:rPr>
              <w:t xml:space="preserve">Position taken</w:t>
            </w:r>
          </w:p>
        </w:tc>
      </w:tr>
      <w:tr>
        <w:tc>
          <w:tcPr/>
          <w:p>
            <w:pPr>
              <w:pStyle w:val="Compact"/>
              <w:jc w:val="left"/>
            </w:pPr>
            <w:r>
              <w:t xml:space="preserve">1</w:t>
            </w:r>
          </w:p>
        </w:tc>
        <w:tc>
          <w:tcPr/>
          <w:p>
            <w:pPr>
              <w:pStyle w:val="Compact"/>
              <w:jc w:val="left"/>
            </w:pPr>
            <w:r>
              <w:t xml:space="preserve">A second Apigee organisation for the AI gateway</w:t>
            </w:r>
          </w:p>
        </w:tc>
        <w:tc>
          <w:tcPr/>
          <w:p>
            <w:pPr>
              <w:pStyle w:val="Compact"/>
              <w:jc w:val="left"/>
            </w:pPr>
            <w:r>
              <w:t xml:space="preserve">Rejected. One organisation, two environments, per</w:t>
            </w:r>
            <w:r>
              <w:t xml:space="preserve"> </w:t>
            </w:r>
            <w:r>
              <w:rPr>
                <w:b/>
                <w:bCs/>
              </w:rPr>
              <w:t xml:space="preserve">Three components, three locations</w:t>
            </w:r>
          </w:p>
        </w:tc>
      </w:tr>
      <w:tr>
        <w:tc>
          <w:tcPr/>
          <w:p>
            <w:pPr>
              <w:pStyle w:val="Compact"/>
              <w:jc w:val="left"/>
            </w:pPr>
            <w:r>
              <w:t xml:space="preserve">2</w:t>
            </w:r>
          </w:p>
        </w:tc>
        <w:tc>
          <w:tcPr/>
          <w:p>
            <w:pPr>
              <w:pStyle w:val="Compact"/>
              <w:jc w:val="left"/>
            </w:pPr>
            <w:r>
              <w:t xml:space="preserve">The gateway as the only path to a model, with no emergency route</w:t>
            </w:r>
          </w:p>
        </w:tc>
        <w:tc>
          <w:tcPr/>
          <w:p>
            <w:pPr>
              <w:pStyle w:val="Compact"/>
              <w:jc w:val="left"/>
            </w:pPr>
            <w:r>
              <w:t xml:space="preserve">Rejected. BR-19 (documented emergency route to model access) requires an approval-gated, alerted break-glass path, specified in</w:t>
            </w:r>
            <w:r>
              <w:t xml:space="preserve"> </w:t>
            </w:r>
            <w:r>
              <w:rPr>
                <w:b/>
                <w:bCs/>
              </w:rPr>
              <w:t xml:space="preserve">Security Architecture and Operations</w:t>
            </w:r>
          </w:p>
        </w:tc>
      </w:tr>
      <w:tr>
        <w:tc>
          <w:tcPr/>
          <w:p>
            <w:pPr>
              <w:pStyle w:val="Compact"/>
              <w:jc w:val="left"/>
            </w:pPr>
            <w:r>
              <w:t xml:space="preserve">3</w:t>
            </w:r>
          </w:p>
        </w:tc>
        <w:tc>
          <w:tcPr/>
          <w:p>
            <w:pPr>
              <w:pStyle w:val="Compact"/>
              <w:jc w:val="left"/>
            </w:pPr>
            <w:r>
              <w:t xml:space="preserve">Logging full prompt content by default</w:t>
            </w:r>
          </w:p>
        </w:tc>
        <w:tc>
          <w:tcPr/>
          <w:p>
            <w:pPr>
              <w:pStyle w:val="Compact"/>
              <w:jc w:val="left"/>
            </w:pPr>
            <w:r>
              <w:t xml:space="preserve">Rejected. Metadata always; prompt content only on a signed-off exception, per CR-19 (prompt content not logged by default)</w:t>
            </w:r>
          </w:p>
        </w:tc>
      </w:tr>
      <w:tr>
        <w:tc>
          <w:tcPr/>
          <w:p>
            <w:pPr>
              <w:pStyle w:val="Compact"/>
              <w:jc w:val="left"/>
            </w:pPr>
            <w:r>
              <w:t xml:space="preserve">4</w:t>
            </w:r>
          </w:p>
        </w:tc>
        <w:tc>
          <w:tcPr/>
          <w:p>
            <w:pPr>
              <w:pStyle w:val="Compact"/>
              <w:jc w:val="left"/>
            </w:pPr>
            <w:r>
              <w:t xml:space="preserve">A semantic cache shared across business units</w:t>
            </w:r>
          </w:p>
        </w:tc>
        <w:tc>
          <w:tcPr/>
          <w:p>
            <w:pPr>
              <w:pStyle w:val="Compact"/>
              <w:jc w:val="left"/>
            </w:pPr>
            <w:r>
              <w:t xml:space="preserve">Rejected for the first build. Per</w:t>
            </w:r>
            <w:r>
              <w:t xml:space="preserve"> </w:t>
            </w:r>
            <w:r>
              <w:rPr>
                <w:b/>
                <w:bCs/>
              </w:rPr>
              <w:t xml:space="preserve">Semantic caching — deferred</w:t>
            </w:r>
          </w:p>
        </w:tc>
      </w:tr>
      <w:tr>
        <w:tc>
          <w:tcPr/>
          <w:p>
            <w:pPr>
              <w:pStyle w:val="Compact"/>
              <w:jc w:val="left"/>
            </w:pPr>
            <w:r>
              <w:t xml:space="preserve">5</w:t>
            </w:r>
          </w:p>
        </w:tc>
        <w:tc>
          <w:tcPr/>
          <w:p>
            <w:pPr>
              <w:pStyle w:val="Compact"/>
              <w:jc w:val="left"/>
            </w:pPr>
            <w:r>
              <w:t xml:space="preserve">Relying on Apigee policy alone for model-access safety</w:t>
            </w:r>
          </w:p>
        </w:tc>
        <w:tc>
          <w:tcPr/>
          <w:p>
            <w:pPr>
              <w:pStyle w:val="Compact"/>
              <w:jc w:val="left"/>
            </w:pPr>
            <w:r>
              <w:t xml:space="preserve">Rejected. The IAM control in</w:t>
            </w:r>
            <w:r>
              <w:t xml:space="preserve"> </w:t>
            </w:r>
            <w:r>
              <w:rPr>
                <w:b/>
                <w:bCs/>
              </w:rPr>
              <w:t xml:space="preserve">Screening pattern</w:t>
            </w:r>
            <w:r>
              <w:t xml:space="preserve"> </w:t>
            </w:r>
            <w:r>
              <w:t xml:space="preserve">is the unbypassable layer; Apigee policy is the per-consumer refinement on top of it</w:t>
            </w:r>
          </w:p>
        </w:tc>
      </w:tr>
      <w:tr>
        <w:tc>
          <w:tcPr/>
          <w:p>
            <w:pPr>
              <w:pStyle w:val="Compact"/>
              <w:jc w:val="left"/>
            </w:pPr>
            <w:r>
              <w:t xml:space="preserve">6</w:t>
            </w:r>
          </w:p>
        </w:tc>
        <w:tc>
          <w:tcPr/>
          <w:p>
            <w:pPr>
              <w:pStyle w:val="Compact"/>
              <w:jc w:val="left"/>
            </w:pPr>
            <w:r>
              <w:t xml:space="preserve">Omitting 429 handling in agents and workers</w:t>
            </w:r>
          </w:p>
        </w:tc>
        <w:tc>
          <w:tcPr/>
          <w:p>
            <w:pPr>
              <w:pStyle w:val="Compact"/>
              <w:jc w:val="left"/>
            </w:pPr>
            <w:r>
              <w:t xml:space="preserve">Rejected. Explicit</w:t>
            </w:r>
            <w:r>
              <w:t xml:space="preserve"> </w:t>
            </w:r>
            <w:r>
              <w:rPr>
                <w:rStyle w:val="VerbatimChar"/>
              </w:rPr>
              <w:t xml:space="preserve">Retry-After</w:t>
            </w:r>
            <w:r>
              <w:t xml:space="preserve"> </w:t>
            </w:r>
            <w:r>
              <w:t xml:space="preserve">handling is required, per</w:t>
            </w:r>
            <w:r>
              <w:t xml:space="preserve"> </w:t>
            </w:r>
            <w:r>
              <w:rPr>
                <w:b/>
                <w:bCs/>
              </w:rPr>
              <w:t xml:space="preserve">Quota-exhaustion handling in long-running consumers</w:t>
            </w:r>
          </w:p>
        </w:tc>
      </w:tr>
      <w:tr>
        <w:tc>
          <w:tcPr/>
          <w:p>
            <w:pPr>
              <w:pStyle w:val="Compact"/>
              <w:jc w:val="left"/>
            </w:pPr>
            <w:r>
              <w:t xml:space="preserve">7</w:t>
            </w:r>
          </w:p>
        </w:tc>
        <w:tc>
          <w:tcPr/>
          <w:p>
            <w:pPr>
              <w:pStyle w:val="Compact"/>
              <w:jc w:val="left"/>
            </w:pPr>
            <w:r>
              <w:t xml:space="preserve">Committing Pre-GA policies as a signed-off control</w:t>
            </w:r>
          </w:p>
        </w:tc>
        <w:tc>
          <w:tcPr/>
          <w:p>
            <w:pPr>
              <w:pStyle w:val="Compact"/>
              <w:jc w:val="left"/>
            </w:pPr>
            <w:r>
              <w:t xml:space="preserve">Rejected. The GA token-quota policies are committed; the Apigee-native Model Armor policies are Pre-GA and are not, per</w:t>
            </w:r>
            <w:r>
              <w:t xml:space="preserve"> </w:t>
            </w:r>
            <w:r>
              <w:rPr>
                <w:b/>
                <w:bCs/>
              </w:rPr>
              <w:t xml:space="preserve">The AI gateway proxy — policy chain</w:t>
            </w:r>
          </w:p>
        </w:tc>
      </w:tr>
    </w:tbl>
    <w:p>
      <w:r>
        <w:pict>
          <v:rect style="width:0;height:1.5pt" o:hralign="center" o:hrstd="t" o:hr="t"/>
        </w:pict>
      </w:r>
    </w:p>
    <w:bookmarkEnd w:id="169"/>
    <w:bookmarkEnd w:id="170"/>
    <w:bookmarkStart w:id="183" w:name="compute-and-data-platform"/>
    <w:p>
      <w:pPr>
        <w:pStyle w:val="Heading1"/>
      </w:pPr>
      <w:r>
        <w:t xml:space="preserve">9. Compute and Data Platform</w:t>
      </w:r>
    </w:p>
    <w:p>
      <w:pPr>
        <w:pStyle w:val="FirstParagraph"/>
      </w:pPr>
      <w:r>
        <w:rPr>
          <w:b/>
          <w:bCs/>
        </w:rPr>
        <w:t xml:space="preserve">Scope.</w:t>
      </w:r>
      <w:r>
        <w:t xml:space="preserve"> </w:t>
      </w:r>
      <w:r>
        <w:t xml:space="preserve">This section applies to</w:t>
      </w:r>
      <w:r>
        <w:t xml:space="preserve"> </w:t>
      </w:r>
      <w:r>
        <w:rPr>
          <w:b/>
          <w:bCs/>
        </w:rPr>
        <w:t xml:space="preserve">Dev and Prod only.</w:t>
      </w:r>
      <w:r>
        <w:t xml:space="preserve"> </w:t>
      </w:r>
      <w:r>
        <w:t xml:space="preserve">Sandbox compute — the Vertex AI Workbench, the translation and Sales Agent Cloud Run services, and the Sandbox KMS key rings — is specified in</w:t>
      </w:r>
      <w:r>
        <w:t xml:space="preserve"> </w:t>
      </w:r>
      <w:r>
        <w:rPr>
          <w:b/>
          <w:bCs/>
        </w:rPr>
        <w:t xml:space="preserve">Sandbox standalone VPC</w:t>
      </w:r>
      <w:r>
        <w:t xml:space="preserve">,</w:t>
      </w:r>
      <w:r>
        <w:t xml:space="preserve"> </w:t>
      </w:r>
      <w:r>
        <w:rPr>
          <w:b/>
          <w:bCs/>
        </w:rPr>
        <w:t xml:space="preserve">IP addressing plan</w:t>
      </w:r>
      <w:r>
        <w:t xml:space="preserve"> </w:t>
      </w:r>
      <w:r>
        <w:t xml:space="preserve">and the Day-1 build sequence steps 1 through 6; it is not repeated here.</w:t>
      </w:r>
    </w:p>
    <w:bookmarkStart w:id="171" w:name="cloud-run-service-inventory-and-settings"/>
    <w:p>
      <w:pPr>
        <w:pStyle w:val="Heading2"/>
      </w:pPr>
      <w:r>
        <w:t xml:space="preserve">9.1 Cloud Run — service inventory and settings</w:t>
      </w:r>
    </w:p>
    <w:p>
      <w:pPr>
        <w:pStyle w:val="FirstParagraph"/>
      </w:pPr>
      <w:r>
        <w:t xml:space="preserve">The application teams build these five services; this section is the contract each must meet to operate inside the platform.</w:t>
      </w:r>
    </w:p>
    <w:tbl>
      <w:tblPr>
        <w:tblStyle w:val="TableGrid"/>
        <w:tblW w:type="pct" w:w="5000"/>
        <w:jc w:val="start"/>
        <w:tblLook w:firstRow="1" w:lastRow="0" w:firstColumn="0" w:lastColumn="0" w:noHBand="0" w:noVBand="0" w:val="0020"/>
      </w:tblPr>
      <w:tblGrid>
        <w:gridCol w:w="1131"/>
        <w:gridCol w:w="1131"/>
        <w:gridCol w:w="1131"/>
        <w:gridCol w:w="1131"/>
        <w:gridCol w:w="1131"/>
        <w:gridCol w:w="1131"/>
        <w:gridCol w:w="1131"/>
      </w:tblGrid>
      <w:tr>
        <w:trPr>
          <w:tblHeader w:val="true"/>
        </w:trPr>
        <w:tc>
          <w:tcPr>
            <w:shd w:val="clear" w:color="auto" w:fill="1F3864"/>
          </w:tcPr>
          <w:p>
            <w:pPr>
              <w:pStyle w:val="Compact"/>
              <w:jc w:val="left"/>
            </w:pPr>
            <w:r>
              <w:rPr>
                <w:b/>
                <w:color w:val="FFFFFF"/>
              </w:rPr>
              <w:t xml:space="preserve">Service</w:t>
            </w:r>
          </w:p>
        </w:tc>
        <w:tc>
          <w:tcPr>
            <w:shd w:val="clear" w:color="auto" w:fill="1F3864"/>
          </w:tcPr>
          <w:p>
            <w:pPr>
              <w:pStyle w:val="Compact"/>
              <w:jc w:val="left"/>
            </w:pPr>
            <w:r>
              <w:rPr>
                <w:b/>
                <w:color w:val="FFFFFF"/>
              </w:rPr>
              <w:t xml:space="preserve">Project</w:t>
            </w:r>
          </w:p>
        </w:tc>
        <w:tc>
          <w:tcPr>
            <w:shd w:val="clear" w:color="auto" w:fill="1F3864"/>
          </w:tcPr>
          <w:p>
            <w:pPr>
              <w:pStyle w:val="Compact"/>
              <w:jc w:val="left"/>
            </w:pPr>
            <w:r>
              <w:rPr>
                <w:b/>
                <w:color w:val="FFFFFF"/>
              </w:rPr>
              <w:t xml:space="preserve">Service account</w:t>
            </w:r>
          </w:p>
        </w:tc>
        <w:tc>
          <w:tcPr>
            <w:shd w:val="clear" w:color="auto" w:fill="1F3864"/>
          </w:tcPr>
          <w:p>
            <w:pPr>
              <w:pStyle w:val="Compact"/>
              <w:jc w:val="left"/>
            </w:pPr>
            <w:r>
              <w:rPr>
                <w:b/>
                <w:color w:val="FFFFFF"/>
              </w:rPr>
              <w:t xml:space="preserve">Ingress</w:t>
            </w:r>
          </w:p>
        </w:tc>
        <w:tc>
          <w:tcPr>
            <w:shd w:val="clear" w:color="auto" w:fill="1F3864"/>
          </w:tcPr>
          <w:p>
            <w:pPr>
              <w:pStyle w:val="Compact"/>
              <w:jc w:val="left"/>
            </w:pPr>
            <w:r>
              <w:rPr>
                <w:b/>
                <w:color w:val="FFFFFF"/>
              </w:rPr>
              <w:t xml:space="preserve">Direct VPC egress</w:t>
            </w:r>
          </w:p>
        </w:tc>
        <w:tc>
          <w:tcPr>
            <w:shd w:val="clear" w:color="auto" w:fill="1F3864"/>
          </w:tcPr>
          <w:p>
            <w:pPr>
              <w:pStyle w:val="Compact"/>
              <w:jc w:val="left"/>
            </w:pPr>
            <w:r>
              <w:rPr>
                <w:b/>
                <w:color w:val="FFFFFF"/>
              </w:rPr>
              <w:t xml:space="preserve">Request timeout</w:t>
            </w:r>
          </w:p>
        </w:tc>
        <w:tc>
          <w:tcPr>
            <w:shd w:val="clear" w:color="auto" w:fill="1F3864"/>
          </w:tcPr>
          <w:p>
            <w:pPr>
              <w:pStyle w:val="Compact"/>
              <w:jc w:val="left"/>
            </w:pPr>
            <w:r>
              <w:rPr>
                <w:b/>
                <w:color w:val="FFFFFF"/>
              </w:rPr>
              <w:t xml:space="preserve">Invoked by</w:t>
            </w:r>
          </w:p>
        </w:tc>
      </w:tr>
      <w:tr>
        <w:tc>
          <w:tcPr/>
          <w:p>
            <w:pPr>
              <w:pStyle w:val="Compact"/>
              <w:jc w:val="left"/>
            </w:pPr>
            <w:r>
              <w:rPr>
                <w:rStyle w:val="VerbatimChar"/>
              </w:rPr>
              <w:t xml:space="preserve">aihub-bff</w:t>
            </w:r>
          </w:p>
        </w:tc>
        <w:tc>
          <w:tcPr/>
          <w:p>
            <w:pPr>
              <w:pStyle w:val="Compact"/>
              <w:jc w:val="left"/>
            </w:pPr>
            <w:r>
              <w:rPr>
                <w:rStyle w:val="VerbatimChar"/>
              </w:rPr>
              <w:t xml:space="preserve">gclt-aicoe-dev-aihub-ui</w:t>
            </w:r>
          </w:p>
        </w:tc>
        <w:tc>
          <w:tcPr/>
          <w:p>
            <w:pPr>
              <w:pStyle w:val="Compact"/>
              <w:jc w:val="left"/>
            </w:pPr>
            <w:r>
              <w:rPr>
                <w:rStyle w:val="VerbatimChar"/>
              </w:rPr>
              <w:t xml:space="preserve">aihub-bff-sa</w:t>
            </w:r>
          </w:p>
        </w:tc>
        <w:tc>
          <w:tcPr/>
          <w:p>
            <w:pPr>
              <w:pStyle w:val="Compact"/>
              <w:jc w:val="left"/>
            </w:pPr>
            <w:r>
              <w:rPr>
                <w:rStyle w:val="VerbatimChar"/>
              </w:rPr>
              <w:t xml:space="preserve">internal-and-cloud-load-balancing</w:t>
            </w:r>
          </w:p>
        </w:tc>
        <w:tc>
          <w:tcPr/>
          <w:p>
            <w:pPr>
              <w:pStyle w:val="Compact"/>
              <w:jc w:val="left"/>
            </w:pPr>
            <w:r>
              <w:t xml:space="preserve">Yes</w:t>
            </w:r>
          </w:p>
        </w:tc>
        <w:tc>
          <w:tcPr/>
          <w:p>
            <w:pPr>
              <w:pStyle w:val="Compact"/>
              <w:jc w:val="left"/>
            </w:pPr>
            <w:r>
              <w:t xml:space="preserve">600 s</w:t>
            </w:r>
          </w:p>
        </w:tc>
        <w:tc>
          <w:tcPr/>
          <w:p>
            <w:pPr>
              <w:pStyle w:val="Compact"/>
              <w:jc w:val="left"/>
            </w:pPr>
            <w:r>
              <w:t xml:space="preserve">The IAP service agent, via</w:t>
            </w:r>
            <w:r>
              <w:t xml:space="preserve"> </w:t>
            </w:r>
            <w:r>
              <w:rPr>
                <w:rStyle w:val="VerbatimChar"/>
              </w:rPr>
              <w:t xml:space="preserve">bs-aihub-bff</w:t>
            </w:r>
          </w:p>
        </w:tc>
      </w:tr>
      <w:tr>
        <w:tc>
          <w:tcPr/>
          <w:p>
            <w:pPr>
              <w:pStyle w:val="Compact"/>
              <w:jc w:val="left"/>
            </w:pPr>
            <w:r>
              <w:rPr>
                <w:rStyle w:val="VerbatimChar"/>
              </w:rPr>
              <w:t xml:space="preserve">translation-api-service</w:t>
            </w:r>
          </w:p>
        </w:tc>
        <w:tc>
          <w:tcPr/>
          <w:p>
            <w:pPr>
              <w:pStyle w:val="Compact"/>
              <w:jc w:val="left"/>
            </w:pPr>
            <w:r>
              <w:rPr>
                <w:rStyle w:val="VerbatimChar"/>
              </w:rPr>
              <w:t xml:space="preserve">gclt-aicoe-dev-st</w:t>
            </w:r>
          </w:p>
        </w:tc>
        <w:tc>
          <w:tcPr/>
          <w:p>
            <w:pPr>
              <w:pStyle w:val="Compact"/>
              <w:jc w:val="left"/>
            </w:pPr>
            <w:r>
              <w:rPr>
                <w:rStyle w:val="VerbatimChar"/>
              </w:rPr>
              <w:t xml:space="preserve">translation-api-sa</w:t>
            </w:r>
          </w:p>
        </w:tc>
        <w:tc>
          <w:tcPr/>
          <w:p>
            <w:pPr>
              <w:pStyle w:val="Compact"/>
              <w:jc w:val="left"/>
            </w:pPr>
            <w:r>
              <w:rPr>
                <w:rStyle w:val="VerbatimChar"/>
              </w:rPr>
              <w:t xml:space="preserve">internal-and-cloud-load-balancing</w:t>
            </w:r>
          </w:p>
        </w:tc>
        <w:tc>
          <w:tcPr/>
          <w:p>
            <w:pPr>
              <w:pStyle w:val="Compact"/>
              <w:jc w:val="left"/>
            </w:pPr>
            <w:r>
              <w:t xml:space="preserve">Yes</w:t>
            </w:r>
          </w:p>
        </w:tc>
        <w:tc>
          <w:tcPr/>
          <w:p>
            <w:pPr>
              <w:pStyle w:val="Compact"/>
              <w:jc w:val="left"/>
            </w:pPr>
            <w:r>
              <w:t xml:space="preserve">600 s</w:t>
            </w:r>
          </w:p>
        </w:tc>
        <w:tc>
          <w:tcPr/>
          <w:p>
            <w:pPr>
              <w:pStyle w:val="Compact"/>
              <w:jc w:val="left"/>
            </w:pPr>
            <w:r>
              <w:rPr>
                <w:rStyle w:val="VerbatimChar"/>
              </w:rPr>
              <w:t xml:space="preserve">apigee-int-runtime@</w:t>
            </w:r>
          </w:p>
        </w:tc>
      </w:tr>
      <w:tr>
        <w:tc>
          <w:tcPr/>
          <w:p>
            <w:pPr>
              <w:pStyle w:val="Compact"/>
              <w:jc w:val="left"/>
            </w:pPr>
            <w:r>
              <w:rPr>
                <w:rStyle w:val="VerbatimChar"/>
              </w:rPr>
              <w:t xml:space="preserve">translation-worker-service</w:t>
            </w:r>
          </w:p>
        </w:tc>
        <w:tc>
          <w:tcPr/>
          <w:p>
            <w:pPr>
              <w:pStyle w:val="Compact"/>
              <w:jc w:val="left"/>
            </w:pPr>
            <w:r>
              <w:rPr>
                <w:rStyle w:val="VerbatimChar"/>
              </w:rPr>
              <w:t xml:space="preserve">gclt-aicoe-dev-st</w:t>
            </w:r>
          </w:p>
        </w:tc>
        <w:tc>
          <w:tcPr/>
          <w:p>
            <w:pPr>
              <w:pStyle w:val="Compact"/>
              <w:jc w:val="left"/>
            </w:pPr>
            <w:r>
              <w:rPr>
                <w:rStyle w:val="VerbatimChar"/>
              </w:rPr>
              <w:t xml:space="preserve">translation-worker-sa</w:t>
            </w:r>
          </w:p>
        </w:tc>
        <w:tc>
          <w:tcPr/>
          <w:p>
            <w:pPr>
              <w:pStyle w:val="Compact"/>
              <w:jc w:val="left"/>
            </w:pPr>
            <w:r>
              <w:rPr>
                <w:rStyle w:val="VerbatimChar"/>
              </w:rPr>
              <w:t xml:space="preserve">internal</w:t>
            </w:r>
          </w:p>
        </w:tc>
        <w:tc>
          <w:tcPr/>
          <w:p>
            <w:pPr>
              <w:pStyle w:val="Compact"/>
              <w:jc w:val="left"/>
            </w:pPr>
            <w:r>
              <w:t xml:space="preserve">Yes</w:t>
            </w:r>
          </w:p>
        </w:tc>
        <w:tc>
          <w:tcPr/>
          <w:p>
            <w:pPr>
              <w:pStyle w:val="Compact"/>
              <w:jc w:val="left"/>
            </w:pPr>
            <w:r>
              <w:t xml:space="preserve">3,600 s</w:t>
            </w:r>
          </w:p>
        </w:tc>
        <w:tc>
          <w:tcPr/>
          <w:p>
            <w:pPr>
              <w:pStyle w:val="Compact"/>
              <w:jc w:val="left"/>
            </w:pPr>
            <w:r>
              <w:rPr>
                <w:rStyle w:val="VerbatimChar"/>
              </w:rPr>
              <w:t xml:space="preserve">worker-invoker-sa@</w:t>
            </w:r>
            <w:r>
              <w:t xml:space="preserve">, via Cloud Tasks</w:t>
            </w:r>
          </w:p>
        </w:tc>
      </w:tr>
      <w:tr>
        <w:tc>
          <w:tcPr/>
          <w:p>
            <w:pPr>
              <w:pStyle w:val="Compact"/>
              <w:jc w:val="left"/>
            </w:pPr>
            <w:r>
              <w:rPr>
                <w:rStyle w:val="VerbatimChar"/>
              </w:rPr>
              <w:t xml:space="preserve">sales-research-application</w:t>
            </w:r>
          </w:p>
        </w:tc>
        <w:tc>
          <w:tcPr/>
          <w:p>
            <w:pPr>
              <w:pStyle w:val="Compact"/>
              <w:jc w:val="left"/>
            </w:pPr>
            <w:r>
              <w:rPr>
                <w:rStyle w:val="VerbatimChar"/>
              </w:rPr>
              <w:t xml:space="preserve">gclt-aicoe-dev-st</w:t>
            </w:r>
          </w:p>
        </w:tc>
        <w:tc>
          <w:tcPr/>
          <w:p>
            <w:pPr>
              <w:pStyle w:val="Compact"/>
              <w:jc w:val="left"/>
            </w:pPr>
            <w:r>
              <w:rPr>
                <w:rStyle w:val="VerbatimChar"/>
              </w:rPr>
              <w:t xml:space="preserve">salesagent-sa</w:t>
            </w:r>
          </w:p>
        </w:tc>
        <w:tc>
          <w:tcPr/>
          <w:p>
            <w:pPr>
              <w:pStyle w:val="Compact"/>
              <w:jc w:val="left"/>
            </w:pPr>
            <w:r>
              <w:rPr>
                <w:rStyle w:val="VerbatimChar"/>
              </w:rPr>
              <w:t xml:space="preserve">internal-and-cloud-load-balancing</w:t>
            </w:r>
          </w:p>
        </w:tc>
        <w:tc>
          <w:tcPr/>
          <w:p>
            <w:pPr>
              <w:pStyle w:val="Compact"/>
              <w:jc w:val="left"/>
            </w:pPr>
            <w:r>
              <w:t xml:space="preserve">Yes</w:t>
            </w:r>
          </w:p>
        </w:tc>
        <w:tc>
          <w:tcPr/>
          <w:p>
            <w:pPr>
              <w:pStyle w:val="Compact"/>
              <w:jc w:val="left"/>
            </w:pPr>
            <w:r>
              <w:t xml:space="preserve">600 s</w:t>
            </w:r>
          </w:p>
        </w:tc>
        <w:tc>
          <w:tcPr/>
          <w:p>
            <w:pPr>
              <w:pStyle w:val="Compact"/>
              <w:jc w:val="left"/>
            </w:pPr>
            <w:r>
              <w:rPr>
                <w:rStyle w:val="VerbatimChar"/>
              </w:rPr>
              <w:t xml:space="preserve">apigee-int-runtime@</w:t>
            </w:r>
          </w:p>
        </w:tc>
      </w:tr>
      <w:tr>
        <w:tc>
          <w:tcPr/>
          <w:p>
            <w:pPr>
              <w:pStyle w:val="Compact"/>
              <w:jc w:val="left"/>
            </w:pPr>
            <w:r>
              <w:rPr>
                <w:rStyle w:val="VerbatimChar"/>
              </w:rPr>
              <w:t xml:space="preserve">mcp-server</w:t>
            </w:r>
            <w:r>
              <w:t xml:space="preserve"> </w:t>
            </w:r>
            <w:r>
              <w:rPr>
                <w:i/>
                <w:iCs/>
              </w:rPr>
              <w:t xml:space="preserve">(future)</w:t>
            </w:r>
          </w:p>
        </w:tc>
        <w:tc>
          <w:tcPr/>
          <w:p>
            <w:pPr>
              <w:pStyle w:val="Compact"/>
              <w:jc w:val="left"/>
            </w:pPr>
            <w:r>
              <w:rPr>
                <w:rStyle w:val="VerbatimChar"/>
              </w:rPr>
              <w:t xml:space="preserve">gclt-aicoe-dev-st</w:t>
            </w:r>
          </w:p>
        </w:tc>
        <w:tc>
          <w:tcPr/>
          <w:p>
            <w:pPr>
              <w:pStyle w:val="Compact"/>
              <w:jc w:val="left"/>
            </w:pPr>
            <w:r>
              <w:rPr>
                <w:rStyle w:val="VerbatimChar"/>
              </w:rPr>
              <w:t xml:space="preserve">mcp-sa</w:t>
            </w:r>
          </w:p>
        </w:tc>
        <w:tc>
          <w:tcPr/>
          <w:p>
            <w:pPr>
              <w:pStyle w:val="Compact"/>
              <w:jc w:val="left"/>
            </w:pPr>
            <w:r>
              <w:rPr>
                <w:rStyle w:val="VerbatimChar"/>
              </w:rPr>
              <w:t xml:space="preserve">internal-and-cloud-load-balancing</w:t>
            </w:r>
          </w:p>
        </w:tc>
        <w:tc>
          <w:tcPr/>
          <w:p>
            <w:pPr>
              <w:pStyle w:val="Compact"/>
              <w:jc w:val="left"/>
            </w:pPr>
            <w:r>
              <w:t xml:space="preserve">Yes</w:t>
            </w:r>
          </w:p>
        </w:tc>
        <w:tc>
          <w:tcPr/>
          <w:p>
            <w:pPr>
              <w:pStyle w:val="Compact"/>
              <w:jc w:val="left"/>
            </w:pPr>
            <w:r>
              <w:t xml:space="preserve">600 s</w:t>
            </w:r>
          </w:p>
        </w:tc>
        <w:tc>
          <w:tcPr/>
          <w:p>
            <w:pPr>
              <w:pStyle w:val="Compact"/>
              <w:jc w:val="left"/>
            </w:pPr>
            <w:r>
              <w:rPr>
                <w:rStyle w:val="VerbatimChar"/>
              </w:rPr>
              <w:t xml:space="preserve">apigee-int-runtime@</w:t>
            </w:r>
          </w:p>
        </w:tc>
      </w:tr>
    </w:tbl>
    <w:p>
      <w:pPr>
        <w:pStyle w:val="BodyText"/>
      </w:pPr>
      <w:r>
        <w:t xml:space="preserve">Request timeouts are set per PR-14 (Cloud Run request timeout). Every service requires direct VPC egress: the Backend-for-Frontend calls Apigee, Firestore and Secret Manager; the backends call Google APIs and the AI gateway; the Sales Agent additionally calls Vector Search. This egress requirement is what makes TR-21 (Cloud Run instance ceiling) binding — a static, egress-free front end would not have consumed subnet capacity.</w:t>
      </w:r>
    </w:p>
    <w:p>
      <w:pPr>
        <w:pStyle w:val="BodyText"/>
      </w:pPr>
      <w:r>
        <w:rPr>
          <w:b/>
          <w:bCs/>
        </w:rPr>
        <w:t xml:space="preserve">Settings common to every service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Tab</w:t>
            </w:r>
          </w:p>
        </w:tc>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Value</w:t>
            </w:r>
          </w:p>
        </w:tc>
      </w:tr>
      <w:tr>
        <w:tc>
          <w:tcPr/>
          <w:p>
            <w:pPr>
              <w:pStyle w:val="Compact"/>
              <w:jc w:val="left"/>
            </w:pPr>
            <w:r>
              <w:t xml:space="preserve">Security</w:t>
            </w:r>
          </w:p>
        </w:tc>
        <w:tc>
          <w:tcPr/>
          <w:p>
            <w:pPr>
              <w:pStyle w:val="Compact"/>
              <w:jc w:val="left"/>
            </w:pPr>
            <w:r>
              <w:t xml:space="preserve">Service account</w:t>
            </w:r>
          </w:p>
        </w:tc>
        <w:tc>
          <w:tcPr/>
          <w:p>
            <w:pPr>
              <w:pStyle w:val="Compact"/>
              <w:jc w:val="left"/>
            </w:pPr>
            <w:r>
              <w:t xml:space="preserve">The matching account above, per the service account inventory in</w:t>
            </w:r>
            <w:r>
              <w:t xml:space="preserve"> </w:t>
            </w:r>
            <w:r>
              <w:rPr>
                <w:b/>
                <w:bCs/>
              </w:rPr>
              <w:t xml:space="preserve">Security Architecture and Operations</w:t>
            </w:r>
          </w:p>
        </w:tc>
      </w:tr>
      <w:tr>
        <w:tc>
          <w:tcPr/>
          <w:p>
            <w:pPr>
              <w:pStyle w:val="Compact"/>
              <w:jc w:val="left"/>
            </w:pPr>
            <w:r>
              <w:t xml:space="preserve">Networking</w:t>
            </w:r>
          </w:p>
        </w:tc>
        <w:tc>
          <w:tcPr/>
          <w:p>
            <w:pPr>
              <w:pStyle w:val="Compact"/>
              <w:jc w:val="left"/>
            </w:pPr>
            <w:r>
              <w:t xml:space="preserve">Egress / VPC</w:t>
            </w:r>
          </w:p>
        </w:tc>
        <w:tc>
          <w:tcPr/>
          <w:p>
            <w:pPr>
              <w:pStyle w:val="Compact"/>
              <w:jc w:val="left"/>
            </w:pPr>
            <w:r>
              <w:t xml:space="preserve">Direct VPC egress</w:t>
            </w:r>
          </w:p>
        </w:tc>
      </w:tr>
      <w:tr>
        <w:tc>
          <w:tcPr/>
          <w:p>
            <w:pPr>
              <w:pStyle w:val="Compact"/>
              <w:jc w:val="left"/>
            </w:pPr>
            <w:r>
              <w:t xml:space="preserve">Networking</w:t>
            </w:r>
          </w:p>
        </w:tc>
        <w:tc>
          <w:tcPr/>
          <w:p>
            <w:pPr>
              <w:pStyle w:val="Compact"/>
              <w:jc w:val="left"/>
            </w:pPr>
            <w:r>
              <w:t xml:space="preserve">Network / subnet</w:t>
            </w:r>
          </w:p>
        </w:tc>
        <w:tc>
          <w:tcPr/>
          <w:p>
            <w:pPr>
              <w:pStyle w:val="Compact"/>
              <w:jc w:val="left"/>
            </w:pPr>
            <w:r>
              <w:rPr>
                <w:rStyle w:val="VerbatimChar"/>
              </w:rPr>
              <w:t xml:space="preserve">gclt-aicoe-dev-vpc</w:t>
            </w:r>
            <w:r>
              <w:t xml:space="preserve"> </w:t>
            </w:r>
            <w:r>
              <w:t xml:space="preserve">/</w:t>
            </w:r>
            <w:r>
              <w:t xml:space="preserve"> </w:t>
            </w:r>
            <w:r>
              <w:rPr>
                <w:rStyle w:val="VerbatimChar"/>
              </w:rPr>
              <w:t xml:space="preserve">gclt-aicoe-dev-cloudrun-ew1</w:t>
            </w:r>
          </w:p>
        </w:tc>
      </w:tr>
      <w:tr>
        <w:tc>
          <w:tcPr/>
          <w:p>
            <w:pPr>
              <w:pStyle w:val="Compact"/>
              <w:jc w:val="left"/>
            </w:pPr>
            <w:r>
              <w:t xml:space="preserve">Networking</w:t>
            </w:r>
          </w:p>
        </w:tc>
        <w:tc>
          <w:tcPr/>
          <w:p>
            <w:pPr>
              <w:pStyle w:val="Compact"/>
              <w:jc w:val="left"/>
            </w:pPr>
            <w:r>
              <w:t xml:space="preserve">Traffic routing</w:t>
            </w:r>
          </w:p>
        </w:tc>
        <w:tc>
          <w:tcPr/>
          <w:p>
            <w:pPr>
              <w:pStyle w:val="Compact"/>
              <w:jc w:val="left"/>
            </w:pPr>
            <w:r>
              <w:t xml:space="preserve">Route only requests to private IPs to the VPC</w:t>
            </w:r>
          </w:p>
        </w:tc>
      </w:tr>
      <w:tr>
        <w:tc>
          <w:tcPr/>
          <w:p>
            <w:pPr>
              <w:pStyle w:val="Compact"/>
              <w:jc w:val="left"/>
            </w:pPr>
            <w:r>
              <w:t xml:space="preserve">Container</w:t>
            </w:r>
          </w:p>
        </w:tc>
        <w:tc>
          <w:tcPr/>
          <w:p>
            <w:pPr>
              <w:pStyle w:val="Compact"/>
              <w:jc w:val="left"/>
            </w:pPr>
            <w:r>
              <w:t xml:space="preserve">Maximum instances</w:t>
            </w:r>
          </w:p>
        </w:tc>
        <w:tc>
          <w:tcPr/>
          <w:p>
            <w:pPr>
              <w:pStyle w:val="Compact"/>
              <w:jc w:val="left"/>
            </w:pPr>
            <w:r>
              <w:t xml:space="preserve">Per the budget in</w:t>
            </w:r>
            <w:r>
              <w:t xml:space="preserve"> </w:t>
            </w:r>
            <w:r>
              <w:rPr>
                <w:b/>
                <w:bCs/>
              </w:rPr>
              <w:t xml:space="preserve">The instance budget — a hard ceiling</w:t>
            </w:r>
          </w:p>
        </w:tc>
      </w:tr>
      <w:tr>
        <w:tc>
          <w:tcPr/>
          <w:p>
            <w:pPr>
              <w:pStyle w:val="Compact"/>
              <w:jc w:val="left"/>
            </w:pPr>
            <w:r>
              <w:t xml:space="preserve">Variables and Secrets</w:t>
            </w:r>
          </w:p>
        </w:tc>
        <w:tc>
          <w:tcPr/>
          <w:p>
            <w:pPr>
              <w:pStyle w:val="Compact"/>
              <w:jc w:val="left"/>
            </w:pPr>
            <w:r>
              <w:t xml:space="preserve">Secrets</w:t>
            </w:r>
          </w:p>
        </w:tc>
        <w:tc>
          <w:tcPr/>
          <w:p>
            <w:pPr>
              <w:pStyle w:val="Compact"/>
              <w:jc w:val="left"/>
            </w:pPr>
            <w:r>
              <w:t xml:space="preserve">Referenced from Secret Manager, created by the AICOE Platform Team and attached by the GitLab CI/CD pipeline at deploy time. Never pasted into environment variable values</w:t>
            </w:r>
          </w:p>
        </w:tc>
      </w:tr>
      <w:tr>
        <w:tc>
          <w:tcPr/>
          <w:p>
            <w:pPr>
              <w:pStyle w:val="Compact"/>
              <w:jc w:val="left"/>
            </w:pPr>
            <w:r>
              <w:t xml:space="preserve">Security</w:t>
            </w:r>
          </w:p>
        </w:tc>
        <w:tc>
          <w:tcPr/>
          <w:p>
            <w:pPr>
              <w:pStyle w:val="Compact"/>
              <w:jc w:val="left"/>
            </w:pPr>
            <w:r>
              <w:t xml:space="preserve">Identity-Aware Proxy</w:t>
            </w:r>
          </w:p>
        </w:tc>
        <w:tc>
          <w:tcPr/>
          <w:p>
            <w:pPr>
              <w:pStyle w:val="Compact"/>
              <w:jc w:val="left"/>
            </w:pPr>
            <w:r>
              <w:t xml:space="preserve">Off. IAP is configured on</w:t>
            </w:r>
            <w:r>
              <w:t xml:space="preserve"> </w:t>
            </w:r>
            <w:r>
              <w:rPr>
                <w:rStyle w:val="VerbatimChar"/>
              </w:rPr>
              <w:t xml:space="preserve">bs-aihub-bff</w:t>
            </w:r>
            <w:r>
              <w:t xml:space="preserve"> </w:t>
            </w:r>
            <w:r>
              <w:t xml:space="preserve">only</w:t>
            </w:r>
          </w:p>
        </w:tc>
      </w:tr>
      <w:tr>
        <w:tc>
          <w:tcPr/>
          <w:p>
            <w:pPr>
              <w:pStyle w:val="Compact"/>
              <w:jc w:val="left"/>
            </w:pPr>
            <w:r>
              <w:t xml:space="preserve">—</w:t>
            </w:r>
          </w:p>
        </w:tc>
        <w:tc>
          <w:tcPr/>
          <w:p>
            <w:pPr>
              <w:pStyle w:val="Compact"/>
              <w:jc w:val="left"/>
            </w:pPr>
            <w:r>
              <w:t xml:space="preserve">Unauthenticated invocations</w:t>
            </w:r>
          </w:p>
        </w:tc>
        <w:tc>
          <w:tcPr/>
          <w:p>
            <w:pPr>
              <w:pStyle w:val="Compact"/>
              <w:jc w:val="left"/>
            </w:pPr>
            <w:r>
              <w:t xml:space="preserve">Never. Also blocked by organisation policy</w:t>
            </w:r>
          </w:p>
        </w:tc>
      </w:tr>
    </w:tbl>
    <w:p>
      <w:pPr>
        <w:pStyle w:val="BodyText"/>
      </w:pPr>
      <w:r>
        <w:rPr>
          <w:b/>
          <w:bCs/>
        </w:rPr>
        <w:t xml:space="preserve">Service contract.</w:t>
      </w:r>
      <w:r>
        <w:t xml:space="preserve"> </w:t>
      </w:r>
      <w:r>
        <w:t xml:space="preserve">The Backend-for-Frontend’s contract is set out in</w:t>
      </w:r>
      <w:r>
        <w:t xml:space="preserve"> </w:t>
      </w:r>
      <w:r>
        <w:rPr>
          <w:b/>
          <w:bCs/>
        </w:rPr>
        <w:t xml:space="preserve">The Backend-for-Frontend service contract</w:t>
      </w:r>
      <w:r>
        <w:t xml:space="preserve">. Every backend service must, in addition:</w:t>
      </w:r>
    </w:p>
    <w:p>
      <w:pPr>
        <w:pStyle w:val="Compact"/>
        <w:numPr>
          <w:ilvl w:val="0"/>
          <w:numId w:val="1017"/>
        </w:numPr>
      </w:pPr>
      <w:r>
        <w:t xml:space="preserve">Verify the credential on the final hop — the token and its audience.</w:t>
      </w:r>
    </w:p>
    <w:p>
      <w:pPr>
        <w:pStyle w:val="Compact"/>
        <w:numPr>
          <w:ilvl w:val="0"/>
          <w:numId w:val="1017"/>
        </w:numPr>
      </w:pPr>
      <w:r>
        <w:t xml:space="preserve">Strip any incoming</w:t>
      </w:r>
      <w:r>
        <w:t xml:space="preserve"> </w:t>
      </w:r>
      <w:r>
        <w:rPr>
          <w:rStyle w:val="VerbatimChar"/>
        </w:rPr>
        <w:t xml:space="preserve">x-colt-*</w:t>
      </w:r>
      <w:r>
        <w:t xml:space="preserve"> </w:t>
      </w:r>
      <w:r>
        <w:t xml:space="preserve">header before use. A service that reads a business unit from a plain header allows any caller to claim any business unit.</w:t>
      </w:r>
    </w:p>
    <w:p>
      <w:pPr>
        <w:pStyle w:val="Compact"/>
        <w:numPr>
          <w:ilvl w:val="0"/>
          <w:numId w:val="1017"/>
        </w:numPr>
      </w:pPr>
      <w:r>
        <w:t xml:space="preserve">Forward the verified user context on calls to the AI gateway, so token spend attributes to a person rather than to a service account.</w:t>
      </w:r>
    </w:p>
    <w:p>
      <w:pPr>
        <w:pStyle w:val="Compact"/>
        <w:numPr>
          <w:ilvl w:val="0"/>
          <w:numId w:val="1017"/>
        </w:numPr>
      </w:pPr>
      <w:r>
        <w:t xml:space="preserve">Persist</w:t>
      </w:r>
      <w:r>
        <w:t xml:space="preserve"> </w:t>
      </w:r>
      <w:r>
        <w:rPr>
          <w:rStyle w:val="VerbatimChar"/>
        </w:rPr>
        <w:t xml:space="preserve">oid</w:t>
      </w:r>
      <w:r>
        <w:t xml:space="preserve"> </w:t>
      </w:r>
      <w:r>
        <w:t xml:space="preserve">and</w:t>
      </w:r>
      <w:r>
        <w:t xml:space="preserve"> </w:t>
      </w:r>
      <w:r>
        <w:rPr>
          <w:rStyle w:val="VerbatimChar"/>
        </w:rPr>
        <w:t xml:space="preserve">department</w:t>
      </w:r>
      <w:r>
        <w:t xml:space="preserve"> </w:t>
      </w:r>
      <w:r>
        <w:t xml:space="preserve">into the job record when creating an asynchronous job, because the access token will have expired by the time the worker runs and identity must be captured while it is still provable.</w:t>
      </w:r>
    </w:p>
    <w:p>
      <w:pPr>
        <w:pStyle w:val="Compact"/>
        <w:numPr>
          <w:ilvl w:val="0"/>
          <w:numId w:val="1017"/>
        </w:numPr>
      </w:pPr>
      <w:r>
        <w:t xml:space="preserve">Handle 429 with</w:t>
      </w:r>
      <w:r>
        <w:t xml:space="preserve"> </w:t>
      </w:r>
      <w:r>
        <w:rPr>
          <w:rStyle w:val="VerbatimChar"/>
        </w:rPr>
        <w:t xml:space="preserve">Retry-After</w:t>
      </w:r>
      <w:r>
        <w:t xml:space="preserve">, per</w:t>
      </w:r>
      <w:r>
        <w:t xml:space="preserve"> </w:t>
      </w:r>
      <w:r>
        <w:rPr>
          <w:b/>
          <w:bCs/>
        </w:rPr>
        <w:t xml:space="preserve">Quota-exhaustion handling in long-running consumers</w:t>
      </w:r>
      <w:r>
        <w:t xml:space="preserve">.</w:t>
      </w:r>
    </w:p>
    <w:p>
      <w:pPr>
        <w:pStyle w:val="FirstParagraph"/>
      </w:pPr>
      <w:r>
        <w:rPr>
          <w:rStyle w:val="VerbatimChar"/>
        </w:rPr>
        <w:t xml:space="preserve">translation-worker-service</w:t>
      </w:r>
      <w:r>
        <w:t xml:space="preserve"> </w:t>
      </w:r>
      <w:r>
        <w:t xml:space="preserve">carries one further responsibility specific to its usecase: it extracts text from the uploaded PDF or DOCX document and chunks it before constructing the model prompt. It never passes the source file to the model, by reference or inline, per</w:t>
      </w:r>
      <w:r>
        <w:t xml:space="preserve"> </w:t>
      </w:r>
      <w:r>
        <w:rPr>
          <w:b/>
          <w:bCs/>
        </w:rPr>
        <w:t xml:space="preserve">The AI gateway proxy — policy chain</w:t>
      </w:r>
      <w:r>
        <w:t xml:space="preserve">.</w:t>
      </w:r>
    </w:p>
    <w:bookmarkEnd w:id="171"/>
    <w:bookmarkStart w:id="172" w:name="the-instance-budget-a-hard-ceiling"/>
    <w:p>
      <w:pPr>
        <w:pStyle w:val="Heading2"/>
      </w:pPr>
      <w:r>
        <w:t xml:space="preserve">9.2 The instance budget — a hard ceiling</w:t>
      </w:r>
    </w:p>
    <w:p>
      <w:pPr>
        <w:pStyle w:val="FirstParagraph"/>
      </w:pPr>
      <w:r>
        <w:t xml:space="preserve">Direct VPC egress draws addresses from</w:t>
      </w:r>
      <w:r>
        <w:t xml:space="preserve"> </w:t>
      </w:r>
      <w:r>
        <w:rPr>
          <w:rStyle w:val="VerbatimChar"/>
        </w:rPr>
        <w:t xml:space="preserve">gclt-aicoe-dev-cloudrun-ew1</w:t>
      </w:r>
      <w:r>
        <w:t xml:space="preserve"> </w:t>
      </w:r>
      <w:r>
        <w:t xml:space="preserve">(</w:t>
      </w:r>
      <w:r>
        <w:rPr>
          <w:rStyle w:val="VerbatimChar"/>
        </w:rPr>
        <w:t xml:space="preserve">192.168.4.0/23</w:t>
      </w:r>
      <w:r>
        <w:t xml:space="preserve">), which has 508 usable addresses, per</w:t>
      </w:r>
      <w:r>
        <w:t xml:space="preserve"> </w:t>
      </w:r>
      <w:r>
        <w:rPr>
          <w:b/>
          <w:bCs/>
        </w:rPr>
        <w:t xml:space="preserve">IP addressing plan</w:t>
      </w:r>
      <w:r>
        <w:t xml:space="preserve">. Google’s documented Cloud Run sizing behaviour is stricter than it first appears.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Documented behaviour</w:t>
            </w:r>
          </w:p>
        </w:tc>
        <w:tc>
          <w:tcPr>
            <w:shd w:val="clear" w:color="auto" w:fill="1F3864"/>
          </w:tcPr>
          <w:p>
            <w:pPr>
              <w:pStyle w:val="Compact"/>
              <w:jc w:val="left"/>
            </w:pPr>
            <w:r>
              <w:rPr>
                <w:b/>
                <w:color w:val="FFFFFF"/>
              </w:rPr>
              <w:t xml:space="preserve">Consequence</w:t>
            </w:r>
          </w:p>
        </w:tc>
      </w:tr>
      <w:tr>
        <w:tc>
          <w:tcPr/>
          <w:p>
            <w:pPr>
              <w:pStyle w:val="Compact"/>
              <w:jc w:val="left"/>
            </w:pPr>
            <w:r>
              <w:t xml:space="preserve">The Cloud Monitoring instance-count metric must be multiplied by 2 to estimate addresses in use</w:t>
            </w:r>
          </w:p>
        </w:tc>
        <w:tc>
          <w:tcPr/>
          <w:p>
            <w:pPr>
              <w:pStyle w:val="Compact"/>
              <w:jc w:val="left"/>
            </w:pPr>
            <w:r>
              <w:t xml:space="preserve">Steady state consumes approximately two addresses per instance, not one</w:t>
            </w:r>
          </w:p>
        </w:tc>
      </w:tr>
      <w:tr>
        <w:tc>
          <w:tcPr/>
          <w:p>
            <w:pPr>
              <w:pStyle w:val="Compact"/>
              <w:jc w:val="left"/>
            </w:pPr>
            <w:r>
              <w:t xml:space="preserve">A revision rollout — one revision scaling 100 to 0 while the next scales 0 to 100 — requires</w:t>
            </w:r>
            <w:r>
              <w:t xml:space="preserve"> </w:t>
            </w:r>
            <w:r>
              <w:rPr>
                <w:rStyle w:val="VerbatimChar"/>
              </w:rPr>
              <w:t xml:space="preserve">(100 + 100) × 2</w:t>
            </w:r>
            <w:r>
              <w:t xml:space="preserve"> </w:t>
            </w:r>
            <w:r>
              <w:t xml:space="preserve">addresses</w:t>
            </w:r>
          </w:p>
        </w:tc>
        <w:tc>
          <w:tcPr/>
          <w:p>
            <w:pPr>
              <w:pStyle w:val="Compact"/>
              <w:jc w:val="left"/>
            </w:pPr>
            <w:r>
              <w:t xml:space="preserve">A rollout requires four times the steady-state peak</w:t>
            </w:r>
          </w:p>
        </w:tc>
      </w:tr>
      <w:tr>
        <w:tc>
          <w:tcPr/>
          <w:p>
            <w:pPr>
              <w:pStyle w:val="Compact"/>
              <w:jc w:val="left"/>
            </w:pPr>
            <w:r>
              <w:t xml:space="preserve">Addresses are retained for up to 20 minutes after a revision scales down</w:t>
            </w:r>
          </w:p>
        </w:tc>
        <w:tc>
          <w:tcPr/>
          <w:p>
            <w:pPr>
              <w:pStyle w:val="Compact"/>
              <w:jc w:val="left"/>
            </w:pPr>
            <w:r>
              <w:t xml:space="preserve">This retention is what creates the rollout overlap above</w:t>
            </w:r>
          </w:p>
        </w:tc>
      </w:tr>
      <w:tr>
        <w:tc>
          <w:tcPr/>
          <w:p>
            <w:pPr>
              <w:pStyle w:val="Compact"/>
              <w:jc w:val="left"/>
            </w:pPr>
            <w:r>
              <w:t xml:space="preserve">Addresses are reserved in blocks of 16</w:t>
            </w:r>
          </w:p>
        </w:tc>
        <w:tc>
          <w:tcPr/>
          <w:p>
            <w:pPr>
              <w:pStyle w:val="Compact"/>
              <w:jc w:val="left"/>
            </w:pPr>
            <w:r>
              <w:t xml:space="preserve">Usable capacity is slightly below the raw address count</w:t>
            </w:r>
          </w:p>
        </w:tc>
      </w:tr>
      <w:tr>
        <w:tc>
          <w:tcPr/>
          <w:p>
            <w:pPr>
              <w:pStyle w:val="Compact"/>
              <w:jc w:val="left"/>
            </w:pPr>
            <w:r>
              <w:t xml:space="preserve">The subnet must be</w:t>
            </w:r>
            <w:r>
              <w:t xml:space="preserve"> </w:t>
            </w:r>
            <w:r>
              <w:rPr>
                <w:rStyle w:val="VerbatimChar"/>
              </w:rPr>
              <w:t xml:space="preserve">/26</w:t>
            </w:r>
            <w:r>
              <w:t xml:space="preserve"> </w:t>
            </w:r>
            <w:r>
              <w:t xml:space="preserve">or larger</w:t>
            </w:r>
          </w:p>
        </w:tc>
        <w:tc>
          <w:tcPr/>
          <w:p>
            <w:pPr>
              <w:pStyle w:val="Compact"/>
              <w:jc w:val="left"/>
            </w:pPr>
            <w:r>
              <w:rPr>
                <w:rStyle w:val="VerbatimChar"/>
              </w:rPr>
              <w:t xml:space="preserve">/23</w:t>
            </w:r>
            <w:r>
              <w:t xml:space="preserve"> </w:t>
            </w:r>
            <w:r>
              <w:t xml:space="preserve">satisfies this</w:t>
            </w:r>
          </w:p>
        </w:tc>
      </w:tr>
    </w:tbl>
    <w:p>
      <w:pPr>
        <w:pStyle w:val="BodyText"/>
      </w:pPr>
      <w:r>
        <w:t xml:space="preserve">508 usable addresses divided by the 4× rollout multiplier yields TR-21 (Cloud Run instance ceiling):</w:t>
      </w:r>
      <w:r>
        <w:t xml:space="preserve"> </w:t>
      </w:r>
      <w:r>
        <w:rPr>
          <w:b/>
          <w:bCs/>
        </w:rPr>
        <w:t xml:space="preserve">127 total maximum instances across the workload subnet.</w:t>
      </w:r>
    </w:p>
    <w:p>
      <w:pPr>
        <w:pStyle w:val="BodyText"/>
      </w:pPr>
      <w:r>
        <w:t xml:space="preserve">That ceiling is deliberately not consumed in full by the five services built here. Ninety instances are allocated to them and the remaining thirty-seven are held for the use cases that will be added to Development after Day 1, so a new service can be admitted against a recorded reservation rather than by taking capacity from a service already running.</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Service</w:t>
            </w:r>
          </w:p>
        </w:tc>
        <w:tc>
          <w:tcPr>
            <w:shd w:val="clear" w:color="auto" w:fill="1F3864"/>
          </w:tcPr>
          <w:p>
            <w:pPr>
              <w:pStyle w:val="Compact"/>
              <w:jc w:val="left"/>
            </w:pPr>
            <w:r>
              <w:rPr>
                <w:b/>
                <w:color w:val="FFFFFF"/>
              </w:rPr>
              <w:t xml:space="preserve">Maximum instances</w:t>
            </w:r>
          </w:p>
        </w:tc>
        <w:tc>
          <w:tcPr>
            <w:shd w:val="clear" w:color="auto" w:fill="1F3864"/>
          </w:tcPr>
          <w:p>
            <w:pPr>
              <w:pStyle w:val="Compact"/>
              <w:jc w:val="left"/>
            </w:pPr>
            <w:r>
              <w:rPr>
                <w:b/>
                <w:color w:val="FFFFFF"/>
              </w:rPr>
              <w:t xml:space="preserve">Rationale</w:t>
            </w:r>
          </w:p>
        </w:tc>
      </w:tr>
      <w:tr>
        <w:tc>
          <w:tcPr/>
          <w:p>
            <w:pPr>
              <w:pStyle w:val="Compact"/>
              <w:jc w:val="left"/>
            </w:pPr>
            <w:r>
              <w:rPr>
                <w:rStyle w:val="VerbatimChar"/>
              </w:rPr>
              <w:t xml:space="preserve">aihub-bff</w:t>
            </w:r>
          </w:p>
        </w:tc>
        <w:tc>
          <w:tcPr/>
          <w:p>
            <w:pPr>
              <w:pStyle w:val="Compact"/>
              <w:jc w:val="left"/>
            </w:pPr>
            <w:r>
              <w:t xml:space="preserve">30</w:t>
            </w:r>
          </w:p>
        </w:tc>
        <w:tc>
          <w:tcPr/>
          <w:p>
            <w:pPr>
              <w:pStyle w:val="Compact"/>
              <w:jc w:val="left"/>
            </w:pPr>
            <w:r>
              <w:t xml:space="preserve">The largest share — it is on every request path, including static asset retrieval</w:t>
            </w:r>
          </w:p>
        </w:tc>
      </w:tr>
      <w:tr>
        <w:tc>
          <w:tcPr/>
          <w:p>
            <w:pPr>
              <w:pStyle w:val="Compact"/>
              <w:jc w:val="left"/>
            </w:pPr>
            <w:r>
              <w:rPr>
                <w:rStyle w:val="VerbatimChar"/>
              </w:rPr>
              <w:t xml:space="preserve">translation-api-service</w:t>
            </w:r>
          </w:p>
        </w:tc>
        <w:tc>
          <w:tcPr/>
          <w:p>
            <w:pPr>
              <w:pStyle w:val="Compact"/>
              <w:jc w:val="left"/>
            </w:pPr>
            <w:r>
              <w:t xml:space="preserve">20</w:t>
            </w:r>
          </w:p>
        </w:tc>
        <w:tc>
          <w:tcPr/>
          <w:p>
            <w:pPr>
              <w:pStyle w:val="Compact"/>
              <w:jc w:val="left"/>
            </w:pPr>
            <w:r>
              <w:t xml:space="preserve">—</w:t>
            </w:r>
          </w:p>
        </w:tc>
      </w:tr>
      <w:tr>
        <w:tc>
          <w:tcPr/>
          <w:p>
            <w:pPr>
              <w:pStyle w:val="Compact"/>
              <w:jc w:val="left"/>
            </w:pPr>
            <w:r>
              <w:rPr>
                <w:rStyle w:val="VerbatimChar"/>
              </w:rPr>
              <w:t xml:space="preserve">translation-worker-service</w:t>
            </w:r>
          </w:p>
        </w:tc>
        <w:tc>
          <w:tcPr/>
          <w:p>
            <w:pPr>
              <w:pStyle w:val="Compact"/>
              <w:jc w:val="left"/>
            </w:pPr>
            <w:r>
              <w:t xml:space="preserve">20</w:t>
            </w:r>
          </w:p>
        </w:tc>
        <w:tc>
          <w:tcPr/>
          <w:p>
            <w:pPr>
              <w:pStyle w:val="Compact"/>
              <w:jc w:val="left"/>
            </w:pPr>
            <w:r>
              <w:t xml:space="preserve">Long-running jobs hold instances open</w:t>
            </w:r>
          </w:p>
        </w:tc>
      </w:tr>
      <w:tr>
        <w:tc>
          <w:tcPr/>
          <w:p>
            <w:pPr>
              <w:pStyle w:val="Compact"/>
              <w:jc w:val="left"/>
            </w:pPr>
            <w:r>
              <w:rPr>
                <w:rStyle w:val="VerbatimChar"/>
              </w:rPr>
              <w:t xml:space="preserve">sales-research-application</w:t>
            </w:r>
          </w:p>
        </w:tc>
        <w:tc>
          <w:tcPr/>
          <w:p>
            <w:pPr>
              <w:pStyle w:val="Compact"/>
              <w:jc w:val="left"/>
            </w:pPr>
            <w:r>
              <w:t xml:space="preserve">12</w:t>
            </w:r>
          </w:p>
        </w:tc>
        <w:tc>
          <w:tcPr/>
          <w:p>
            <w:pPr>
              <w:pStyle w:val="Compact"/>
              <w:jc w:val="left"/>
            </w:pPr>
            <w:r>
              <w:t xml:space="preserve">—</w:t>
            </w:r>
          </w:p>
        </w:tc>
      </w:tr>
      <w:tr>
        <w:tc>
          <w:tcPr/>
          <w:p>
            <w:pPr>
              <w:pStyle w:val="Compact"/>
              <w:jc w:val="left"/>
            </w:pPr>
            <w:r>
              <w:rPr>
                <w:rStyle w:val="VerbatimChar"/>
              </w:rPr>
              <w:t xml:space="preserve">mcp-server</w:t>
            </w:r>
          </w:p>
        </w:tc>
        <w:tc>
          <w:tcPr/>
          <w:p>
            <w:pPr>
              <w:pStyle w:val="Compact"/>
              <w:jc w:val="left"/>
            </w:pPr>
            <w:r>
              <w:t xml:space="preserve">8</w:t>
            </w:r>
          </w:p>
        </w:tc>
        <w:tc>
          <w:tcPr/>
          <w:p>
            <w:pPr>
              <w:pStyle w:val="Compact"/>
              <w:jc w:val="left"/>
            </w:pPr>
            <w:r>
              <w:t xml:space="preserve">—</w:t>
            </w:r>
          </w:p>
        </w:tc>
      </w:tr>
      <w:tr>
        <w:tc>
          <w:tcPr/>
          <w:p>
            <w:pPr>
              <w:pStyle w:val="Compact"/>
              <w:jc w:val="left"/>
            </w:pPr>
            <w:r>
              <w:rPr>
                <w:b/>
                <w:bCs/>
              </w:rPr>
              <w:t xml:space="preserve">Day-1 subtotal</w:t>
            </w:r>
          </w:p>
        </w:tc>
        <w:tc>
          <w:tcPr/>
          <w:p>
            <w:pPr>
              <w:pStyle w:val="Compact"/>
              <w:jc w:val="left"/>
            </w:pPr>
            <w:r>
              <w:rPr>
                <w:b/>
                <w:bCs/>
              </w:rPr>
              <w:t xml:space="preserve">90</w:t>
            </w:r>
          </w:p>
        </w:tc>
        <w:tc>
          <w:tcPr/>
          <w:p>
            <w:pPr>
              <w:pStyle w:val="Compact"/>
              <w:jc w:val="left"/>
            </w:pPr>
            <w:r>
              <w:t xml:space="preserve">The five services in this document</w:t>
            </w:r>
          </w:p>
        </w:tc>
      </w:tr>
      <w:tr>
        <w:tc>
          <w:tcPr/>
          <w:p>
            <w:pPr>
              <w:pStyle w:val="Compact"/>
              <w:jc w:val="left"/>
            </w:pPr>
            <w:r>
              <w:rPr>
                <w:i/>
                <w:iCs/>
              </w:rPr>
              <w:t xml:space="preserve">(reserved)</w:t>
            </w:r>
          </w:p>
        </w:tc>
        <w:tc>
          <w:tcPr/>
          <w:p>
            <w:pPr>
              <w:pStyle w:val="Compact"/>
              <w:jc w:val="left"/>
            </w:pPr>
            <w:r>
              <w:t xml:space="preserve">37</w:t>
            </w:r>
          </w:p>
        </w:tc>
        <w:tc>
          <w:tcPr/>
          <w:p>
            <w:pPr>
              <w:pStyle w:val="Compact"/>
              <w:jc w:val="left"/>
            </w:pPr>
            <w:r>
              <w:rPr>
                <w:b/>
                <w:bCs/>
              </w:rPr>
              <w:t xml:space="preserve">Future use cases.</w:t>
            </w:r>
            <w:r>
              <w:t xml:space="preserve"> </w:t>
            </w:r>
            <w:r>
              <w:t xml:space="preserve">Allocated on admission, not held by any service</w:t>
            </w:r>
          </w:p>
        </w:tc>
      </w:tr>
      <w:tr>
        <w:tc>
          <w:tcPr/>
          <w:p>
            <w:pPr>
              <w:pStyle w:val="Compact"/>
              <w:jc w:val="left"/>
            </w:pPr>
            <w:r>
              <w:rPr>
                <w:b/>
                <w:bCs/>
              </w:rPr>
              <w:t xml:space="preserve">Ceiling</w:t>
            </w:r>
          </w:p>
        </w:tc>
        <w:tc>
          <w:tcPr/>
          <w:p>
            <w:pPr>
              <w:pStyle w:val="Compact"/>
              <w:jc w:val="left"/>
            </w:pPr>
            <w:r>
              <w:rPr>
                <w:b/>
                <w:bCs/>
              </w:rPr>
              <w:t xml:space="preserve">127</w:t>
            </w:r>
          </w:p>
        </w:tc>
        <w:tc>
          <w:tcPr/>
          <w:p>
            <w:pPr>
              <w:pStyle w:val="Compact"/>
              <w:jc w:val="left"/>
            </w:pPr>
            <w:r>
              <w:rPr>
                <w:rStyle w:val="VerbatimChar"/>
              </w:rPr>
              <w:t xml:space="preserve">192.168.4.0/23</w:t>
            </w:r>
            <w:r>
              <w:t xml:space="preserve"> </w:t>
            </w:r>
            <w:r>
              <w:t xml:space="preserve">÷ the 4× rollout multiplier</w:t>
            </w:r>
          </w:p>
        </w:tc>
      </w:tr>
    </w:tbl>
    <w:p>
      <w:pPr>
        <w:pStyle w:val="BodyText"/>
      </w:pPr>
      <w:r>
        <w:t xml:space="preserve">This is a hard ceiling. If a service’s maximum instance setting is left at a high default, a rollout eventually cannot obtain addresses and stalls, and the resulting error does not clearly indicate an address exhaustion condition. The allocation above is agreed with the application teams and recorded; it is not to be adjusted by an individual service team without re-running this arithmetic.</w:t>
      </w:r>
    </w:p>
    <w:p>
      <w:pPr>
        <w:pStyle w:val="BodyText"/>
      </w:pPr>
      <w:r>
        <w:rPr>
          <w:b/>
          <w:bCs/>
        </w:rPr>
        <w:t xml:space="preserve">Monitoring.</w:t>
      </w:r>
      <w:r>
        <w:t xml:space="preserve"> </w:t>
      </w:r>
      <w:r>
        <w:t xml:space="preserve">Track the Cloud Run instance-count metric, multiply by 2, and alert above 250, per PR-19 (Cloud Run address consumption alert) — the point at which a revision rollout starts to be at risk against the workload subnet.</w:t>
      </w:r>
    </w:p>
    <w:p>
      <w:pPr>
        <w:pStyle w:val="BodyText"/>
      </w:pPr>
      <w:r>
        <w:rPr>
          <w:b/>
          <w:bCs/>
        </w:rPr>
        <w:t xml:space="preserve">If more capacity is needed.</w:t>
      </w:r>
      <w:r>
        <w:t xml:space="preserve"> </w:t>
      </w:r>
      <w:r>
        <w:t xml:space="preserve">Every service requires VPC egress, so the address headroom a static front end would not have consumed does not exist here.</w:t>
      </w:r>
      <w:r>
        <w:t xml:space="preserve"> </w:t>
      </w:r>
      <w:r>
        <w:rPr>
          <w:rStyle w:val="VerbatimChar"/>
        </w:rPr>
        <w:t xml:space="preserve">gclt-aicoe-dev-cloudrun-ew1</w:t>
      </w:r>
      <w:r>
        <w:t xml:space="preserve"> </w:t>
      </w:r>
      <w:r>
        <w:t xml:space="preserve">itself cannot be grown in place: expanding a subnet must preserve its network address and can only widen the prefix to the next aligned boundary, and the</w:t>
      </w:r>
      <w:r>
        <w:t xml:space="preserve"> </w:t>
      </w:r>
      <w:r>
        <w:rPr>
          <w:rStyle w:val="VerbatimChar"/>
        </w:rPr>
        <w:t xml:space="preserve">/22</w:t>
      </w:r>
      <w:r>
        <w:t xml:space="preserve"> </w:t>
      </w:r>
      <w:r>
        <w:t xml:space="preserve">that would produce here (</w:t>
      </w:r>
      <w:r>
        <w:rPr>
          <w:rStyle w:val="VerbatimChar"/>
        </w:rPr>
        <w:t xml:space="preserve">192.168.4.0/22</w:t>
      </w:r>
      <w:r>
        <w:t xml:space="preserve">) is the entire Dev unrouted range — already spoken for by the proxy-only, PSC and growth infrastructure in</w:t>
      </w:r>
      <w:r>
        <w:t xml:space="preserve"> </w:t>
      </w:r>
      <w:r>
        <w:rPr>
          <w:rStyle w:val="VerbatimChar"/>
        </w:rPr>
        <w:t xml:space="preserve">192.168.6.0/24</w:t>
      </w:r>
      <w:r>
        <w:t xml:space="preserve"> </w:t>
      </w:r>
      <w:r>
        <w:t xml:space="preserve">and by the reserved future-use-case block below. A new use case therefore gets</w:t>
      </w:r>
      <w:r>
        <w:t xml:space="preserve"> </w:t>
      </w:r>
      <w:r>
        <w:rPr>
          <w:b/>
          <w:bCs/>
        </w:rPr>
        <w:t xml:space="preserve">its own new workload subnet</w:t>
      </w:r>
      <w:r>
        <w:t xml:space="preserve">, carved from</w:t>
      </w:r>
      <w:r>
        <w:t xml:space="preserve"> </w:t>
      </w:r>
      <w:r>
        <w:rPr>
          <w:rStyle w:val="VerbatimChar"/>
        </w:rPr>
        <w:t xml:space="preserve">192.168.7.0/24</w:t>
      </w:r>
      <w:r>
        <w:t xml:space="preserve">, not an enlargement of the existing one — that is what the reservation is for. Unlike the previous</w:t>
      </w:r>
      <w:r>
        <w:t xml:space="preserve"> </w:t>
      </w:r>
      <w:r>
        <w:rPr>
          <w:rStyle w:val="VerbatimChar"/>
        </w:rPr>
        <w:t xml:space="preserve">/24</w:t>
      </w:r>
      <w:r>
        <w:t xml:space="preserve"> </w:t>
      </w:r>
      <w:r>
        <w:t xml:space="preserve">plan, this no longer requires a new IPAM request in the first instance, per I7 (Development subnet ranges):</w:t>
      </w:r>
      <w:r>
        <w:t xml:space="preserve"> </w:t>
      </w:r>
      <w:r>
        <w:rPr>
          <w:rStyle w:val="VerbatimChar"/>
        </w:rPr>
        <w:t xml:space="preserve">192.168.7.0/24</w:t>
      </w:r>
      <w:r>
        <w:t xml:space="preserve"> </w:t>
      </w:r>
      <w:r>
        <w:t xml:space="preserve">is held unallocated inside</w:t>
      </w:r>
      <w:r>
        <w:t xml:space="preserve"> </w:t>
      </w:r>
      <w:r>
        <w:rPr>
          <w:rStyle w:val="VerbatimChar"/>
        </w:rPr>
        <w:t xml:space="preserve">192.168.4.0/22</w:t>
      </w:r>
      <w:r>
        <w:t xml:space="preserve"> </w:t>
      </w:r>
      <w:r>
        <w:t xml:space="preserve">precisely so a fresh subnet can be cut from it on demand. Only once the</w:t>
      </w:r>
      <w:r>
        <w:t xml:space="preserve"> </w:t>
      </w:r>
      <w:r>
        <w:rPr>
          <w:rStyle w:val="VerbatimChar"/>
        </w:rPr>
        <w:t xml:space="preserve">/22</w:t>
      </w:r>
      <w:r>
        <w:t xml:space="preserve"> </w:t>
      </w:r>
      <w:r>
        <w:t xml:space="preserve">itself is exhausted does a new IPAM request arise.</w:t>
      </w:r>
    </w:p>
    <w:bookmarkEnd w:id="172"/>
    <w:bookmarkStart w:id="173" w:name="cloud-tasks"/>
    <w:p>
      <w:pPr>
        <w:pStyle w:val="Heading2"/>
      </w:pPr>
      <w:r>
        <w:t xml:space="preserve">9.3 Cloud Tasks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w:t>
            </w:r>
          </w:p>
        </w:tc>
      </w:tr>
      <w:tr>
        <w:tc>
          <w:tcPr/>
          <w:p>
            <w:pPr>
              <w:pStyle w:val="Compact"/>
              <w:jc w:val="left"/>
            </w:pPr>
            <w:r>
              <w:t xml:space="preserve">Queue name</w:t>
            </w:r>
          </w:p>
        </w:tc>
        <w:tc>
          <w:tcPr/>
          <w:p>
            <w:pPr>
              <w:pStyle w:val="Compact"/>
              <w:jc w:val="left"/>
            </w:pPr>
            <w:r>
              <w:rPr>
                <w:rStyle w:val="VerbatimChar"/>
              </w:rPr>
              <w:t xml:space="preserve">translation-jobs</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Maximum dispatches per second</w:t>
            </w:r>
          </w:p>
        </w:tc>
        <w:tc>
          <w:tcPr/>
          <w:p>
            <w:pPr>
              <w:pStyle w:val="Compact"/>
              <w:jc w:val="left"/>
            </w:pPr>
            <w:r>
              <w:t xml:space="preserve">5</w:t>
            </w:r>
          </w:p>
        </w:tc>
      </w:tr>
      <w:tr>
        <w:tc>
          <w:tcPr/>
          <w:p>
            <w:pPr>
              <w:pStyle w:val="Compact"/>
              <w:jc w:val="left"/>
            </w:pPr>
            <w:r>
              <w:t xml:space="preserve">Maximum concurrent dispatches</w:t>
            </w:r>
          </w:p>
        </w:tc>
        <w:tc>
          <w:tcPr/>
          <w:p>
            <w:pPr>
              <w:pStyle w:val="Compact"/>
              <w:jc w:val="left"/>
            </w:pPr>
            <w:r>
              <w:t xml:space="preserve">10</w:t>
            </w:r>
          </w:p>
        </w:tc>
      </w:tr>
      <w:tr>
        <w:tc>
          <w:tcPr/>
          <w:p>
            <w:pPr>
              <w:pStyle w:val="Compact"/>
              <w:jc w:val="left"/>
            </w:pPr>
            <w:r>
              <w:t xml:space="preserve">Maximum attempts</w:t>
            </w:r>
          </w:p>
        </w:tc>
        <w:tc>
          <w:tcPr/>
          <w:p>
            <w:pPr>
              <w:pStyle w:val="Compact"/>
              <w:jc w:val="left"/>
            </w:pPr>
            <w:r>
              <w:t xml:space="preserve">3</w:t>
            </w:r>
          </w:p>
        </w:tc>
      </w:tr>
      <w:tr>
        <w:tc>
          <w:tcPr/>
          <w:p>
            <w:pPr>
              <w:pStyle w:val="Compact"/>
              <w:jc w:val="left"/>
            </w:pPr>
            <w:r>
              <w:t xml:space="preserve">Maximum retry duration</w:t>
            </w:r>
          </w:p>
        </w:tc>
        <w:tc>
          <w:tcPr/>
          <w:p>
            <w:pPr>
              <w:pStyle w:val="Compact"/>
              <w:jc w:val="left"/>
            </w:pPr>
            <w:r>
              <w:t xml:space="preserve">3,600 s</w:t>
            </w:r>
          </w:p>
        </w:tc>
      </w:tr>
      <w:tr>
        <w:tc>
          <w:tcPr/>
          <w:p>
            <w:pPr>
              <w:pStyle w:val="Compact"/>
              <w:jc w:val="left"/>
            </w:pPr>
            <w:r>
              <w:t xml:space="preserve">Dispatches as</w:t>
            </w:r>
          </w:p>
        </w:tc>
        <w:tc>
          <w:tcPr/>
          <w:p>
            <w:pPr>
              <w:pStyle w:val="Compact"/>
              <w:jc w:val="left"/>
            </w:pPr>
            <w:r>
              <w:rPr>
                <w:rStyle w:val="VerbatimChar"/>
              </w:rPr>
              <w:t xml:space="preserve">worker-invoker-sa</w:t>
            </w:r>
            <w:r>
              <w:t xml:space="preserve">, which holds</w:t>
            </w:r>
            <w:r>
              <w:t xml:space="preserve"> </w:t>
            </w:r>
            <w:r>
              <w:rPr>
                <w:rStyle w:val="VerbatimChar"/>
              </w:rPr>
              <w:t xml:space="preserve">roles/run.invoker</w:t>
            </w:r>
            <w:r>
              <w:t xml:space="preserve"> </w:t>
            </w:r>
            <w:r>
              <w:t xml:space="preserve">on</w:t>
            </w:r>
            <w:r>
              <w:t xml:space="preserve"> </w:t>
            </w:r>
            <w:r>
              <w:rPr>
                <w:rStyle w:val="VerbatimChar"/>
              </w:rPr>
              <w:t xml:space="preserve">translation-worker-service</w:t>
            </w:r>
            <w:r>
              <w:t xml:space="preserve"> </w:t>
            </w:r>
            <w:r>
              <w:t xml:space="preserve">alone</w:t>
            </w:r>
          </w:p>
        </w:tc>
      </w:tr>
    </w:tbl>
    <w:p>
      <w:pPr>
        <w:pStyle w:val="BodyText"/>
      </w:pPr>
      <w:r>
        <w:t xml:space="preserve">The queue exists because document translation can take several minutes; the API hands the job to the queue and returns immediately rather than holding the caller. Dispatch rate and concurrency are the backpressure control for translation and are set deliberately rather than left at their defaults. Retry behaviour interacts with quota exhaustion returning 429, per</w:t>
      </w:r>
      <w:r>
        <w:t xml:space="preserve"> </w:t>
      </w:r>
      <w:r>
        <w:rPr>
          <w:b/>
          <w:bCs/>
        </w:rPr>
        <w:t xml:space="preserve">Quota-exhaustion handling in long-running consumers</w:t>
      </w:r>
      <w:r>
        <w:t xml:space="preserve">. The task payload carries only the job identifier; job detail is held in the Firestore</w:t>
      </w:r>
      <w:r>
        <w:t xml:space="preserve"> </w:t>
      </w:r>
      <w:r>
        <w:rPr>
          <w:rStyle w:val="VerbatimChar"/>
        </w:rPr>
        <w:t xml:space="preserve">jobs</w:t>
      </w:r>
      <w:r>
        <w:t xml:space="preserve"> </w:t>
      </w:r>
      <w:r>
        <w:t xml:space="preserve">document.</w:t>
      </w:r>
    </w:p>
    <w:p>
      <w:pPr>
        <w:pStyle w:val="BodyText"/>
      </w:pPr>
      <w:r>
        <w:rPr>
          <w:b/>
          <w:bCs/>
        </w:rPr>
        <w:t xml:space="preserve">Adopted design.</w:t>
      </w:r>
      <w:r>
        <w:t xml:space="preserve"> </w:t>
      </w:r>
      <w:r>
        <w:rPr>
          <w:rStyle w:val="VerbatimChar"/>
        </w:rPr>
        <w:t xml:space="preserve">translation-worker-service</w:t>
      </w:r>
      <w:r>
        <w:t xml:space="preserve"> </w:t>
      </w:r>
      <w:r>
        <w:t xml:space="preserve">is configured with</w:t>
      </w:r>
      <w:r>
        <w:t xml:space="preserve"> </w:t>
      </w:r>
      <w:r>
        <w:rPr>
          <w:rStyle w:val="VerbatimChar"/>
        </w:rPr>
        <w:t xml:space="preserve">ingress=internal</w:t>
      </w:r>
      <w:r>
        <w:t xml:space="preserve">; Cloud Tasks dispatches to it directly on that setting.</w:t>
      </w:r>
    </w:p>
    <w:p>
      <w:pPr>
        <w:pStyle w:val="BodyText"/>
      </w:pPr>
      <w:r>
        <w:t xml:space="preserve">The</w:t>
      </w:r>
      <w:r>
        <w:t xml:space="preserve"> </w:t>
      </w:r>
      <w:r>
        <w:rPr>
          <w:rStyle w:val="VerbatimChar"/>
        </w:rPr>
        <w:t xml:space="preserve">run.app</w:t>
      </w:r>
      <w:r>
        <w:t xml:space="preserve"> </w:t>
      </w:r>
      <w:r>
        <w:t xml:space="preserve">private DNS zone specified in</w:t>
      </w:r>
      <w:r>
        <w:t xml:space="preserve"> </w:t>
      </w:r>
      <w:r>
        <w:rPr>
          <w:b/>
          <w:bCs/>
        </w:rPr>
        <w:t xml:space="preserve">DNS</w:t>
      </w:r>
      <w:r>
        <w:t xml:space="preserve"> </w:t>
      </w:r>
      <w:r>
        <w:t xml:space="preserve">exists for this dispatch path.</w:t>
      </w:r>
    </w:p>
    <w:bookmarkEnd w:id="173"/>
    <w:bookmarkStart w:id="174" w:name="firestore"/>
    <w:p>
      <w:pPr>
        <w:pStyle w:val="Heading2"/>
      </w:pPr>
      <w:r>
        <w:t xml:space="preserve">9.4 Firestore</w:t>
      </w:r>
    </w:p>
    <w:p>
      <w:pPr>
        <w:pStyle w:val="FirstParagraph"/>
      </w:pPr>
      <w:r>
        <w:t xml:space="preserve">Firestore’s configuration — Native mode,</w:t>
      </w:r>
      <w:r>
        <w:t xml:space="preserve"> </w:t>
      </w:r>
      <w:r>
        <w:rPr>
          <w:rStyle w:val="VerbatimChar"/>
        </w:rPr>
        <w:t xml:space="preserve">europe-west1</w:t>
      </w:r>
      <w:r>
        <w:t xml:space="preserve">, CMEK from the AI Hub key ring, database identifier</w:t>
      </w:r>
      <w:r>
        <w:t xml:space="preserve"> </w:t>
      </w:r>
      <w:r>
        <w:rPr>
          <w:rStyle w:val="VerbatimChar"/>
        </w:rPr>
        <w:t xml:space="preserve">(default)</w:t>
      </w:r>
      <w:r>
        <w:t xml:space="preserve">, the TTL policy on</w:t>
      </w:r>
      <w:r>
        <w:t xml:space="preserve"> </w:t>
      </w:r>
      <w:r>
        <w:rPr>
          <w:rStyle w:val="VerbatimChar"/>
        </w:rPr>
        <w:t xml:space="preserve">sessions.absolute_expires_at</w:t>
      </w:r>
      <w:r>
        <w:t xml:space="preserve">, and the three collections — is fully specified in</w:t>
      </w:r>
      <w:r>
        <w:t xml:space="preserve"> </w:t>
      </w:r>
      <w:r>
        <w:rPr>
          <w:b/>
          <w:bCs/>
        </w:rPr>
        <w:t xml:space="preserve">Session store — Firestore</w:t>
      </w:r>
      <w:r>
        <w:t xml:space="preserve">. This subsection records two consequences that follow from Firestore’s role, beyond those covered in</w:t>
      </w:r>
      <w:r>
        <w:t xml:space="preserve"> </w:t>
      </w:r>
      <w:r>
        <w:rPr>
          <w:b/>
          <w:bCs/>
        </w:rPr>
        <w:t xml:space="preserve">Session read latency and Firestore failure</w:t>
      </w:r>
      <w:r>
        <w:t xml:space="preserv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Concern</w:t>
            </w:r>
          </w:p>
        </w:tc>
        <w:tc>
          <w:tcPr>
            <w:shd w:val="clear" w:color="auto" w:fill="1F3864"/>
          </w:tcPr>
          <w:p>
            <w:pPr>
              <w:pStyle w:val="Compact"/>
              <w:jc w:val="left"/>
            </w:pPr>
            <w:r>
              <w:rPr>
                <w:b/>
                <w:color w:val="FFFFFF"/>
              </w:rPr>
              <w:t xml:space="preserve">Position</w:t>
            </w:r>
          </w:p>
        </w:tc>
      </w:tr>
      <w:tr>
        <w:tc>
          <w:tcPr/>
          <w:p>
            <w:pPr>
              <w:pStyle w:val="Compact"/>
              <w:jc w:val="left"/>
            </w:pPr>
            <w:r>
              <w:t xml:space="preserve">Backup and restore</w:t>
            </w:r>
          </w:p>
        </w:tc>
        <w:tc>
          <w:tcPr/>
          <w:p>
            <w:pPr>
              <w:pStyle w:val="Compact"/>
              <w:jc w:val="left"/>
            </w:pPr>
            <w:r>
              <w:t xml:space="preserve">Session-document loss signs every affected user out, which is recoverable by re-authentication.</w:t>
            </w:r>
            <w:r>
              <w:t xml:space="preserve"> </w:t>
            </w:r>
            <w:r>
              <w:rPr>
                <w:b/>
                <w:bCs/>
              </w:rPr>
              <w:t xml:space="preserve">Job-record loss breaks an in-flight translation</w:t>
            </w:r>
            <w:r>
              <w:t xml:space="preserve">, which is not recoverable the same way. This asymmetry is carried into</w:t>
            </w:r>
            <w:r>
              <w:t xml:space="preserve"> </w:t>
            </w:r>
            <w:r>
              <w:rPr>
                <w:b/>
                <w:bCs/>
              </w:rPr>
              <w:t xml:space="preserve">Backup and Restore</w:t>
            </w:r>
          </w:p>
        </w:tc>
      </w:tr>
      <w:tr>
        <w:tc>
          <w:tcPr/>
          <w:p>
            <w:pPr>
              <w:pStyle w:val="Compact"/>
              <w:jc w:val="left"/>
            </w:pPr>
            <w:r>
              <w:t xml:space="preserve">Failure-mode testing</w:t>
            </w:r>
          </w:p>
        </w:tc>
        <w:tc>
          <w:tcPr/>
          <w:p>
            <w:pPr>
              <w:pStyle w:val="Compact"/>
              <w:jc w:val="left"/>
            </w:pPr>
            <w:r>
              <w:t xml:space="preserve">Firestore’s hard-dependency failure behaviour is specified in</w:t>
            </w:r>
            <w:r>
              <w:t xml:space="preserve"> </w:t>
            </w:r>
            <w:r>
              <w:rPr>
                <w:b/>
                <w:bCs/>
              </w:rPr>
              <w:t xml:space="preserve">Session read latency and Firestore failure</w:t>
            </w:r>
            <w:r>
              <w:t xml:space="preserve">, and confirmed by build-time testing rather than assumed</w:t>
            </w:r>
          </w:p>
        </w:tc>
      </w:tr>
    </w:tbl>
    <w:bookmarkEnd w:id="174"/>
    <w:bookmarkStart w:id="175" w:name="cloud-storage"/>
    <w:p>
      <w:pPr>
        <w:pStyle w:val="Heading2"/>
      </w:pPr>
      <w:r>
        <w:t xml:space="preserve">9.5 Cloud Storage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Bucket</w:t>
            </w:r>
          </w:p>
        </w:tc>
        <w:tc>
          <w:tcPr>
            <w:shd w:val="clear" w:color="auto" w:fill="1F3864"/>
          </w:tcPr>
          <w:p>
            <w:pPr>
              <w:pStyle w:val="Compact"/>
              <w:jc w:val="left"/>
            </w:pPr>
            <w:r>
              <w:rPr>
                <w:b/>
                <w:color w:val="FFFFFF"/>
              </w:rPr>
              <w:t xml:space="preserve">Purpose</w:t>
            </w:r>
          </w:p>
        </w:tc>
      </w:tr>
      <w:tr>
        <w:tc>
          <w:tcPr/>
          <w:p>
            <w:pPr>
              <w:pStyle w:val="Compact"/>
              <w:jc w:val="left"/>
            </w:pPr>
            <w:r>
              <w:rPr>
                <w:rStyle w:val="VerbatimChar"/>
              </w:rPr>
              <w:t xml:space="preserve">gclt-aicoe-dev-st-documents</w:t>
            </w:r>
          </w:p>
        </w:tc>
        <w:tc>
          <w:tcPr/>
          <w:p>
            <w:pPr>
              <w:pStyle w:val="Compact"/>
              <w:jc w:val="left"/>
            </w:pPr>
            <w:r>
              <w:t xml:space="preserve">Uploaded documents for translation</w:t>
            </w:r>
          </w:p>
        </w:tc>
      </w:tr>
      <w:tr>
        <w:tc>
          <w:tcPr/>
          <w:p>
            <w:pPr>
              <w:pStyle w:val="Compact"/>
              <w:jc w:val="left"/>
            </w:pPr>
            <w:r>
              <w:rPr>
                <w:rStyle w:val="VerbatimChar"/>
              </w:rPr>
              <w:t xml:space="preserve">gclt-aicoe-dev-st-vector-source</w:t>
            </w:r>
          </w:p>
        </w:tc>
        <w:tc>
          <w:tcPr/>
          <w:p>
            <w:pPr>
              <w:pStyle w:val="Compact"/>
              <w:jc w:val="left"/>
            </w:pPr>
            <w:r>
              <w:t xml:space="preserve">Embedding source data for Vector Search</w:t>
            </w:r>
          </w:p>
        </w:tc>
      </w:tr>
    </w:tbl>
    <w:p>
      <w:pPr>
        <w:pStyle w:val="BodyText"/>
      </w:pPr>
      <w:r>
        <w:t xml:space="preserve">The Terraform state bucket is a separate resource in a separate project,</w:t>
      </w:r>
      <w:r>
        <w:t xml:space="preserve"> </w:t>
      </w:r>
      <w:r>
        <w:rPr>
          <w:rStyle w:val="VerbatimChar"/>
        </w:rPr>
        <w:t xml:space="preserve">aicoe-sharedwif</w:t>
      </w:r>
      <w:r>
        <w:t xml:space="preserve">, and is specified in</w:t>
      </w:r>
      <w:r>
        <w:t xml:space="preserve"> </w:t>
      </w:r>
      <w:r>
        <w:rPr>
          <w:b/>
          <w:bCs/>
        </w:rPr>
        <w:t xml:space="preserve">Terraform state management</w:t>
      </w:r>
      <w:r>
        <w:t xml:space="preserve">, not in the table above.</w:t>
      </w:r>
    </w:p>
    <w:p>
      <w:pPr>
        <w:pStyle w:val="BodyText"/>
      </w:pPr>
      <w:r>
        <w:rPr>
          <w:b/>
          <w:bCs/>
        </w:rPr>
        <w:t xml:space="preserve">Settings applied to every bucket in this table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Rationale</w:t>
            </w:r>
          </w:p>
        </w:tc>
      </w:tr>
      <w:tr>
        <w:tc>
          <w:tcPr/>
          <w:p>
            <w:pPr>
              <w:pStyle w:val="Compact"/>
              <w:jc w:val="left"/>
            </w:pPr>
            <w:r>
              <w:t xml:space="preserve">Location type</w:t>
            </w:r>
          </w:p>
        </w:tc>
        <w:tc>
          <w:tcPr/>
          <w:p>
            <w:pPr>
              <w:pStyle w:val="Compact"/>
              <w:jc w:val="left"/>
            </w:pPr>
            <w:r>
              <w:t xml:space="preserve">Region,</w:t>
            </w:r>
            <w:r>
              <w:t xml:space="preserve"> </w:t>
            </w:r>
            <w:r>
              <w:rPr>
                <w:rStyle w:val="VerbatimChar"/>
              </w:rPr>
              <w:t xml:space="preserve">europe-west1</w:t>
            </w:r>
          </w:p>
        </w:tc>
        <w:tc>
          <w:tcPr/>
          <w:p>
            <w:pPr>
              <w:pStyle w:val="Compact"/>
              <w:jc w:val="left"/>
            </w:pPr>
            <w:r>
              <w:t xml:space="preserve">Residency</w:t>
            </w:r>
          </w:p>
        </w:tc>
      </w:tr>
      <w:tr>
        <w:tc>
          <w:tcPr/>
          <w:p>
            <w:pPr>
              <w:pStyle w:val="Compact"/>
              <w:jc w:val="left"/>
            </w:pPr>
            <w:r>
              <w:t xml:space="preserve">Storage class</w:t>
            </w:r>
          </w:p>
        </w:tc>
        <w:tc>
          <w:tcPr/>
          <w:p>
            <w:pPr>
              <w:pStyle w:val="Compact"/>
              <w:jc w:val="left"/>
            </w:pPr>
            <w:r>
              <w:t xml:space="preserve">Standard</w:t>
            </w:r>
          </w:p>
        </w:tc>
        <w:tc>
          <w:tcPr/>
          <w:p>
            <w:pPr>
              <w:pStyle w:val="Compact"/>
              <w:jc w:val="left"/>
            </w:pPr>
            <w:r>
              <w:t xml:space="preserve">—</w:t>
            </w:r>
          </w:p>
        </w:tc>
      </w:tr>
      <w:tr>
        <w:tc>
          <w:tcPr/>
          <w:p>
            <w:pPr>
              <w:pStyle w:val="Compact"/>
              <w:jc w:val="left"/>
            </w:pPr>
            <w:r>
              <w:t xml:space="preserve">Access control</w:t>
            </w:r>
          </w:p>
        </w:tc>
        <w:tc>
          <w:tcPr/>
          <w:p>
            <w:pPr>
              <w:pStyle w:val="Compact"/>
              <w:jc w:val="left"/>
            </w:pPr>
            <w:r>
              <w:t xml:space="preserve">Uniform</w:t>
            </w:r>
          </w:p>
        </w:tc>
        <w:tc>
          <w:tcPr/>
          <w:p>
            <w:pPr>
              <w:pStyle w:val="Compact"/>
              <w:jc w:val="left"/>
            </w:pPr>
            <w:r>
              <w:t xml:space="preserve">Per-object permissions become impossible to audit; uniform access control means the bucket’s IAM is the whole story, per CR-10 (uniform bucket-level access)</w:t>
            </w:r>
          </w:p>
        </w:tc>
      </w:tr>
      <w:tr>
        <w:tc>
          <w:tcPr/>
          <w:p>
            <w:pPr>
              <w:pStyle w:val="Compact"/>
              <w:jc w:val="left"/>
            </w:pPr>
            <w:r>
              <w:t xml:space="preserve">Public access prevention</w:t>
            </w:r>
          </w:p>
        </w:tc>
        <w:tc>
          <w:tcPr/>
          <w:p>
            <w:pPr>
              <w:pStyle w:val="Compact"/>
              <w:jc w:val="left"/>
            </w:pPr>
            <w:r>
              <w:t xml:space="preserve">Enforced</w:t>
            </w:r>
          </w:p>
        </w:tc>
        <w:tc>
          <w:tcPr/>
          <w:p>
            <w:pPr>
              <w:pStyle w:val="Compact"/>
              <w:jc w:val="left"/>
            </w:pPr>
            <w:r>
              <w:t xml:space="preserve">Also enforced by organisation policy, per CR-11 (public access prevention and domain-restricted sharing)</w:t>
            </w:r>
          </w:p>
        </w:tc>
      </w:tr>
      <w:tr>
        <w:tc>
          <w:tcPr/>
          <w:p>
            <w:pPr>
              <w:pStyle w:val="Compact"/>
              <w:jc w:val="left"/>
            </w:pPr>
            <w:r>
              <w:t xml:space="preserve">Encryption</w:t>
            </w:r>
          </w:p>
        </w:tc>
        <w:tc>
          <w:tcPr/>
          <w:p>
            <w:pPr>
              <w:pStyle w:val="Compact"/>
              <w:jc w:val="left"/>
            </w:pPr>
            <w:r>
              <w:t xml:space="preserve">CMEK, key</w:t>
            </w:r>
            <w:r>
              <w:t xml:space="preserve"> </w:t>
            </w:r>
            <w:r>
              <w:rPr>
                <w:rStyle w:val="VerbatimChar"/>
              </w:rPr>
              <w:t xml:space="preserve">st/app-gcs</w:t>
            </w:r>
            <w:r>
              <w:t xml:space="preserve">, per TR-09 (CMEK across platform data stores)</w:t>
            </w:r>
          </w:p>
        </w:tc>
        <w:tc>
          <w:tcPr/>
          <w:p>
            <w:pPr>
              <w:pStyle w:val="Compact"/>
              <w:jc w:val="left"/>
            </w:pPr>
            <w:r>
              <w:t xml:space="preserve">—</w:t>
            </w:r>
          </w:p>
        </w:tc>
      </w:tr>
      <w:tr>
        <w:tc>
          <w:tcPr/>
          <w:p>
            <w:pPr>
              <w:pStyle w:val="Compact"/>
              <w:jc w:val="left"/>
            </w:pPr>
            <w:r>
              <w:t xml:space="preserve">Object versioning</w:t>
            </w:r>
          </w:p>
        </w:tc>
        <w:tc>
          <w:tcPr/>
          <w:p>
            <w:pPr>
              <w:pStyle w:val="Compact"/>
              <w:jc w:val="left"/>
            </w:pPr>
            <w:r>
              <w:t xml:space="preserve">On</w:t>
            </w:r>
          </w:p>
        </w:tc>
        <w:tc>
          <w:tcPr/>
          <w:p>
            <w:pPr>
              <w:pStyle w:val="Compact"/>
              <w:jc w:val="left"/>
            </w:pPr>
            <w:r>
              <w:t xml:space="preserve">—</w:t>
            </w:r>
          </w:p>
        </w:tc>
      </w:tr>
    </w:tbl>
    <w:p>
      <w:pPr>
        <w:pStyle w:val="BodyText"/>
      </w:pPr>
      <w:r>
        <w:rPr>
          <w:rStyle w:val="VerbatimChar"/>
        </w:rPr>
        <w:t xml:space="preserve">translation-api-sa</w:t>
      </w:r>
      <w:r>
        <w:t xml:space="preserve"> </w:t>
      </w:r>
      <w:r>
        <w:t xml:space="preserve">holds Storage Object Admin scoped to the documents bucket only, not across the project.</w:t>
      </w:r>
    </w:p>
    <w:bookmarkEnd w:id="175"/>
    <w:bookmarkStart w:id="176" w:name="bigquery"/>
    <w:p>
      <w:pPr>
        <w:pStyle w:val="Heading2"/>
      </w:pPr>
      <w:r>
        <w:t xml:space="preserve">9.6 BigQuery</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Dataset</w:t>
            </w:r>
          </w:p>
        </w:tc>
        <w:tc>
          <w:tcPr>
            <w:shd w:val="clear" w:color="auto" w:fill="1F3864"/>
          </w:tcPr>
          <w:p>
            <w:pPr>
              <w:pStyle w:val="Compact"/>
              <w:jc w:val="left"/>
            </w:pPr>
            <w:r>
              <w:rPr>
                <w:b/>
                <w:color w:val="FFFFFF"/>
              </w:rPr>
              <w:t xml:space="preserve">Project</w:t>
            </w:r>
          </w:p>
        </w:tc>
        <w:tc>
          <w:tcPr>
            <w:shd w:val="clear" w:color="auto" w:fill="1F3864"/>
          </w:tcPr>
          <w:p>
            <w:pPr>
              <w:pStyle w:val="Compact"/>
              <w:jc w:val="left"/>
            </w:pPr>
            <w:r>
              <w:rPr>
                <w:b/>
                <w:color w:val="FFFFFF"/>
              </w:rPr>
              <w:t xml:space="preserve">Purpose</w:t>
            </w:r>
          </w:p>
        </w:tc>
        <w:tc>
          <w:tcPr>
            <w:shd w:val="clear" w:color="auto" w:fill="1F3864"/>
          </w:tcPr>
          <w:p>
            <w:pPr>
              <w:pStyle w:val="Compact"/>
              <w:jc w:val="left"/>
            </w:pPr>
            <w:r>
              <w:rPr>
                <w:b/>
                <w:color w:val="FFFFFF"/>
              </w:rPr>
              <w:t xml:space="preserve">Encryption</w:t>
            </w:r>
          </w:p>
        </w:tc>
      </w:tr>
      <w:tr>
        <w:tc>
          <w:tcPr/>
          <w:p>
            <w:pPr>
              <w:pStyle w:val="Compact"/>
              <w:jc w:val="left"/>
            </w:pPr>
            <w:r>
              <w:rPr>
                <w:rStyle w:val="VerbatimChar"/>
              </w:rPr>
              <w:t xml:space="preserve">aicoe_usage</w:t>
            </w:r>
          </w:p>
        </w:tc>
        <w:tc>
          <w:tcPr/>
          <w:p>
            <w:pPr>
              <w:pStyle w:val="Compact"/>
              <w:jc w:val="left"/>
            </w:pPr>
            <w:r>
              <w:rPr>
                <w:rStyle w:val="VerbatimChar"/>
              </w:rPr>
              <w:t xml:space="preserve">gclt-aicoe-dev-st</w:t>
            </w:r>
          </w:p>
        </w:tc>
        <w:tc>
          <w:tcPr/>
          <w:p>
            <w:pPr>
              <w:pStyle w:val="Compact"/>
              <w:jc w:val="left"/>
            </w:pPr>
            <w:r>
              <w:t xml:space="preserve">Usage and consumption records for long-term cost analysis</w:t>
            </w:r>
          </w:p>
        </w:tc>
        <w:tc>
          <w:tcPr/>
          <w:p>
            <w:pPr>
              <w:pStyle w:val="Compact"/>
              <w:jc w:val="left"/>
            </w:pPr>
            <w:r>
              <w:t xml:space="preserve">CMEK</w:t>
            </w:r>
            <w:r>
              <w:t xml:space="preserve"> </w:t>
            </w:r>
            <w:r>
              <w:rPr>
                <w:rStyle w:val="VerbatimChar"/>
              </w:rPr>
              <w:t xml:space="preserve">st/bq</w:t>
            </w:r>
          </w:p>
        </w:tc>
      </w:tr>
      <w:tr>
        <w:tc>
          <w:tcPr/>
          <w:p>
            <w:pPr>
              <w:pStyle w:val="Compact"/>
              <w:jc w:val="left"/>
            </w:pPr>
            <w:r>
              <w:rPr>
                <w:rStyle w:val="VerbatimChar"/>
              </w:rPr>
              <w:t xml:space="preserve">aicoe_dev_logs</w:t>
            </w:r>
          </w:p>
        </w:tc>
        <w:tc>
          <w:tcPr/>
          <w:p>
            <w:pPr>
              <w:pStyle w:val="Compact"/>
              <w:jc w:val="left"/>
            </w:pPr>
            <w:r>
              <w:rPr>
                <w:rStyle w:val="VerbatimChar"/>
              </w:rPr>
              <w:t xml:space="preserve">gclt-aicoe-dev-auditlogs</w:t>
            </w:r>
          </w:p>
        </w:tc>
        <w:tc>
          <w:tcPr/>
          <w:p>
            <w:pPr>
              <w:pStyle w:val="Compact"/>
              <w:jc w:val="left"/>
            </w:pPr>
            <w:r>
              <w:t xml:space="preserve">The linked dataset for Log Analytics over the 400-day log bucket — not a second copy</w:t>
            </w:r>
          </w:p>
        </w:tc>
        <w:tc>
          <w:tcPr/>
          <w:p>
            <w:pPr>
              <w:pStyle w:val="Compact"/>
              <w:jc w:val="left"/>
            </w:pPr>
            <w:r>
              <w:t xml:space="preserve">Inherits from the log bucket</w:t>
            </w:r>
          </w:p>
        </w:tc>
      </w:tr>
    </w:tbl>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Configuration</w:t>
            </w:r>
          </w:p>
        </w:tc>
      </w:tr>
      <w:tr>
        <w:tc>
          <w:tcPr/>
          <w:p>
            <w:pPr>
              <w:pStyle w:val="Compact"/>
              <w:jc w:val="left"/>
            </w:pPr>
            <w:r>
              <w:t xml:space="preserve">Location</w:t>
            </w:r>
          </w:p>
        </w:tc>
        <w:tc>
          <w:tcPr/>
          <w:p>
            <w:pPr>
              <w:pStyle w:val="Compact"/>
              <w:jc w:val="left"/>
            </w:pPr>
            <w:r>
              <w:t xml:space="preserve">Region,</w:t>
            </w:r>
            <w:r>
              <w:t xml:space="preserve"> </w:t>
            </w:r>
            <w:r>
              <w:rPr>
                <w:rStyle w:val="VerbatimChar"/>
              </w:rPr>
              <w:t xml:space="preserve">europe-west1</w:t>
            </w:r>
          </w:p>
        </w:tc>
      </w:tr>
      <w:tr>
        <w:tc>
          <w:tcPr/>
          <w:p>
            <w:pPr>
              <w:pStyle w:val="Compact"/>
              <w:jc w:val="left"/>
            </w:pPr>
            <w:r>
              <w:t xml:space="preserve">Access</w:t>
            </w:r>
          </w:p>
        </w:tc>
        <w:tc>
          <w:tcPr/>
          <w:p>
            <w:pPr>
              <w:pStyle w:val="Compact"/>
              <w:jc w:val="left"/>
            </w:pPr>
            <w:r>
              <w:rPr>
                <w:rStyle w:val="VerbatimChar"/>
              </w:rPr>
              <w:t xml:space="preserve">salesagent-sa</w:t>
            </w:r>
            <w:r>
              <w:t xml:space="preserve"> </w:t>
            </w:r>
            <w:r>
              <w:t xml:space="preserve">holds BigQuery Data Editor scoped to</w:t>
            </w:r>
            <w:r>
              <w:t xml:space="preserve"> </w:t>
            </w:r>
            <w:r>
              <w:rPr>
                <w:rStyle w:val="VerbatimChar"/>
              </w:rPr>
              <w:t xml:space="preserve">aicoe_usage</w:t>
            </w:r>
          </w:p>
        </w:tc>
      </w:tr>
      <w:tr>
        <w:tc>
          <w:tcPr/>
          <w:p>
            <w:pPr>
              <w:pStyle w:val="Compact"/>
              <w:jc w:val="left"/>
            </w:pPr>
            <w:r>
              <w:t xml:space="preserve">Audit</w:t>
            </w:r>
          </w:p>
        </w:tc>
        <w:tc>
          <w:tcPr/>
          <w:p>
            <w:pPr>
              <w:pStyle w:val="Compact"/>
              <w:jc w:val="left"/>
            </w:pPr>
            <w:r>
              <w:t xml:space="preserve">Data Access audit logs enabled at folder level</w:t>
            </w:r>
          </w:p>
        </w:tc>
      </w:tr>
    </w:tbl>
    <w:p>
      <w:pPr>
        <w:pStyle w:val="BodyText"/>
      </w:pPr>
      <w:r>
        <w:t xml:space="preserve">Dataset identifiers permit letters, numbers and underscores only; a hyphen is rejected, which is inconsistent with the platform’s project-naming convention and must be substituted at creation. The linked Log Analytics dataset queries the log bucket in place rather than copying it; a separate BigQuery sink would be a second stored copy at a second cost, per</w:t>
      </w:r>
      <w:r>
        <w:t xml:space="preserve"> </w:t>
      </w:r>
      <w:r>
        <w:rPr>
          <w:b/>
          <w:bCs/>
        </w:rPr>
        <w:t xml:space="preserve">TechOps — Logging, Monitoring and Cost</w:t>
      </w:r>
      <w:r>
        <w:t xml:space="preserve">.</w:t>
      </w:r>
    </w:p>
    <w:bookmarkEnd w:id="176"/>
    <w:bookmarkStart w:id="179" w:name="Xd6b9c5e382f4d7d6aec3d96ab8f2c9e8b88d8fa"/>
    <w:p>
      <w:pPr>
        <w:pStyle w:val="Heading2"/>
      </w:pPr>
      <w:r>
        <w:t xml:space="preserve">9.7 Artifact Registry and Binary Authorization</w:t>
      </w:r>
    </w:p>
    <w:bookmarkStart w:id="177" w:name="artifact-registry"/>
    <w:p>
      <w:pPr>
        <w:pStyle w:val="Heading3"/>
      </w:pPr>
      <w:r>
        <w:t xml:space="preserve">9.7.1 Artifact Registry</w:t>
      </w:r>
    </w:p>
    <w:p>
      <w:pPr>
        <w:pStyle w:val="FirstParagraph"/>
      </w:pPr>
      <w:r>
        <w:t xml:space="preserve">One repository per workload project, so a compromise in one usecase does not expose another’s images.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w:t>
            </w:r>
          </w:p>
        </w:tc>
      </w:tr>
      <w:tr>
        <w:tc>
          <w:tcPr/>
          <w:p>
            <w:pPr>
              <w:pStyle w:val="Compact"/>
              <w:jc w:val="left"/>
            </w:pPr>
            <w:r>
              <w:t xml:space="preserve">Name</w:t>
            </w:r>
          </w:p>
        </w:tc>
        <w:tc>
          <w:tcPr/>
          <w:p>
            <w:pPr>
              <w:pStyle w:val="Compact"/>
              <w:jc w:val="left"/>
            </w:pPr>
            <w:r>
              <w:rPr>
                <w:rStyle w:val="VerbatimChar"/>
              </w:rPr>
              <w:t xml:space="preserve">containers</w:t>
            </w:r>
          </w:p>
        </w:tc>
      </w:tr>
      <w:tr>
        <w:tc>
          <w:tcPr/>
          <w:p>
            <w:pPr>
              <w:pStyle w:val="Compact"/>
              <w:jc w:val="left"/>
            </w:pPr>
            <w:r>
              <w:t xml:space="preserve">Format</w:t>
            </w:r>
          </w:p>
        </w:tc>
        <w:tc>
          <w:tcPr/>
          <w:p>
            <w:pPr>
              <w:pStyle w:val="Compact"/>
              <w:jc w:val="left"/>
            </w:pPr>
            <w:r>
              <w:t xml:space="preserve">Docker</w:t>
            </w:r>
          </w:p>
        </w:tc>
      </w:tr>
      <w:tr>
        <w:tc>
          <w:tcPr/>
          <w:p>
            <w:pPr>
              <w:pStyle w:val="Compact"/>
              <w:jc w:val="left"/>
            </w:pPr>
            <w:r>
              <w:t xml:space="preserve">Mode</w:t>
            </w:r>
          </w:p>
        </w:tc>
        <w:tc>
          <w:tcPr/>
          <w:p>
            <w:pPr>
              <w:pStyle w:val="Compact"/>
              <w:jc w:val="left"/>
            </w:pPr>
            <w:r>
              <w:t xml:space="preserve">Standard</w:t>
            </w:r>
          </w:p>
        </w:tc>
      </w:tr>
      <w:tr>
        <w:tc>
          <w:tcPr/>
          <w:p>
            <w:pPr>
              <w:pStyle w:val="Compact"/>
              <w:jc w:val="left"/>
            </w:pPr>
            <w:r>
              <w:t xml:space="preserve">Location</w:t>
            </w:r>
          </w:p>
        </w:tc>
        <w:tc>
          <w:tcPr/>
          <w:p>
            <w:pPr>
              <w:pStyle w:val="Compact"/>
              <w:jc w:val="left"/>
            </w:pPr>
            <w:r>
              <w:t xml:space="preserve">Region,</w:t>
            </w:r>
            <w:r>
              <w:t xml:space="preserve"> </w:t>
            </w:r>
            <w:r>
              <w:rPr>
                <w:rStyle w:val="VerbatimChar"/>
              </w:rPr>
              <w:t xml:space="preserve">europe-west1</w:t>
            </w:r>
          </w:p>
        </w:tc>
      </w:tr>
      <w:tr>
        <w:tc>
          <w:tcPr/>
          <w:p>
            <w:pPr>
              <w:pStyle w:val="Compact"/>
              <w:jc w:val="left"/>
            </w:pPr>
            <w:r>
              <w:t xml:space="preserve">Encryption</w:t>
            </w:r>
          </w:p>
        </w:tc>
        <w:tc>
          <w:tcPr/>
          <w:p>
            <w:pPr>
              <w:pStyle w:val="Compact"/>
              <w:jc w:val="left"/>
            </w:pPr>
            <w:r>
              <w:t xml:space="preserve">CMEK, the project’s</w:t>
            </w:r>
            <w:r>
              <w:t xml:space="preserve"> </w:t>
            </w:r>
            <w:r>
              <w:rPr>
                <w:rStyle w:val="VerbatimChar"/>
              </w:rPr>
              <w:t xml:space="preserve">artifacts</w:t>
            </w:r>
            <w:r>
              <w:t xml:space="preserve"> </w:t>
            </w:r>
            <w:r>
              <w:t xml:space="preserve">key</w:t>
            </w:r>
          </w:p>
        </w:tc>
      </w:tr>
      <w:tr>
        <w:tc>
          <w:tcPr/>
          <w:p>
            <w:pPr>
              <w:pStyle w:val="Compact"/>
              <w:jc w:val="left"/>
            </w:pPr>
            <w:r>
              <w:t xml:space="preserve">Immutable image tags</w:t>
            </w:r>
          </w:p>
        </w:tc>
        <w:tc>
          <w:tcPr/>
          <w:p>
            <w:pPr>
              <w:pStyle w:val="Compact"/>
              <w:jc w:val="left"/>
            </w:pPr>
            <w:r>
              <w:t xml:space="preserve">Enabled</w:t>
            </w:r>
          </w:p>
        </w:tc>
      </w:tr>
      <w:tr>
        <w:tc>
          <w:tcPr/>
          <w:p>
            <w:pPr>
              <w:pStyle w:val="Compact"/>
              <w:jc w:val="left"/>
            </w:pPr>
            <w:r>
              <w:t xml:space="preserve">Cleanup policies</w:t>
            </w:r>
          </w:p>
        </w:tc>
        <w:tc>
          <w:tcPr/>
          <w:p>
            <w:pPr>
              <w:pStyle w:val="Compact"/>
              <w:jc w:val="left"/>
            </w:pPr>
            <w:r>
              <w:t xml:space="preserve">Dry run initially</w:t>
            </w:r>
          </w:p>
        </w:tc>
      </w:tr>
      <w:tr>
        <w:tc>
          <w:tcPr/>
          <w:p>
            <w:pPr>
              <w:pStyle w:val="Compact"/>
              <w:jc w:val="left"/>
            </w:pPr>
            <w:r>
              <w:t xml:space="preserve">Vulnerability scanning</w:t>
            </w:r>
          </w:p>
        </w:tc>
        <w:tc>
          <w:tcPr/>
          <w:p>
            <w:pPr>
              <w:pStyle w:val="Compact"/>
              <w:jc w:val="left"/>
            </w:pPr>
            <w:r>
              <w:t xml:space="preserve">Artifact Analysis automatic scanning enabled per project</w:t>
            </w:r>
          </w:p>
        </w:tc>
      </w:tr>
    </w:tbl>
    <w:p>
      <w:pPr>
        <w:pStyle w:val="BodyText"/>
      </w:pPr>
      <w:r>
        <w:t xml:space="preserve">Created in</w:t>
      </w:r>
      <w:r>
        <w:t xml:space="preserve"> </w:t>
      </w:r>
      <w:r>
        <w:rPr>
          <w:rStyle w:val="VerbatimChar"/>
        </w:rPr>
        <w:t xml:space="preserve">gclt-aicoe-dev-st</w:t>
      </w:r>
      <w:r>
        <w:t xml:space="preserve"> </w:t>
      </w:r>
      <w:r>
        <w:t xml:space="preserve">and</w:t>
      </w:r>
      <w:r>
        <w:t xml:space="preserve"> </w:t>
      </w:r>
      <w:r>
        <w:rPr>
          <w:rStyle w:val="VerbatimChar"/>
        </w:rPr>
        <w:t xml:space="preserve">gclt-aicoe-dev-aihub-ui</w:t>
      </w:r>
      <w:r>
        <w:t xml:space="preserve">. Immutable tags are what make an attestation meaningful: without them, a tag such as</w:t>
      </w:r>
      <w:r>
        <w:t xml:space="preserve"> </w:t>
      </w:r>
      <w:r>
        <w:rPr>
          <w:rStyle w:val="VerbatimChar"/>
        </w:rPr>
        <w:t xml:space="preserve">v1.2.3</w:t>
      </w:r>
      <w:r>
        <w:t xml:space="preserve"> </w:t>
      </w:r>
      <w:r>
        <w:t xml:space="preserve">could be repointed at different content after signing, so one image is signed and a different image is deployed under the same tag.</w:t>
      </w:r>
    </w:p>
    <w:bookmarkEnd w:id="177"/>
    <w:bookmarkStart w:id="178" w:name="binary-authorization"/>
    <w:p>
      <w:pPr>
        <w:pStyle w:val="Heading3"/>
      </w:pPr>
      <w:r>
        <w:t xml:space="preserve">9.7.2 Binary Authorization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Component</w:t>
            </w:r>
          </w:p>
        </w:tc>
        <w:tc>
          <w:tcPr>
            <w:shd w:val="clear" w:color="auto" w:fill="1F3864"/>
          </w:tcPr>
          <w:p>
            <w:pPr>
              <w:pStyle w:val="Compact"/>
              <w:jc w:val="left"/>
            </w:pPr>
            <w:r>
              <w:rPr>
                <w:b/>
                <w:color w:val="FFFFFF"/>
              </w:rPr>
              <w:t xml:space="preserve">Configuration</w:t>
            </w:r>
          </w:p>
        </w:tc>
        <w:tc>
          <w:tcPr>
            <w:shd w:val="clear" w:color="auto" w:fill="1F3864"/>
          </w:tcPr>
          <w:p>
            <w:pPr>
              <w:pStyle w:val="Compact"/>
              <w:jc w:val="left"/>
            </w:pPr>
            <w:r>
              <w:rPr>
                <w:b/>
                <w:color w:val="FFFFFF"/>
              </w:rPr>
              <w:t xml:space="preserve">Location</w:t>
            </w:r>
          </w:p>
        </w:tc>
      </w:tr>
      <w:tr>
        <w:tc>
          <w:tcPr/>
          <w:p>
            <w:pPr>
              <w:pStyle w:val="Compact"/>
              <w:jc w:val="left"/>
            </w:pPr>
            <w:r>
              <w:t xml:space="preserve">Signing key</w:t>
            </w:r>
          </w:p>
        </w:tc>
        <w:tc>
          <w:tcPr/>
          <w:p>
            <w:pPr>
              <w:pStyle w:val="Compact"/>
              <w:jc w:val="left"/>
            </w:pPr>
            <w:r>
              <w:rPr>
                <w:rStyle w:val="VerbatimChar"/>
              </w:rPr>
              <w:t xml:space="preserve">attestor-signing</w:t>
            </w:r>
            <w:r>
              <w:t xml:space="preserve"> </w:t>
            </w:r>
            <w:r>
              <w:t xml:space="preserve">— asymmetric sign, Elliptic Curve P-256 SHA256 digest, protection level Software, manual rotation</w:t>
            </w:r>
          </w:p>
        </w:tc>
        <w:tc>
          <w:tcPr/>
          <w:p>
            <w:pPr>
              <w:pStyle w:val="Compact"/>
              <w:jc w:val="left"/>
            </w:pPr>
            <w:r>
              <w:t xml:space="preserve">Key ring</w:t>
            </w:r>
            <w:r>
              <w:t xml:space="preserve"> </w:t>
            </w:r>
            <w:r>
              <w:rPr>
                <w:rStyle w:val="VerbatimChar"/>
              </w:rPr>
              <w:t xml:space="preserve">ingress</w:t>
            </w:r>
            <w:r>
              <w:t xml:space="preserve">, in</w:t>
            </w:r>
            <w:r>
              <w:t xml:space="preserve"> </w:t>
            </w:r>
            <w:r>
              <w:rPr>
                <w:rStyle w:val="VerbatimChar"/>
              </w:rPr>
              <w:t xml:space="preserve">gclt-aicoe-dev-ingress</w:t>
            </w:r>
          </w:p>
        </w:tc>
      </w:tr>
      <w:tr>
        <w:tc>
          <w:tcPr/>
          <w:p>
            <w:pPr>
              <w:pStyle w:val="Compact"/>
              <w:jc w:val="left"/>
            </w:pPr>
            <w:r>
              <w:t xml:space="preserve">Attestor</w:t>
            </w:r>
          </w:p>
        </w:tc>
        <w:tc>
          <w:tcPr/>
          <w:p>
            <w:pPr>
              <w:pStyle w:val="Compact"/>
              <w:jc w:val="left"/>
            </w:pPr>
            <w:r>
              <w:rPr>
                <w:rStyle w:val="VerbatimChar"/>
              </w:rPr>
              <w:t xml:space="preserve">aicoe-build-attestor</w:t>
            </w:r>
            <w:r>
              <w:t xml:space="preserve">, with the PKIX key from Cloud KMS, version 1</w:t>
            </w:r>
          </w:p>
        </w:tc>
        <w:tc>
          <w:tcPr/>
          <w:p>
            <w:pPr>
              <w:pStyle w:val="Compact"/>
              <w:jc w:val="left"/>
            </w:pPr>
            <w:r>
              <w:rPr>
                <w:rStyle w:val="VerbatimChar"/>
              </w:rPr>
              <w:t xml:space="preserve">gclt-aicoe-dev-ingress</w:t>
            </w:r>
          </w:p>
        </w:tc>
      </w:tr>
      <w:tr>
        <w:tc>
          <w:tcPr/>
          <w:p>
            <w:pPr>
              <w:pStyle w:val="Compact"/>
              <w:jc w:val="left"/>
            </w:pPr>
            <w:r>
              <w:t xml:space="preserve">Policy</w:t>
            </w:r>
          </w:p>
        </w:tc>
        <w:tc>
          <w:tcPr/>
          <w:p>
            <w:pPr>
              <w:pStyle w:val="Compact"/>
              <w:jc w:val="left"/>
            </w:pPr>
            <w:r>
              <w:t xml:space="preserve">Default rule: allow only images approved by</w:t>
            </w:r>
            <w:r>
              <w:t xml:space="preserve"> </w:t>
            </w:r>
            <w:r>
              <w:rPr>
                <w:rStyle w:val="VerbatimChar"/>
              </w:rPr>
              <w:t xml:space="preserve">aicoe-build-attestor</w:t>
            </w:r>
            <w:r>
              <w:t xml:space="preserve">. Evaluation mode Enforce, with audit log entries. No exempt images</w:t>
            </w:r>
          </w:p>
        </w:tc>
        <w:tc>
          <w:tcPr/>
          <w:p>
            <w:pPr>
              <w:pStyle w:val="Compact"/>
              <w:jc w:val="left"/>
            </w:pPr>
            <w:r>
              <w:rPr>
                <w:rStyle w:val="VerbatimChar"/>
              </w:rPr>
              <w:t xml:space="preserve">gclt-aicoe-dev-st</w:t>
            </w:r>
            <w:r>
              <w:t xml:space="preserve"> </w:t>
            </w:r>
            <w:r>
              <w:t xml:space="preserve">and</w:t>
            </w:r>
            <w:r>
              <w:t xml:space="preserve"> </w:t>
            </w:r>
            <w:r>
              <w:rPr>
                <w:rStyle w:val="VerbatimChar"/>
              </w:rPr>
              <w:t xml:space="preserve">gclt-aicoe-dev-aihub-ui</w:t>
            </w:r>
          </w:p>
        </w:tc>
      </w:tr>
    </w:tbl>
    <w:p>
      <w:pPr>
        <w:pStyle w:val="BodyText"/>
      </w:pPr>
      <w:r>
        <w:t xml:space="preserve">The symmetric keys specified in</w:t>
      </w:r>
      <w:r>
        <w:t xml:space="preserve"> </w:t>
      </w:r>
      <w:r>
        <w:rPr>
          <w:b/>
          <w:bCs/>
        </w:rPr>
        <w:t xml:space="preserve">Cloud KMS — key rings and CMEK map</w:t>
      </w:r>
      <w:r>
        <w:t xml:space="preserve"> </w:t>
      </w:r>
      <w:r>
        <w:t xml:space="preserve">do not serve this purpose; attestation requires an asymmetric signing key, with a private key that signs and a public key that verifies.</w:t>
      </w:r>
    </w:p>
    <w:p>
      <w:pPr>
        <w:pStyle w:val="BodyText"/>
      </w:pPr>
      <w:r>
        <w:t xml:space="preserve">Three controls apply, per TR-16 (signed and verified container images) and G6 (nothing runs that was not built by the pipeline):</w:t>
      </w:r>
    </w:p>
    <w:p>
      <w:pPr>
        <w:pStyle w:val="Compact"/>
        <w:numPr>
          <w:ilvl w:val="0"/>
          <w:numId w:val="1018"/>
        </w:numPr>
      </w:pPr>
      <w:r>
        <w:t xml:space="preserve">Binary Authorization is enabled before the first real deployment, so the policy and the application are not debugged simultaneously.</w:t>
      </w:r>
    </w:p>
    <w:p>
      <w:pPr>
        <w:pStyle w:val="Compact"/>
        <w:numPr>
          <w:ilvl w:val="0"/>
          <w:numId w:val="1018"/>
        </w:numPr>
      </w:pPr>
      <w:r>
        <w:t xml:space="preserve">The identity that signs an image must differ from the identity that deploys it; if the same identity performs both, the control proves nothing.</w:t>
      </w:r>
    </w:p>
    <w:p>
      <w:pPr>
        <w:pStyle w:val="Compact"/>
        <w:numPr>
          <w:ilvl w:val="0"/>
          <w:numId w:val="1018"/>
        </w:numPr>
      </w:pPr>
      <w:r>
        <w:t xml:space="preserve">Binary Authorization does not cover Apigee. Proxy bundles have no equivalent mechanism, which is why</w:t>
      </w:r>
      <w:r>
        <w:t xml:space="preserve"> </w:t>
      </w:r>
      <w:r>
        <w:rPr>
          <w:b/>
          <w:bCs/>
        </w:rPr>
        <w:t xml:space="preserve">Apigee deployment governance</w:t>
      </w:r>
      <w:r>
        <w:t xml:space="preserve"> </w:t>
      </w:r>
      <w:r>
        <w:t xml:space="preserve">relies on Git and pipeline-only deployment instead.</w:t>
      </w:r>
    </w:p>
    <w:p>
      <w:pPr>
        <w:pStyle w:val="FirstParagraph"/>
      </w:pPr>
      <w:r>
        <w:t xml:space="preserve">Deployment of a public sample image, such as</w:t>
      </w:r>
      <w:r>
        <w:t xml:space="preserve"> </w:t>
      </w:r>
      <w:r>
        <w:rPr>
          <w:rStyle w:val="VerbatimChar"/>
        </w:rPr>
        <w:t xml:space="preserve">gcr.io/google-samples/hello-app:1.0</w:t>
      </w:r>
      <w:r>
        <w:t xml:space="preserve">, must be refused; that refusal is the verification that the control is active.</w:t>
      </w:r>
    </w:p>
    <w:bookmarkEnd w:id="178"/>
    <w:bookmarkEnd w:id="179"/>
    <w:bookmarkStart w:id="181" w:name="cloud-kms-key-rings-and-cmek-map"/>
    <w:p>
      <w:pPr>
        <w:pStyle w:val="Heading2"/>
      </w:pPr>
      <w:r>
        <w:t xml:space="preserve">9.8 Cloud KMS — key rings and CMEK map</w:t>
      </w:r>
    </w:p>
    <w:p>
      <w:pPr>
        <w:pStyle w:val="FirstParagraph"/>
      </w:pPr>
      <w:r>
        <w:t xml:space="preserve">A key ring is regional, and keys inside it inherit that region; a</w:t>
      </w:r>
      <w:r>
        <w:t xml:space="preserve"> </w:t>
      </w:r>
      <w:r>
        <w:rPr>
          <w:rStyle w:val="VerbatimChar"/>
        </w:rPr>
        <w:t xml:space="preserve">europe-west1</w:t>
      </w:r>
      <w:r>
        <w:t xml:space="preserve"> </w:t>
      </w:r>
      <w:r>
        <w:t xml:space="preserve">resource cannot use a</w:t>
      </w:r>
      <w:r>
        <w:t xml:space="preserve"> </w:t>
      </w:r>
      <w:r>
        <w:rPr>
          <w:rStyle w:val="VerbatimChar"/>
        </w:rPr>
        <w:t xml:space="preserve">europe-west4</w:t>
      </w:r>
      <w:r>
        <w:t xml:space="preserve"> </w:t>
      </w:r>
      <w:r>
        <w:t xml:space="preserve">key.</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Project</w:t>
            </w:r>
          </w:p>
        </w:tc>
        <w:tc>
          <w:tcPr>
            <w:shd w:val="clear" w:color="auto" w:fill="1F3864"/>
          </w:tcPr>
          <w:p>
            <w:pPr>
              <w:pStyle w:val="Compact"/>
              <w:jc w:val="left"/>
            </w:pPr>
            <w:r>
              <w:rPr>
                <w:b/>
                <w:color w:val="FFFFFF"/>
              </w:rPr>
              <w:t xml:space="preserve">Key ring</w:t>
            </w:r>
          </w:p>
        </w:tc>
        <w:tc>
          <w:tcPr>
            <w:shd w:val="clear" w:color="auto" w:fill="1F3864"/>
          </w:tcPr>
          <w:p>
            <w:pPr>
              <w:pStyle w:val="Compact"/>
              <w:jc w:val="left"/>
            </w:pPr>
            <w:r>
              <w:rPr>
                <w:b/>
                <w:color w:val="FFFFFF"/>
              </w:rPr>
              <w:t xml:space="preserve">Key</w:t>
            </w:r>
          </w:p>
        </w:tc>
        <w:tc>
          <w:tcPr>
            <w:shd w:val="clear" w:color="auto" w:fill="1F3864"/>
          </w:tcPr>
          <w:p>
            <w:pPr>
              <w:pStyle w:val="Compact"/>
              <w:jc w:val="left"/>
            </w:pPr>
            <w:r>
              <w:rPr>
                <w:b/>
                <w:color w:val="FFFFFF"/>
              </w:rPr>
              <w:t xml:space="preserve">Protects</w:t>
            </w:r>
          </w:p>
        </w:tc>
        <w:tc>
          <w:tcPr>
            <w:shd w:val="clear" w:color="auto" w:fill="1F3864"/>
          </w:tcPr>
          <w:p>
            <w:pPr>
              <w:pStyle w:val="Compact"/>
              <w:jc w:val="left"/>
            </w:pPr>
            <w:r>
              <w:rPr>
                <w:b/>
                <w:color w:val="FFFFFF"/>
              </w:rPr>
              <w:t xml:space="preserve">Granted to</w:t>
            </w:r>
          </w:p>
        </w:tc>
      </w:tr>
      <w:tr>
        <w:tc>
          <w:tcPr/>
          <w:p>
            <w:pPr>
              <w:pStyle w:val="Compact"/>
              <w:jc w:val="left"/>
            </w:pPr>
            <w:r>
              <w:rPr>
                <w:rStyle w:val="VerbatimChar"/>
              </w:rPr>
              <w:t xml:space="preserve">gclt-aicoe-dev-apigee</w:t>
            </w:r>
          </w:p>
        </w:tc>
        <w:tc>
          <w:tcPr/>
          <w:p>
            <w:pPr>
              <w:pStyle w:val="Compact"/>
              <w:jc w:val="left"/>
            </w:pPr>
            <w:r>
              <w:rPr>
                <w:rStyle w:val="VerbatimChar"/>
              </w:rPr>
              <w:t xml:space="preserve">apigee</w:t>
            </w:r>
          </w:p>
        </w:tc>
        <w:tc>
          <w:tcPr/>
          <w:p>
            <w:pPr>
              <w:pStyle w:val="Compact"/>
              <w:jc w:val="left"/>
            </w:pPr>
            <w:r>
              <w:rPr>
                <w:rStyle w:val="VerbatimChar"/>
              </w:rPr>
              <w:t xml:space="preserve">runtime-db</w:t>
            </w:r>
          </w:p>
        </w:tc>
        <w:tc>
          <w:tcPr/>
          <w:p>
            <w:pPr>
              <w:pStyle w:val="Compact"/>
              <w:jc w:val="left"/>
            </w:pPr>
            <w:r>
              <w:t xml:space="preserve">Apigee runtime database. Immutable after organisation creation</w:t>
            </w:r>
          </w:p>
        </w:tc>
        <w:tc>
          <w:tcPr/>
          <w:p>
            <w:pPr>
              <w:pStyle w:val="Compact"/>
              <w:jc w:val="left"/>
            </w:pPr>
            <w:r>
              <w:rPr>
                <w:rStyle w:val="VerbatimChar"/>
              </w:rPr>
              <w:t xml:space="preserve">gcp-sa-apigee</w:t>
            </w:r>
            <w:r>
              <w:t xml:space="preserve"> </w:t>
            </w:r>
            <w:r>
              <w:t xml:space="preserve">agent</w:t>
            </w:r>
          </w:p>
        </w:tc>
      </w:tr>
      <w:tr>
        <w:tc>
          <w:tcPr/>
          <w:p>
            <w:pPr>
              <w:pStyle w:val="Compact"/>
              <w:jc w:val="left"/>
            </w:pPr>
            <w:r>
              <w:rPr>
                <w:rStyle w:val="VerbatimChar"/>
              </w:rPr>
              <w:t xml:space="preserve">gclt-aicoe-dev-apigee</w:t>
            </w:r>
          </w:p>
        </w:tc>
        <w:tc>
          <w:tcPr/>
          <w:p>
            <w:pPr>
              <w:pStyle w:val="Compact"/>
              <w:jc w:val="left"/>
            </w:pPr>
            <w:r>
              <w:rPr>
                <w:rStyle w:val="VerbatimChar"/>
              </w:rPr>
              <w:t xml:space="preserve">apigee</w:t>
            </w:r>
          </w:p>
        </w:tc>
        <w:tc>
          <w:tcPr/>
          <w:p>
            <w:pPr>
              <w:pStyle w:val="Compact"/>
              <w:jc w:val="left"/>
            </w:pPr>
            <w:r>
              <w:rPr>
                <w:rStyle w:val="VerbatimChar"/>
              </w:rPr>
              <w:t xml:space="preserve">instance-disk</w:t>
            </w:r>
          </w:p>
        </w:tc>
        <w:tc>
          <w:tcPr/>
          <w:p>
            <w:pPr>
              <w:pStyle w:val="Compact"/>
              <w:jc w:val="left"/>
            </w:pPr>
            <w:r>
              <w:t xml:space="preserve">Apigee instance disk</w:t>
            </w:r>
          </w:p>
        </w:tc>
        <w:tc>
          <w:tcPr/>
          <w:p>
            <w:pPr>
              <w:pStyle w:val="Compact"/>
              <w:jc w:val="left"/>
            </w:pPr>
            <w:r>
              <w:rPr>
                <w:rStyle w:val="VerbatimChar"/>
              </w:rPr>
              <w:t xml:space="preserve">gcp-sa-apigee</w:t>
            </w:r>
            <w:r>
              <w:t xml:space="preserve"> </w:t>
            </w:r>
            <w:r>
              <w:t xml:space="preserve">agent</w:t>
            </w:r>
          </w:p>
        </w:tc>
      </w:tr>
      <w:tr>
        <w:tc>
          <w:tcPr/>
          <w:p>
            <w:pPr>
              <w:pStyle w:val="Compact"/>
              <w:jc w:val="left"/>
            </w:pPr>
            <w:r>
              <w:rPr>
                <w:rStyle w:val="VerbatimChar"/>
              </w:rPr>
              <w:t xml:space="preserve">gclt-aicoe-dev-auditlogs</w:t>
            </w:r>
          </w:p>
        </w:tc>
        <w:tc>
          <w:tcPr/>
          <w:p>
            <w:pPr>
              <w:pStyle w:val="Compact"/>
              <w:jc w:val="left"/>
            </w:pPr>
            <w:r>
              <w:rPr>
                <w:rStyle w:val="VerbatimChar"/>
              </w:rPr>
              <w:t xml:space="preserve">logs</w:t>
            </w:r>
          </w:p>
        </w:tc>
        <w:tc>
          <w:tcPr/>
          <w:p>
            <w:pPr>
              <w:pStyle w:val="Compact"/>
              <w:jc w:val="left"/>
            </w:pPr>
            <w:r>
              <w:rPr>
                <w:rStyle w:val="VerbatimChar"/>
              </w:rPr>
              <w:t xml:space="preserve">log-bucket</w:t>
            </w:r>
          </w:p>
        </w:tc>
        <w:tc>
          <w:tcPr/>
          <w:p>
            <w:pPr>
              <w:pStyle w:val="Compact"/>
              <w:jc w:val="left"/>
            </w:pPr>
            <w:r>
              <w:t xml:space="preserve">The 400-day log bucket</w:t>
            </w:r>
          </w:p>
        </w:tc>
        <w:tc>
          <w:tcPr/>
          <w:p>
            <w:pPr>
              <w:pStyle w:val="Compact"/>
              <w:jc w:val="left"/>
            </w:pPr>
            <w:r>
              <w:rPr>
                <w:rStyle w:val="VerbatimChar"/>
              </w:rPr>
              <w:t xml:space="preserve">gcp-sa-logging</w:t>
            </w:r>
            <w:r>
              <w:t xml:space="preserve"> </w:t>
            </w:r>
            <w:r>
              <w:t xml:space="preserve">agent</w:t>
            </w:r>
          </w:p>
        </w:tc>
      </w:tr>
      <w:tr>
        <w:tc>
          <w:tcPr/>
          <w:p>
            <w:pPr>
              <w:pStyle w:val="Compact"/>
              <w:jc w:val="left"/>
            </w:pPr>
            <w:r>
              <w:rPr>
                <w:rStyle w:val="VerbatimChar"/>
              </w:rPr>
              <w:t xml:space="preserve">gclt-aicoe-dev-st</w:t>
            </w:r>
          </w:p>
        </w:tc>
        <w:tc>
          <w:tcPr/>
          <w:p>
            <w:pPr>
              <w:pStyle w:val="Compact"/>
              <w:jc w:val="left"/>
            </w:pPr>
            <w:r>
              <w:rPr>
                <w:rStyle w:val="VerbatimChar"/>
              </w:rPr>
              <w:t xml:space="preserve">st</w:t>
            </w:r>
          </w:p>
        </w:tc>
        <w:tc>
          <w:tcPr/>
          <w:p>
            <w:pPr>
              <w:pStyle w:val="Compact"/>
              <w:jc w:val="left"/>
            </w:pPr>
            <w:r>
              <w:rPr>
                <w:rStyle w:val="VerbatimChar"/>
              </w:rPr>
              <w:t xml:space="preserve">app-gcs</w:t>
            </w:r>
          </w:p>
        </w:tc>
        <w:tc>
          <w:tcPr/>
          <w:p>
            <w:pPr>
              <w:pStyle w:val="Compact"/>
              <w:jc w:val="left"/>
            </w:pPr>
            <w:r>
              <w:t xml:space="preserve">Both Cloud Storage buckets</w:t>
            </w:r>
          </w:p>
        </w:tc>
        <w:tc>
          <w:tcPr/>
          <w:p>
            <w:pPr>
              <w:pStyle w:val="Compact"/>
              <w:jc w:val="left"/>
            </w:pPr>
            <w:r>
              <w:rPr>
                <w:rStyle w:val="VerbatimChar"/>
              </w:rPr>
              <w:t xml:space="preserve">gcp-sa-storage</w:t>
            </w:r>
            <w:r>
              <w:t xml:space="preserve"> </w:t>
            </w:r>
            <w:r>
              <w:t xml:space="preserve">agent</w:t>
            </w:r>
          </w:p>
        </w:tc>
      </w:tr>
      <w:tr>
        <w:tc>
          <w:tcPr/>
          <w:p>
            <w:pPr>
              <w:pStyle w:val="Compact"/>
              <w:jc w:val="left"/>
            </w:pPr>
            <w:r>
              <w:rPr>
                <w:rStyle w:val="VerbatimChar"/>
              </w:rPr>
              <w:t xml:space="preserve">gclt-aicoe-dev-st</w:t>
            </w:r>
          </w:p>
        </w:tc>
        <w:tc>
          <w:tcPr/>
          <w:p>
            <w:pPr>
              <w:pStyle w:val="Compact"/>
              <w:jc w:val="left"/>
            </w:pPr>
            <w:r>
              <w:rPr>
                <w:rStyle w:val="VerbatimChar"/>
              </w:rPr>
              <w:t xml:space="preserve">st</w:t>
            </w:r>
          </w:p>
        </w:tc>
        <w:tc>
          <w:tcPr/>
          <w:p>
            <w:pPr>
              <w:pStyle w:val="Compact"/>
              <w:jc w:val="left"/>
            </w:pPr>
            <w:r>
              <w:rPr>
                <w:rStyle w:val="VerbatimChar"/>
              </w:rPr>
              <w:t xml:space="preserve">bq</w:t>
            </w:r>
          </w:p>
        </w:tc>
        <w:tc>
          <w:tcPr/>
          <w:p>
            <w:pPr>
              <w:pStyle w:val="Compact"/>
              <w:jc w:val="left"/>
            </w:pPr>
            <w:r>
              <w:t xml:space="preserve">Dataset</w:t>
            </w:r>
            <w:r>
              <w:t xml:space="preserve"> </w:t>
            </w:r>
            <w:r>
              <w:rPr>
                <w:rStyle w:val="VerbatimChar"/>
              </w:rPr>
              <w:t xml:space="preserve">aicoe_usage</w:t>
            </w:r>
          </w:p>
        </w:tc>
        <w:tc>
          <w:tcPr/>
          <w:p>
            <w:pPr>
              <w:pStyle w:val="Compact"/>
              <w:jc w:val="left"/>
            </w:pPr>
            <w:r>
              <w:rPr>
                <w:rStyle w:val="VerbatimChar"/>
              </w:rPr>
              <w:t xml:space="preserve">bigquery-encryption</w:t>
            </w:r>
            <w:r>
              <w:t xml:space="preserve"> </w:t>
            </w:r>
            <w:r>
              <w:t xml:space="preserve">agent</w:t>
            </w:r>
          </w:p>
        </w:tc>
      </w:tr>
      <w:tr>
        <w:tc>
          <w:tcPr/>
          <w:p>
            <w:pPr>
              <w:pStyle w:val="Compact"/>
              <w:jc w:val="left"/>
            </w:pPr>
            <w:r>
              <w:rPr>
                <w:rStyle w:val="VerbatimChar"/>
              </w:rPr>
              <w:t xml:space="preserve">gclt-aicoe-dev-st</w:t>
            </w:r>
          </w:p>
        </w:tc>
        <w:tc>
          <w:tcPr/>
          <w:p>
            <w:pPr>
              <w:pStyle w:val="Compact"/>
              <w:jc w:val="left"/>
            </w:pPr>
            <w:r>
              <w:rPr>
                <w:rStyle w:val="VerbatimChar"/>
              </w:rPr>
              <w:t xml:space="preserve">st</w:t>
            </w:r>
          </w:p>
        </w:tc>
        <w:tc>
          <w:tcPr/>
          <w:p>
            <w:pPr>
              <w:pStyle w:val="Compact"/>
              <w:jc w:val="left"/>
            </w:pPr>
            <w:r>
              <w:rPr>
                <w:rStyle w:val="VerbatimChar"/>
              </w:rPr>
              <w:t xml:space="preserve">vxai-index</w:t>
            </w:r>
          </w:p>
        </w:tc>
        <w:tc>
          <w:tcPr/>
          <w:p>
            <w:pPr>
              <w:pStyle w:val="Compact"/>
              <w:jc w:val="left"/>
            </w:pPr>
            <w:r>
              <w:t xml:space="preserve">Vector Search index</w:t>
            </w:r>
          </w:p>
        </w:tc>
        <w:tc>
          <w:tcPr/>
          <w:p>
            <w:pPr>
              <w:pStyle w:val="Compact"/>
              <w:jc w:val="left"/>
            </w:pPr>
            <w:r>
              <w:rPr>
                <w:rStyle w:val="VerbatimChar"/>
              </w:rPr>
              <w:t xml:space="preserve">gcp-sa-aiplatform</w:t>
            </w:r>
            <w:r>
              <w:t xml:space="preserve"> </w:t>
            </w:r>
            <w:r>
              <w:t xml:space="preserve">agent</w:t>
            </w:r>
          </w:p>
        </w:tc>
      </w:tr>
      <w:tr>
        <w:tc>
          <w:tcPr/>
          <w:p>
            <w:pPr>
              <w:pStyle w:val="Compact"/>
              <w:jc w:val="left"/>
            </w:pPr>
            <w:r>
              <w:rPr>
                <w:rStyle w:val="VerbatimChar"/>
              </w:rPr>
              <w:t xml:space="preserve">gclt-aicoe-dev-st</w:t>
            </w:r>
          </w:p>
        </w:tc>
        <w:tc>
          <w:tcPr/>
          <w:p>
            <w:pPr>
              <w:pStyle w:val="Compact"/>
              <w:jc w:val="left"/>
            </w:pPr>
            <w:r>
              <w:rPr>
                <w:rStyle w:val="VerbatimChar"/>
              </w:rPr>
              <w:t xml:space="preserve">st</w:t>
            </w:r>
          </w:p>
        </w:tc>
        <w:tc>
          <w:tcPr/>
          <w:p>
            <w:pPr>
              <w:pStyle w:val="Compact"/>
              <w:jc w:val="left"/>
            </w:pPr>
            <w:r>
              <w:rPr>
                <w:rStyle w:val="VerbatimChar"/>
              </w:rPr>
              <w:t xml:space="preserve">secrets</w:t>
            </w:r>
          </w:p>
        </w:tc>
        <w:tc>
          <w:tcPr/>
          <w:p>
            <w:pPr>
              <w:pStyle w:val="Compact"/>
              <w:jc w:val="left"/>
            </w:pPr>
            <w:r>
              <w:t xml:space="preserve">Secret Manager secrets</w:t>
            </w:r>
          </w:p>
        </w:tc>
        <w:tc>
          <w:tcPr/>
          <w:p>
            <w:pPr>
              <w:pStyle w:val="Compact"/>
              <w:jc w:val="left"/>
            </w:pPr>
            <w:r>
              <w:t xml:space="preserve">Secret Manager agent, granted explicitly at CMEK enablement</w:t>
            </w:r>
          </w:p>
        </w:tc>
      </w:tr>
      <w:tr>
        <w:tc>
          <w:tcPr/>
          <w:p>
            <w:pPr>
              <w:pStyle w:val="Compact"/>
              <w:jc w:val="left"/>
            </w:pPr>
            <w:r>
              <w:rPr>
                <w:rStyle w:val="VerbatimChar"/>
              </w:rPr>
              <w:t xml:space="preserve">gclt-aicoe-dev-st</w:t>
            </w:r>
          </w:p>
        </w:tc>
        <w:tc>
          <w:tcPr/>
          <w:p>
            <w:pPr>
              <w:pStyle w:val="Compact"/>
              <w:jc w:val="left"/>
            </w:pPr>
            <w:r>
              <w:rPr>
                <w:rStyle w:val="VerbatimChar"/>
              </w:rPr>
              <w:t xml:space="preserve">st</w:t>
            </w:r>
          </w:p>
        </w:tc>
        <w:tc>
          <w:tcPr/>
          <w:p>
            <w:pPr>
              <w:pStyle w:val="Compact"/>
              <w:jc w:val="left"/>
            </w:pPr>
            <w:r>
              <w:rPr>
                <w:rStyle w:val="VerbatimChar"/>
              </w:rPr>
              <w:t xml:space="preserve">artifacts</w:t>
            </w:r>
          </w:p>
        </w:tc>
        <w:tc>
          <w:tcPr/>
          <w:p>
            <w:pPr>
              <w:pStyle w:val="Compact"/>
              <w:jc w:val="left"/>
            </w:pPr>
            <w:r>
              <w:t xml:space="preserve">Artifact Registry</w:t>
            </w:r>
            <w:r>
              <w:t xml:space="preserve"> </w:t>
            </w:r>
            <w:r>
              <w:rPr>
                <w:rStyle w:val="VerbatimChar"/>
              </w:rPr>
              <w:t xml:space="preserve">containers</w:t>
            </w:r>
          </w:p>
        </w:tc>
        <w:tc>
          <w:tcPr/>
          <w:p>
            <w:pPr>
              <w:pStyle w:val="Compact"/>
              <w:jc w:val="left"/>
            </w:pPr>
            <w:r>
              <w:rPr>
                <w:rStyle w:val="VerbatimChar"/>
              </w:rPr>
              <w:t xml:space="preserve">gcp-sa-artifactregistry</w:t>
            </w:r>
            <w:r>
              <w:t xml:space="preserve"> </w:t>
            </w:r>
            <w:r>
              <w:t xml:space="preserve">agent</w:t>
            </w:r>
          </w:p>
        </w:tc>
      </w:tr>
      <w:tr>
        <w:tc>
          <w:tcPr/>
          <w:p>
            <w:pPr>
              <w:pStyle w:val="Compact"/>
              <w:jc w:val="left"/>
            </w:pPr>
            <w:r>
              <w:rPr>
                <w:rStyle w:val="VerbatimChar"/>
              </w:rPr>
              <w:t xml:space="preserve">gclt-aicoe-dev-aihub-ui</w:t>
            </w:r>
          </w:p>
        </w:tc>
        <w:tc>
          <w:tcPr/>
          <w:p>
            <w:pPr>
              <w:pStyle w:val="Compact"/>
              <w:jc w:val="left"/>
            </w:pPr>
            <w:r>
              <w:rPr>
                <w:rStyle w:val="VerbatimChar"/>
              </w:rPr>
              <w:t xml:space="preserve">aihub</w:t>
            </w:r>
          </w:p>
        </w:tc>
        <w:tc>
          <w:tcPr/>
          <w:p>
            <w:pPr>
              <w:pStyle w:val="Compact"/>
              <w:jc w:val="left"/>
            </w:pPr>
            <w:r>
              <w:rPr>
                <w:rStyle w:val="VerbatimChar"/>
              </w:rPr>
              <w:t xml:space="preserve">artifacts</w:t>
            </w:r>
          </w:p>
        </w:tc>
        <w:tc>
          <w:tcPr/>
          <w:p>
            <w:pPr>
              <w:pStyle w:val="Compact"/>
              <w:jc w:val="left"/>
            </w:pPr>
            <w:r>
              <w:t xml:space="preserve">Artifact Registry</w:t>
            </w:r>
            <w:r>
              <w:t xml:space="preserve"> </w:t>
            </w:r>
            <w:r>
              <w:rPr>
                <w:rStyle w:val="VerbatimChar"/>
              </w:rPr>
              <w:t xml:space="preserve">containers</w:t>
            </w:r>
          </w:p>
        </w:tc>
        <w:tc>
          <w:tcPr/>
          <w:p>
            <w:pPr>
              <w:pStyle w:val="Compact"/>
              <w:jc w:val="left"/>
            </w:pPr>
            <w:r>
              <w:rPr>
                <w:rStyle w:val="VerbatimChar"/>
              </w:rPr>
              <w:t xml:space="preserve">gcp-sa-artifactregistry</w:t>
            </w:r>
            <w:r>
              <w:t xml:space="preserve"> </w:t>
            </w:r>
            <w:r>
              <w:t xml:space="preserve">agent</w:t>
            </w:r>
          </w:p>
        </w:tc>
      </w:tr>
      <w:tr>
        <w:tc>
          <w:tcPr/>
          <w:p>
            <w:pPr>
              <w:pStyle w:val="Compact"/>
              <w:jc w:val="left"/>
            </w:pPr>
            <w:r>
              <w:rPr>
                <w:rStyle w:val="VerbatimChar"/>
              </w:rPr>
              <w:t xml:space="preserve">gclt-aicoe-dev-aihub-ui</w:t>
            </w:r>
          </w:p>
        </w:tc>
        <w:tc>
          <w:tcPr/>
          <w:p>
            <w:pPr>
              <w:pStyle w:val="Compact"/>
              <w:jc w:val="left"/>
            </w:pPr>
            <w:r>
              <w:rPr>
                <w:rStyle w:val="VerbatimChar"/>
              </w:rPr>
              <w:t xml:space="preserve">aihub</w:t>
            </w:r>
          </w:p>
        </w:tc>
        <w:tc>
          <w:tcPr/>
          <w:p>
            <w:pPr>
              <w:pStyle w:val="Compact"/>
              <w:jc w:val="left"/>
            </w:pPr>
            <w:r>
              <w:rPr>
                <w:rStyle w:val="VerbatimChar"/>
              </w:rPr>
              <w:t xml:space="preserve">session-key</w:t>
            </w:r>
          </w:p>
        </w:tc>
        <w:tc>
          <w:tcPr/>
          <w:p>
            <w:pPr>
              <w:pStyle w:val="Compact"/>
              <w:jc w:val="left"/>
            </w:pPr>
            <w:r>
              <w:t xml:space="preserve">The Firestore database; wraps the session data encryption key, per</w:t>
            </w:r>
            <w:r>
              <w:t xml:space="preserve"> </w:t>
            </w:r>
            <w:r>
              <w:rPr>
                <w:b/>
                <w:bCs/>
              </w:rPr>
              <w:t xml:space="preserve">Envelope encryption — implementation constraint</w:t>
            </w:r>
          </w:p>
        </w:tc>
        <w:tc>
          <w:tcPr/>
          <w:p>
            <w:pPr>
              <w:pStyle w:val="Compact"/>
              <w:jc w:val="left"/>
            </w:pPr>
            <w:r>
              <w:t xml:space="preserve">Firestore agent,</w:t>
            </w:r>
            <w:r>
              <w:t xml:space="preserve"> </w:t>
            </w:r>
            <w:r>
              <w:rPr>
                <w:rStyle w:val="VerbatimChar"/>
              </w:rPr>
              <w:t xml:space="preserve">aihub-bff-sa</w:t>
            </w:r>
          </w:p>
        </w:tc>
      </w:tr>
      <w:tr>
        <w:tc>
          <w:tcPr/>
          <w:p>
            <w:pPr>
              <w:pStyle w:val="Compact"/>
              <w:jc w:val="left"/>
            </w:pPr>
            <w:r>
              <w:rPr>
                <w:rStyle w:val="VerbatimChar"/>
              </w:rPr>
              <w:t xml:space="preserve">gclt-aicoe-dev-llm</w:t>
            </w:r>
          </w:p>
        </w:tc>
        <w:tc>
          <w:tcPr/>
          <w:p>
            <w:pPr>
              <w:pStyle w:val="Compact"/>
              <w:jc w:val="left"/>
            </w:pPr>
            <w:r>
              <w:rPr>
                <w:rStyle w:val="VerbatimChar"/>
              </w:rPr>
              <w:t xml:space="preserve">llm</w:t>
            </w:r>
          </w:p>
        </w:tc>
        <w:tc>
          <w:tcPr/>
          <w:p>
            <w:pPr>
              <w:pStyle w:val="Compact"/>
              <w:jc w:val="left"/>
            </w:pPr>
            <w:r>
              <w:rPr>
                <w:rStyle w:val="VerbatimChar"/>
              </w:rPr>
              <w:t xml:space="preserve">semantic-cache</w:t>
            </w:r>
          </w:p>
        </w:tc>
        <w:tc>
          <w:tcPr/>
          <w:p>
            <w:pPr>
              <w:pStyle w:val="Compact"/>
              <w:jc w:val="left"/>
            </w:pPr>
            <w:r>
              <w:t xml:space="preserve">Semantic cache entries — only if</w:t>
            </w:r>
            <w:r>
              <w:t xml:space="preserve"> </w:t>
            </w:r>
            <w:r>
              <w:rPr>
                <w:b/>
                <w:bCs/>
              </w:rPr>
              <w:t xml:space="preserve">Semantic caching — deferred</w:t>
            </w:r>
            <w:r>
              <w:t xml:space="preserve"> </w:t>
            </w:r>
            <w:r>
              <w:t xml:space="preserve">is later enabled</w:t>
            </w:r>
          </w:p>
        </w:tc>
        <w:tc>
          <w:tcPr/>
          <w:p>
            <w:pPr>
              <w:pStyle w:val="Compact"/>
              <w:jc w:val="left"/>
            </w:pPr>
            <w:r>
              <w:rPr>
                <w:rStyle w:val="VerbatimChar"/>
              </w:rPr>
              <w:t xml:space="preserve">gcp-sa-aiplatform</w:t>
            </w:r>
            <w:r>
              <w:t xml:space="preserve"> </w:t>
            </w:r>
            <w:r>
              <w:t xml:space="preserve">agent</w:t>
            </w:r>
          </w:p>
        </w:tc>
      </w:tr>
      <w:tr>
        <w:tc>
          <w:tcPr/>
          <w:p>
            <w:pPr>
              <w:pStyle w:val="Compact"/>
              <w:jc w:val="left"/>
            </w:pPr>
            <w:r>
              <w:rPr>
                <w:rStyle w:val="VerbatimChar"/>
              </w:rPr>
              <w:t xml:space="preserve">gclt-aicoe-dev-ingress</w:t>
            </w:r>
          </w:p>
        </w:tc>
        <w:tc>
          <w:tcPr/>
          <w:p>
            <w:pPr>
              <w:pStyle w:val="Compact"/>
              <w:jc w:val="left"/>
            </w:pPr>
            <w:r>
              <w:rPr>
                <w:rStyle w:val="VerbatimChar"/>
              </w:rPr>
              <w:t xml:space="preserve">ingress</w:t>
            </w:r>
          </w:p>
        </w:tc>
        <w:tc>
          <w:tcPr/>
          <w:p>
            <w:pPr>
              <w:pStyle w:val="Compact"/>
              <w:jc w:val="left"/>
            </w:pPr>
            <w:r>
              <w:rPr>
                <w:rStyle w:val="VerbatimChar"/>
              </w:rPr>
              <w:t xml:space="preserve">attestor-signing</w:t>
            </w:r>
          </w:p>
        </w:tc>
        <w:tc>
          <w:tcPr/>
          <w:p>
            <w:pPr>
              <w:pStyle w:val="Compact"/>
              <w:jc w:val="left"/>
            </w:pPr>
            <w:r>
              <w:t xml:space="preserve">Binary Authorization attestations. Asymmetric sign, not symmetric</w:t>
            </w:r>
          </w:p>
        </w:tc>
        <w:tc>
          <w:tcPr/>
          <w:p>
            <w:pPr>
              <w:pStyle w:val="Compact"/>
              <w:jc w:val="left"/>
            </w:pPr>
            <w:r>
              <w:t xml:space="preserve">Attestor</w:t>
            </w:r>
          </w:p>
        </w:tc>
      </w:tr>
    </w:tbl>
    <w:p>
      <w:pPr>
        <w:pStyle w:val="BodyText"/>
      </w:pPr>
      <w:r>
        <w:t xml:space="preserve">Standard key settings, except</w:t>
      </w:r>
      <w:r>
        <w:t xml:space="preserve"> </w:t>
      </w:r>
      <w:r>
        <w:rPr>
          <w:rStyle w:val="VerbatimChar"/>
        </w:rPr>
        <w:t xml:space="preserve">attestor-signing</w:t>
      </w:r>
      <w:r>
        <w:t xml:space="preserve">: Software protection level, symmetric encrypt/decrypt, 90-day rotation period, region</w:t>
      </w:r>
      <w:r>
        <w:t xml:space="preserve"> </w:t>
      </w:r>
      <w:r>
        <w:rPr>
          <w:rStyle w:val="VerbatimChar"/>
        </w:rPr>
        <w:t xml:space="preserve">europe-west1</w:t>
      </w:r>
      <w:r>
        <w:t xml:space="preserve">.</w:t>
      </w:r>
    </w:p>
    <w:bookmarkStart w:id="180" w:name="service-agent-creation-order"/>
    <w:p>
      <w:pPr>
        <w:pStyle w:val="Heading3"/>
      </w:pPr>
      <w:r>
        <w:t xml:space="preserve">9.8.1 Service agent creation order</w:t>
      </w:r>
    </w:p>
    <w:p>
      <w:pPr>
        <w:pStyle w:val="FirstParagraph"/>
      </w:pPr>
      <w:r>
        <w:t xml:space="preserve">Google service agents are created lazily — typically the first time the service in question actually performs an action. Granting Encrypter/Decrypter on a key to an agent that does not yet exist fails outright, or worse, appears to succeed and the resource creation fails later with an error naming the key rather than the missing agent.</w:t>
      </w:r>
    </w:p>
    <w:p>
      <w:pPr>
        <w:pStyle w:val="BodyText"/>
      </w:pPr>
      <w:r>
        <w:t xml:space="preserve">Service agents are therefore forced into existence explicitly, before any key grant, as part of Day-1 build sequence step 9 (force service agents into existence):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Project</w:t>
            </w:r>
          </w:p>
        </w:tc>
        <w:tc>
          <w:tcPr>
            <w:shd w:val="clear" w:color="auto" w:fill="1F3864"/>
          </w:tcPr>
          <w:p>
            <w:pPr>
              <w:pStyle w:val="Compact"/>
              <w:jc w:val="left"/>
            </w:pPr>
            <w:r>
              <w:rPr>
                <w:b/>
                <w:color w:val="FFFFFF"/>
              </w:rPr>
              <w:t xml:space="preserve">Services requiring forced identity creation</w:t>
            </w:r>
          </w:p>
        </w:tc>
      </w:tr>
      <w:tr>
        <w:tc>
          <w:tcPr/>
          <w:p>
            <w:pPr>
              <w:pStyle w:val="Compact"/>
              <w:jc w:val="left"/>
            </w:pPr>
            <w:r>
              <w:rPr>
                <w:rStyle w:val="VerbatimChar"/>
              </w:rPr>
              <w:t xml:space="preserve">gclt-aicoe-dev-apigee</w:t>
            </w:r>
          </w:p>
        </w:tc>
        <w:tc>
          <w:tcPr/>
          <w:p>
            <w:pPr>
              <w:pStyle w:val="Compact"/>
              <w:jc w:val="left"/>
            </w:pPr>
            <w:r>
              <w:rPr>
                <w:rStyle w:val="VerbatimChar"/>
              </w:rPr>
              <w:t xml:space="preserve">apigee.googleapis.com</w:t>
            </w:r>
          </w:p>
        </w:tc>
      </w:tr>
      <w:tr>
        <w:tc>
          <w:tcPr/>
          <w:p>
            <w:pPr>
              <w:pStyle w:val="Compact"/>
              <w:jc w:val="left"/>
            </w:pPr>
            <w:r>
              <w:rPr>
                <w:rStyle w:val="VerbatimChar"/>
              </w:rPr>
              <w:t xml:space="preserve">gclt-aicoe-dev-auditlogs</w:t>
            </w:r>
          </w:p>
        </w:tc>
        <w:tc>
          <w:tcPr/>
          <w:p>
            <w:pPr>
              <w:pStyle w:val="Compact"/>
              <w:jc w:val="left"/>
            </w:pPr>
            <w:r>
              <w:rPr>
                <w:rStyle w:val="VerbatimChar"/>
              </w:rPr>
              <w:t xml:space="preserve">logging.googleapis.com</w:t>
            </w:r>
            <w:r>
              <w:t xml:space="preserve">,</w:t>
            </w:r>
            <w:r>
              <w:t xml:space="preserve"> </w:t>
            </w:r>
            <w:r>
              <w:rPr>
                <w:rStyle w:val="VerbatimChar"/>
              </w:rPr>
              <w:t xml:space="preserve">pubsub.googleapis.com</w:t>
            </w:r>
            <w:r>
              <w:t xml:space="preserve">,</w:t>
            </w:r>
            <w:r>
              <w:t xml:space="preserve"> </w:t>
            </w:r>
            <w:r>
              <w:rPr>
                <w:rStyle w:val="VerbatimChar"/>
              </w:rPr>
              <w:t xml:space="preserve">bigquery.googleapis.com</w:t>
            </w:r>
          </w:p>
        </w:tc>
      </w:tr>
      <w:tr>
        <w:tc>
          <w:tcPr/>
          <w:p>
            <w:pPr>
              <w:pStyle w:val="Compact"/>
              <w:jc w:val="left"/>
            </w:pPr>
            <w:r>
              <w:rPr>
                <w:rStyle w:val="VerbatimChar"/>
              </w:rPr>
              <w:t xml:space="preserve">gclt-aicoe-dev-st</w:t>
            </w:r>
          </w:p>
        </w:tc>
        <w:tc>
          <w:tcPr/>
          <w:p>
            <w:pPr>
              <w:pStyle w:val="Compact"/>
              <w:jc w:val="left"/>
            </w:pPr>
            <w:r>
              <w:rPr>
                <w:rStyle w:val="VerbatimChar"/>
              </w:rPr>
              <w:t xml:space="preserve">artifactregistry.googleapis.com</w:t>
            </w:r>
            <w:r>
              <w:t xml:space="preserve">,</w:t>
            </w:r>
            <w:r>
              <w:t xml:space="preserve"> </w:t>
            </w:r>
            <w:r>
              <w:rPr>
                <w:rStyle w:val="VerbatimChar"/>
              </w:rPr>
              <w:t xml:space="preserve">aiplatform.googleapis.com</w:t>
            </w:r>
            <w:r>
              <w:t xml:space="preserve">,</w:t>
            </w:r>
            <w:r>
              <w:t xml:space="preserve"> </w:t>
            </w:r>
            <w:r>
              <w:rPr>
                <w:rStyle w:val="VerbatimChar"/>
              </w:rPr>
              <w:t xml:space="preserve">storage.googleapis.com</w:t>
            </w:r>
            <w:r>
              <w:t xml:space="preserve">,</w:t>
            </w:r>
            <w:r>
              <w:t xml:space="preserve"> </w:t>
            </w:r>
            <w:r>
              <w:rPr>
                <w:rStyle w:val="VerbatimChar"/>
              </w:rPr>
              <w:t xml:space="preserve">bigquery.googleapis.com</w:t>
            </w:r>
          </w:p>
        </w:tc>
      </w:tr>
      <w:tr>
        <w:tc>
          <w:tcPr/>
          <w:p>
            <w:pPr>
              <w:pStyle w:val="Compact"/>
              <w:jc w:val="left"/>
            </w:pPr>
            <w:r>
              <w:rPr>
                <w:rStyle w:val="VerbatimChar"/>
              </w:rPr>
              <w:t xml:space="preserve">gclt-aicoe-dev-aihub-ui</w:t>
            </w:r>
          </w:p>
        </w:tc>
        <w:tc>
          <w:tcPr/>
          <w:p>
            <w:pPr>
              <w:pStyle w:val="Compact"/>
              <w:jc w:val="left"/>
            </w:pPr>
            <w:r>
              <w:rPr>
                <w:rStyle w:val="VerbatimChar"/>
              </w:rPr>
              <w:t xml:space="preserve">artifactregistry.googleapis.com</w:t>
            </w:r>
          </w:p>
        </w:tc>
      </w:tr>
      <w:tr>
        <w:tc>
          <w:tcPr/>
          <w:p>
            <w:pPr>
              <w:pStyle w:val="Compact"/>
              <w:jc w:val="left"/>
            </w:pPr>
            <w:r>
              <w:rPr>
                <w:rStyle w:val="VerbatimChar"/>
              </w:rPr>
              <w:t xml:space="preserve">gclt-aicoe-dev-llm</w:t>
            </w:r>
          </w:p>
        </w:tc>
        <w:tc>
          <w:tcPr/>
          <w:p>
            <w:pPr>
              <w:pStyle w:val="Compact"/>
              <w:jc w:val="left"/>
            </w:pPr>
            <w:r>
              <w:rPr>
                <w:rStyle w:val="VerbatimChar"/>
              </w:rPr>
              <w:t xml:space="preserve">aiplatform.googleapis.com</w:t>
            </w:r>
          </w:p>
        </w:tc>
      </w:tr>
    </w:tbl>
    <w:p>
      <w:pPr>
        <w:pStyle w:val="BodyText"/>
      </w:pPr>
      <w:r>
        <w:t xml:space="preserve">The identifier returned in the middle of a forced agent’s address is the project</w:t>
      </w:r>
      <w:r>
        <w:t xml:space="preserve"> </w:t>
      </w:r>
      <w:r>
        <w:rPr>
          <w:b/>
          <w:bCs/>
        </w:rPr>
        <w:t xml:space="preserve">number</w:t>
      </w:r>
      <w:r>
        <w:t xml:space="preserve">, not the project ID; an address recorded from one project does not work in another and each must be recorded per project.</w:t>
      </w:r>
    </w:p>
    <w:p>
      <w:pPr>
        <w:pStyle w:val="BodyText"/>
      </w:pPr>
      <w:r>
        <w:t xml:space="preserve">A key must not be deleted or disabled once a resource uses it: data encrypted with it becomes unreadable, which is why key deletion carries a mandatory waiting period, per I12 (KMS key deletion).</w:t>
      </w:r>
    </w:p>
    <w:bookmarkEnd w:id="180"/>
    <w:bookmarkEnd w:id="181"/>
    <w:bookmarkStart w:id="182" w:name="secret-manager"/>
    <w:p>
      <w:pPr>
        <w:pStyle w:val="Heading2"/>
      </w:pPr>
      <w:r>
        <w:t xml:space="preserve">9.9 Secret Manager</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Secret</w:t>
            </w:r>
          </w:p>
        </w:tc>
        <w:tc>
          <w:tcPr>
            <w:shd w:val="clear" w:color="auto" w:fill="1F3864"/>
          </w:tcPr>
          <w:p>
            <w:pPr>
              <w:pStyle w:val="Compact"/>
              <w:jc w:val="left"/>
            </w:pPr>
            <w:r>
              <w:rPr>
                <w:b/>
                <w:color w:val="FFFFFF"/>
              </w:rPr>
              <w:t xml:space="preserve">Holds</w:t>
            </w:r>
          </w:p>
        </w:tc>
        <w:tc>
          <w:tcPr>
            <w:shd w:val="clear" w:color="auto" w:fill="1F3864"/>
          </w:tcPr>
          <w:p>
            <w:pPr>
              <w:pStyle w:val="Compact"/>
              <w:jc w:val="left"/>
            </w:pPr>
            <w:r>
              <w:rPr>
                <w:b/>
                <w:color w:val="FFFFFF"/>
              </w:rPr>
              <w:t xml:space="preserve">Project</w:t>
            </w:r>
          </w:p>
        </w:tc>
      </w:tr>
      <w:tr>
        <w:tc>
          <w:tcPr/>
          <w:p>
            <w:pPr>
              <w:pStyle w:val="Compact"/>
              <w:jc w:val="left"/>
            </w:pPr>
            <w:r>
              <w:rPr>
                <w:rStyle w:val="VerbatimChar"/>
              </w:rPr>
              <w:t xml:space="preserve">aihub-tls-cert</w:t>
            </w:r>
          </w:p>
        </w:tc>
        <w:tc>
          <w:tcPr/>
          <w:p>
            <w:pPr>
              <w:pStyle w:val="Compact"/>
              <w:jc w:val="left"/>
            </w:pPr>
            <w:r>
              <w:t xml:space="preserve">The certificate for</w:t>
            </w:r>
            <w:r>
              <w:t xml:space="preserve"> </w:t>
            </w:r>
            <w:r>
              <w:rPr>
                <w:rStyle w:val="VerbatimChar"/>
              </w:rPr>
              <w:t xml:space="preserve">aihub.aicoe-dev-int.colt.net</w:t>
            </w:r>
            <w:r>
              <w:t xml:space="preserve">, per</w:t>
            </w:r>
            <w:r>
              <w:t xml:space="preserve"> </w:t>
            </w:r>
            <w:r>
              <w:rPr>
                <w:b/>
                <w:bCs/>
              </w:rPr>
              <w:t xml:space="preserve">TLS and certificate provisioning</w:t>
            </w:r>
          </w:p>
        </w:tc>
        <w:tc>
          <w:tcPr/>
          <w:p>
            <w:pPr>
              <w:pStyle w:val="Compact"/>
              <w:jc w:val="left"/>
            </w:pPr>
            <w:r>
              <w:rPr>
                <w:rStyle w:val="VerbatimChar"/>
              </w:rPr>
              <w:t xml:space="preserve">gclt-aicoe-dev-st</w:t>
            </w:r>
          </w:p>
        </w:tc>
      </w:tr>
      <w:tr>
        <w:tc>
          <w:tcPr/>
          <w:p>
            <w:pPr>
              <w:pStyle w:val="Compact"/>
              <w:jc w:val="left"/>
            </w:pPr>
            <w:r>
              <w:rPr>
                <w:rStyle w:val="VerbatimChar"/>
              </w:rPr>
              <w:t xml:space="preserve">aihub-tls-key</w:t>
            </w:r>
          </w:p>
        </w:tc>
        <w:tc>
          <w:tcPr/>
          <w:p>
            <w:pPr>
              <w:pStyle w:val="Compact"/>
              <w:jc w:val="left"/>
            </w:pPr>
            <w:r>
              <w:t xml:space="preserve">Its private key</w:t>
            </w:r>
          </w:p>
        </w:tc>
        <w:tc>
          <w:tcPr/>
          <w:p>
            <w:pPr>
              <w:pStyle w:val="Compact"/>
              <w:jc w:val="left"/>
            </w:pPr>
            <w:r>
              <w:rPr>
                <w:rStyle w:val="VerbatimChar"/>
              </w:rPr>
              <w:t xml:space="preserve">gclt-aicoe-dev-st</w:t>
            </w:r>
          </w:p>
        </w:tc>
      </w:tr>
      <w:tr>
        <w:tc>
          <w:tcPr/>
          <w:p>
            <w:pPr>
              <w:pStyle w:val="Compact"/>
              <w:jc w:val="left"/>
            </w:pPr>
            <w:r>
              <w:rPr>
                <w:rStyle w:val="VerbatimChar"/>
              </w:rPr>
              <w:t xml:space="preserve">apigee-consumer-credentials</w:t>
            </w:r>
          </w:p>
        </w:tc>
        <w:tc>
          <w:tcPr/>
          <w:p>
            <w:pPr>
              <w:pStyle w:val="Compact"/>
              <w:jc w:val="left"/>
            </w:pPr>
            <w:r>
              <w:t xml:space="preserve">The client credentials each Cloud Run service uses to call the AI gateway</w:t>
            </w:r>
          </w:p>
        </w:tc>
        <w:tc>
          <w:tcPr/>
          <w:p>
            <w:pPr>
              <w:pStyle w:val="Compact"/>
              <w:jc w:val="left"/>
            </w:pPr>
            <w:r>
              <w:rPr>
                <w:rStyle w:val="VerbatimChar"/>
              </w:rPr>
              <w:t xml:space="preserve">gclt-aicoe-dev-st</w:t>
            </w:r>
          </w:p>
        </w:tc>
      </w:tr>
      <w:tr>
        <w:tc>
          <w:tcPr/>
          <w:p>
            <w:pPr>
              <w:pStyle w:val="Compact"/>
              <w:jc w:val="left"/>
            </w:pPr>
            <w:r>
              <w:rPr>
                <w:rStyle w:val="VerbatimChar"/>
              </w:rPr>
              <w:t xml:space="preserve">entra-bff-client-secret</w:t>
            </w:r>
          </w:p>
        </w:tc>
        <w:tc>
          <w:tcPr/>
          <w:p>
            <w:pPr>
              <w:pStyle w:val="Compact"/>
              <w:jc w:val="left"/>
            </w:pPr>
            <w:r>
              <w:t xml:space="preserve">The Backend-for-Frontend’s confidential-client credential. A certificate is preferable, per</w:t>
            </w:r>
            <w:r>
              <w:t xml:space="preserve"> </w:t>
            </w:r>
            <w:r>
              <w:rPr>
                <w:b/>
                <w:bCs/>
              </w:rPr>
              <w:t xml:space="preserve">Backend-for-Frontend rationale</w:t>
            </w:r>
          </w:p>
        </w:tc>
        <w:tc>
          <w:tcPr/>
          <w:p>
            <w:pPr>
              <w:pStyle w:val="Compact"/>
              <w:jc w:val="left"/>
            </w:pPr>
            <w:r>
              <w:rPr>
                <w:rStyle w:val="VerbatimChar"/>
              </w:rPr>
              <w:t xml:space="preserve">gclt-aicoe-dev-st</w:t>
            </w:r>
          </w:p>
        </w:tc>
      </w:tr>
      <w:tr>
        <w:tc>
          <w:tcPr/>
          <w:p>
            <w:pPr>
              <w:pStyle w:val="Compact"/>
              <w:jc w:val="left"/>
            </w:pPr>
            <w:r>
              <w:rPr>
                <w:rStyle w:val="VerbatimChar"/>
              </w:rPr>
              <w:t xml:space="preserve">apigee-bff-client-key</w:t>
            </w:r>
          </w:p>
        </w:tc>
        <w:tc>
          <w:tcPr/>
          <w:p>
            <w:pPr>
              <w:pStyle w:val="Compact"/>
              <w:jc w:val="left"/>
            </w:pPr>
            <w:r>
              <w:t xml:space="preserve">The Apigee client key the Backend-for-Frontend presents so quota can resolve an API Product</w:t>
            </w:r>
          </w:p>
        </w:tc>
        <w:tc>
          <w:tcPr/>
          <w:p>
            <w:pPr>
              <w:pStyle w:val="Compact"/>
              <w:jc w:val="left"/>
            </w:pPr>
            <w:r>
              <w:rPr>
                <w:rStyle w:val="VerbatimChar"/>
              </w:rPr>
              <w:t xml:space="preserve">gclt-aicoe-dev-st</w:t>
            </w:r>
          </w:p>
        </w:tc>
      </w:tr>
      <w:tr>
        <w:tc>
          <w:tcPr/>
          <w:p>
            <w:pPr>
              <w:pStyle w:val="Compact"/>
              <w:jc w:val="left"/>
            </w:pPr>
            <w:r>
              <w:rPr>
                <w:rStyle w:val="VerbatimChar"/>
              </w:rPr>
              <w:t xml:space="preserve">session-encryption-key-ref</w:t>
            </w:r>
          </w:p>
        </w:tc>
        <w:tc>
          <w:tcPr/>
          <w:p>
            <w:pPr>
              <w:pStyle w:val="Compact"/>
              <w:jc w:val="left"/>
            </w:pPr>
            <w:r>
              <w:t xml:space="preserve">A reference to the Cloud KMS key wrapping the session data encryption key</w:t>
            </w:r>
          </w:p>
        </w:tc>
        <w:tc>
          <w:tcPr/>
          <w:p>
            <w:pPr>
              <w:pStyle w:val="Compact"/>
              <w:jc w:val="left"/>
            </w:pPr>
            <w:r>
              <w:rPr>
                <w:rStyle w:val="VerbatimChar"/>
              </w:rPr>
              <w:t xml:space="preserve">gclt-aicoe-dev-st</w:t>
            </w:r>
          </w:p>
        </w:tc>
      </w:tr>
    </w:tbl>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Rationale</w:t>
            </w:r>
          </w:p>
        </w:tc>
      </w:tr>
      <w:tr>
        <w:tc>
          <w:tcPr/>
          <w:p>
            <w:pPr>
              <w:pStyle w:val="Compact"/>
              <w:jc w:val="left"/>
            </w:pPr>
            <w:r>
              <w:t xml:space="preserve">Replication policy</w:t>
            </w:r>
          </w:p>
        </w:tc>
        <w:tc>
          <w:tcPr/>
          <w:p>
            <w:pPr>
              <w:pStyle w:val="Compact"/>
              <w:jc w:val="left"/>
            </w:pPr>
            <w:r>
              <w:t xml:space="preserve">Manual, region</w:t>
            </w:r>
            <w:r>
              <w:t xml:space="preserve"> </w:t>
            </w:r>
            <w:r>
              <w:rPr>
                <w:rStyle w:val="VerbatimChar"/>
              </w:rPr>
              <w:t xml:space="preserve">europe-west1</w:t>
            </w:r>
          </w:p>
        </w:tc>
        <w:tc>
          <w:tcPr/>
          <w:p>
            <w:pPr>
              <w:pStyle w:val="Compact"/>
              <w:jc w:val="left"/>
            </w:pPr>
            <w:r>
              <w:t xml:space="preserve">The default automatic replication spreads the secret globally, which conflicts with CR-03 (Secret Manager manual replication pinned to</w:t>
            </w:r>
            <w:r>
              <w:t xml:space="preserve"> </w:t>
            </w:r>
            <w:r>
              <w:rPr>
                <w:rStyle w:val="VerbatimChar"/>
              </w:rPr>
              <w:t xml:space="preserve">europe-west1</w:t>
            </w:r>
            <w:r>
              <w:t xml:space="preserve">)</w:t>
            </w:r>
          </w:p>
        </w:tc>
      </w:tr>
      <w:tr>
        <w:tc>
          <w:tcPr/>
          <w:p>
            <w:pPr>
              <w:pStyle w:val="Compact"/>
              <w:jc w:val="left"/>
            </w:pPr>
            <w:r>
              <w:t xml:space="preserve">Encryption</w:t>
            </w:r>
          </w:p>
        </w:tc>
        <w:tc>
          <w:tcPr/>
          <w:p>
            <w:pPr>
              <w:pStyle w:val="Compact"/>
              <w:jc w:val="left"/>
            </w:pPr>
            <w:r>
              <w:t xml:space="preserve">CMEK, the</w:t>
            </w:r>
            <w:r>
              <w:t xml:space="preserve"> </w:t>
            </w:r>
            <w:r>
              <w:rPr>
                <w:rStyle w:val="VerbatimChar"/>
              </w:rPr>
              <w:t xml:space="preserve">secrets</w:t>
            </w:r>
            <w:r>
              <w:t xml:space="preserve"> </w:t>
            </w:r>
            <w:r>
              <w:t xml:space="preserve">key</w:t>
            </w:r>
          </w:p>
        </w:tc>
        <w:tc>
          <w:tcPr/>
          <w:p>
            <w:pPr>
              <w:pStyle w:val="Compact"/>
              <w:jc w:val="left"/>
            </w:pPr>
            <w:r>
              <w:t xml:space="preserve">—</w:t>
            </w:r>
          </w:p>
        </w:tc>
      </w:tr>
      <w:tr>
        <w:tc>
          <w:tcPr/>
          <w:p>
            <w:pPr>
              <w:pStyle w:val="Compact"/>
              <w:jc w:val="left"/>
            </w:pPr>
            <w:r>
              <w:t xml:space="preserve">Labels</w:t>
            </w:r>
          </w:p>
        </w:tc>
        <w:tc>
          <w:tcPr/>
          <w:p>
            <w:pPr>
              <w:pStyle w:val="Compact"/>
              <w:jc w:val="left"/>
            </w:pPr>
            <w:r>
              <w:rPr>
                <w:rStyle w:val="VerbatimChar"/>
              </w:rPr>
              <w:t xml:space="preserve">owner: platform-team</w:t>
            </w:r>
            <w:r>
              <w:t xml:space="preserve"> </w:t>
            </w:r>
            <w:r>
              <w:t xml:space="preserve">at minimum, per TR-25 (resource labelling)</w:t>
            </w:r>
          </w:p>
        </w:tc>
        <w:tc>
          <w:tcPr/>
          <w:p>
            <w:pPr>
              <w:pStyle w:val="Compact"/>
              <w:jc w:val="left"/>
            </w:pPr>
            <w:r>
              <w:t xml:space="preserve">Every secret has a named owner</w:t>
            </w:r>
          </w:p>
        </w:tc>
      </w:tr>
      <w:tr>
        <w:tc>
          <w:tcPr/>
          <w:p>
            <w:pPr>
              <w:pStyle w:val="Compact"/>
              <w:jc w:val="left"/>
            </w:pPr>
            <w:r>
              <w:t xml:space="preserve">Rotation</w:t>
            </w:r>
          </w:p>
        </w:tc>
        <w:tc>
          <w:tcPr/>
          <w:p>
            <w:pPr>
              <w:pStyle w:val="Compact"/>
              <w:jc w:val="left"/>
            </w:pPr>
            <w:r>
              <w:t xml:space="preserve">Rotation period and notification topic set per secret</w:t>
            </w:r>
          </w:p>
        </w:tc>
        <w:tc>
          <w:tcPr/>
          <w:p>
            <w:pPr>
              <w:pStyle w:val="Compact"/>
              <w:jc w:val="left"/>
            </w:pPr>
            <w:r>
              <w:t xml:space="preserve">Per</w:t>
            </w:r>
            <w:r>
              <w:t xml:space="preserve"> </w:t>
            </w:r>
            <w:r>
              <w:rPr>
                <w:b/>
                <w:bCs/>
              </w:rPr>
              <w:t xml:space="preserve">Security Architecture and Operations</w:t>
            </w:r>
          </w:p>
        </w:tc>
      </w:tr>
    </w:tbl>
    <w:p>
      <w:pPr>
        <w:pStyle w:val="BodyText"/>
      </w:pPr>
      <w:r>
        <w:t xml:space="preserve">Secrets are referenced by Cloud Run and never injected as environment variable values, per the service settings in</w:t>
      </w:r>
      <w:r>
        <w:t xml:space="preserve"> </w:t>
      </w:r>
      <w:r>
        <w:rPr>
          <w:b/>
          <w:bCs/>
        </w:rPr>
        <w:t xml:space="preserve">Cloud Run — service inventory and settings</w:t>
      </w:r>
      <w:r>
        <w:t xml:space="preserve">. The AICOE Platform Team creates the secret in Secret Manager; the GitLab CI/CD pipeline attaches it to the Cloud Run service as a secret reference at deploy time, not as a plaintext environment variable.</w:t>
      </w:r>
    </w:p>
    <w:p>
      <w:r>
        <w:pict>
          <v:rect style="width:0;height:1.5pt" o:hralign="center" o:hrstd="t" o:hr="t"/>
        </w:pict>
      </w:r>
    </w:p>
    <w:bookmarkEnd w:id="182"/>
    <w:bookmarkEnd w:id="183"/>
    <w:bookmarkStart w:id="230" w:name="security-architecture-and-operations"/>
    <w:p>
      <w:pPr>
        <w:pStyle w:val="Heading1"/>
      </w:pPr>
      <w:r>
        <w:t xml:space="preserve">10. Security Architecture and Operations</w:t>
      </w:r>
    </w:p>
    <w:p>
      <w:pPr>
        <w:pStyle w:val="FirstParagraph"/>
      </w:pPr>
      <w:r>
        <w:t xml:space="preserve">This section consolidates every security control for the platform under a single parent section. It covers the security model, organisation policy, identity and access management, network security, encryption, data classification, secrets handling, compute hardening, supply-chain integrity, data-loss prevention and AI guardrails, security logging, consumption abuse protection, and emergency termination.</w:t>
      </w:r>
    </w:p>
    <w:bookmarkStart w:id="184" w:name="security-model-defence-in-depth"/>
    <w:p>
      <w:pPr>
        <w:pStyle w:val="Heading2"/>
      </w:pPr>
      <w:r>
        <w:t xml:space="preserve">10.1 Security model — defence in depth</w:t>
      </w:r>
    </w:p>
    <w:p>
      <w:pPr>
        <w:pStyle w:val="FirstParagraph"/>
      </w:pPr>
      <w:r>
        <w:t xml:space="preserve">The platform adopts a Zero Trust model: no user, workload or network location is implicitly trusted, access is granted per request on the basis of verified identity and least privilege, and every service-to-service and user-to-service call is authenticated, authorised and logged.</w:t>
      </w:r>
    </w:p>
    <w:p>
      <w:pPr>
        <w:pStyle w:val="SourceCode"/>
      </w:pPr>
      <w:r>
        <w:rPr>
          <w:rStyle w:val="VerbatimChar"/>
        </w:rPr>
        <w:t xml:space="preserve">graph TB</w:t>
      </w:r>
      <w:r>
        <w:br/>
      </w:r>
      <w:r>
        <w:rPr>
          <w:rStyle w:val="VerbatimChar"/>
        </w:rPr>
        <w:t xml:space="preserve">  L0["0 · Guardrails — organisation policy at the AI COE folder&lt;br/&gt;prevents rather than detects"]</w:t>
      </w:r>
      <w:r>
        <w:br/>
      </w:r>
      <w:r>
        <w:rPr>
          <w:rStyle w:val="VerbatimChar"/>
        </w:rPr>
        <w:t xml:space="preserve">  L1["1 · Network — ZPA · one routable address · default-deny egress&lt;br/&gt;no peering · PSC only"]</w:t>
      </w:r>
      <w:r>
        <w:br/>
      </w:r>
      <w:r>
        <w:rPr>
          <w:rStyle w:val="VerbatimChar"/>
        </w:rPr>
        <w:t xml:space="preserve">  L2["2 · Session gate — IAP&lt;br/&gt;rejects before platform code runs"]</w:t>
      </w:r>
      <w:r>
        <w:br/>
      </w:r>
      <w:r>
        <w:rPr>
          <w:rStyle w:val="VerbatimChar"/>
        </w:rPr>
        <w:t xml:space="preserve">  L3["3 · Application session — BFF · opaque cookie · Firestore · CSRF"]</w:t>
      </w:r>
      <w:r>
        <w:br/>
      </w:r>
      <w:r>
        <w:rPr>
          <w:rStyle w:val="VerbatimChar"/>
        </w:rPr>
        <w:t xml:space="preserve">  L4["4 · Entitlement — Apigee VerifyJWT and App Role check&lt;br/&gt;the default flow denies"]</w:t>
      </w:r>
      <w:r>
        <w:br/>
      </w:r>
      <w:r>
        <w:rPr>
          <w:rStyle w:val="VerbatimChar"/>
        </w:rPr>
        <w:t xml:space="preserve">  L5["5 · Consumption — Quota and LLMTokenQuota on the verified oid"]</w:t>
      </w:r>
      <w:r>
        <w:br/>
      </w:r>
      <w:r>
        <w:rPr>
          <w:rStyle w:val="VerbatimChar"/>
        </w:rPr>
        <w:t xml:space="preserve">  L6["6 · Content — Model Armor prompt and response screening, plus SDP"]</w:t>
      </w:r>
      <w:r>
        <w:br/>
      </w:r>
      <w:r>
        <w:rPr>
          <w:rStyle w:val="VerbatimChar"/>
        </w:rPr>
        <w:t xml:space="preserve">  L7["7 · Machine identity — Cloud Run IAM · run.invoker to one service account"]</w:t>
      </w:r>
      <w:r>
        <w:br/>
      </w:r>
      <w:r>
        <w:rPr>
          <w:rStyle w:val="VerbatimChar"/>
        </w:rPr>
        <w:t xml:space="preserve">  L8["8 · Data — CMEK throughout · restricts filter · uniform bucket IAM"]</w:t>
      </w:r>
      <w:r>
        <w:br/>
      </w:r>
      <w:r>
        <w:rPr>
          <w:rStyle w:val="VerbatimChar"/>
        </w:rPr>
        <w:t xml:space="preserve">  L9["9 · Supply chain — Binary Authorization · immutable tags · WIF · no service account keys"]</w:t>
      </w:r>
      <w:r>
        <w:br/>
      </w:r>
      <w:r>
        <w:rPr>
          <w:rStyle w:val="VerbatimChar"/>
        </w:rPr>
        <w:t xml:space="preserve">  L10["10 · Evidence — 400-day central bucket · folder audit configuration · Sentinel"]</w:t>
      </w:r>
      <w:r>
        <w:br/>
      </w:r>
      <w:r>
        <w:br/>
      </w:r>
      <w:r>
        <w:rPr>
          <w:rStyle w:val="VerbatimChar"/>
        </w:rPr>
        <w:t xml:space="preserve">  L0 --&gt; L1 --&gt; L2 --&gt; L3 --&gt; L4 --&gt; L5 --&gt; L6 --&gt; L7 --&gt; L8</w:t>
      </w:r>
      <w:r>
        <w:br/>
      </w:r>
      <w:r>
        <w:rPr>
          <w:rStyle w:val="VerbatimChar"/>
        </w:rPr>
        <w:t xml:space="preserve">  L9 -.-&gt; L7</w:t>
      </w:r>
      <w:r>
        <w:br/>
      </w:r>
      <w:r>
        <w:rPr>
          <w:rStyle w:val="VerbatimChar"/>
        </w:rPr>
        <w:t xml:space="preserve">  L10 -.-&gt; L0</w:t>
      </w:r>
    </w:p>
    <w:p>
      <w:pPr>
        <w:pStyle w:val="FirstParagraph"/>
      </w:pPr>
      <w:r>
        <w:t xml:space="preserve">The organising principle is G17 (one authentication mechanism per boundary): IAP proves a person, Apigee decides what that person may do, and Cloud Run IAM proves the machine on the final hop. Layering two mechanisms on a single boundary is what caused the backend authentication position to be revised repeatedly in earlier design iterations, and is avoided by design here.</w:t>
      </w:r>
    </w:p>
    <w:p>
      <w:pPr>
        <w:pStyle w:val="BodyText"/>
      </w:pPr>
      <w:r>
        <w:t xml:space="preserve">Layers 2 to 6 apply to Dev and Prod only. Sandbox carries layers 0, 1, 2, 7, 8, 9 and 10, with IAP authenticating a Google identity rather than a federated Entra identity, and with no Apigee entitlement, consumption or content layer — see</w:t>
      </w:r>
      <w:r>
        <w:t xml:space="preserve"> </w:t>
      </w:r>
      <w:r>
        <w:rPr>
          <w:b/>
          <w:bCs/>
        </w:rPr>
        <w:t xml:space="preserve">User access — Sandbox</w:t>
      </w:r>
      <w:r>
        <w:t xml:space="preserve">.</w:t>
      </w:r>
    </w:p>
    <w:bookmarkEnd w:id="184"/>
    <w:bookmarkStart w:id="185" w:name="organisation-policies"/>
    <w:p>
      <w:pPr>
        <w:pStyle w:val="Heading2"/>
      </w:pPr>
      <w:r>
        <w:t xml:space="preserve">10.2 Organisation policies</w:t>
      </w:r>
    </w:p>
    <w:p>
      <w:pPr>
        <w:pStyle w:val="FirstParagraph"/>
      </w:pPr>
      <w:r>
        <w:t xml:space="preserve">Ten policies are set at the</w:t>
      </w:r>
      <w:r>
        <w:t xml:space="preserve"> </w:t>
      </w:r>
      <w:r>
        <w:rPr>
          <w:rStyle w:val="VerbatimChar"/>
        </w:rPr>
        <w:t xml:space="preserve">AI COE</w:t>
      </w:r>
      <w:r>
        <w:t xml:space="preserve"> </w:t>
      </w:r>
      <w:r>
        <w:t xml:space="preserve">folder rather than per project, so a project is governed from the moment it is created. This is G4 (preventive guardrails in place of detective controls): a policy at the folder is inherited automatically, whereas a check in a pipeline governs only what passes through that pipeline.</w:t>
      </w:r>
    </w:p>
    <w:p>
      <w:pPr>
        <w:pStyle w:val="BodyText"/>
      </w:pPr>
      <w:r>
        <w:rPr>
          <w:b/>
          <w:bCs/>
        </w:rPr>
        <w:t xml:space="preserve">These policies are owned, applied and maintained by the Colt Cloud CoE and are not Terraform-managed by the AICOE Platform Team.</w:t>
      </w:r>
      <w:r>
        <w:t xml:space="preserve"> </w:t>
      </w:r>
      <w:r>
        <w:t xml:space="preserve">The AICOE Platform Team cannot add, change or remove a folder-level policy; policy changes are raised with the Colt Cloud CoE.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Policy</w:t>
            </w:r>
          </w:p>
        </w:tc>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Prevents</w:t>
            </w:r>
          </w:p>
        </w:tc>
      </w:tr>
      <w:tr>
        <w:tc>
          <w:tcPr/>
          <w:p>
            <w:pPr>
              <w:pStyle w:val="Compact"/>
              <w:jc w:val="left"/>
            </w:pPr>
            <w:r>
              <w:rPr>
                <w:rStyle w:val="VerbatimChar"/>
              </w:rPr>
              <w:t xml:space="preserve">compute.vmExternalIpAccess</w:t>
            </w:r>
          </w:p>
        </w:tc>
        <w:tc>
          <w:tcPr/>
          <w:p>
            <w:pPr>
              <w:pStyle w:val="Compact"/>
              <w:jc w:val="left"/>
            </w:pPr>
            <w:r>
              <w:t xml:space="preserve">Deny all</w:t>
            </w:r>
          </w:p>
        </w:tc>
        <w:tc>
          <w:tcPr/>
          <w:p>
            <w:pPr>
              <w:pStyle w:val="Compact"/>
              <w:jc w:val="left"/>
            </w:pPr>
            <w:r>
              <w:t xml:space="preserve">Virtual machines obtaining public internet addresses</w:t>
            </w:r>
          </w:p>
        </w:tc>
      </w:tr>
      <w:tr>
        <w:tc>
          <w:tcPr/>
          <w:p>
            <w:pPr>
              <w:pStyle w:val="Compact"/>
              <w:jc w:val="left"/>
            </w:pPr>
            <w:r>
              <w:rPr>
                <w:rStyle w:val="VerbatimChar"/>
              </w:rPr>
              <w:t xml:space="preserve">run.allowedIngress</w:t>
            </w:r>
          </w:p>
        </w:tc>
        <w:tc>
          <w:tcPr/>
          <w:p>
            <w:pPr>
              <w:pStyle w:val="Compact"/>
              <w:jc w:val="left"/>
            </w:pPr>
            <w:r>
              <w:t xml:space="preserve">Custom — allow</w:t>
            </w:r>
            <w:r>
              <w:t xml:space="preserve"> </w:t>
            </w:r>
            <w:r>
              <w:rPr>
                <w:rStyle w:val="VerbatimChar"/>
              </w:rPr>
              <w:t xml:space="preserve">internal-and-cloud-load-balancing</w:t>
            </w:r>
            <w:r>
              <w:t xml:space="preserve"> </w:t>
            </w:r>
            <w:r>
              <w:t xml:space="preserve">only</w:t>
            </w:r>
          </w:p>
        </w:tc>
        <w:tc>
          <w:tcPr/>
          <w:p>
            <w:pPr>
              <w:pStyle w:val="Compact"/>
              <w:jc w:val="left"/>
            </w:pPr>
            <w:r>
              <w:t xml:space="preserve">Cloud Run services being published to the internet</w:t>
            </w:r>
          </w:p>
        </w:tc>
      </w:tr>
      <w:tr>
        <w:tc>
          <w:tcPr/>
          <w:p>
            <w:pPr>
              <w:pStyle w:val="Compact"/>
              <w:jc w:val="left"/>
            </w:pPr>
            <w:r>
              <w:rPr>
                <w:rStyle w:val="VerbatimChar"/>
              </w:rPr>
              <w:t xml:space="preserve">iam.disableServiceAccountKeyCreation</w:t>
            </w:r>
          </w:p>
        </w:tc>
        <w:tc>
          <w:tcPr/>
          <w:p>
            <w:pPr>
              <w:pStyle w:val="Compact"/>
              <w:jc w:val="left"/>
            </w:pPr>
            <w:r>
              <w:t xml:space="preserve">Enforced</w:t>
            </w:r>
          </w:p>
        </w:tc>
        <w:tc>
          <w:tcPr/>
          <w:p>
            <w:pPr>
              <w:pStyle w:val="Compact"/>
              <w:jc w:val="left"/>
            </w:pPr>
            <w:r>
              <w:t xml:space="preserve">Downloadable credential files, per TR-13 (no downloadable service account keys)</w:t>
            </w:r>
          </w:p>
        </w:tc>
      </w:tr>
      <w:tr>
        <w:tc>
          <w:tcPr/>
          <w:p>
            <w:pPr>
              <w:pStyle w:val="Compact"/>
              <w:jc w:val="left"/>
            </w:pPr>
            <w:r>
              <w:rPr>
                <w:rStyle w:val="VerbatimChar"/>
              </w:rPr>
              <w:t xml:space="preserve">iam.allowedPolicyMemberDomains</w:t>
            </w:r>
          </w:p>
        </w:tc>
        <w:tc>
          <w:tcPr/>
          <w:p>
            <w:pPr>
              <w:pStyle w:val="Compact"/>
              <w:jc w:val="left"/>
            </w:pPr>
            <w:r>
              <w:t xml:space="preserve">Allow only Colt’s customer identifier</w:t>
            </w:r>
          </w:p>
        </w:tc>
        <w:tc>
          <w:tcPr/>
          <w:p>
            <w:pPr>
              <w:pStyle w:val="Compact"/>
              <w:jc w:val="left"/>
            </w:pPr>
            <w:r>
              <w:t xml:space="preserve">Granting access outside Colt, including to</w:t>
            </w:r>
            <w:r>
              <w:t xml:space="preserve"> </w:t>
            </w:r>
            <w:r>
              <w:rPr>
                <w:rStyle w:val="VerbatimChar"/>
              </w:rPr>
              <w:t xml:space="preserve">allUsers</w:t>
            </w:r>
            <w:r>
              <w:t xml:space="preserve"> </w:t>
            </w:r>
            <w:r>
              <w:t xml:space="preserve">and</w:t>
            </w:r>
            <w:r>
              <w:t xml:space="preserve"> </w:t>
            </w:r>
            <w:r>
              <w:rPr>
                <w:rStyle w:val="VerbatimChar"/>
              </w:rPr>
              <w:t xml:space="preserve">allAuthenticatedUsers</w:t>
            </w:r>
          </w:p>
        </w:tc>
      </w:tr>
      <w:tr>
        <w:tc>
          <w:tcPr/>
          <w:p>
            <w:pPr>
              <w:pStyle w:val="Compact"/>
              <w:jc w:val="left"/>
            </w:pPr>
            <w:r>
              <w:rPr>
                <w:rStyle w:val="VerbatimChar"/>
              </w:rPr>
              <w:t xml:space="preserve">gcp.resourceLocations</w:t>
            </w:r>
          </w:p>
        </w:tc>
        <w:tc>
          <w:tcPr/>
          <w:p>
            <w:pPr>
              <w:pStyle w:val="Compact"/>
              <w:jc w:val="left"/>
            </w:pPr>
            <w:r>
              <w:t xml:space="preserve">Pinned to</w:t>
            </w:r>
            <w:r>
              <w:t xml:space="preserve"> </w:t>
            </w:r>
            <w:r>
              <w:rPr>
                <w:rStyle w:val="VerbatimChar"/>
              </w:rPr>
              <w:t xml:space="preserve">europe-west1</w:t>
            </w:r>
          </w:p>
        </w:tc>
        <w:tc>
          <w:tcPr/>
          <w:p>
            <w:pPr>
              <w:pStyle w:val="Compact"/>
              <w:jc w:val="left"/>
            </w:pPr>
            <w:r>
              <w:t xml:space="preserve">Data created outside the region, per I9 (</w:t>
            </w:r>
            <w:r>
              <w:rPr>
                <w:rStyle w:val="VerbatimChar"/>
              </w:rPr>
              <w:t xml:space="preserve">gcp.resourceLocations</w:t>
            </w:r>
            <w:r>
              <w:t xml:space="preserve"> </w:t>
            </w:r>
            <w:r>
              <w:t xml:space="preserve">pinned to</w:t>
            </w:r>
            <w:r>
              <w:t xml:space="preserve"> </w:t>
            </w:r>
            <w:r>
              <w:rPr>
                <w:rStyle w:val="VerbatimChar"/>
              </w:rPr>
              <w:t xml:space="preserve">europe-west1</w:t>
            </w:r>
            <w:r>
              <w:t xml:space="preserve">)</w:t>
            </w:r>
          </w:p>
        </w:tc>
      </w:tr>
      <w:tr>
        <w:tc>
          <w:tcPr/>
          <w:p>
            <w:pPr>
              <w:pStyle w:val="Compact"/>
              <w:jc w:val="left"/>
            </w:pPr>
            <w:r>
              <w:rPr>
                <w:rStyle w:val="VerbatimChar"/>
              </w:rPr>
              <w:t xml:space="preserve">compute.restrictVpcPeering</w:t>
            </w:r>
          </w:p>
        </w:tc>
        <w:tc>
          <w:tcPr/>
          <w:p>
            <w:pPr>
              <w:pStyle w:val="Compact"/>
              <w:jc w:val="left"/>
            </w:pPr>
            <w:r>
              <w:t xml:space="preserve">Deny all</w:t>
            </w:r>
          </w:p>
        </w:tc>
        <w:tc>
          <w:tcPr/>
          <w:p>
            <w:pPr>
              <w:pStyle w:val="Compact"/>
              <w:jc w:val="left"/>
            </w:pPr>
            <w:r>
              <w:t xml:space="preserve">A later network join that would break the non-peered Apigee decision, per TR-05 (no VPC peering)</w:t>
            </w:r>
          </w:p>
        </w:tc>
      </w:tr>
      <w:tr>
        <w:tc>
          <w:tcPr/>
          <w:p>
            <w:pPr>
              <w:pStyle w:val="Compact"/>
              <w:jc w:val="left"/>
            </w:pPr>
            <w:r>
              <w:rPr>
                <w:rStyle w:val="VerbatimChar"/>
              </w:rPr>
              <w:t xml:space="preserve">storage.publicAccessPrevention</w:t>
            </w:r>
          </w:p>
        </w:tc>
        <w:tc>
          <w:tcPr/>
          <w:p>
            <w:pPr>
              <w:pStyle w:val="Compact"/>
              <w:jc w:val="left"/>
            </w:pPr>
            <w:r>
              <w:t xml:space="preserve">Enforced</w:t>
            </w:r>
          </w:p>
        </w:tc>
        <w:tc>
          <w:tcPr/>
          <w:p>
            <w:pPr>
              <w:pStyle w:val="Compact"/>
              <w:jc w:val="left"/>
            </w:pPr>
            <w:r>
              <w:t xml:space="preserve">Public storage buckets</w:t>
            </w:r>
          </w:p>
        </w:tc>
      </w:tr>
      <w:tr>
        <w:tc>
          <w:tcPr/>
          <w:p>
            <w:pPr>
              <w:pStyle w:val="Compact"/>
              <w:jc w:val="left"/>
            </w:pPr>
            <w:r>
              <w:rPr>
                <w:rStyle w:val="VerbatimChar"/>
              </w:rPr>
              <w:t xml:space="preserve">compute.requireShieldedVm</w:t>
            </w:r>
          </w:p>
        </w:tc>
        <w:tc>
          <w:tcPr/>
          <w:p>
            <w:pPr>
              <w:pStyle w:val="Compact"/>
              <w:jc w:val="left"/>
            </w:pPr>
            <w:r>
              <w:t xml:space="preserve">Enforced</w:t>
            </w:r>
          </w:p>
        </w:tc>
        <w:tc>
          <w:tcPr/>
          <w:p>
            <w:pPr>
              <w:pStyle w:val="Compact"/>
              <w:jc w:val="left"/>
            </w:pPr>
            <w:r>
              <w:t xml:space="preserve">Virtual machines without boot integrity verification</w:t>
            </w:r>
          </w:p>
        </w:tc>
      </w:tr>
      <w:tr>
        <w:tc>
          <w:tcPr/>
          <w:p>
            <w:pPr>
              <w:pStyle w:val="Compact"/>
              <w:jc w:val="left"/>
            </w:pPr>
            <w:r>
              <w:rPr>
                <w:rStyle w:val="VerbatimChar"/>
              </w:rPr>
              <w:t xml:space="preserve">compute.disableSerialPortAccess</w:t>
            </w:r>
          </w:p>
        </w:tc>
        <w:tc>
          <w:tcPr/>
          <w:p>
            <w:pPr>
              <w:pStyle w:val="Compact"/>
              <w:jc w:val="left"/>
            </w:pPr>
            <w:r>
              <w:t xml:space="preserve">Enforced</w:t>
            </w:r>
          </w:p>
        </w:tc>
        <w:tc>
          <w:tcPr/>
          <w:p>
            <w:pPr>
              <w:pStyle w:val="Compact"/>
              <w:jc w:val="left"/>
            </w:pPr>
            <w:r>
              <w:t xml:space="preserve">A console back door into a virtual machine</w:t>
            </w:r>
          </w:p>
        </w:tc>
      </w:tr>
      <w:tr>
        <w:tc>
          <w:tcPr/>
          <w:p>
            <w:pPr>
              <w:pStyle w:val="Compact"/>
              <w:jc w:val="left"/>
            </w:pPr>
            <w:r>
              <w:rPr>
                <w:rStyle w:val="VerbatimChar"/>
              </w:rPr>
              <w:t xml:space="preserve">essentialcontacts.allowedContactDomains</w:t>
            </w:r>
          </w:p>
        </w:tc>
        <w:tc>
          <w:tcPr/>
          <w:p>
            <w:pPr>
              <w:pStyle w:val="Compact"/>
              <w:jc w:val="left"/>
            </w:pPr>
            <w:r>
              <w:t xml:space="preserve">Colt domains only</w:t>
            </w:r>
          </w:p>
        </w:tc>
        <w:tc>
          <w:tcPr/>
          <w:p>
            <w:pPr>
              <w:pStyle w:val="Compact"/>
              <w:jc w:val="left"/>
            </w:pPr>
            <w:r>
              <w:t xml:space="preserve">Security notifications reaching an address outside Colt</w:t>
            </w:r>
          </w:p>
        </w:tc>
      </w:tr>
    </w:tbl>
    <w:p>
      <w:pPr>
        <w:pStyle w:val="BodyText"/>
      </w:pPr>
      <w:r>
        <w:rPr>
          <w:rStyle w:val="VerbatimChar"/>
        </w:rPr>
        <w:t xml:space="preserve">iam.allowedPolicyMemberDomains</w:t>
      </w:r>
      <w:r>
        <w:t xml:space="preserve"> </w:t>
      </w:r>
      <w:r>
        <w:t xml:space="preserve">is the policy that makes public Cloud Run hosting impossible, and it is the reason the anonymous-invoker problem described in</w:t>
      </w:r>
      <w:r>
        <w:t xml:space="preserve"> </w:t>
      </w:r>
      <w:r>
        <w:rPr>
          <w:b/>
          <w:bCs/>
        </w:rPr>
        <w:t xml:space="preserve">Why the backends carry no IAP</w:t>
      </w:r>
      <w:r>
        <w:t xml:space="preserve"> </w:t>
      </w:r>
      <w:r>
        <w:t xml:space="preserve">is solved by machine identity rather than by an</w:t>
      </w:r>
      <w:r>
        <w:t xml:space="preserve"> </w:t>
      </w:r>
      <w:r>
        <w:rPr>
          <w:rStyle w:val="VerbatimChar"/>
        </w:rPr>
        <w:t xml:space="preserve">allUsers</w:t>
      </w:r>
      <w:r>
        <w:t xml:space="preserve"> </w:t>
      </w:r>
      <w:r>
        <w:t xml:space="preserve">binding. It is not to be removed as a workaround.</w:t>
      </w:r>
    </w:p>
    <w:p>
      <w:pPr>
        <w:pStyle w:val="BodyText"/>
      </w:pPr>
      <w:r>
        <w:t xml:space="preserve">Two further policies —</w:t>
      </w:r>
      <w:r>
        <w:t xml:space="preserve"> </w:t>
      </w:r>
      <w:r>
        <w:rPr>
          <w:rStyle w:val="VerbatimChar"/>
        </w:rPr>
        <w:t xml:space="preserve">compute.restrictSharedVpcSubnetworks</w:t>
      </w:r>
      <w:r>
        <w:t xml:space="preserve">, and</w:t>
      </w:r>
      <w:r>
        <w:t xml:space="preserve"> </w:t>
      </w:r>
      <w:r>
        <w:rPr>
          <w:rStyle w:val="VerbatimChar"/>
        </w:rPr>
        <w:t xml:space="preserve">storage.publicAccessPrevention</w:t>
      </w:r>
      <w:r>
        <w:t xml:space="preserve"> </w:t>
      </w:r>
      <w:r>
        <w:t xml:space="preserve">raised from folder to organisation scope — are a matter for the Colt Cloud CoE to apply at their discretion; they are owned and maintained outside this design, like every other folder-level policy above.</w:t>
      </w:r>
    </w:p>
    <w:p>
      <w:pPr>
        <w:pStyle w:val="BodyText"/>
      </w:pPr>
      <w:r>
        <w:t xml:space="preserve">Policy changes take a few minutes to propagate. Verification is by opening a child project and confirming each policy shows as inherited and active, per Day-1 build sequence step 7.</w:t>
      </w:r>
    </w:p>
    <w:bookmarkEnd w:id="185"/>
    <w:bookmarkStart w:id="197" w:name="identity-and-access-management"/>
    <w:p>
      <w:pPr>
        <w:pStyle w:val="Heading2"/>
      </w:pPr>
      <w:r>
        <w:t xml:space="preserve">10.3 Identity and access management</w:t>
      </w:r>
    </w:p>
    <w:bookmarkStart w:id="186" w:name="the-identity-model"/>
    <w:p>
      <w:pPr>
        <w:pStyle w:val="Heading3"/>
      </w:pPr>
      <w:r>
        <w:t xml:space="preserve">10.3.1 The identity model</w:t>
      </w:r>
    </w:p>
    <w:p>
      <w:pPr>
        <w:pStyle w:val="FirstParagraph"/>
      </w:pPr>
      <w:r>
        <w:t xml:space="preserve">Three layers sit between a Colt employee and a backend service in Dev and Prod, each establishing something the others cannot.</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Layer</w:t>
            </w:r>
          </w:p>
        </w:tc>
        <w:tc>
          <w:tcPr>
            <w:shd w:val="clear" w:color="auto" w:fill="1F3864"/>
          </w:tcPr>
          <w:p>
            <w:pPr>
              <w:pStyle w:val="Compact"/>
              <w:jc w:val="left"/>
            </w:pPr>
            <w:r>
              <w:rPr>
                <w:b/>
                <w:color w:val="FFFFFF"/>
              </w:rPr>
              <w:t xml:space="preserve">Enforced by</w:t>
            </w:r>
          </w:p>
        </w:tc>
        <w:tc>
          <w:tcPr>
            <w:shd w:val="clear" w:color="auto" w:fill="1F3864"/>
          </w:tcPr>
          <w:p>
            <w:pPr>
              <w:pStyle w:val="Compact"/>
              <w:jc w:val="left"/>
            </w:pPr>
            <w:r>
              <w:rPr>
                <w:b/>
                <w:color w:val="FFFFFF"/>
              </w:rPr>
              <w:t xml:space="preserve">Establishes</w:t>
            </w:r>
          </w:p>
        </w:tc>
        <w:tc>
          <w:tcPr>
            <w:shd w:val="clear" w:color="auto" w:fill="1F3864"/>
          </w:tcPr>
          <w:p>
            <w:pPr>
              <w:pStyle w:val="Compact"/>
              <w:jc w:val="left"/>
            </w:pPr>
            <w:r>
              <w:rPr>
                <w:b/>
                <w:color w:val="FFFFFF"/>
              </w:rPr>
              <w:t xml:space="preserve">Failure behaviour</w:t>
            </w:r>
          </w:p>
        </w:tc>
      </w:tr>
      <w:tr>
        <w:tc>
          <w:tcPr/>
          <w:p>
            <w:pPr>
              <w:pStyle w:val="Compact"/>
              <w:jc w:val="left"/>
            </w:pPr>
            <w:r>
              <w:t xml:space="preserve">Network</w:t>
            </w:r>
          </w:p>
        </w:tc>
        <w:tc>
          <w:tcPr/>
          <w:p>
            <w:pPr>
              <w:pStyle w:val="Compact"/>
              <w:jc w:val="left"/>
            </w:pPr>
            <w:r>
              <w:t xml:space="preserve">ZPA and the internal load balancer</w:t>
            </w:r>
          </w:p>
        </w:tc>
        <w:tc>
          <w:tcPr/>
          <w:p>
            <w:pPr>
              <w:pStyle w:val="Compact"/>
              <w:jc w:val="left"/>
            </w:pPr>
            <w:r>
              <w:t xml:space="preserve">The request originated on the corporate network</w:t>
            </w:r>
          </w:p>
        </w:tc>
        <w:tc>
          <w:tcPr/>
          <w:p>
            <w:pPr>
              <w:pStyle w:val="Compact"/>
              <w:jc w:val="left"/>
            </w:pPr>
            <w:r>
              <w:t xml:space="preserve">No route; the browser does not connect</w:t>
            </w:r>
          </w:p>
        </w:tc>
      </w:tr>
      <w:tr>
        <w:tc>
          <w:tcPr/>
          <w:p>
            <w:pPr>
              <w:pStyle w:val="Compact"/>
              <w:jc w:val="left"/>
            </w:pPr>
            <w:r>
              <w:t xml:space="preserve">Session gate</w:t>
            </w:r>
          </w:p>
        </w:tc>
        <w:tc>
          <w:tcPr/>
          <w:p>
            <w:pPr>
              <w:pStyle w:val="Compact"/>
              <w:jc w:val="left"/>
            </w:pPr>
            <w:r>
              <w:t xml:space="preserve">IAP with the workforce pool, on</w:t>
            </w:r>
            <w:r>
              <w:t xml:space="preserve"> </w:t>
            </w:r>
            <w:r>
              <w:rPr>
                <w:rStyle w:val="VerbatimChar"/>
              </w:rPr>
              <w:t xml:space="preserve">bs-aihub-bff</w:t>
            </w:r>
          </w:p>
        </w:tc>
        <w:tc>
          <w:tcPr/>
          <w:p>
            <w:pPr>
              <w:pStyle w:val="Compact"/>
              <w:jc w:val="left"/>
            </w:pPr>
            <w:r>
              <w:t xml:space="preserve">An authenticated workforce member, verified before any platform code runs</w:t>
            </w:r>
          </w:p>
        </w:tc>
        <w:tc>
          <w:tcPr/>
          <w:p>
            <w:pPr>
              <w:pStyle w:val="Compact"/>
              <w:jc w:val="left"/>
            </w:pPr>
            <w:r>
              <w:t xml:space="preserve">Redirect to Entra ID, or 403 if the user holds none of the three group memberships</w:t>
            </w:r>
          </w:p>
        </w:tc>
      </w:tr>
      <w:tr>
        <w:tc>
          <w:tcPr/>
          <w:p>
            <w:pPr>
              <w:pStyle w:val="Compact"/>
              <w:jc w:val="left"/>
            </w:pPr>
            <w:r>
              <w:t xml:space="preserve">API credential</w:t>
            </w:r>
          </w:p>
        </w:tc>
        <w:tc>
          <w:tcPr/>
          <w:p>
            <w:pPr>
              <w:pStyle w:val="Compact"/>
              <w:jc w:val="left"/>
            </w:pPr>
            <w:r>
              <w:t xml:space="preserve">The Backend-for-Frontend as a confidential OAuth client</w:t>
            </w:r>
          </w:p>
        </w:tc>
        <w:tc>
          <w:tcPr/>
          <w:p>
            <w:pPr>
              <w:pStyle w:val="Compact"/>
              <w:jc w:val="left"/>
            </w:pPr>
            <w:r>
              <w:t xml:space="preserve">This user, holding these App Roles, for</w:t>
            </w:r>
            <w:r>
              <w:t xml:space="preserve"> </w:t>
            </w:r>
            <w:r>
              <w:rPr>
                <w:rStyle w:val="VerbatimChar"/>
              </w:rPr>
              <w:t xml:space="preserve">api://aicoe-platform</w:t>
            </w:r>
          </w:p>
        </w:tc>
        <w:tc>
          <w:tcPr/>
          <w:p>
            <w:pPr>
              <w:pStyle w:val="Compact"/>
              <w:jc w:val="left"/>
            </w:pPr>
            <w:r>
              <w:t xml:space="preserve">403 from Apigee on the missing App Role</w:t>
            </w:r>
          </w:p>
        </w:tc>
      </w:tr>
    </w:tbl>
    <w:p>
      <w:pPr>
        <w:pStyle w:val="BodyText"/>
      </w:pPr>
      <w:r>
        <w:t xml:space="preserve">IAP is retained even though the Backend-for-Frontend authenticates independently: it rejects unauthenticated traffic before it reaches the container, and its assertion supplies the</w:t>
      </w:r>
      <w:r>
        <w:t xml:space="preserve"> </w:t>
      </w:r>
      <w:r>
        <w:rPr>
          <w:rStyle w:val="VerbatimChar"/>
        </w:rPr>
        <w:t xml:space="preserve">login_hint</w:t>
      </w:r>
      <w:r>
        <w:t xml:space="preserve"> </w:t>
      </w:r>
      <w:r>
        <w:t xml:space="preserve">that makes the authorisation-code exchange non-interactive, which is what delivers G11 (one interactive login per session).</w:t>
      </w:r>
    </w:p>
    <w:p>
      <w:pPr>
        <w:pStyle w:val="BodyText"/>
      </w:pPr>
      <w:r>
        <w:t xml:space="preserve">Sandbox has two layers rather than three — network, then IAP against a Google identity. There is no Entra federation, no application session and no App Role entitlement, per</w:t>
      </w:r>
      <w:r>
        <w:t xml:space="preserve"> </w:t>
      </w:r>
      <w:r>
        <w:rPr>
          <w:b/>
          <w:bCs/>
        </w:rPr>
        <w:t xml:space="preserve">User access — Sandbox</w:t>
      </w:r>
      <w:r>
        <w:t xml:space="preserve">.</w:t>
      </w:r>
    </w:p>
    <w:bookmarkEnd w:id="186"/>
    <w:bookmarkStart w:id="187" w:name="microsoft-entra-id-configuration"/>
    <w:p>
      <w:pPr>
        <w:pStyle w:val="Heading3"/>
      </w:pPr>
      <w:r>
        <w:t xml:space="preserve">10.3.2 Microsoft Entra ID configuration</w:t>
      </w:r>
    </w:p>
    <w:p>
      <w:pPr>
        <w:pStyle w:val="FirstParagraph"/>
      </w:pPr>
      <w:r>
        <w:t xml:space="preserve">Two app registrations, in Dev and Prod. This subsection is written to be handed to the Colt identity function as a specification.</w:t>
      </w:r>
    </w:p>
    <w:p>
      <w:pPr>
        <w:pStyle w:val="BodyText"/>
      </w:pPr>
      <w:r>
        <w:rPr>
          <w:rStyle w:val="VerbatimChar"/>
          <w:b/>
          <w:bCs/>
        </w:rPr>
        <w:t xml:space="preserve">AI-BFF</w:t>
      </w:r>
      <w:r>
        <w:rPr>
          <w:b/>
          <w:bCs/>
        </w:rPr>
        <w:t xml:space="preserve"> </w:t>
      </w:r>
      <w:r>
        <w:rPr>
          <w:b/>
          <w:bCs/>
        </w:rPr>
        <w:t xml:space="preserve">— confidential client</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Value</w:t>
            </w:r>
          </w:p>
        </w:tc>
      </w:tr>
      <w:tr>
        <w:tc>
          <w:tcPr/>
          <w:p>
            <w:pPr>
              <w:pStyle w:val="Compact"/>
              <w:jc w:val="left"/>
            </w:pPr>
            <w:r>
              <w:t xml:space="preserve">Platform</w:t>
            </w:r>
          </w:p>
        </w:tc>
        <w:tc>
          <w:tcPr/>
          <w:p>
            <w:pPr>
              <w:pStyle w:val="Compact"/>
              <w:jc w:val="left"/>
            </w:pPr>
            <w:r>
              <w:t xml:space="preserve">Web</w:t>
            </w:r>
          </w:p>
        </w:tc>
      </w:tr>
      <w:tr>
        <w:tc>
          <w:tcPr/>
          <w:p>
            <w:pPr>
              <w:pStyle w:val="Compact"/>
              <w:jc w:val="left"/>
            </w:pPr>
            <w:r>
              <w:t xml:space="preserve">Redirect URI</w:t>
            </w:r>
          </w:p>
        </w:tc>
        <w:tc>
          <w:tcPr/>
          <w:p>
            <w:pPr>
              <w:pStyle w:val="Compact"/>
              <w:jc w:val="left"/>
            </w:pPr>
            <w:r>
              <w:rPr>
                <w:rStyle w:val="VerbatimChar"/>
              </w:rPr>
              <w:t xml:space="preserve">https://aihub.aicoe-dev-int.colt.net/auth/callback</w:t>
            </w:r>
          </w:p>
        </w:tc>
      </w:tr>
      <w:tr>
        <w:tc>
          <w:tcPr/>
          <w:p>
            <w:pPr>
              <w:pStyle w:val="Compact"/>
              <w:jc w:val="left"/>
            </w:pPr>
            <w:r>
              <w:t xml:space="preserve">Credential</w:t>
            </w:r>
          </w:p>
        </w:tc>
        <w:tc>
          <w:tcPr/>
          <w:p>
            <w:pPr>
              <w:pStyle w:val="Compact"/>
              <w:jc w:val="left"/>
            </w:pPr>
            <w:r>
              <w:t xml:space="preserve">Client secret or certificate. A certificate is preferred — no expiry surprise and no secret in transit</w:t>
            </w:r>
          </w:p>
        </w:tc>
      </w:tr>
      <w:tr>
        <w:tc>
          <w:tcPr/>
          <w:p>
            <w:pPr>
              <w:pStyle w:val="Compact"/>
              <w:jc w:val="left"/>
            </w:pPr>
            <w:r>
              <w:t xml:space="preserve">Implicit grant</w:t>
            </w:r>
          </w:p>
        </w:tc>
        <w:tc>
          <w:tcPr/>
          <w:p>
            <w:pPr>
              <w:pStyle w:val="Compact"/>
              <w:jc w:val="left"/>
            </w:pPr>
            <w:r>
              <w:t xml:space="preserve">Disabled</w:t>
            </w:r>
          </w:p>
        </w:tc>
      </w:tr>
      <w:tr>
        <w:tc>
          <w:tcPr/>
          <w:p>
            <w:pPr>
              <w:pStyle w:val="Compact"/>
              <w:jc w:val="left"/>
            </w:pPr>
            <w:r>
              <w:t xml:space="preserve">Credential storage</w:t>
            </w:r>
          </w:p>
        </w:tc>
        <w:tc>
          <w:tcPr/>
          <w:p>
            <w:pPr>
              <w:pStyle w:val="Compact"/>
              <w:jc w:val="left"/>
            </w:pPr>
            <w:r>
              <w:rPr>
                <w:rStyle w:val="VerbatimChar"/>
              </w:rPr>
              <w:t xml:space="preserve">entra-bff-client-secret</w:t>
            </w:r>
            <w:r>
              <w:t xml:space="preserve"> </w:t>
            </w:r>
            <w:r>
              <w:t xml:space="preserve">in Secret Manager, CMEK, manual EU replication</w:t>
            </w:r>
          </w:p>
        </w:tc>
      </w:tr>
    </w:tbl>
    <w:p>
      <w:pPr>
        <w:pStyle w:val="BodyText"/>
      </w:pPr>
      <w:r>
        <w:rPr>
          <w:rStyle w:val="VerbatimChar"/>
          <w:b/>
          <w:bCs/>
        </w:rPr>
        <w:t xml:space="preserve">AI-API</w:t>
      </w:r>
      <w:r>
        <w:rPr>
          <w:b/>
          <w:bCs/>
        </w:rPr>
        <w:t xml:space="preserve"> </w:t>
      </w:r>
      <w:r>
        <w:rPr>
          <w:b/>
          <w:bCs/>
        </w:rPr>
        <w:t xml:space="preserve">— resource</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Value</w:t>
            </w:r>
          </w:p>
        </w:tc>
      </w:tr>
      <w:tr>
        <w:tc>
          <w:tcPr/>
          <w:p>
            <w:pPr>
              <w:pStyle w:val="Compact"/>
              <w:jc w:val="left"/>
            </w:pPr>
            <w:r>
              <w:t xml:space="preserve">Application ID URI</w:t>
            </w:r>
          </w:p>
        </w:tc>
        <w:tc>
          <w:tcPr/>
          <w:p>
            <w:pPr>
              <w:pStyle w:val="Compact"/>
              <w:jc w:val="left"/>
            </w:pPr>
            <w:r>
              <w:rPr>
                <w:rStyle w:val="VerbatimChar"/>
              </w:rPr>
              <w:t xml:space="preserve">api://aicoe-platform</w:t>
            </w:r>
          </w:p>
        </w:tc>
      </w:tr>
      <w:tr>
        <w:tc>
          <w:tcPr/>
          <w:p>
            <w:pPr>
              <w:pStyle w:val="Compact"/>
              <w:jc w:val="left"/>
            </w:pPr>
            <w:r>
              <w:t xml:space="preserve">Scope</w:t>
            </w:r>
          </w:p>
        </w:tc>
        <w:tc>
          <w:tcPr/>
          <w:p>
            <w:pPr>
              <w:pStyle w:val="Compact"/>
              <w:jc w:val="left"/>
            </w:pPr>
            <w:r>
              <w:rPr>
                <w:rStyle w:val="VerbatimChar"/>
              </w:rPr>
              <w:t xml:space="preserve">access_as_user</w:t>
            </w:r>
          </w:p>
        </w:tc>
      </w:tr>
      <w:tr>
        <w:tc>
          <w:tcPr/>
          <w:p>
            <w:pPr>
              <w:pStyle w:val="Compact"/>
              <w:jc w:val="left"/>
            </w:pPr>
            <w:r>
              <w:t xml:space="preserve">Optional claims</w:t>
            </w:r>
          </w:p>
        </w:tc>
        <w:tc>
          <w:tcPr/>
          <w:p>
            <w:pPr>
              <w:pStyle w:val="Compact"/>
              <w:jc w:val="left"/>
            </w:pPr>
            <w:r>
              <w:rPr>
                <w:rStyle w:val="VerbatimChar"/>
              </w:rPr>
              <w:t xml:space="preserve">department</w:t>
            </w:r>
            <w:r>
              <w:t xml:space="preserve">,</w:t>
            </w:r>
            <w:r>
              <w:t xml:space="preserve"> </w:t>
            </w:r>
            <w:r>
              <w:rPr>
                <w:rStyle w:val="VerbatimChar"/>
              </w:rPr>
              <w:t xml:space="preserve">companyName</w:t>
            </w:r>
          </w:p>
        </w:tc>
      </w:tr>
    </w:tbl>
    <w:p>
      <w:pPr>
        <w:pStyle w:val="BodyText"/>
      </w:pPr>
      <w:r>
        <w:rPr>
          <w:b/>
          <w:bCs/>
        </w:rPr>
        <w:t xml:space="preserve">App Roles</w:t>
      </w:r>
      <w:r>
        <w:t xml:space="preserve">, declared on the API registration with</w:t>
      </w:r>
      <w:r>
        <w:t xml:space="preserve"> </w:t>
      </w:r>
      <w:r>
        <w:rPr>
          <w:rStyle w:val="VerbatimChar"/>
        </w:rPr>
        <w:t xml:space="preserve">allowedMemberTypes: ["User"]</w:t>
      </w:r>
      <w:r>
        <w:t xml:space="preserve">:</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Role</w:t>
            </w:r>
          </w:p>
        </w:tc>
        <w:tc>
          <w:tcPr>
            <w:shd w:val="clear" w:color="auto" w:fill="1F3864"/>
          </w:tcPr>
          <w:p>
            <w:pPr>
              <w:pStyle w:val="Compact"/>
              <w:jc w:val="left"/>
            </w:pPr>
            <w:r>
              <w:rPr>
                <w:b/>
                <w:color w:val="FFFFFF"/>
              </w:rPr>
              <w:t xml:space="preserve">Grants access to</w:t>
            </w:r>
          </w:p>
        </w:tc>
      </w:tr>
      <w:tr>
        <w:tc>
          <w:tcPr/>
          <w:p>
            <w:pPr>
              <w:pStyle w:val="Compact"/>
              <w:jc w:val="left"/>
            </w:pPr>
            <w:r>
              <w:rPr>
                <w:rStyle w:val="VerbatimChar"/>
              </w:rPr>
              <w:t xml:space="preserve">Translation.User</w:t>
            </w:r>
          </w:p>
        </w:tc>
        <w:tc>
          <w:tcPr/>
          <w:p>
            <w:pPr>
              <w:pStyle w:val="Compact"/>
              <w:jc w:val="left"/>
            </w:pPr>
            <w:r>
              <w:rPr>
                <w:rStyle w:val="VerbatimChar"/>
              </w:rPr>
              <w:t xml:space="preserve">/api/translation/*</w:t>
            </w:r>
          </w:p>
        </w:tc>
      </w:tr>
      <w:tr>
        <w:tc>
          <w:tcPr/>
          <w:p>
            <w:pPr>
              <w:pStyle w:val="Compact"/>
              <w:jc w:val="left"/>
            </w:pPr>
            <w:r>
              <w:rPr>
                <w:rStyle w:val="VerbatimChar"/>
              </w:rPr>
              <w:t xml:space="preserve">SalesAgent.User</w:t>
            </w:r>
          </w:p>
        </w:tc>
        <w:tc>
          <w:tcPr/>
          <w:p>
            <w:pPr>
              <w:pStyle w:val="Compact"/>
              <w:jc w:val="left"/>
            </w:pPr>
            <w:r>
              <w:rPr>
                <w:rStyle w:val="VerbatimChar"/>
              </w:rPr>
              <w:t xml:space="preserve">/api/sales/*</w:t>
            </w:r>
          </w:p>
        </w:tc>
      </w:tr>
      <w:tr>
        <w:tc>
          <w:tcPr/>
          <w:p>
            <w:pPr>
              <w:pStyle w:val="Compact"/>
              <w:jc w:val="left"/>
            </w:pPr>
            <w:r>
              <w:rPr>
                <w:rStyle w:val="VerbatimChar"/>
              </w:rPr>
              <w:t xml:space="preserve">Platform.Admin</w:t>
            </w:r>
          </w:p>
        </w:tc>
        <w:tc>
          <w:tcPr/>
          <w:p>
            <w:pPr>
              <w:pStyle w:val="Compact"/>
              <w:jc w:val="left"/>
            </w:pPr>
            <w:r>
              <w:t xml:space="preserve">Administrative endpoints</w:t>
            </w:r>
          </w:p>
        </w:tc>
      </w:tr>
    </w:tbl>
    <w:p>
      <w:pPr>
        <w:pStyle w:val="BodyText"/>
      </w:pPr>
      <w:r>
        <w:rPr>
          <w:b/>
          <w:bCs/>
        </w:rPr>
        <w:t xml:space="preserve">Security groups assigned to roles.</w:t>
      </w:r>
      <w:r>
        <w:t xml:space="preserve"> </w:t>
      </w:r>
      <w:r>
        <w:t xml:space="preserve">Groups are assigned to roles; users are never assigned to roles directly.</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Group</w:t>
            </w:r>
          </w:p>
        </w:tc>
        <w:tc>
          <w:tcPr>
            <w:shd w:val="clear" w:color="auto" w:fill="1F3864"/>
          </w:tcPr>
          <w:p>
            <w:pPr>
              <w:pStyle w:val="Compact"/>
              <w:jc w:val="left"/>
            </w:pPr>
            <w:r>
              <w:rPr>
                <w:b/>
                <w:color w:val="FFFFFF"/>
              </w:rPr>
              <w:t xml:space="preserve">Role</w:t>
            </w:r>
          </w:p>
        </w:tc>
      </w:tr>
      <w:tr>
        <w:tc>
          <w:tcPr/>
          <w:p>
            <w:pPr>
              <w:pStyle w:val="Compact"/>
              <w:jc w:val="left"/>
            </w:pPr>
            <w:r>
              <w:rPr>
                <w:rStyle w:val="VerbatimChar"/>
              </w:rPr>
              <w:t xml:space="preserve">App-AICoE-Translation-Users</w:t>
            </w:r>
          </w:p>
        </w:tc>
        <w:tc>
          <w:tcPr/>
          <w:p>
            <w:pPr>
              <w:pStyle w:val="Compact"/>
              <w:jc w:val="left"/>
            </w:pPr>
            <w:r>
              <w:rPr>
                <w:rStyle w:val="VerbatimChar"/>
              </w:rPr>
              <w:t xml:space="preserve">Translation.User</w:t>
            </w:r>
          </w:p>
        </w:tc>
      </w:tr>
      <w:tr>
        <w:tc>
          <w:tcPr/>
          <w:p>
            <w:pPr>
              <w:pStyle w:val="Compact"/>
              <w:jc w:val="left"/>
            </w:pPr>
            <w:r>
              <w:rPr>
                <w:rStyle w:val="VerbatimChar"/>
              </w:rPr>
              <w:t xml:space="preserve">App-AICoE-SalesAgent-Users</w:t>
            </w:r>
          </w:p>
        </w:tc>
        <w:tc>
          <w:tcPr/>
          <w:p>
            <w:pPr>
              <w:pStyle w:val="Compact"/>
              <w:jc w:val="left"/>
            </w:pPr>
            <w:r>
              <w:rPr>
                <w:rStyle w:val="VerbatimChar"/>
              </w:rPr>
              <w:t xml:space="preserve">SalesAgent.User</w:t>
            </w:r>
          </w:p>
        </w:tc>
      </w:tr>
      <w:tr>
        <w:tc>
          <w:tcPr/>
          <w:p>
            <w:pPr>
              <w:pStyle w:val="Compact"/>
              <w:jc w:val="left"/>
            </w:pPr>
            <w:r>
              <w:rPr>
                <w:rStyle w:val="VerbatimChar"/>
              </w:rPr>
              <w:t xml:space="preserve">App-AICoE-Platform-Admins</w:t>
            </w:r>
          </w:p>
        </w:tc>
        <w:tc>
          <w:tcPr/>
          <w:p>
            <w:pPr>
              <w:pStyle w:val="Compact"/>
              <w:jc w:val="left"/>
            </w:pPr>
            <w:r>
              <w:rPr>
                <w:rStyle w:val="VerbatimChar"/>
              </w:rPr>
              <w:t xml:space="preserve">Platform.Admin</w:t>
            </w:r>
          </w:p>
        </w:tc>
      </w:tr>
      <w:tr>
        <w:tc>
          <w:tcPr/>
          <w:p>
            <w:pPr>
              <w:pStyle w:val="Compact"/>
              <w:jc w:val="left"/>
            </w:pPr>
            <w:r>
              <w:rPr>
                <w:rStyle w:val="VerbatimChar"/>
              </w:rPr>
              <w:t xml:space="preserve">App-AICoE-UI-Users</w:t>
            </w:r>
          </w:p>
        </w:tc>
        <w:tc>
          <w:tcPr/>
          <w:p>
            <w:pPr>
              <w:pStyle w:val="Compact"/>
              <w:jc w:val="left"/>
            </w:pPr>
            <w:r>
              <w:t xml:space="preserve">No role — used for the IAP grant only</w:t>
            </w:r>
          </w:p>
        </w:tc>
      </w:tr>
    </w:tbl>
    <w:p>
      <w:pPr>
        <w:pStyle w:val="BodyText"/>
      </w:pPr>
      <w:r>
        <w:t xml:space="preserve">This hybrid model — App Roles for entitlement, security groups for administration — means Apigee reads a clean</w:t>
      </w:r>
      <w:r>
        <w:t xml:space="preserve"> </w:t>
      </w:r>
      <w:r>
        <w:rPr>
          <w:rStyle w:val="VerbatimChar"/>
        </w:rPr>
        <w:t xml:space="preserve">roles</w:t>
      </w:r>
      <w:r>
        <w:t xml:space="preserve"> </w:t>
      </w:r>
      <w:r>
        <w:t xml:space="preserve">array with no group identifiers in policy, and the service desk manages entitlement through existing group-membership processes without ever editing an app registration, satisfying BR-16 (entitlement granted and revoked by the service desk).</w:t>
      </w:r>
    </w:p>
    <w:p>
      <w:pPr>
        <w:pStyle w:val="BodyText"/>
      </w:pPr>
      <w:r>
        <w:rPr>
          <w:b/>
          <w:bCs/>
        </w:rPr>
        <w:t xml:space="preserve">Configuration required from the Colt identity function:</w:t>
      </w:r>
    </w:p>
    <w:p>
      <w:pPr>
        <w:pStyle w:val="Compact"/>
        <w:numPr>
          <w:ilvl w:val="0"/>
          <w:numId w:val="1019"/>
        </w:numPr>
      </w:pPr>
      <w:r>
        <w:t xml:space="preserve">The two app registrations, with the redirect URI shown on the Google workforce provider page.</w:t>
      </w:r>
    </w:p>
    <w:p>
      <w:pPr>
        <w:pStyle w:val="Compact"/>
        <w:numPr>
          <w:ilvl w:val="0"/>
          <w:numId w:val="1019"/>
        </w:numPr>
      </w:pPr>
      <w:r>
        <w:t xml:space="preserve">The</w:t>
      </w:r>
      <w:r>
        <w:t xml:space="preserve"> </w:t>
      </w:r>
      <w:r>
        <w:rPr>
          <w:rStyle w:val="VerbatimChar"/>
        </w:rPr>
        <w:t xml:space="preserve">groups</w:t>
      </w:r>
      <w:r>
        <w:t xml:space="preserve"> </w:t>
      </w:r>
      <w:r>
        <w:t xml:space="preserve">claim added to the token, configured to emit only groups assigned to this application rather than all of a user’s groups.</w:t>
      </w:r>
    </w:p>
    <w:p>
      <w:pPr>
        <w:pStyle w:val="Compact"/>
        <w:numPr>
          <w:ilvl w:val="0"/>
          <w:numId w:val="1019"/>
        </w:numPr>
      </w:pPr>
      <w:r>
        <w:rPr>
          <w:rStyle w:val="VerbatimChar"/>
        </w:rPr>
        <w:t xml:space="preserve">department</w:t>
      </w:r>
      <w:r>
        <w:t xml:space="preserve"> </w:t>
      </w:r>
      <w:r>
        <w:t xml:space="preserve">and</w:t>
      </w:r>
      <w:r>
        <w:t xml:space="preserve"> </w:t>
      </w:r>
      <w:r>
        <w:rPr>
          <w:rStyle w:val="VerbatimChar"/>
        </w:rPr>
        <w:t xml:space="preserve">companyName</w:t>
      </w:r>
      <w:r>
        <w:t xml:space="preserve"> </w:t>
      </w:r>
      <w:r>
        <w:t xml:space="preserve">added as optional claims.</w:t>
      </w:r>
    </w:p>
    <w:p>
      <w:pPr>
        <w:pStyle w:val="Compact"/>
        <w:numPr>
          <w:ilvl w:val="0"/>
          <w:numId w:val="1019"/>
        </w:numPr>
      </w:pPr>
      <w:r>
        <w:t xml:space="preserve">The three access groups assigned to the application.</w:t>
      </w:r>
    </w:p>
    <w:p>
      <w:pPr>
        <w:pStyle w:val="FirstParagraph"/>
      </w:pPr>
      <w:r>
        <w:rPr>
          <w:b/>
          <w:bCs/>
        </w:rPr>
        <w:t xml:space="preserve">Group overflow behaviour.</w:t>
      </w:r>
      <w:r>
        <w:t xml:space="preserve"> </w:t>
      </w:r>
      <w:r>
        <w:t xml:space="preserve">Where a user belongs to more than approximately 150 groups, Entra ID stops sending the group list and sends a pointer to retrieve it instead, so the gateway policy would receive no groups at all. Emitting only application-assigned groups makes this condition unlikely, and the gateway is configured to deny when groups are absent rather than to allow, per</w:t>
      </w:r>
      <w:r>
        <w:t xml:space="preserve"> </w:t>
      </w:r>
      <w:r>
        <w:rPr>
          <w:b/>
          <w:bCs/>
        </w:rPr>
        <w:t xml:space="preserve">The user API proxy — policy chain</w:t>
      </w:r>
      <w:r>
        <w:t xml:space="preserve">.</w:t>
      </w:r>
    </w:p>
    <w:bookmarkEnd w:id="187"/>
    <w:bookmarkStart w:id="188" w:name="Xe0887aa562b531ca4a6acd87c10d76b04812548"/>
    <w:p>
      <w:pPr>
        <w:pStyle w:val="Heading3"/>
      </w:pPr>
      <w:r>
        <w:t xml:space="preserve">10.3.3 Workforce Identity Federation and IAP — Dev and Prod</w:t>
      </w:r>
    </w:p>
    <w:p>
      <w:pPr>
        <w:pStyle w:val="FirstParagraph"/>
      </w:pPr>
      <w:r>
        <w:t xml:space="preserve">Google does not hold Colt credentials. Entra ID authenticates the user and vouches for them, including group membership.</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w:t>
            </w:r>
          </w:p>
        </w:tc>
      </w:tr>
      <w:tr>
        <w:tc>
          <w:tcPr/>
          <w:p>
            <w:pPr>
              <w:pStyle w:val="Compact"/>
              <w:jc w:val="left"/>
            </w:pPr>
            <w:r>
              <w:t xml:space="preserve">Scope</w:t>
            </w:r>
          </w:p>
        </w:tc>
        <w:tc>
          <w:tcPr/>
          <w:p>
            <w:pPr>
              <w:pStyle w:val="Compact"/>
              <w:jc w:val="left"/>
            </w:pPr>
            <w:r>
              <w:t xml:space="preserve">Organisation level — the resource picker must show the organisation, not a project</w:t>
            </w:r>
          </w:p>
        </w:tc>
      </w:tr>
      <w:tr>
        <w:tc>
          <w:tcPr/>
          <w:p>
            <w:pPr>
              <w:pStyle w:val="Compact"/>
              <w:jc w:val="left"/>
            </w:pPr>
            <w:r>
              <w:t xml:space="preserve">Pool name</w:t>
            </w:r>
          </w:p>
        </w:tc>
        <w:tc>
          <w:tcPr/>
          <w:p>
            <w:pPr>
              <w:pStyle w:val="Compact"/>
              <w:jc w:val="left"/>
            </w:pPr>
            <w:r>
              <w:rPr>
                <w:rStyle w:val="VerbatimChar"/>
              </w:rPr>
              <w:t xml:space="preserve">colt-aiappsui-auth</w:t>
            </w:r>
          </w:p>
        </w:tc>
      </w:tr>
      <w:tr>
        <w:tc>
          <w:tcPr/>
          <w:p>
            <w:pPr>
              <w:pStyle w:val="Compact"/>
              <w:jc w:val="left"/>
            </w:pPr>
            <w:r>
              <w:t xml:space="preserve">Session duration</w:t>
            </w:r>
          </w:p>
        </w:tc>
        <w:tc>
          <w:tcPr/>
          <w:p>
            <w:pPr>
              <w:pStyle w:val="Compact"/>
              <w:jc w:val="left"/>
            </w:pPr>
            <w:r>
              <w:t xml:space="preserve">8 hours, aligned to the application session’s absolute lifetime in PR-15 (session lifetimes)</w:t>
            </w:r>
          </w:p>
        </w:tc>
      </w:tr>
      <w:tr>
        <w:tc>
          <w:tcPr/>
          <w:p>
            <w:pPr>
              <w:pStyle w:val="Compact"/>
              <w:jc w:val="left"/>
            </w:pPr>
            <w:r>
              <w:t xml:space="preserve">Provider type</w:t>
            </w:r>
          </w:p>
        </w:tc>
        <w:tc>
          <w:tcPr/>
          <w:p>
            <w:pPr>
              <w:pStyle w:val="Compact"/>
              <w:jc w:val="left"/>
            </w:pPr>
            <w:r>
              <w:t xml:space="preserve">OIDC</w:t>
            </w:r>
          </w:p>
        </w:tc>
      </w:tr>
      <w:tr>
        <w:tc>
          <w:tcPr/>
          <w:p>
            <w:pPr>
              <w:pStyle w:val="Compact"/>
              <w:jc w:val="left"/>
            </w:pPr>
            <w:r>
              <w:t xml:space="preserve">Provider name</w:t>
            </w:r>
          </w:p>
        </w:tc>
        <w:tc>
          <w:tcPr/>
          <w:p>
            <w:pPr>
              <w:pStyle w:val="Compact"/>
              <w:jc w:val="left"/>
            </w:pPr>
            <w:r>
              <w:rPr>
                <w:rStyle w:val="VerbatimChar"/>
              </w:rPr>
              <w:t xml:space="preserve">entra</w:t>
            </w:r>
          </w:p>
        </w:tc>
      </w:tr>
      <w:tr>
        <w:tc>
          <w:tcPr/>
          <w:p>
            <w:pPr>
              <w:pStyle w:val="Compact"/>
              <w:jc w:val="left"/>
            </w:pPr>
            <w:r>
              <w:t xml:space="preserve">Issuer URL and client ID</w:t>
            </w:r>
          </w:p>
        </w:tc>
        <w:tc>
          <w:tcPr/>
          <w:p>
            <w:pPr>
              <w:pStyle w:val="Compact"/>
              <w:jc w:val="left"/>
            </w:pPr>
            <w:r>
              <w:t xml:space="preserve">From the Entra app registration</w:t>
            </w:r>
          </w:p>
        </w:tc>
      </w:tr>
      <w:tr>
        <w:tc>
          <w:tcPr/>
          <w:p>
            <w:pPr>
              <w:pStyle w:val="Compact"/>
              <w:jc w:val="left"/>
            </w:pPr>
            <w:r>
              <w:t xml:space="preserve">Client secret</w:t>
            </w:r>
          </w:p>
        </w:tc>
        <w:tc>
          <w:tcPr/>
          <w:p>
            <w:pPr>
              <w:pStyle w:val="Compact"/>
              <w:jc w:val="left"/>
            </w:pPr>
            <w:r>
              <w:t xml:space="preserve">From Entra, stored in Secret Manager</w:t>
            </w:r>
          </w:p>
        </w:tc>
      </w:tr>
    </w:tbl>
    <w:p>
      <w:pPr>
        <w:pStyle w:val="BodyText"/>
      </w:pPr>
      <w:r>
        <w:rPr>
          <w:b/>
          <w:bCs/>
        </w:rPr>
        <w:t xml:space="preserve">Attribute mapping</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Google attribute</w:t>
            </w:r>
          </w:p>
        </w:tc>
        <w:tc>
          <w:tcPr>
            <w:shd w:val="clear" w:color="auto" w:fill="1F3864"/>
          </w:tcPr>
          <w:p>
            <w:pPr>
              <w:pStyle w:val="Compact"/>
              <w:jc w:val="left"/>
            </w:pPr>
            <w:r>
              <w:rPr>
                <w:b/>
                <w:color w:val="FFFFFF"/>
              </w:rPr>
              <w:t xml:space="preserve">Entra claim</w:t>
            </w:r>
          </w:p>
        </w:tc>
      </w:tr>
      <w:tr>
        <w:tc>
          <w:tcPr/>
          <w:p>
            <w:pPr>
              <w:pStyle w:val="Compact"/>
              <w:jc w:val="left"/>
            </w:pPr>
            <w:r>
              <w:rPr>
                <w:rStyle w:val="VerbatimChar"/>
              </w:rPr>
              <w:t xml:space="preserve">google.subject</w:t>
            </w:r>
          </w:p>
        </w:tc>
        <w:tc>
          <w:tcPr/>
          <w:p>
            <w:pPr>
              <w:pStyle w:val="Compact"/>
              <w:jc w:val="left"/>
            </w:pPr>
            <w:r>
              <w:rPr>
                <w:rStyle w:val="VerbatimChar"/>
              </w:rPr>
              <w:t xml:space="preserve">assertion.sub</w:t>
            </w:r>
          </w:p>
        </w:tc>
      </w:tr>
      <w:tr>
        <w:tc>
          <w:tcPr/>
          <w:p>
            <w:pPr>
              <w:pStyle w:val="Compact"/>
              <w:jc w:val="left"/>
            </w:pPr>
            <w:r>
              <w:rPr>
                <w:rStyle w:val="VerbatimChar"/>
              </w:rPr>
              <w:t xml:space="preserve">google.groups</w:t>
            </w:r>
          </w:p>
        </w:tc>
        <w:tc>
          <w:tcPr/>
          <w:p>
            <w:pPr>
              <w:pStyle w:val="Compact"/>
              <w:jc w:val="left"/>
            </w:pPr>
            <w:r>
              <w:rPr>
                <w:rStyle w:val="VerbatimChar"/>
              </w:rPr>
              <w:t xml:space="preserve">assertion.groups</w:t>
            </w:r>
          </w:p>
        </w:tc>
      </w:tr>
      <w:tr>
        <w:tc>
          <w:tcPr/>
          <w:p>
            <w:pPr>
              <w:pStyle w:val="Compact"/>
              <w:jc w:val="left"/>
            </w:pPr>
            <w:r>
              <w:rPr>
                <w:rStyle w:val="VerbatimChar"/>
              </w:rPr>
              <w:t xml:space="preserve">attribute.department</w:t>
            </w:r>
          </w:p>
        </w:tc>
        <w:tc>
          <w:tcPr/>
          <w:p>
            <w:pPr>
              <w:pStyle w:val="Compact"/>
              <w:jc w:val="left"/>
            </w:pPr>
            <w:r>
              <w:rPr>
                <w:rStyle w:val="VerbatimChar"/>
              </w:rPr>
              <w:t xml:space="preserve">assertion.department</w:t>
            </w:r>
          </w:p>
        </w:tc>
      </w:tr>
      <w:tr>
        <w:tc>
          <w:tcPr/>
          <w:p>
            <w:pPr>
              <w:pStyle w:val="Compact"/>
              <w:jc w:val="left"/>
            </w:pPr>
            <w:r>
              <w:rPr>
                <w:rStyle w:val="VerbatimChar"/>
              </w:rPr>
              <w:t xml:space="preserve">attribute.organization</w:t>
            </w:r>
          </w:p>
        </w:tc>
        <w:tc>
          <w:tcPr/>
          <w:p>
            <w:pPr>
              <w:pStyle w:val="Compact"/>
              <w:jc w:val="left"/>
            </w:pPr>
            <w:r>
              <w:rPr>
                <w:rStyle w:val="VerbatimChar"/>
              </w:rPr>
              <w:t xml:space="preserve">assertion.companyName</w:t>
            </w:r>
          </w:p>
        </w:tc>
      </w:tr>
    </w:tbl>
    <w:p>
      <w:pPr>
        <w:pStyle w:val="BodyText"/>
      </w:pPr>
      <w:r>
        <w:rPr>
          <w:b/>
          <w:bCs/>
        </w:rPr>
        <w:t xml:space="preserve">IAP grant.</w:t>
      </w:r>
      <w:r>
        <w:t xml:space="preserve"> </w:t>
      </w:r>
      <w:r>
        <w:t xml:space="preserve">On</w:t>
      </w:r>
      <w:r>
        <w:t xml:space="preserve"> </w:t>
      </w:r>
      <w:r>
        <w:rPr>
          <w:rStyle w:val="VerbatimChar"/>
        </w:rPr>
        <w:t xml:space="preserve">bs-aihub-bff</w:t>
      </w:r>
      <w:r>
        <w:t xml:space="preserve">, each Entra group is added as a principal holding IAP-secured Web App User, in workforce-pool principal-set format:</w:t>
      </w:r>
    </w:p>
    <w:p>
      <w:pPr>
        <w:pStyle w:val="BodyText"/>
      </w:pPr>
      <w:r>
        <w:rPr>
          <w:rStyle w:val="VerbatimChar"/>
        </w:rPr>
        <w:t xml:space="preserve">principalSet://iam.googleapis.com/locations/global/workforcePools/colt-aiappsui-auth/group/&lt;GROUP_OBJECT_ID&gt;</w:t>
      </w:r>
    </w:p>
    <w:p>
      <w:pPr>
        <w:pStyle w:val="BodyText"/>
      </w:pPr>
      <w:r>
        <w:t xml:space="preserve">IAP uses a Google-managed OAuth client; a custom client is required only for access originating outside the organisation, which this platform does not permit.</w:t>
      </w:r>
    </w:p>
    <w:p>
      <w:pPr>
        <w:pStyle w:val="BodyText"/>
      </w:pPr>
      <w:r>
        <w:rPr>
          <w:b/>
          <w:bCs/>
        </w:rPr>
        <w:t xml:space="preserve">Adopted design.</w:t>
      </w:r>
      <w:r>
        <w:t xml:space="preserve"> </w:t>
      </w:r>
      <w:r>
        <w:t xml:space="preserve">IAP is placed on the backend service of the regional internal Application Load Balancer fronting the AI Hub, using the workforce pool.</w:t>
      </w:r>
    </w:p>
    <w:bookmarkEnd w:id="188"/>
    <w:bookmarkStart w:id="189" w:name="identity-aware-proxy-sandbox"/>
    <w:p>
      <w:pPr>
        <w:pStyle w:val="Heading3"/>
      </w:pPr>
      <w:r>
        <w:t xml:space="preserve">10.3.4 Identity-Aware Proxy — Sandbox</w:t>
      </w:r>
    </w:p>
    <w:p>
      <w:pPr>
        <w:pStyle w:val="FirstParagraph"/>
      </w:pPr>
      <w:r>
        <w:t xml:space="preserve">Sandbox uses the same product against a different identity source. Both Sandbox load balancers carry IAP, and IAP authenticates a Google identity directly — there is no workforce pool and no Entra federation.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Aspect</w:t>
            </w:r>
          </w:p>
        </w:tc>
        <w:tc>
          <w:tcPr>
            <w:shd w:val="clear" w:color="auto" w:fill="1F3864"/>
          </w:tcPr>
          <w:p>
            <w:pPr>
              <w:pStyle w:val="Compact"/>
              <w:jc w:val="left"/>
            </w:pPr>
            <w:r>
              <w:rPr>
                <w:b/>
                <w:color w:val="FFFFFF"/>
              </w:rPr>
              <w:t xml:space="preserve">Sandbox</w:t>
            </w:r>
          </w:p>
        </w:tc>
        <w:tc>
          <w:tcPr>
            <w:shd w:val="clear" w:color="auto" w:fill="1F3864"/>
          </w:tcPr>
          <w:p>
            <w:pPr>
              <w:pStyle w:val="Compact"/>
              <w:jc w:val="left"/>
            </w:pPr>
            <w:r>
              <w:rPr>
                <w:b/>
                <w:color w:val="FFFFFF"/>
              </w:rPr>
              <w:t xml:space="preserve">Dev and Prod</w:t>
            </w:r>
          </w:p>
        </w:tc>
      </w:tr>
      <w:tr>
        <w:tc>
          <w:tcPr/>
          <w:p>
            <w:pPr>
              <w:pStyle w:val="Compact"/>
              <w:jc w:val="left"/>
            </w:pPr>
            <w:r>
              <w:t xml:space="preserve">Identity source</w:t>
            </w:r>
          </w:p>
        </w:tc>
        <w:tc>
          <w:tcPr/>
          <w:p>
            <w:pPr>
              <w:pStyle w:val="Compact"/>
              <w:jc w:val="left"/>
            </w:pPr>
            <w:r>
              <w:t xml:space="preserve">Google identities, granted directly</w:t>
            </w:r>
          </w:p>
        </w:tc>
        <w:tc>
          <w:tcPr/>
          <w:p>
            <w:pPr>
              <w:pStyle w:val="Compact"/>
              <w:jc w:val="left"/>
            </w:pPr>
            <w:r>
              <w:t xml:space="preserve">Entra ID through the</w:t>
            </w:r>
            <w:r>
              <w:t xml:space="preserve"> </w:t>
            </w:r>
            <w:r>
              <w:rPr>
                <w:rStyle w:val="VerbatimChar"/>
              </w:rPr>
              <w:t xml:space="preserve">colt-aiappsui-auth</w:t>
            </w:r>
            <w:r>
              <w:t xml:space="preserve"> </w:t>
            </w:r>
            <w:r>
              <w:t xml:space="preserve">workforce pool</w:t>
            </w:r>
          </w:p>
        </w:tc>
      </w:tr>
      <w:tr>
        <w:tc>
          <w:tcPr/>
          <w:p>
            <w:pPr>
              <w:pStyle w:val="Compact"/>
              <w:jc w:val="left"/>
            </w:pPr>
            <w:r>
              <w:t xml:space="preserve">IAP role granted</w:t>
            </w:r>
          </w:p>
        </w:tc>
        <w:tc>
          <w:tcPr/>
          <w:p>
            <w:pPr>
              <w:pStyle w:val="Compact"/>
              <w:jc w:val="left"/>
            </w:pPr>
            <w:r>
              <w:rPr>
                <w:rStyle w:val="VerbatimChar"/>
              </w:rPr>
              <w:t xml:space="preserve">roles/iap.httpsResourceAccessor</w:t>
            </w:r>
            <w:r>
              <w:t xml:space="preserve"> </w:t>
            </w:r>
            <w:r>
              <w:t xml:space="preserve">to named Google principals</w:t>
            </w:r>
          </w:p>
        </w:tc>
        <w:tc>
          <w:tcPr/>
          <w:p>
            <w:pPr>
              <w:pStyle w:val="Compact"/>
              <w:jc w:val="left"/>
            </w:pPr>
            <w:r>
              <w:t xml:space="preserve">IAP-secured Web App User to Entra group principal sets</w:t>
            </w:r>
          </w:p>
        </w:tc>
      </w:tr>
      <w:tr>
        <w:tc>
          <w:tcPr/>
          <w:p>
            <w:pPr>
              <w:pStyle w:val="Compact"/>
              <w:jc w:val="left"/>
            </w:pPr>
            <w:r>
              <w:t xml:space="preserve">Entitlement carried in the request</w:t>
            </w:r>
          </w:p>
        </w:tc>
        <w:tc>
          <w:tcPr/>
          <w:p>
            <w:pPr>
              <w:pStyle w:val="Compact"/>
              <w:jc w:val="left"/>
            </w:pPr>
            <w:r>
              <w:t xml:space="preserve">None — access is binary, per service</w:t>
            </w:r>
          </w:p>
        </w:tc>
        <w:tc>
          <w:tcPr/>
          <w:p>
            <w:pPr>
              <w:pStyle w:val="Compact"/>
              <w:jc w:val="left"/>
            </w:pPr>
            <w:r>
              <w:t xml:space="preserve">App Roles from the verified Entra token, enforced at Apigee</w:t>
            </w:r>
          </w:p>
        </w:tc>
      </w:tr>
      <w:tr>
        <w:tc>
          <w:tcPr/>
          <w:p>
            <w:pPr>
              <w:pStyle w:val="Compact"/>
              <w:jc w:val="left"/>
            </w:pPr>
            <w:r>
              <w:t xml:space="preserve">Managed by</w:t>
            </w:r>
          </w:p>
        </w:tc>
        <w:tc>
          <w:tcPr/>
          <w:p>
            <w:pPr>
              <w:pStyle w:val="Compact"/>
              <w:jc w:val="left"/>
            </w:pPr>
            <w:r>
              <w:t xml:space="preserve">Google IAM grants, maintained separately from Entra group membership</w:t>
            </w:r>
          </w:p>
        </w:tc>
        <w:tc>
          <w:tcPr/>
          <w:p>
            <w:pPr>
              <w:pStyle w:val="Compact"/>
              <w:jc w:val="left"/>
            </w:pPr>
            <w:r>
              <w:t xml:space="preserve">Entra group membership through the service desk</w:t>
            </w:r>
          </w:p>
        </w:tc>
      </w:tr>
    </w:tbl>
    <w:p>
      <w:pPr>
        <w:pStyle w:val="BodyText"/>
      </w:pPr>
      <w:r>
        <w:t xml:space="preserve">Sandbox entitlement is therefore a Google IAM grant rather than an Entra group membership, and is reviewed on the cadence in</w:t>
      </w:r>
      <w:r>
        <w:t xml:space="preserve"> </w:t>
      </w:r>
      <w:r>
        <w:rPr>
          <w:b/>
          <w:bCs/>
        </w:rPr>
        <w:t xml:space="preserve">Access review and recertification</w:t>
      </w:r>
      <w:r>
        <w:t xml:space="preserve">.</w:t>
      </w:r>
    </w:p>
    <w:bookmarkEnd w:id="189"/>
    <w:bookmarkStart w:id="190" w:name="workload-identity-federation-gitlab-ci"/>
    <w:p>
      <w:pPr>
        <w:pStyle w:val="Heading3"/>
      </w:pPr>
      <w:r>
        <w:t xml:space="preserve">10.3.5 Workload Identity Federation — GitLab CI</w:t>
      </w:r>
    </w:p>
    <w:p>
      <w:pPr>
        <w:pStyle w:val="FirstParagraph"/>
      </w:pPr>
      <w:r>
        <w:t xml:space="preserve">Workload Identity Federation replaces a downloaded service account key: GitLab presents a short-lived token proving which repository and branch is running, Google verifies it and returns a temporary credential, and nothing is ever downloaded. This satisfies G5 (credential-free CI/CD) and TR-13 (no downloadable service account keys).</w:t>
      </w:r>
    </w:p>
    <w:p>
      <w:pPr>
        <w:pStyle w:val="BodyText"/>
      </w:pPr>
      <w:r>
        <w:t xml:space="preserve">The pool is provisioned in the Terraform bootstrap stage, applied once and manually, alongside the state bucket.</w:t>
      </w:r>
      <w:r>
        <w:t xml:space="preserve"> </w:t>
      </w:r>
      <w:r>
        <w:rPr>
          <w:rStyle w:val="VerbatimChar"/>
        </w:rPr>
        <w:t xml:space="preserve">aicoe-sharedwif</w:t>
      </w:r>
      <w:r>
        <w:t xml:space="preserve"> </w:t>
      </w:r>
      <w:r>
        <w:t xml:space="preserve">is the seed project referenced throughout that Terraform; it pre-dates the platform namespace and is not created by any Terraform stage, per</w:t>
      </w:r>
      <w:r>
        <w:t xml:space="preserve"> </w:t>
      </w:r>
      <w:r>
        <w:rPr>
          <w:b/>
          <w:bCs/>
        </w:rPr>
        <w:t xml:space="preserve">Organisation, folder and project structure</w:t>
      </w:r>
      <w:r>
        <w:t xml:space="preserve">.</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Value</w:t>
            </w:r>
          </w:p>
        </w:tc>
      </w:tr>
      <w:tr>
        <w:tc>
          <w:tcPr/>
          <w:p>
            <w:pPr>
              <w:pStyle w:val="Compact"/>
              <w:jc w:val="left"/>
            </w:pPr>
            <w:r>
              <w:t xml:space="preserve">Project</w:t>
            </w:r>
          </w:p>
        </w:tc>
        <w:tc>
          <w:tcPr/>
          <w:p>
            <w:pPr>
              <w:pStyle w:val="Compact"/>
              <w:jc w:val="left"/>
            </w:pPr>
            <w:r>
              <w:rPr>
                <w:rStyle w:val="VerbatimChar"/>
              </w:rPr>
              <w:t xml:space="preserve">aicoe-sharedwif</w:t>
            </w:r>
          </w:p>
        </w:tc>
      </w:tr>
      <w:tr>
        <w:tc>
          <w:tcPr/>
          <w:p>
            <w:pPr>
              <w:pStyle w:val="Compact"/>
              <w:jc w:val="left"/>
            </w:pPr>
            <w:r>
              <w:t xml:space="preserve">Pool</w:t>
            </w:r>
          </w:p>
        </w:tc>
        <w:tc>
          <w:tcPr/>
          <w:p>
            <w:pPr>
              <w:pStyle w:val="Compact"/>
              <w:jc w:val="left"/>
            </w:pPr>
            <w:r>
              <w:rPr>
                <w:rStyle w:val="VerbatimChar"/>
              </w:rPr>
              <w:t xml:space="preserve">gitlab-pool</w:t>
            </w:r>
          </w:p>
        </w:tc>
      </w:tr>
      <w:tr>
        <w:tc>
          <w:tcPr/>
          <w:p>
            <w:pPr>
              <w:pStyle w:val="Compact"/>
              <w:jc w:val="left"/>
            </w:pPr>
            <w:r>
              <w:t xml:space="preserve">Provider</w:t>
            </w:r>
          </w:p>
        </w:tc>
        <w:tc>
          <w:tcPr/>
          <w:p>
            <w:pPr>
              <w:pStyle w:val="Compact"/>
              <w:jc w:val="left"/>
            </w:pPr>
            <w:r>
              <w:rPr>
                <w:rStyle w:val="VerbatimChar"/>
              </w:rPr>
              <w:t xml:space="preserve">gitlab-provider</w:t>
            </w:r>
            <w:r>
              <w:t xml:space="preserve">, OIDC</w:t>
            </w:r>
          </w:p>
        </w:tc>
      </w:tr>
      <w:tr>
        <w:tc>
          <w:tcPr/>
          <w:p>
            <w:pPr>
              <w:pStyle w:val="Compact"/>
              <w:jc w:val="left"/>
            </w:pPr>
            <w:r>
              <w:t xml:space="preserve">Issuer URL</w:t>
            </w:r>
          </w:p>
        </w:tc>
        <w:tc>
          <w:tcPr/>
          <w:p>
            <w:pPr>
              <w:pStyle w:val="Compact"/>
              <w:jc w:val="left"/>
            </w:pPr>
            <w:r>
              <w:t xml:space="preserve">The Colt GitLab URL</w:t>
            </w:r>
          </w:p>
        </w:tc>
      </w:tr>
      <w:tr>
        <w:tc>
          <w:tcPr/>
          <w:p>
            <w:pPr>
              <w:pStyle w:val="Compact"/>
              <w:jc w:val="left"/>
            </w:pPr>
            <w:r>
              <w:t xml:space="preserve">Audiences</w:t>
            </w:r>
          </w:p>
        </w:tc>
        <w:tc>
          <w:tcPr/>
          <w:p>
            <w:pPr>
              <w:pStyle w:val="Compact"/>
              <w:jc w:val="left"/>
            </w:pPr>
            <w:r>
              <w:t xml:space="preserve">The value requested in</w:t>
            </w:r>
            <w:r>
              <w:t xml:space="preserve"> </w:t>
            </w:r>
            <w:r>
              <w:rPr>
                <w:rStyle w:val="VerbatimChar"/>
              </w:rPr>
              <w:t xml:space="preserve">.gitlab-ci.yml</w:t>
            </w:r>
          </w:p>
        </w:tc>
      </w:tr>
    </w:tbl>
    <w:p>
      <w:pPr>
        <w:pStyle w:val="BodyText"/>
      </w:pPr>
      <w:r>
        <w:rPr>
          <w:b/>
          <w:bCs/>
        </w:rPr>
        <w:t xml:space="preserve">Attribute mapping</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Google attribute</w:t>
            </w:r>
          </w:p>
        </w:tc>
        <w:tc>
          <w:tcPr>
            <w:shd w:val="clear" w:color="auto" w:fill="1F3864"/>
          </w:tcPr>
          <w:p>
            <w:pPr>
              <w:pStyle w:val="Compact"/>
              <w:jc w:val="left"/>
            </w:pPr>
            <w:r>
              <w:rPr>
                <w:b/>
                <w:color w:val="FFFFFF"/>
              </w:rPr>
              <w:t xml:space="preserve">GitLab claim</w:t>
            </w:r>
          </w:p>
        </w:tc>
      </w:tr>
      <w:tr>
        <w:tc>
          <w:tcPr/>
          <w:p>
            <w:pPr>
              <w:pStyle w:val="Compact"/>
              <w:jc w:val="left"/>
            </w:pPr>
            <w:r>
              <w:rPr>
                <w:rStyle w:val="VerbatimChar"/>
              </w:rPr>
              <w:t xml:space="preserve">google.subject</w:t>
            </w:r>
          </w:p>
        </w:tc>
        <w:tc>
          <w:tcPr/>
          <w:p>
            <w:pPr>
              <w:pStyle w:val="Compact"/>
              <w:jc w:val="left"/>
            </w:pPr>
            <w:r>
              <w:rPr>
                <w:rStyle w:val="VerbatimChar"/>
              </w:rPr>
              <w:t xml:space="preserve">assertion.sub</w:t>
            </w:r>
          </w:p>
        </w:tc>
      </w:tr>
      <w:tr>
        <w:tc>
          <w:tcPr/>
          <w:p>
            <w:pPr>
              <w:pStyle w:val="Compact"/>
              <w:jc w:val="left"/>
            </w:pPr>
            <w:r>
              <w:rPr>
                <w:rStyle w:val="VerbatimChar"/>
              </w:rPr>
              <w:t xml:space="preserve">attribute.project_path</w:t>
            </w:r>
          </w:p>
        </w:tc>
        <w:tc>
          <w:tcPr/>
          <w:p>
            <w:pPr>
              <w:pStyle w:val="Compact"/>
              <w:jc w:val="left"/>
            </w:pPr>
            <w:r>
              <w:rPr>
                <w:rStyle w:val="VerbatimChar"/>
              </w:rPr>
              <w:t xml:space="preserve">assertion.project_path</w:t>
            </w:r>
          </w:p>
        </w:tc>
      </w:tr>
      <w:tr>
        <w:tc>
          <w:tcPr/>
          <w:p>
            <w:pPr>
              <w:pStyle w:val="Compact"/>
              <w:jc w:val="left"/>
            </w:pPr>
            <w:r>
              <w:rPr>
                <w:rStyle w:val="VerbatimChar"/>
              </w:rPr>
              <w:t xml:space="preserve">attribute.ref_protected</w:t>
            </w:r>
          </w:p>
        </w:tc>
        <w:tc>
          <w:tcPr/>
          <w:p>
            <w:pPr>
              <w:pStyle w:val="Compact"/>
              <w:jc w:val="left"/>
            </w:pPr>
            <w:r>
              <w:rPr>
                <w:rStyle w:val="VerbatimChar"/>
              </w:rPr>
              <w:t xml:space="preserve">assertion.ref_protected</w:t>
            </w:r>
          </w:p>
        </w:tc>
      </w:tr>
      <w:tr>
        <w:tc>
          <w:tcPr/>
          <w:p>
            <w:pPr>
              <w:pStyle w:val="Compact"/>
              <w:jc w:val="left"/>
            </w:pPr>
            <w:r>
              <w:rPr>
                <w:rStyle w:val="VerbatimChar"/>
              </w:rPr>
              <w:t xml:space="preserve">attribute.environment</w:t>
            </w:r>
          </w:p>
        </w:tc>
        <w:tc>
          <w:tcPr/>
          <w:p>
            <w:pPr>
              <w:pStyle w:val="Compact"/>
              <w:jc w:val="left"/>
            </w:pPr>
            <w:r>
              <w:rPr>
                <w:rStyle w:val="VerbatimChar"/>
              </w:rPr>
              <w:t xml:space="preserve">assertion.environment</w:t>
            </w:r>
          </w:p>
        </w:tc>
      </w:tr>
      <w:tr>
        <w:tc>
          <w:tcPr/>
          <w:p>
            <w:pPr>
              <w:pStyle w:val="Compact"/>
              <w:jc w:val="left"/>
            </w:pPr>
            <w:r>
              <w:rPr>
                <w:rStyle w:val="VerbatimChar"/>
              </w:rPr>
              <w:t xml:space="preserve">attribute.ref</w:t>
            </w:r>
          </w:p>
        </w:tc>
        <w:tc>
          <w:tcPr/>
          <w:p>
            <w:pPr>
              <w:pStyle w:val="Compact"/>
              <w:jc w:val="left"/>
            </w:pPr>
            <w:r>
              <w:rPr>
                <w:rStyle w:val="VerbatimChar"/>
              </w:rPr>
              <w:t xml:space="preserve">assertion.ref</w:t>
            </w:r>
          </w:p>
        </w:tc>
      </w:tr>
    </w:tbl>
    <w:p>
      <w:pPr>
        <w:pStyle w:val="BodyText"/>
      </w:pPr>
      <w:r>
        <w:rPr>
          <w:b/>
          <w:bCs/>
        </w:rPr>
        <w:t xml:space="preserve">Attribute condition</w:t>
      </w:r>
      <w:r>
        <w:t xml:space="preserve">, required by TR-14 (pipeline authentication by Workload Identity Federation with an attribute condition):</w:t>
      </w:r>
    </w:p>
    <w:p>
      <w:pPr>
        <w:pStyle w:val="BodyText"/>
      </w:pPr>
      <w:r>
        <w:rPr>
          <w:rStyle w:val="VerbatimChar"/>
        </w:rPr>
        <w:t xml:space="preserve">attribute.project_path == "aicoe/terraform" &amp;&amp; attribute.ref_protected == "true"</w:t>
      </w:r>
    </w:p>
    <w:p>
      <w:pPr>
        <w:pStyle w:val="BodyText"/>
      </w:pPr>
      <w:r>
        <w:t xml:space="preserve">This condition is a security control rather than a configuration preference. The pool serves Development and Production; without the condition, any repository on the GitLab server able to request a token for this audience could impersonate any service account bound to the pool, including production accounts. The condition is the only separation between the two environments at this boundary.</w:t>
      </w:r>
    </w:p>
    <w:p>
      <w:pPr>
        <w:pStyle w:val="BodyText"/>
      </w:pPr>
      <w:r>
        <w:rPr>
          <w:b/>
          <w:bCs/>
        </w:rPr>
        <w:t xml:space="preserve">Binding format.</w:t>
      </w:r>
      <w:r>
        <w:t xml:space="preserve"> </w:t>
      </w:r>
      <w:r>
        <w:rPr>
          <w:rStyle w:val="VerbatimChar"/>
        </w:rPr>
        <w:t xml:space="preserve">principal://</w:t>
      </w:r>
      <w:r>
        <w:t xml:space="preserve">, naming one pipeline subject, is preferred over</w:t>
      </w:r>
      <w:r>
        <w:t xml:space="preserve"> </w:t>
      </w:r>
      <w:r>
        <w:rPr>
          <w:rStyle w:val="VerbatimChar"/>
        </w:rPr>
        <w:t xml:space="preserve">principalSet://</w:t>
      </w:r>
      <w:r>
        <w:t xml:space="preserve">, which admits an entire group and widens who may impersonate the account. In the pipeline as built, the binding is narrower still: the bootstrap stage creates one</w:t>
      </w:r>
      <w:r>
        <w:t xml:space="preserve"> </w:t>
      </w:r>
      <w:r>
        <w:rPr>
          <w:rStyle w:val="VerbatimChar"/>
        </w:rPr>
        <w:t xml:space="preserve">tf-deployer</w:t>
      </w:r>
      <w:r>
        <w:t xml:space="preserve"> </w:t>
      </w:r>
      <w:r>
        <w:t xml:space="preserve">service account per project, and each stage’s CI job impersonates the</w:t>
      </w:r>
      <w:r>
        <w:t xml:space="preserve"> </w:t>
      </w:r>
      <w:r>
        <w:rPr>
          <w:rStyle w:val="VerbatimChar"/>
        </w:rPr>
        <w:t xml:space="preserve">tf-deployer</w:t>
      </w:r>
      <w:r>
        <w:t xml:space="preserve"> </w:t>
      </w:r>
      <w:r>
        <w:t xml:space="preserve">for the project it applies to, rather than binding a single shared identity. The role granted is Workload Identity User, on each project’s</w:t>
      </w:r>
      <w:r>
        <w:t xml:space="preserve"> </w:t>
      </w:r>
      <w:r>
        <w:rPr>
          <w:rStyle w:val="VerbatimChar"/>
        </w:rPr>
        <w:t xml:space="preserve">tf-deployer</w:t>
      </w:r>
      <w:r>
        <w:t xml:space="preserve"> </w:t>
      </w:r>
      <w:r>
        <w:t xml:space="preserve">service account.</w:t>
      </w:r>
    </w:p>
    <w:bookmarkEnd w:id="190"/>
    <w:bookmarkStart w:id="191" w:name="service-account-inventory"/>
    <w:p>
      <w:pPr>
        <w:pStyle w:val="Heading3"/>
      </w:pPr>
      <w:r>
        <w:t xml:space="preserve">10.3.6 Service account inventory</w:t>
      </w:r>
    </w:p>
    <w:p>
      <w:pPr>
        <w:pStyle w:val="FirstParagraph"/>
      </w:pPr>
      <w:r>
        <w:t xml:space="preserve">One service account per service, holding only the permissions that service requires. A shared account means a compromise anywhere is a compromise everywhere. This satisfies TR-12 (dedicated, minimum-privilege service accounts).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Project</w:t>
            </w:r>
          </w:p>
        </w:tc>
        <w:tc>
          <w:tcPr>
            <w:shd w:val="clear" w:color="auto" w:fill="1F3864"/>
          </w:tcPr>
          <w:p>
            <w:pPr>
              <w:pStyle w:val="Compact"/>
              <w:jc w:val="left"/>
            </w:pPr>
            <w:r>
              <w:rPr>
                <w:b/>
                <w:color w:val="FFFFFF"/>
              </w:rPr>
              <w:t xml:space="preserve">Service account</w:t>
            </w:r>
          </w:p>
        </w:tc>
        <w:tc>
          <w:tcPr>
            <w:shd w:val="clear" w:color="auto" w:fill="1F3864"/>
          </w:tcPr>
          <w:p>
            <w:pPr>
              <w:pStyle w:val="Compact"/>
              <w:jc w:val="left"/>
            </w:pPr>
            <w:r>
              <w:rPr>
                <w:b/>
                <w:color w:val="FFFFFF"/>
              </w:rPr>
              <w:t xml:space="preserve">Used by</w:t>
            </w:r>
          </w:p>
        </w:tc>
      </w:tr>
      <w:tr>
        <w:tc>
          <w:tcPr/>
          <w:p>
            <w:pPr>
              <w:pStyle w:val="Compact"/>
              <w:jc w:val="left"/>
            </w:pPr>
            <w:r>
              <w:rPr>
                <w:rStyle w:val="VerbatimChar"/>
              </w:rPr>
              <w:t xml:space="preserve">gclt-aicoe-dev-st</w:t>
            </w:r>
          </w:p>
        </w:tc>
        <w:tc>
          <w:tcPr/>
          <w:p>
            <w:pPr>
              <w:pStyle w:val="Compact"/>
              <w:jc w:val="left"/>
            </w:pPr>
            <w:r>
              <w:rPr>
                <w:rStyle w:val="VerbatimChar"/>
              </w:rPr>
              <w:t xml:space="preserve">translation-api-sa</w:t>
            </w:r>
          </w:p>
        </w:tc>
        <w:tc>
          <w:tcPr/>
          <w:p>
            <w:pPr>
              <w:pStyle w:val="Compact"/>
              <w:jc w:val="left"/>
            </w:pPr>
            <w:r>
              <w:rPr>
                <w:rStyle w:val="VerbatimChar"/>
              </w:rPr>
              <w:t xml:space="preserve">translation-api-service</w:t>
            </w:r>
          </w:p>
        </w:tc>
      </w:tr>
      <w:tr>
        <w:tc>
          <w:tcPr/>
          <w:p>
            <w:pPr>
              <w:pStyle w:val="Compact"/>
              <w:jc w:val="left"/>
            </w:pPr>
            <w:r>
              <w:rPr>
                <w:rStyle w:val="VerbatimChar"/>
              </w:rPr>
              <w:t xml:space="preserve">gclt-aicoe-dev-st</w:t>
            </w:r>
          </w:p>
        </w:tc>
        <w:tc>
          <w:tcPr/>
          <w:p>
            <w:pPr>
              <w:pStyle w:val="Compact"/>
              <w:jc w:val="left"/>
            </w:pPr>
            <w:r>
              <w:rPr>
                <w:rStyle w:val="VerbatimChar"/>
              </w:rPr>
              <w:t xml:space="preserve">translation-worker-sa</w:t>
            </w:r>
          </w:p>
        </w:tc>
        <w:tc>
          <w:tcPr/>
          <w:p>
            <w:pPr>
              <w:pStyle w:val="Compact"/>
              <w:jc w:val="left"/>
            </w:pPr>
            <w:r>
              <w:rPr>
                <w:rStyle w:val="VerbatimChar"/>
              </w:rPr>
              <w:t xml:space="preserve">translation-worker-service</w:t>
            </w:r>
          </w:p>
        </w:tc>
      </w:tr>
      <w:tr>
        <w:tc>
          <w:tcPr/>
          <w:p>
            <w:pPr>
              <w:pStyle w:val="Compact"/>
              <w:jc w:val="left"/>
            </w:pPr>
            <w:r>
              <w:rPr>
                <w:rStyle w:val="VerbatimChar"/>
              </w:rPr>
              <w:t xml:space="preserve">gclt-aicoe-dev-st</w:t>
            </w:r>
          </w:p>
        </w:tc>
        <w:tc>
          <w:tcPr/>
          <w:p>
            <w:pPr>
              <w:pStyle w:val="Compact"/>
              <w:jc w:val="left"/>
            </w:pPr>
            <w:r>
              <w:rPr>
                <w:rStyle w:val="VerbatimChar"/>
              </w:rPr>
              <w:t xml:space="preserve">salesagent-sa</w:t>
            </w:r>
          </w:p>
        </w:tc>
        <w:tc>
          <w:tcPr/>
          <w:p>
            <w:pPr>
              <w:pStyle w:val="Compact"/>
              <w:jc w:val="left"/>
            </w:pPr>
            <w:r>
              <w:rPr>
                <w:rStyle w:val="VerbatimChar"/>
              </w:rPr>
              <w:t xml:space="preserve">sales-research-application</w:t>
            </w:r>
          </w:p>
        </w:tc>
      </w:tr>
      <w:tr>
        <w:tc>
          <w:tcPr/>
          <w:p>
            <w:pPr>
              <w:pStyle w:val="Compact"/>
              <w:jc w:val="left"/>
            </w:pPr>
            <w:r>
              <w:rPr>
                <w:rStyle w:val="VerbatimChar"/>
              </w:rPr>
              <w:t xml:space="preserve">gclt-aicoe-dev-st</w:t>
            </w:r>
          </w:p>
        </w:tc>
        <w:tc>
          <w:tcPr/>
          <w:p>
            <w:pPr>
              <w:pStyle w:val="Compact"/>
              <w:jc w:val="left"/>
            </w:pPr>
            <w:r>
              <w:rPr>
                <w:rStyle w:val="VerbatimChar"/>
              </w:rPr>
              <w:t xml:space="preserve">mcp-sa</w:t>
            </w:r>
          </w:p>
        </w:tc>
        <w:tc>
          <w:tcPr/>
          <w:p>
            <w:pPr>
              <w:pStyle w:val="Compact"/>
              <w:jc w:val="left"/>
            </w:pPr>
            <w:r>
              <w:t xml:space="preserve">The future MCP service</w:t>
            </w:r>
          </w:p>
        </w:tc>
      </w:tr>
      <w:tr>
        <w:tc>
          <w:tcPr/>
          <w:p>
            <w:pPr>
              <w:pStyle w:val="Compact"/>
              <w:jc w:val="left"/>
            </w:pPr>
            <w:r>
              <w:rPr>
                <w:rStyle w:val="VerbatimChar"/>
              </w:rPr>
              <w:t xml:space="preserve">gclt-aicoe-dev-st</w:t>
            </w:r>
          </w:p>
        </w:tc>
        <w:tc>
          <w:tcPr/>
          <w:p>
            <w:pPr>
              <w:pStyle w:val="Compact"/>
              <w:jc w:val="left"/>
            </w:pPr>
            <w:r>
              <w:rPr>
                <w:rStyle w:val="VerbatimChar"/>
              </w:rPr>
              <w:t xml:space="preserve">worker-invoker-sa</w:t>
            </w:r>
          </w:p>
        </w:tc>
        <w:tc>
          <w:tcPr/>
          <w:p>
            <w:pPr>
              <w:pStyle w:val="Compact"/>
              <w:jc w:val="left"/>
            </w:pPr>
            <w:r>
              <w:t xml:space="preserve">Cloud Tasks, to invoke the worker</w:t>
            </w:r>
          </w:p>
        </w:tc>
      </w:tr>
      <w:tr>
        <w:tc>
          <w:tcPr/>
          <w:p>
            <w:pPr>
              <w:pStyle w:val="Compact"/>
              <w:jc w:val="left"/>
            </w:pPr>
            <w:r>
              <w:rPr>
                <w:rStyle w:val="VerbatimChar"/>
              </w:rPr>
              <w:t xml:space="preserve">gclt-aicoe-dev-aihub-ui</w:t>
            </w:r>
          </w:p>
        </w:tc>
        <w:tc>
          <w:tcPr/>
          <w:p>
            <w:pPr>
              <w:pStyle w:val="Compact"/>
              <w:jc w:val="left"/>
            </w:pPr>
            <w:r>
              <w:rPr>
                <w:rStyle w:val="VerbatimChar"/>
              </w:rPr>
              <w:t xml:space="preserve">aihub-bff-sa</w:t>
            </w:r>
          </w:p>
        </w:tc>
        <w:tc>
          <w:tcPr/>
          <w:p>
            <w:pPr>
              <w:pStyle w:val="Compact"/>
              <w:jc w:val="left"/>
            </w:pPr>
            <w:r>
              <w:t xml:space="preserve">The Backend-for-Frontend</w:t>
            </w:r>
          </w:p>
        </w:tc>
      </w:tr>
      <w:tr>
        <w:tc>
          <w:tcPr/>
          <w:p>
            <w:pPr>
              <w:pStyle w:val="Compact"/>
              <w:jc w:val="left"/>
            </w:pPr>
            <w:r>
              <w:rPr>
                <w:rStyle w:val="VerbatimChar"/>
              </w:rPr>
              <w:t xml:space="preserve">gclt-aicoe-dev-apigee</w:t>
            </w:r>
          </w:p>
        </w:tc>
        <w:tc>
          <w:tcPr/>
          <w:p>
            <w:pPr>
              <w:pStyle w:val="Compact"/>
              <w:jc w:val="left"/>
            </w:pPr>
            <w:r>
              <w:rPr>
                <w:rStyle w:val="VerbatimChar"/>
              </w:rPr>
              <w:t xml:space="preserve">apigee-int-runtime</w:t>
            </w:r>
          </w:p>
        </w:tc>
        <w:tc>
          <w:tcPr/>
          <w:p>
            <w:pPr>
              <w:pStyle w:val="Compact"/>
              <w:jc w:val="left"/>
            </w:pPr>
            <w:r>
              <w:t xml:space="preserve">The</w:t>
            </w:r>
            <w:r>
              <w:t xml:space="preserve"> </w:t>
            </w:r>
            <w:r>
              <w:rPr>
                <w:rStyle w:val="VerbatimChar"/>
              </w:rPr>
              <w:t xml:space="preserve">int</w:t>
            </w:r>
            <w:r>
              <w:t xml:space="preserve"> </w:t>
            </w:r>
            <w:r>
              <w:t xml:space="preserve">environment — the user API</w:t>
            </w:r>
          </w:p>
        </w:tc>
      </w:tr>
      <w:tr>
        <w:tc>
          <w:tcPr/>
          <w:p>
            <w:pPr>
              <w:pStyle w:val="Compact"/>
              <w:jc w:val="left"/>
            </w:pPr>
            <w:r>
              <w:rPr>
                <w:rStyle w:val="VerbatimChar"/>
              </w:rPr>
              <w:t xml:space="preserve">gclt-aicoe-dev-apigee</w:t>
            </w:r>
          </w:p>
        </w:tc>
        <w:tc>
          <w:tcPr/>
          <w:p>
            <w:pPr>
              <w:pStyle w:val="Compact"/>
              <w:jc w:val="left"/>
            </w:pPr>
            <w:r>
              <w:rPr>
                <w:rStyle w:val="VerbatimChar"/>
              </w:rPr>
              <w:t xml:space="preserve">apigee-llm-runtime</w:t>
            </w:r>
          </w:p>
        </w:tc>
        <w:tc>
          <w:tcPr/>
          <w:p>
            <w:pPr>
              <w:pStyle w:val="Compact"/>
              <w:jc w:val="left"/>
            </w:pPr>
            <w:r>
              <w:t xml:space="preserve">The</w:t>
            </w:r>
            <w:r>
              <w:t xml:space="preserve"> </w:t>
            </w:r>
            <w:r>
              <w:rPr>
                <w:rStyle w:val="VerbatimChar"/>
              </w:rPr>
              <w:t xml:space="preserve">llm</w:t>
            </w:r>
            <w:r>
              <w:t xml:space="preserve"> </w:t>
            </w:r>
            <w:r>
              <w:t xml:space="preserve">environment — the AI gateway</w:t>
            </w:r>
          </w:p>
        </w:tc>
      </w:tr>
      <w:tr>
        <w:tc>
          <w:tcPr/>
          <w:p>
            <w:pPr>
              <w:pStyle w:val="Compact"/>
              <w:jc w:val="left"/>
            </w:pPr>
            <w:r>
              <w:rPr>
                <w:rStyle w:val="VerbatimChar"/>
              </w:rPr>
              <w:t xml:space="preserve">gclt-aicoe-dev-llm</w:t>
            </w:r>
          </w:p>
        </w:tc>
        <w:tc>
          <w:tcPr/>
          <w:p>
            <w:pPr>
              <w:pStyle w:val="Compact"/>
              <w:jc w:val="left"/>
            </w:pPr>
            <w:r>
              <w:rPr>
                <w:rStyle w:val="VerbatimChar"/>
              </w:rPr>
              <w:t xml:space="preserve">llm-breakglass</w:t>
            </w:r>
          </w:p>
        </w:tc>
        <w:tc>
          <w:tcPr/>
          <w:p>
            <w:pPr>
              <w:pStyle w:val="Compact"/>
              <w:jc w:val="left"/>
            </w:pPr>
            <w:r>
              <w:t xml:space="preserve">Emergency direct model access</w:t>
            </w:r>
          </w:p>
        </w:tc>
      </w:tr>
      <w:tr>
        <w:tc>
          <w:tcPr/>
          <w:p>
            <w:pPr>
              <w:pStyle w:val="Compact"/>
              <w:jc w:val="left"/>
            </w:pPr>
            <w:r>
              <w:t xml:space="preserve">Each project</w:t>
            </w:r>
          </w:p>
        </w:tc>
        <w:tc>
          <w:tcPr/>
          <w:p>
            <w:pPr>
              <w:pStyle w:val="Compact"/>
              <w:jc w:val="left"/>
            </w:pPr>
            <w:r>
              <w:rPr>
                <w:rStyle w:val="VerbatimChar"/>
              </w:rPr>
              <w:t xml:space="preserve">tf-deployer</w:t>
            </w:r>
          </w:p>
        </w:tc>
        <w:tc>
          <w:tcPr/>
          <w:p>
            <w:pPr>
              <w:pStyle w:val="Compact"/>
              <w:jc w:val="left"/>
            </w:pPr>
            <w:r>
              <w:t xml:space="preserve">The Terraform pipeline</w:t>
            </w:r>
          </w:p>
        </w:tc>
      </w:tr>
    </w:tbl>
    <w:bookmarkEnd w:id="191"/>
    <w:bookmarkStart w:id="192" w:name="iam-bindings"/>
    <w:p>
      <w:pPr>
        <w:pStyle w:val="Heading3"/>
      </w:pPr>
      <w:r>
        <w:t xml:space="preserve">10.3.7 IAM bindings</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Principal</w:t>
            </w:r>
          </w:p>
        </w:tc>
        <w:tc>
          <w:tcPr>
            <w:shd w:val="clear" w:color="auto" w:fill="1F3864"/>
          </w:tcPr>
          <w:p>
            <w:pPr>
              <w:pStyle w:val="Compact"/>
              <w:jc w:val="left"/>
            </w:pPr>
            <w:r>
              <w:rPr>
                <w:b/>
                <w:color w:val="FFFFFF"/>
              </w:rPr>
              <w:t xml:space="preserve">Role</w:t>
            </w:r>
          </w:p>
        </w:tc>
        <w:tc>
          <w:tcPr>
            <w:shd w:val="clear" w:color="auto" w:fill="1F3864"/>
          </w:tcPr>
          <w:p>
            <w:pPr>
              <w:pStyle w:val="Compact"/>
              <w:jc w:val="left"/>
            </w:pPr>
            <w:r>
              <w:rPr>
                <w:b/>
                <w:color w:val="FFFFFF"/>
              </w:rPr>
              <w:t xml:space="preserve">Scope</w:t>
            </w:r>
          </w:p>
        </w:tc>
        <w:tc>
          <w:tcPr>
            <w:shd w:val="clear" w:color="auto" w:fill="1F3864"/>
          </w:tcPr>
          <w:p>
            <w:pPr>
              <w:pStyle w:val="Compact"/>
              <w:jc w:val="left"/>
            </w:pPr>
            <w:r>
              <w:rPr>
                <w:b/>
                <w:color w:val="FFFFFF"/>
              </w:rPr>
              <w:t xml:space="preserve">Rationale</w:t>
            </w:r>
          </w:p>
        </w:tc>
      </w:tr>
      <w:tr>
        <w:tc>
          <w:tcPr/>
          <w:p>
            <w:pPr>
              <w:pStyle w:val="Compact"/>
              <w:jc w:val="left"/>
            </w:pPr>
            <w:r>
              <w:rPr>
                <w:rStyle w:val="VerbatimChar"/>
              </w:rPr>
              <w:t xml:space="preserve">translation-api-sa</w:t>
            </w:r>
          </w:p>
        </w:tc>
        <w:tc>
          <w:tcPr/>
          <w:p>
            <w:pPr>
              <w:pStyle w:val="Compact"/>
              <w:jc w:val="left"/>
            </w:pPr>
            <w:r>
              <w:t xml:space="preserve">Storage Object Admin</w:t>
            </w:r>
          </w:p>
        </w:tc>
        <w:tc>
          <w:tcPr/>
          <w:p>
            <w:pPr>
              <w:pStyle w:val="Compact"/>
              <w:jc w:val="left"/>
            </w:pPr>
            <w:r>
              <w:t xml:space="preserve">The documents bucket only, not the project</w:t>
            </w:r>
          </w:p>
        </w:tc>
        <w:tc>
          <w:tcPr/>
          <w:p>
            <w:pPr>
              <w:pStyle w:val="Compact"/>
              <w:jc w:val="left"/>
            </w:pPr>
            <w:r>
              <w:t xml:space="preserve">Upload and retrieval of translation source documents</w:t>
            </w:r>
          </w:p>
        </w:tc>
      </w:tr>
      <w:tr>
        <w:tc>
          <w:tcPr/>
          <w:p>
            <w:pPr>
              <w:pStyle w:val="Compact"/>
              <w:jc w:val="left"/>
            </w:pPr>
            <w:r>
              <w:rPr>
                <w:rStyle w:val="VerbatimChar"/>
              </w:rPr>
              <w:t xml:space="preserve">translation-api-sa</w:t>
            </w:r>
          </w:p>
        </w:tc>
        <w:tc>
          <w:tcPr/>
          <w:p>
            <w:pPr>
              <w:pStyle w:val="Compact"/>
              <w:jc w:val="left"/>
            </w:pPr>
            <w:r>
              <w:t xml:space="preserve">Cloud Tasks Enqueuer</w:t>
            </w:r>
          </w:p>
        </w:tc>
        <w:tc>
          <w:tcPr/>
          <w:p>
            <w:pPr>
              <w:pStyle w:val="Compact"/>
              <w:jc w:val="left"/>
            </w:pPr>
            <w:r>
              <w:rPr>
                <w:rStyle w:val="VerbatimChar"/>
              </w:rPr>
              <w:t xml:space="preserve">gclt-aicoe-dev-st</w:t>
            </w:r>
          </w:p>
        </w:tc>
        <w:tc>
          <w:tcPr/>
          <w:p>
            <w:pPr>
              <w:pStyle w:val="Compact"/>
              <w:jc w:val="left"/>
            </w:pPr>
            <w:r>
              <w:t xml:space="preserve">Submitting asynchronous jobs</w:t>
            </w:r>
          </w:p>
        </w:tc>
      </w:tr>
      <w:tr>
        <w:tc>
          <w:tcPr/>
          <w:p>
            <w:pPr>
              <w:pStyle w:val="Compact"/>
              <w:jc w:val="left"/>
            </w:pPr>
            <w:r>
              <w:rPr>
                <w:rStyle w:val="VerbatimChar"/>
              </w:rPr>
              <w:t xml:space="preserve">translation-api-sa</w:t>
            </w:r>
          </w:p>
        </w:tc>
        <w:tc>
          <w:tcPr/>
          <w:p>
            <w:pPr>
              <w:pStyle w:val="Compact"/>
              <w:jc w:val="left"/>
            </w:pPr>
            <w:r>
              <w:t xml:space="preserve">Service Account User on</w:t>
            </w:r>
            <w:r>
              <w:t xml:space="preserve"> </w:t>
            </w:r>
            <w:r>
              <w:rPr>
                <w:rStyle w:val="VerbatimChar"/>
              </w:rPr>
              <w:t xml:space="preserve">worker-invoker-sa</w:t>
            </w:r>
          </w:p>
        </w:tc>
        <w:tc>
          <w:tcPr/>
          <w:p>
            <w:pPr>
              <w:pStyle w:val="Compact"/>
              <w:jc w:val="left"/>
            </w:pPr>
            <w:r>
              <w:rPr>
                <w:rStyle w:val="VerbatimChar"/>
              </w:rPr>
              <w:t xml:space="preserve">gclt-aicoe-dev-st</w:t>
            </w:r>
          </w:p>
        </w:tc>
        <w:tc>
          <w:tcPr/>
          <w:p>
            <w:pPr>
              <w:pStyle w:val="Compact"/>
              <w:jc w:val="left"/>
            </w:pPr>
            <w:r>
              <w:t xml:space="preserve">So a task can be created that authenticates as the invoker</w:t>
            </w:r>
          </w:p>
        </w:tc>
      </w:tr>
      <w:tr>
        <w:tc>
          <w:tcPr/>
          <w:p>
            <w:pPr>
              <w:pStyle w:val="Compact"/>
              <w:jc w:val="left"/>
            </w:pPr>
            <w:r>
              <w:rPr>
                <w:rStyle w:val="VerbatimChar"/>
              </w:rPr>
              <w:t xml:space="preserve">worker-invoker-sa</w:t>
            </w:r>
          </w:p>
        </w:tc>
        <w:tc>
          <w:tcPr/>
          <w:p>
            <w:pPr>
              <w:pStyle w:val="Compact"/>
              <w:jc w:val="left"/>
            </w:pPr>
            <w:r>
              <w:t xml:space="preserve">Cloud Run Invoker</w:t>
            </w:r>
          </w:p>
        </w:tc>
        <w:tc>
          <w:tcPr/>
          <w:p>
            <w:pPr>
              <w:pStyle w:val="Compact"/>
              <w:jc w:val="left"/>
            </w:pPr>
            <w:r>
              <w:rPr>
                <w:rStyle w:val="VerbatimChar"/>
              </w:rPr>
              <w:t xml:space="preserve">translation-worker-service</w:t>
            </w:r>
          </w:p>
        </w:tc>
        <w:tc>
          <w:tcPr/>
          <w:p>
            <w:pPr>
              <w:pStyle w:val="Compact"/>
              <w:jc w:val="left"/>
            </w:pPr>
            <w:r>
              <w:t xml:space="preserve">The only principal that may invoke the worker</w:t>
            </w:r>
          </w:p>
        </w:tc>
      </w:tr>
      <w:tr>
        <w:tc>
          <w:tcPr/>
          <w:p>
            <w:pPr>
              <w:pStyle w:val="Compact"/>
              <w:jc w:val="left"/>
            </w:pPr>
            <w:r>
              <w:rPr>
                <w:rStyle w:val="VerbatimChar"/>
              </w:rPr>
              <w:t xml:space="preserve">salesagent-sa</w:t>
            </w:r>
          </w:p>
        </w:tc>
        <w:tc>
          <w:tcPr/>
          <w:p>
            <w:pPr>
              <w:pStyle w:val="Compact"/>
              <w:jc w:val="left"/>
            </w:pPr>
            <w:r>
              <w:t xml:space="preserve">Vertex AI User</w:t>
            </w:r>
          </w:p>
        </w:tc>
        <w:tc>
          <w:tcPr/>
          <w:p>
            <w:pPr>
              <w:pStyle w:val="Compact"/>
              <w:jc w:val="left"/>
            </w:pPr>
            <w:r>
              <w:rPr>
                <w:rStyle w:val="VerbatimChar"/>
              </w:rPr>
              <w:t xml:space="preserve">gclt-aicoe-dev-st</w:t>
            </w:r>
            <w:r>
              <w:t xml:space="preserve"> </w:t>
            </w:r>
            <w:r>
              <w:t xml:space="preserve">— for Vector Search only, never for models</w:t>
            </w:r>
          </w:p>
        </w:tc>
        <w:tc>
          <w:tcPr/>
          <w:p>
            <w:pPr>
              <w:pStyle w:val="Compact"/>
              <w:jc w:val="left"/>
            </w:pPr>
            <w:r>
              <w:t xml:space="preserve">Retrieval. Model access is exclusively through the gateway</w:t>
            </w:r>
          </w:p>
        </w:tc>
      </w:tr>
      <w:tr>
        <w:tc>
          <w:tcPr/>
          <w:p>
            <w:pPr>
              <w:pStyle w:val="Compact"/>
              <w:jc w:val="left"/>
            </w:pPr>
            <w:r>
              <w:rPr>
                <w:rStyle w:val="VerbatimChar"/>
              </w:rPr>
              <w:t xml:space="preserve">salesagent-sa</w:t>
            </w:r>
          </w:p>
        </w:tc>
        <w:tc>
          <w:tcPr/>
          <w:p>
            <w:pPr>
              <w:pStyle w:val="Compact"/>
              <w:jc w:val="left"/>
            </w:pPr>
            <w:r>
              <w:t xml:space="preserve">BigQuery Data Editor</w:t>
            </w:r>
          </w:p>
        </w:tc>
        <w:tc>
          <w:tcPr/>
          <w:p>
            <w:pPr>
              <w:pStyle w:val="Compact"/>
              <w:jc w:val="left"/>
            </w:pPr>
            <w:r>
              <w:t xml:space="preserve">Dataset</w:t>
            </w:r>
            <w:r>
              <w:t xml:space="preserve"> </w:t>
            </w:r>
            <w:r>
              <w:rPr>
                <w:rStyle w:val="VerbatimChar"/>
              </w:rPr>
              <w:t xml:space="preserve">aicoe_usage</w:t>
            </w:r>
          </w:p>
        </w:tc>
        <w:tc>
          <w:tcPr/>
          <w:p>
            <w:pPr>
              <w:pStyle w:val="Compact"/>
              <w:jc w:val="left"/>
            </w:pPr>
            <w:r>
              <w:t xml:space="preserve">Usage records</w:t>
            </w:r>
          </w:p>
        </w:tc>
      </w:tr>
      <w:tr>
        <w:tc>
          <w:tcPr/>
          <w:p>
            <w:pPr>
              <w:pStyle w:val="Compact"/>
              <w:jc w:val="left"/>
            </w:pPr>
            <w:r>
              <w:rPr>
                <w:rStyle w:val="VerbatimChar"/>
              </w:rPr>
              <w:t xml:space="preserve">aihub-bff-sa</w:t>
            </w:r>
          </w:p>
        </w:tc>
        <w:tc>
          <w:tcPr/>
          <w:p>
            <w:pPr>
              <w:pStyle w:val="Compact"/>
              <w:jc w:val="left"/>
            </w:pPr>
            <w:r>
              <w:t xml:space="preserve">Firestore User</w:t>
            </w:r>
          </w:p>
        </w:tc>
        <w:tc>
          <w:tcPr/>
          <w:p>
            <w:pPr>
              <w:pStyle w:val="Compact"/>
              <w:jc w:val="left"/>
            </w:pPr>
            <w:r>
              <w:t xml:space="preserve">The</w:t>
            </w:r>
            <w:r>
              <w:t xml:space="preserve"> </w:t>
            </w:r>
            <w:r>
              <w:rPr>
                <w:rStyle w:val="VerbatimChar"/>
              </w:rPr>
              <w:t xml:space="preserve">(default)</w:t>
            </w:r>
            <w:r>
              <w:t xml:space="preserve"> </w:t>
            </w:r>
            <w:r>
              <w:t xml:space="preserve">database in</w:t>
            </w:r>
            <w:r>
              <w:t xml:space="preserve"> </w:t>
            </w:r>
            <w:r>
              <w:rPr>
                <w:rStyle w:val="VerbatimChar"/>
              </w:rPr>
              <w:t xml:space="preserve">gclt-aicoe-dev-aihub-ui</w:t>
            </w:r>
          </w:p>
        </w:tc>
        <w:tc>
          <w:tcPr/>
          <w:p>
            <w:pPr>
              <w:pStyle w:val="Compact"/>
              <w:jc w:val="left"/>
            </w:pPr>
            <w:r>
              <w:t xml:space="preserve">Session, job and idempotency documents</w:t>
            </w:r>
          </w:p>
        </w:tc>
      </w:tr>
      <w:tr>
        <w:tc>
          <w:tcPr/>
          <w:p>
            <w:pPr>
              <w:pStyle w:val="Compact"/>
              <w:jc w:val="left"/>
            </w:pPr>
            <w:r>
              <w:rPr>
                <w:rStyle w:val="VerbatimChar"/>
              </w:rPr>
              <w:t xml:space="preserve">aihub-bff-sa</w:t>
            </w:r>
          </w:p>
        </w:tc>
        <w:tc>
          <w:tcPr/>
          <w:p>
            <w:pPr>
              <w:pStyle w:val="Compact"/>
              <w:jc w:val="left"/>
            </w:pPr>
            <w:r>
              <w:t xml:space="preserve">Secret Manager Secret Accessor</w:t>
            </w:r>
          </w:p>
        </w:tc>
        <w:tc>
          <w:tcPr/>
          <w:p>
            <w:pPr>
              <w:pStyle w:val="Compact"/>
              <w:jc w:val="left"/>
            </w:pPr>
            <w:r>
              <w:t xml:space="preserve">The Backend-for-Frontend’s secrets only</w:t>
            </w:r>
          </w:p>
        </w:tc>
        <w:tc>
          <w:tcPr/>
          <w:p>
            <w:pPr>
              <w:pStyle w:val="Compact"/>
              <w:jc w:val="left"/>
            </w:pPr>
            <w:r>
              <w:t xml:space="preserve">Entra client credential, Apigee client key, session key reference</w:t>
            </w:r>
          </w:p>
        </w:tc>
      </w:tr>
      <w:tr>
        <w:tc>
          <w:tcPr/>
          <w:p>
            <w:pPr>
              <w:pStyle w:val="Compact"/>
              <w:jc w:val="left"/>
            </w:pPr>
            <w:r>
              <w:rPr>
                <w:rStyle w:val="VerbatimChar"/>
              </w:rPr>
              <w:t xml:space="preserve">aihub-bff-sa</w:t>
            </w:r>
          </w:p>
        </w:tc>
        <w:tc>
          <w:tcPr/>
          <w:p>
            <w:pPr>
              <w:pStyle w:val="Compact"/>
              <w:jc w:val="left"/>
            </w:pPr>
            <w:r>
              <w:t xml:space="preserve">Cloud KMS CryptoKey Encrypter/Decrypter</w:t>
            </w:r>
          </w:p>
        </w:tc>
        <w:tc>
          <w:tcPr/>
          <w:p>
            <w:pPr>
              <w:pStyle w:val="Compact"/>
              <w:jc w:val="left"/>
            </w:pPr>
            <w:r>
              <w:t xml:space="preserve">The session key</w:t>
            </w:r>
          </w:p>
        </w:tc>
        <w:tc>
          <w:tcPr/>
          <w:p>
            <w:pPr>
              <w:pStyle w:val="Compact"/>
              <w:jc w:val="left"/>
            </w:pPr>
            <w:r>
              <w:t xml:space="preserve">Wrapping the cached data encryption key, per</w:t>
            </w:r>
            <w:r>
              <w:t xml:space="preserve"> </w:t>
            </w:r>
            <w:r>
              <w:rPr>
                <w:b/>
                <w:bCs/>
              </w:rPr>
              <w:t xml:space="preserve">Envelope encryption — implementation constraint</w:t>
            </w:r>
          </w:p>
        </w:tc>
      </w:tr>
      <w:tr>
        <w:tc>
          <w:tcPr/>
          <w:p>
            <w:pPr>
              <w:pStyle w:val="Compact"/>
              <w:jc w:val="left"/>
            </w:pPr>
            <w:r>
              <w:t xml:space="preserve">IAP service agent of</w:t>
            </w:r>
            <w:r>
              <w:t xml:space="preserve"> </w:t>
            </w:r>
            <w:r>
              <w:rPr>
                <w:rStyle w:val="VerbatimChar"/>
              </w:rPr>
              <w:t xml:space="preserve">gclt-aicoe-dev-aihub-ui</w:t>
            </w:r>
          </w:p>
        </w:tc>
        <w:tc>
          <w:tcPr/>
          <w:p>
            <w:pPr>
              <w:pStyle w:val="Compact"/>
              <w:jc w:val="left"/>
            </w:pPr>
            <w:r>
              <w:t xml:space="preserve">Cloud Run Invoker</w:t>
            </w:r>
          </w:p>
        </w:tc>
        <w:tc>
          <w:tcPr/>
          <w:p>
            <w:pPr>
              <w:pStyle w:val="Compact"/>
              <w:jc w:val="left"/>
            </w:pPr>
            <w:r>
              <w:t xml:space="preserve">The Backend-for-Frontend service</w:t>
            </w:r>
          </w:p>
        </w:tc>
        <w:tc>
          <w:tcPr/>
          <w:p>
            <w:pPr>
              <w:pStyle w:val="Compact"/>
              <w:jc w:val="left"/>
            </w:pPr>
            <w:r>
              <w:t xml:space="preserve">The only IAP grant in the platform</w:t>
            </w:r>
          </w:p>
        </w:tc>
      </w:tr>
      <w:tr>
        <w:tc>
          <w:tcPr/>
          <w:p>
            <w:pPr>
              <w:pStyle w:val="Compact"/>
              <w:jc w:val="left"/>
            </w:pPr>
            <w:r>
              <w:rPr>
                <w:rStyle w:val="VerbatimChar"/>
              </w:rPr>
              <w:t xml:space="preserve">apigee-int-runtime</w:t>
            </w:r>
          </w:p>
        </w:tc>
        <w:tc>
          <w:tcPr/>
          <w:p>
            <w:pPr>
              <w:pStyle w:val="Compact"/>
              <w:jc w:val="left"/>
            </w:pPr>
            <w:r>
              <w:t xml:space="preserve">Cloud Run Invoker</w:t>
            </w:r>
          </w:p>
        </w:tc>
        <w:tc>
          <w:tcPr/>
          <w:p>
            <w:pPr>
              <w:pStyle w:val="Compact"/>
              <w:jc w:val="left"/>
            </w:pPr>
            <w:r>
              <w:rPr>
                <w:rStyle w:val="VerbatimChar"/>
              </w:rPr>
              <w:t xml:space="preserve">translation-api-service</w:t>
            </w:r>
            <w:r>
              <w:t xml:space="preserve">,</w:t>
            </w:r>
            <w:r>
              <w:t xml:space="preserve"> </w:t>
            </w:r>
            <w:r>
              <w:rPr>
                <w:rStyle w:val="VerbatimChar"/>
              </w:rPr>
              <w:t xml:space="preserve">sales-research-application</w:t>
            </w:r>
            <w:r>
              <w:t xml:space="preserve">,</w:t>
            </w:r>
            <w:r>
              <w:t xml:space="preserve"> </w:t>
            </w:r>
            <w:r>
              <w:rPr>
                <w:rStyle w:val="VerbatimChar"/>
              </w:rPr>
              <w:t xml:space="preserve">mcp-server</w:t>
            </w:r>
          </w:p>
        </w:tc>
        <w:tc>
          <w:tcPr/>
          <w:p>
            <w:pPr>
              <w:pStyle w:val="Compact"/>
              <w:jc w:val="left"/>
            </w:pPr>
            <w:r>
              <w:t xml:space="preserve">The whole of the backend hop authentication design, per</w:t>
            </w:r>
            <w:r>
              <w:t xml:space="preserve"> </w:t>
            </w:r>
            <w:r>
              <w:rPr>
                <w:b/>
                <w:bCs/>
              </w:rPr>
              <w:t xml:space="preserve">The backend hop — Cloud Run IAM</w:t>
            </w:r>
          </w:p>
        </w:tc>
      </w:tr>
      <w:tr>
        <w:tc>
          <w:tcPr/>
          <w:p>
            <w:pPr>
              <w:pStyle w:val="Compact"/>
              <w:jc w:val="left"/>
            </w:pPr>
            <w:r>
              <w:rPr>
                <w:rStyle w:val="VerbatimChar"/>
              </w:rPr>
              <w:t xml:space="preserve">apigee-llm-runtime</w:t>
            </w:r>
          </w:p>
        </w:tc>
        <w:tc>
          <w:tcPr/>
          <w:p>
            <w:pPr>
              <w:pStyle w:val="Compact"/>
              <w:jc w:val="left"/>
            </w:pPr>
            <w:r>
              <w:t xml:space="preserve">Vertex AI User</w:t>
            </w:r>
          </w:p>
        </w:tc>
        <w:tc>
          <w:tcPr/>
          <w:p>
            <w:pPr>
              <w:pStyle w:val="Compact"/>
              <w:jc w:val="left"/>
            </w:pPr>
            <w:r>
              <w:rPr>
                <w:rStyle w:val="VerbatimChar"/>
              </w:rPr>
              <w:t xml:space="preserve">gclt-aicoe-dev-llm</w:t>
            </w:r>
          </w:p>
        </w:tc>
        <w:tc>
          <w:tcPr/>
          <w:p>
            <w:pPr>
              <w:pStyle w:val="Compact"/>
              <w:jc w:val="left"/>
            </w:pPr>
            <w:r>
              <w:t xml:space="preserve">The only principal that may call a model</w:t>
            </w:r>
          </w:p>
        </w:tc>
      </w:tr>
      <w:tr>
        <w:tc>
          <w:tcPr/>
          <w:p>
            <w:pPr>
              <w:pStyle w:val="Compact"/>
              <w:jc w:val="left"/>
            </w:pPr>
            <w:r>
              <w:rPr>
                <w:rStyle w:val="VerbatimChar"/>
              </w:rPr>
              <w:t xml:space="preserve">apigee-llm-runtime</w:t>
            </w:r>
          </w:p>
        </w:tc>
        <w:tc>
          <w:tcPr/>
          <w:p>
            <w:pPr>
              <w:pStyle w:val="Compact"/>
              <w:jc w:val="left"/>
            </w:pPr>
            <w:r>
              <w:t xml:space="preserve">Model Armor User</w:t>
            </w:r>
          </w:p>
        </w:tc>
        <w:tc>
          <w:tcPr/>
          <w:p>
            <w:pPr>
              <w:pStyle w:val="Compact"/>
              <w:jc w:val="left"/>
            </w:pPr>
            <w:r>
              <w:rPr>
                <w:rStyle w:val="VerbatimChar"/>
              </w:rPr>
              <w:t xml:space="preserve">gclt-aicoe-dev-llm</w:t>
            </w:r>
          </w:p>
        </w:tc>
        <w:tc>
          <w:tcPr/>
          <w:p>
            <w:pPr>
              <w:pStyle w:val="Compact"/>
              <w:jc w:val="left"/>
            </w:pPr>
            <w:r>
              <w:t xml:space="preserve">Prompt and response screening</w:t>
            </w:r>
          </w:p>
        </w:tc>
      </w:tr>
      <w:tr>
        <w:tc>
          <w:tcPr/>
          <w:p>
            <w:pPr>
              <w:pStyle w:val="Compact"/>
              <w:jc w:val="left"/>
            </w:pPr>
            <w:r>
              <w:rPr>
                <w:rStyle w:val="VerbatimChar"/>
              </w:rPr>
              <w:t xml:space="preserve">apigee-llm-runtime</w:t>
            </w:r>
          </w:p>
        </w:tc>
        <w:tc>
          <w:tcPr/>
          <w:p>
            <w:pPr>
              <w:pStyle w:val="Compact"/>
              <w:jc w:val="left"/>
            </w:pPr>
            <w:r>
              <w:t xml:space="preserve">DLP User</w:t>
            </w:r>
          </w:p>
        </w:tc>
        <w:tc>
          <w:tcPr/>
          <w:p>
            <w:pPr>
              <w:pStyle w:val="Compact"/>
              <w:jc w:val="left"/>
            </w:pPr>
            <w:r>
              <w:rPr>
                <w:rStyle w:val="VerbatimChar"/>
              </w:rPr>
              <w:t xml:space="preserve">gclt-aicoe-dev-llm</w:t>
            </w:r>
          </w:p>
        </w:tc>
        <w:tc>
          <w:tcPr/>
          <w:p>
            <w:pPr>
              <w:pStyle w:val="Compact"/>
              <w:jc w:val="left"/>
            </w:pPr>
            <w:r>
              <w:t xml:space="preserve">Sensitive Data Protection inspection templates</w:t>
            </w:r>
          </w:p>
        </w:tc>
      </w:tr>
      <w:tr>
        <w:tc>
          <w:tcPr/>
          <w:p>
            <w:pPr>
              <w:pStyle w:val="Compact"/>
              <w:jc w:val="left"/>
            </w:pPr>
            <w:r>
              <w:rPr>
                <w:rStyle w:val="VerbatimChar"/>
              </w:rPr>
              <w:t xml:space="preserve">llm-breakglass</w:t>
            </w:r>
          </w:p>
        </w:tc>
        <w:tc>
          <w:tcPr/>
          <w:p>
            <w:pPr>
              <w:pStyle w:val="Compact"/>
              <w:jc w:val="left"/>
            </w:pPr>
            <w:r>
              <w:t xml:space="preserve">Vertex AI User</w:t>
            </w:r>
          </w:p>
        </w:tc>
        <w:tc>
          <w:tcPr/>
          <w:p>
            <w:pPr>
              <w:pStyle w:val="Compact"/>
              <w:jc w:val="left"/>
            </w:pPr>
            <w:r>
              <w:rPr>
                <w:rStyle w:val="VerbatimChar"/>
              </w:rPr>
              <w:t xml:space="preserve">gclt-aicoe-dev-llm</w:t>
            </w:r>
          </w:p>
        </w:tc>
        <w:tc>
          <w:tcPr/>
          <w:p>
            <w:pPr>
              <w:pStyle w:val="Compact"/>
              <w:jc w:val="left"/>
            </w:pPr>
            <w:r>
              <w:t xml:space="preserve">Emergency access only, per</w:t>
            </w:r>
            <w:r>
              <w:t xml:space="preserve"> </w:t>
            </w:r>
            <w:r>
              <w:rPr>
                <w:b/>
                <w:bCs/>
              </w:rPr>
              <w:t xml:space="preserve">Break-glass access</w:t>
            </w:r>
          </w:p>
        </w:tc>
      </w:tr>
      <w:tr>
        <w:tc>
          <w:tcPr/>
          <w:p>
            <w:pPr>
              <w:pStyle w:val="Compact"/>
              <w:jc w:val="left"/>
            </w:pPr>
            <w:r>
              <w:t xml:space="preserve">Each sink writer identity</w:t>
            </w:r>
          </w:p>
        </w:tc>
        <w:tc>
          <w:tcPr/>
          <w:p>
            <w:pPr>
              <w:pStyle w:val="Compact"/>
              <w:jc w:val="left"/>
            </w:pPr>
            <w:r>
              <w:t xml:space="preserve">Logs Bucket Writer or Pub/Sub Publisher</w:t>
            </w:r>
          </w:p>
        </w:tc>
        <w:tc>
          <w:tcPr/>
          <w:p>
            <w:pPr>
              <w:pStyle w:val="Compact"/>
              <w:jc w:val="left"/>
            </w:pPr>
            <w:r>
              <w:t xml:space="preserve">Its destination</w:t>
            </w:r>
          </w:p>
        </w:tc>
        <w:tc>
          <w:tcPr/>
          <w:p>
            <w:pPr>
              <w:pStyle w:val="Compact"/>
              <w:jc w:val="left"/>
            </w:pPr>
            <w:r>
              <w:t xml:space="preserve">Per</w:t>
            </w:r>
            <w:r>
              <w:t xml:space="preserve"> </w:t>
            </w:r>
            <w:r>
              <w:rPr>
                <w:b/>
                <w:bCs/>
              </w:rPr>
              <w:t xml:space="preserve">TechOps — Logging, Monitoring and Cost</w:t>
            </w:r>
          </w:p>
        </w:tc>
      </w:tr>
      <w:tr>
        <w:tc>
          <w:tcPr/>
          <w:p>
            <w:pPr>
              <w:pStyle w:val="Compact"/>
              <w:jc w:val="left"/>
            </w:pPr>
            <w:r>
              <w:t xml:space="preserve">Each service agent</w:t>
            </w:r>
          </w:p>
        </w:tc>
        <w:tc>
          <w:tcPr/>
          <w:p>
            <w:pPr>
              <w:pStyle w:val="Compact"/>
              <w:jc w:val="left"/>
            </w:pPr>
            <w:r>
              <w:t xml:space="preserve">Cloud KMS CryptoKey Encrypter/Decrypter</w:t>
            </w:r>
          </w:p>
        </w:tc>
        <w:tc>
          <w:tcPr/>
          <w:p>
            <w:pPr>
              <w:pStyle w:val="Compact"/>
              <w:jc w:val="left"/>
            </w:pPr>
            <w:r>
              <w:t xml:space="preserve">Its own key</w:t>
            </w:r>
          </w:p>
        </w:tc>
        <w:tc>
          <w:tcPr/>
          <w:p>
            <w:pPr>
              <w:pStyle w:val="Compact"/>
              <w:jc w:val="left"/>
            </w:pPr>
            <w:r>
              <w:t xml:space="preserve">Per</w:t>
            </w:r>
            <w:r>
              <w:t xml:space="preserve"> </w:t>
            </w:r>
            <w:r>
              <w:rPr>
                <w:b/>
                <w:bCs/>
              </w:rPr>
              <w:t xml:space="preserve">Cloud KMS — key rings and CMEK map</w:t>
            </w:r>
          </w:p>
        </w:tc>
      </w:tr>
      <w:tr>
        <w:tc>
          <w:tcPr/>
          <w:p>
            <w:pPr>
              <w:pStyle w:val="Compact"/>
              <w:jc w:val="left"/>
            </w:pPr>
            <w:r>
              <w:rPr>
                <w:rStyle w:val="VerbatimChar"/>
              </w:rPr>
              <w:t xml:space="preserve">tf-deployer</w:t>
            </w:r>
            <w:r>
              <w:t xml:space="preserve">, per project per stage</w:t>
            </w:r>
          </w:p>
        </w:tc>
        <w:tc>
          <w:tcPr/>
          <w:p>
            <w:pPr>
              <w:pStyle w:val="Compact"/>
              <w:jc w:val="left"/>
            </w:pPr>
            <w:r>
              <w:t xml:space="preserve">Stage-appropriate roles</w:t>
            </w:r>
          </w:p>
        </w:tc>
        <w:tc>
          <w:tcPr/>
          <w:p>
            <w:pPr>
              <w:pStyle w:val="Compact"/>
              <w:jc w:val="left"/>
            </w:pPr>
            <w:r>
              <w:t xml:space="preserve">Its project</w:t>
            </w:r>
          </w:p>
        </w:tc>
        <w:tc>
          <w:tcPr/>
          <w:p>
            <w:pPr>
              <w:pStyle w:val="Compact"/>
              <w:jc w:val="left"/>
            </w:pPr>
            <w:r>
              <w:t xml:space="preserve">Per</w:t>
            </w:r>
            <w:r>
              <w:t xml:space="preserve"> </w:t>
            </w:r>
            <w:r>
              <w:rPr>
                <w:b/>
                <w:bCs/>
              </w:rPr>
              <w:t xml:space="preserve">DevOps — Infrastructure as Code and CI/CD</w:t>
            </w:r>
          </w:p>
        </w:tc>
      </w:tr>
    </w:tbl>
    <w:p>
      <w:pPr>
        <w:pStyle w:val="BodyText"/>
      </w:pPr>
      <w:r>
        <w:rPr>
          <w:b/>
          <w:bCs/>
        </w:rPr>
        <w:t xml:space="preserve">The IAP service agent.</w:t>
      </w:r>
      <w:r>
        <w:t xml:space="preserve"> </w:t>
      </w:r>
      <w:r>
        <w:t xml:space="preserve">With IAP enabled, the load balancer invokes Cloud Run as its own service agent,</w:t>
      </w:r>
      <w:r>
        <w:t xml:space="preserve"> </w:t>
      </w:r>
      <w:r>
        <w:rPr>
          <w:rStyle w:val="VerbatimChar"/>
        </w:rPr>
        <w:t xml:space="preserve">service-&lt;PROJECT_NUMBER&gt;@gcp-sa-iap.iam.gserviceaccount.com</w:t>
      </w:r>
      <w:r>
        <w:t xml:space="preserve">. That account must hold Cloud Run Invoker on the Backend-for-Frontend, or every request returns 403 after a successful sign-in. The agent is forced into existence explicitly rather than lazily, per</w:t>
      </w:r>
      <w:r>
        <w:t xml:space="preserve"> </w:t>
      </w:r>
      <w:r>
        <w:rPr>
          <w:b/>
          <w:bCs/>
        </w:rPr>
        <w:t xml:space="preserve">Service agent creation order</w:t>
      </w:r>
      <w:r>
        <w:t xml:space="preserve">.</w:t>
      </w:r>
    </w:p>
    <w:p>
      <w:pPr>
        <w:pStyle w:val="BodyText"/>
      </w:pPr>
      <w:r>
        <w:rPr>
          <w:b/>
          <w:bCs/>
        </w:rPr>
        <w:t xml:space="preserve">Primitive roles.</w:t>
      </w:r>
      <w:r>
        <w:t xml:space="preserve"> </w:t>
      </w:r>
      <w:r>
        <w:rPr>
          <w:rStyle w:val="VerbatimChar"/>
        </w:rPr>
        <w:t xml:space="preserve">roles/owner</w:t>
      </w:r>
      <w:r>
        <w:t xml:space="preserve"> </w:t>
      </w:r>
      <w:r>
        <w:t xml:space="preserve">and</w:t>
      </w:r>
      <w:r>
        <w:t xml:space="preserve"> </w:t>
      </w:r>
      <w:r>
        <w:rPr>
          <w:rStyle w:val="VerbatimChar"/>
        </w:rPr>
        <w:t xml:space="preserve">roles/editor</w:t>
      </w:r>
      <w:r>
        <w:t xml:space="preserve"> </w:t>
      </w:r>
      <w:r>
        <w:t xml:space="preserve">are build-time conveniences and are removed once the platform is operational, per CR-09 (no primitive Owner or Editor role at project level). Every grant is made on the narrowest resource the service supports — Storage Object Admin on a single bucket rather than across a project.</w:t>
      </w:r>
    </w:p>
    <w:bookmarkEnd w:id="192"/>
    <w:bookmarkStart w:id="193" w:name="X605cd5c93257acb03c7b2985b540d560dc5a91f"/>
    <w:p>
      <w:pPr>
        <w:pStyle w:val="Heading3"/>
      </w:pPr>
      <w:r>
        <w:t xml:space="preserve">10.3.8 The control that makes the AI gateway enforceable</w:t>
      </w:r>
    </w:p>
    <w:p>
      <w:pPr>
        <w:pStyle w:val="FirstParagraph"/>
      </w:pPr>
      <w:r>
        <w:t xml:space="preserve">No workload service account in the inventory above holds permission to call a language model. Only</w:t>
      </w:r>
      <w:r>
        <w:t xml:space="preserve"> </w:t>
      </w:r>
      <w:r>
        <w:rPr>
          <w:rStyle w:val="VerbatimChar"/>
        </w:rPr>
        <w:t xml:space="preserve">apigee-llm-runtime</w:t>
      </w:r>
      <w:r>
        <w:t xml:space="preserve"> </w:t>
      </w:r>
      <w:r>
        <w:t xml:space="preserve">does. This is G14 (the AI gateway is mandatory, not advisory) and TR-17 (Vertex AI reachable only through</w:t>
      </w:r>
      <w:r>
        <w:t xml:space="preserve"> </w:t>
      </w:r>
      <w:r>
        <w:rPr>
          <w:rStyle w:val="VerbatimChar"/>
        </w:rPr>
        <w:t xml:space="preserve">apigee-llm-runtime</w:t>
      </w:r>
      <w:r>
        <w:t xml:space="preserve">).</w:t>
      </w:r>
    </w:p>
    <w:p>
      <w:pPr>
        <w:pStyle w:val="BodyText"/>
      </w:pPr>
      <w:r>
        <w:t xml:space="preserve">Until this is true, every service can call Vertex AI directly and the gateway’s quotas, safety screening and cost attribution are all optional rather than enforced. This is the step most easily deferred and the one that must not be.</w:t>
      </w:r>
    </w:p>
    <w:p>
      <w:pPr>
        <w:pStyle w:val="BodyText"/>
      </w:pPr>
      <w:r>
        <w:t xml:space="preserve">The explicit check is that</w:t>
      </w:r>
      <w:r>
        <w:t xml:space="preserve"> </w:t>
      </w:r>
      <w:r>
        <w:rPr>
          <w:rStyle w:val="VerbatimChar"/>
        </w:rPr>
        <w:t xml:space="preserve">translation-api-sa</w:t>
      </w:r>
      <w:r>
        <w:t xml:space="preserve">,</w:t>
      </w:r>
      <w:r>
        <w:t xml:space="preserve"> </w:t>
      </w:r>
      <w:r>
        <w:rPr>
          <w:rStyle w:val="VerbatimChar"/>
        </w:rPr>
        <w:t xml:space="preserve">translation-worker-sa</w:t>
      </w:r>
      <w:r>
        <w:t xml:space="preserve">,</w:t>
      </w:r>
      <w:r>
        <w:t xml:space="preserve"> </w:t>
      </w:r>
      <w:r>
        <w:rPr>
          <w:rStyle w:val="VerbatimChar"/>
        </w:rPr>
        <w:t xml:space="preserve">salesagent-sa</w:t>
      </w:r>
      <w:r>
        <w:t xml:space="preserve"> </w:t>
      </w:r>
      <w:r>
        <w:t xml:space="preserve">and</w:t>
      </w:r>
      <w:r>
        <w:t xml:space="preserve"> </w:t>
      </w:r>
      <w:r>
        <w:rPr>
          <w:rStyle w:val="VerbatimChar"/>
        </w:rPr>
        <w:t xml:space="preserve">mcp-sa</w:t>
      </w:r>
      <w:r>
        <w:t xml:space="preserve"> </w:t>
      </w:r>
      <w:r>
        <w:t xml:space="preserve">do not hold Vertex AI User in</w:t>
      </w:r>
      <w:r>
        <w:t xml:space="preserve"> </w:t>
      </w:r>
      <w:r>
        <w:rPr>
          <w:rStyle w:val="VerbatimChar"/>
        </w:rPr>
        <w:t xml:space="preserve">gclt-aicoe-dev-llm</w:t>
      </w:r>
      <w:r>
        <w:t xml:space="preserve">. Removal of this role is Day-1 build sequence step 24, confirmed as part of</w:t>
      </w:r>
      <w:r>
        <w:t xml:space="preserve"> </w:t>
      </w:r>
      <w:r>
        <w:rPr>
          <w:b/>
          <w:bCs/>
        </w:rPr>
        <w:t xml:space="preserve">Day-1 exit criteria</w:t>
      </w:r>
      <w:r>
        <w:t xml:space="preserve"> </w:t>
      </w:r>
      <w:r>
        <w:t xml:space="preserve">before go-live.</w:t>
      </w:r>
    </w:p>
    <w:p>
      <w:pPr>
        <w:pStyle w:val="BodyText"/>
      </w:pPr>
      <w:r>
        <w:t xml:space="preserve">This control also compensates for the screening limitation recorded in</w:t>
      </w:r>
      <w:r>
        <w:t xml:space="preserve"> </w:t>
      </w:r>
      <w:r>
        <w:rPr>
          <w:b/>
          <w:bCs/>
        </w:rPr>
        <w:t xml:space="preserve">Screening pattern</w:t>
      </w:r>
      <w:r>
        <w:t xml:space="preserve">: because the pinned resource-location policy rules out Model Armor’s built-in Vertex AI integration, screening occurs only on the gateway path, and this IAM decision is what makes the gateway the only path.</w:t>
      </w:r>
    </w:p>
    <w:p>
      <w:pPr>
        <w:pStyle w:val="BodyText"/>
      </w:pPr>
      <w:r>
        <w:t xml:space="preserve">Sandbox is explicitly outside this control. Sandbox workloads reach Vertex AI directly, with no gateway metering or screening, which is why Sandbox carries no production or customer data.</w:t>
      </w:r>
    </w:p>
    <w:bookmarkEnd w:id="193"/>
    <w:bookmarkStart w:id="194" w:name="X0377e36d9287d42f6505ceaa2f9278781ad322f"/>
    <w:p>
      <w:pPr>
        <w:pStyle w:val="Heading3"/>
      </w:pPr>
      <w:r>
        <w:t xml:space="preserve">10.3.9 Privileged access management — just-in-time elevation</w:t>
      </w:r>
    </w:p>
    <w:p>
      <w:pPr>
        <w:pStyle w:val="FirstParagraph"/>
      </w:pPr>
      <w:r>
        <w:t xml:space="preserve">Standing administrative roles are replaced with time-bound, approval-based elevation through Google Cloud Privileged Access Manager, so elevated access exists only for the duration of a specific task and every elevation is justified, approved and auditable.</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Entitlement</w:t>
            </w:r>
          </w:p>
        </w:tc>
        <w:tc>
          <w:tcPr>
            <w:shd w:val="clear" w:color="auto" w:fill="1F3864"/>
          </w:tcPr>
          <w:p>
            <w:pPr>
              <w:pStyle w:val="Compact"/>
              <w:jc w:val="left"/>
            </w:pPr>
            <w:r>
              <w:rPr>
                <w:b/>
                <w:color w:val="FFFFFF"/>
              </w:rPr>
              <w:t xml:space="preserve">Eligible requesters</w:t>
            </w:r>
          </w:p>
        </w:tc>
        <w:tc>
          <w:tcPr>
            <w:shd w:val="clear" w:color="auto" w:fill="1F3864"/>
          </w:tcPr>
          <w:p>
            <w:pPr>
              <w:pStyle w:val="Compact"/>
              <w:jc w:val="left"/>
            </w:pPr>
            <w:r>
              <w:rPr>
                <w:b/>
                <w:color w:val="FFFFFF"/>
              </w:rPr>
              <w:t xml:space="preserve">Roles granted</w:t>
            </w:r>
          </w:p>
        </w:tc>
        <w:tc>
          <w:tcPr>
            <w:shd w:val="clear" w:color="auto" w:fill="1F3864"/>
          </w:tcPr>
          <w:p>
            <w:pPr>
              <w:pStyle w:val="Compact"/>
              <w:jc w:val="left"/>
            </w:pPr>
            <w:r>
              <w:rPr>
                <w:b/>
                <w:color w:val="FFFFFF"/>
              </w:rPr>
              <w:t xml:space="preserve">Maximum duration</w:t>
            </w:r>
          </w:p>
        </w:tc>
        <w:tc>
          <w:tcPr>
            <w:shd w:val="clear" w:color="auto" w:fill="1F3864"/>
          </w:tcPr>
          <w:p>
            <w:pPr>
              <w:pStyle w:val="Compact"/>
              <w:jc w:val="left"/>
            </w:pPr>
            <w:r>
              <w:rPr>
                <w:b/>
                <w:color w:val="FFFFFF"/>
              </w:rPr>
              <w:t xml:space="preserve">Approver</w:t>
            </w:r>
          </w:p>
        </w:tc>
      </w:tr>
      <w:tr>
        <w:tc>
          <w:tcPr/>
          <w:p>
            <w:pPr>
              <w:pStyle w:val="Compact"/>
              <w:jc w:val="left"/>
            </w:pPr>
            <w:r>
              <w:rPr>
                <w:rStyle w:val="VerbatimChar"/>
              </w:rPr>
              <w:t xml:space="preserve">aicoe-{env}-break-glass</w:t>
            </w:r>
          </w:p>
        </w:tc>
        <w:tc>
          <w:tcPr/>
          <w:p>
            <w:pPr>
              <w:pStyle w:val="Compact"/>
              <w:jc w:val="left"/>
            </w:pPr>
            <w:r>
              <w:t xml:space="preserve">AICOE Platform Team on-call</w:t>
            </w:r>
          </w:p>
        </w:tc>
        <w:tc>
          <w:tcPr/>
          <w:p>
            <w:pPr>
              <w:pStyle w:val="Compact"/>
              <w:jc w:val="left"/>
            </w:pPr>
            <w:r>
              <w:rPr>
                <w:rStyle w:val="VerbatimChar"/>
              </w:rPr>
              <w:t xml:space="preserve">roles/run.admin</w:t>
            </w:r>
            <w:r>
              <w:t xml:space="preserve">,</w:t>
            </w:r>
            <w:r>
              <w:t xml:space="preserve"> </w:t>
            </w:r>
            <w:r>
              <w:rPr>
                <w:rStyle w:val="VerbatimChar"/>
              </w:rPr>
              <w:t xml:space="preserve">roles/compute.admin</w:t>
            </w:r>
          </w:p>
        </w:tc>
        <w:tc>
          <w:tcPr/>
          <w:p>
            <w:pPr>
              <w:pStyle w:val="Compact"/>
              <w:jc w:val="left"/>
            </w:pPr>
            <w:r>
              <w:t xml:space="preserve">1 h</w:t>
            </w:r>
          </w:p>
        </w:tc>
        <w:tc>
          <w:tcPr/>
          <w:p>
            <w:pPr>
              <w:pStyle w:val="Compact"/>
              <w:jc w:val="left"/>
            </w:pPr>
            <w:r>
              <w:t xml:space="preserve">Colt Cloud CoE and Colt CSOC</w:t>
            </w:r>
          </w:p>
        </w:tc>
      </w:tr>
      <w:tr>
        <w:tc>
          <w:tcPr/>
          <w:p>
            <w:pPr>
              <w:pStyle w:val="Compact"/>
              <w:jc w:val="left"/>
            </w:pPr>
            <w:r>
              <w:rPr>
                <w:rStyle w:val="VerbatimChar"/>
              </w:rPr>
              <w:t xml:space="preserve">aicoe-{env}-deploy-fix</w:t>
            </w:r>
          </w:p>
        </w:tc>
        <w:tc>
          <w:tcPr/>
          <w:p>
            <w:pPr>
              <w:pStyle w:val="Compact"/>
              <w:jc w:val="left"/>
            </w:pPr>
            <w:r>
              <w:t xml:space="preserve">AICOE Developer Team</w:t>
            </w:r>
          </w:p>
        </w:tc>
        <w:tc>
          <w:tcPr/>
          <w:p>
            <w:pPr>
              <w:pStyle w:val="Compact"/>
              <w:jc w:val="left"/>
            </w:pPr>
            <w:r>
              <w:rPr>
                <w:rStyle w:val="VerbatimChar"/>
              </w:rPr>
              <w:t xml:space="preserve">roles/run.developer</w:t>
            </w:r>
            <w:r>
              <w:t xml:space="preserve">,</w:t>
            </w:r>
            <w:r>
              <w:t xml:space="preserve"> </w:t>
            </w:r>
            <w:r>
              <w:rPr>
                <w:rStyle w:val="VerbatimChar"/>
              </w:rPr>
              <w:t xml:space="preserve">roles/artifactregistry.writer</w:t>
            </w:r>
          </w:p>
        </w:tc>
        <w:tc>
          <w:tcPr/>
          <w:p>
            <w:pPr>
              <w:pStyle w:val="Compact"/>
              <w:jc w:val="left"/>
            </w:pPr>
            <w:r>
              <w:t xml:space="preserve">2 h</w:t>
            </w:r>
          </w:p>
        </w:tc>
        <w:tc>
          <w:tcPr/>
          <w:p>
            <w:pPr>
              <w:pStyle w:val="Compact"/>
              <w:jc w:val="left"/>
            </w:pPr>
            <w:r>
              <w:t xml:space="preserve">Colt Cloud CoE</w:t>
            </w:r>
          </w:p>
        </w:tc>
      </w:tr>
      <w:tr>
        <w:tc>
          <w:tcPr/>
          <w:p>
            <w:pPr>
              <w:pStyle w:val="Compact"/>
              <w:jc w:val="left"/>
            </w:pPr>
            <w:r>
              <w:rPr>
                <w:rStyle w:val="VerbatimChar"/>
              </w:rPr>
              <w:t xml:space="preserve">aicoe-data-investigate</w:t>
            </w:r>
          </w:p>
        </w:tc>
        <w:tc>
          <w:tcPr/>
          <w:p>
            <w:pPr>
              <w:pStyle w:val="Compact"/>
              <w:jc w:val="left"/>
            </w:pPr>
            <w:r>
              <w:t xml:space="preserve">AICOE Platform Team</w:t>
            </w:r>
          </w:p>
        </w:tc>
        <w:tc>
          <w:tcPr/>
          <w:p>
            <w:pPr>
              <w:pStyle w:val="Compact"/>
              <w:jc w:val="left"/>
            </w:pPr>
            <w:r>
              <w:rPr>
                <w:rStyle w:val="VerbatimChar"/>
              </w:rPr>
              <w:t xml:space="preserve">roles/bigquery.dataViewer</w:t>
            </w:r>
            <w:r>
              <w:t xml:space="preserve">,</w:t>
            </w:r>
            <w:r>
              <w:t xml:space="preserve"> </w:t>
            </w:r>
            <w:r>
              <w:rPr>
                <w:rStyle w:val="VerbatimChar"/>
              </w:rPr>
              <w:t xml:space="preserve">roles/storage.objectViewer</w:t>
            </w:r>
          </w:p>
        </w:tc>
        <w:tc>
          <w:tcPr/>
          <w:p>
            <w:pPr>
              <w:pStyle w:val="Compact"/>
              <w:jc w:val="left"/>
            </w:pPr>
            <w:r>
              <w:t xml:space="preserve">4 h</w:t>
            </w:r>
          </w:p>
        </w:tc>
        <w:tc>
          <w:tcPr/>
          <w:p>
            <w:pPr>
              <w:pStyle w:val="Compact"/>
              <w:jc w:val="left"/>
            </w:pPr>
            <w:r>
              <w:t xml:space="preserve">Colt Cloud CoE</w:t>
            </w:r>
          </w:p>
        </w:tc>
      </w:tr>
      <w:tr>
        <w:tc>
          <w:tcPr/>
          <w:p>
            <w:pPr>
              <w:pStyle w:val="Compact"/>
              <w:jc w:val="left"/>
            </w:pPr>
            <w:r>
              <w:rPr>
                <w:rStyle w:val="VerbatimChar"/>
              </w:rPr>
              <w:t xml:space="preserve">aicoe-kms-maintenance</w:t>
            </w:r>
          </w:p>
        </w:tc>
        <w:tc>
          <w:tcPr/>
          <w:p>
            <w:pPr>
              <w:pStyle w:val="Compact"/>
              <w:jc w:val="left"/>
            </w:pPr>
            <w:r>
              <w:t xml:space="preserve">AICOE Platform Team</w:t>
            </w:r>
          </w:p>
        </w:tc>
        <w:tc>
          <w:tcPr/>
          <w:p>
            <w:pPr>
              <w:pStyle w:val="Compact"/>
              <w:jc w:val="left"/>
            </w:pPr>
            <w:r>
              <w:rPr>
                <w:rStyle w:val="VerbatimChar"/>
              </w:rPr>
              <w:t xml:space="preserve">roles/cloudkms.admin</w:t>
            </w:r>
          </w:p>
        </w:tc>
        <w:tc>
          <w:tcPr/>
          <w:p>
            <w:pPr>
              <w:pStyle w:val="Compact"/>
              <w:jc w:val="left"/>
            </w:pPr>
            <w:r>
              <w:t xml:space="preserve">1 h</w:t>
            </w:r>
          </w:p>
        </w:tc>
        <w:tc>
          <w:tcPr/>
          <w:p>
            <w:pPr>
              <w:pStyle w:val="Compact"/>
              <w:jc w:val="left"/>
            </w:pPr>
            <w:r>
              <w:t xml:space="preserve">Colt Cloud CoE and Colt CSOC</w:t>
            </w:r>
          </w:p>
        </w:tc>
      </w:tr>
      <w:tr>
        <w:tc>
          <w:tcPr/>
          <w:p>
            <w:pPr>
              <w:pStyle w:val="Compact"/>
              <w:jc w:val="left"/>
            </w:pPr>
            <w:r>
              <w:rPr>
                <w:rStyle w:val="VerbatimChar"/>
              </w:rPr>
              <w:t xml:space="preserve">aicoe-{env}-secret-emergency</w:t>
            </w:r>
          </w:p>
        </w:tc>
        <w:tc>
          <w:tcPr/>
          <w:p>
            <w:pPr>
              <w:pStyle w:val="Compact"/>
              <w:jc w:val="left"/>
            </w:pPr>
            <w:r>
              <w:t xml:space="preserve">AICOE Platform Team on-call</w:t>
            </w:r>
          </w:p>
        </w:tc>
        <w:tc>
          <w:tcPr/>
          <w:p>
            <w:pPr>
              <w:pStyle w:val="Compact"/>
              <w:jc w:val="left"/>
            </w:pPr>
            <w:r>
              <w:rPr>
                <w:rStyle w:val="VerbatimChar"/>
              </w:rPr>
              <w:t xml:space="preserve">roles/secretmanager.admin</w:t>
            </w:r>
          </w:p>
        </w:tc>
        <w:tc>
          <w:tcPr/>
          <w:p>
            <w:pPr>
              <w:pStyle w:val="Compact"/>
              <w:jc w:val="left"/>
            </w:pPr>
            <w:r>
              <w:t xml:space="preserve">2 h</w:t>
            </w:r>
          </w:p>
        </w:tc>
        <w:tc>
          <w:tcPr/>
          <w:p>
            <w:pPr>
              <w:pStyle w:val="Compact"/>
              <w:jc w:val="left"/>
            </w:pPr>
            <w:r>
              <w:t xml:space="preserve">Colt Cloud CoE</w:t>
            </w:r>
          </w:p>
        </w:tc>
      </w:tr>
      <w:tr>
        <w:tc>
          <w:tcPr/>
          <w:p>
            <w:pPr>
              <w:pStyle w:val="Compact"/>
              <w:jc w:val="left"/>
            </w:pPr>
            <w:r>
              <w:rPr>
                <w:rStyle w:val="VerbatimChar"/>
              </w:rPr>
              <w:t xml:space="preserve">aicoe-{env}-deny-policy</w:t>
            </w:r>
          </w:p>
        </w:tc>
        <w:tc>
          <w:tcPr/>
          <w:p>
            <w:pPr>
              <w:pStyle w:val="Compact"/>
              <w:jc w:val="left"/>
            </w:pPr>
            <w:r>
              <w:t xml:space="preserve">AICOE Platform Team on-call</w:t>
            </w:r>
          </w:p>
        </w:tc>
        <w:tc>
          <w:tcPr/>
          <w:p>
            <w:pPr>
              <w:pStyle w:val="Compact"/>
              <w:jc w:val="left"/>
            </w:pPr>
            <w:r>
              <w:rPr>
                <w:rStyle w:val="VerbatimChar"/>
              </w:rPr>
              <w:t xml:space="preserve">roles/iam.denyAdmin</w:t>
            </w:r>
            <w:r>
              <w:t xml:space="preserve"> </w:t>
            </w:r>
            <w:r>
              <w:t xml:space="preserve">on the project attachment point</w:t>
            </w:r>
          </w:p>
        </w:tc>
        <w:tc>
          <w:tcPr/>
          <w:p>
            <w:pPr>
              <w:pStyle w:val="Compact"/>
              <w:jc w:val="left"/>
            </w:pPr>
            <w:r>
              <w:t xml:space="preserve">2 h</w:t>
            </w:r>
          </w:p>
        </w:tc>
        <w:tc>
          <w:tcPr/>
          <w:p>
            <w:pPr>
              <w:pStyle w:val="Compact"/>
              <w:jc w:val="left"/>
            </w:pPr>
            <w:r>
              <w:t xml:space="preserve">Colt Cloud CoE</w:t>
            </w:r>
          </w:p>
        </w:tc>
      </w:tr>
      <w:tr>
        <w:tc>
          <w:tcPr/>
          <w:p>
            <w:pPr>
              <w:pStyle w:val="Compact"/>
              <w:jc w:val="left"/>
            </w:pPr>
            <w:r>
              <w:rPr>
                <w:rStyle w:val="VerbatimChar"/>
              </w:rPr>
              <w:t xml:space="preserve">aicoe-org-federation-disable</w:t>
            </w:r>
          </w:p>
        </w:tc>
        <w:tc>
          <w:tcPr/>
          <w:p>
            <w:pPr>
              <w:pStyle w:val="Compact"/>
              <w:jc w:val="left"/>
            </w:pPr>
            <w:r>
              <w:t xml:space="preserve">Named Colt identity and security on-call, at organisation scope</w:t>
            </w:r>
          </w:p>
        </w:tc>
        <w:tc>
          <w:tcPr/>
          <w:p>
            <w:pPr>
              <w:pStyle w:val="Compact"/>
              <w:jc w:val="left"/>
            </w:pPr>
            <w:r>
              <w:rPr>
                <w:rStyle w:val="VerbatimChar"/>
              </w:rPr>
              <w:t xml:space="preserve">roles/iam.workloadIdentityPoolAdmin</w:t>
            </w:r>
            <w:r>
              <w:t xml:space="preserve">,</w:t>
            </w:r>
            <w:r>
              <w:t xml:space="preserve"> </w:t>
            </w:r>
            <w:r>
              <w:rPr>
                <w:rStyle w:val="VerbatimChar"/>
              </w:rPr>
              <w:t xml:space="preserve">roles/iam.workforcePoolAdmin</w:t>
            </w:r>
          </w:p>
        </w:tc>
        <w:tc>
          <w:tcPr/>
          <w:p>
            <w:pPr>
              <w:pStyle w:val="Compact"/>
              <w:jc w:val="left"/>
            </w:pPr>
            <w:r>
              <w:t xml:space="preserve">1 h</w:t>
            </w:r>
          </w:p>
        </w:tc>
        <w:tc>
          <w:tcPr/>
          <w:p>
            <w:pPr>
              <w:pStyle w:val="Compact"/>
              <w:jc w:val="left"/>
            </w:pPr>
            <w:r>
              <w:t xml:space="preserve">Colt Cloud CoE and Colt CSOC</w:t>
            </w:r>
          </w:p>
        </w:tc>
      </w:tr>
      <w:tr>
        <w:tc>
          <w:tcPr/>
          <w:p>
            <w:pPr>
              <w:pStyle w:val="Compact"/>
              <w:jc w:val="left"/>
            </w:pPr>
            <w:r>
              <w:rPr>
                <w:rStyle w:val="VerbatimChar"/>
              </w:rPr>
              <w:t xml:space="preserve">aicoe-sbx-elevated</w:t>
            </w:r>
          </w:p>
        </w:tc>
        <w:tc>
          <w:tcPr/>
          <w:p>
            <w:pPr>
              <w:pStyle w:val="Compact"/>
              <w:jc w:val="left"/>
            </w:pPr>
            <w:r>
              <w:t xml:space="preserve">AICOE Developer Team</w:t>
            </w:r>
          </w:p>
        </w:tc>
        <w:tc>
          <w:tcPr/>
          <w:p>
            <w:pPr>
              <w:pStyle w:val="Compact"/>
              <w:jc w:val="left"/>
            </w:pPr>
            <w:r>
              <w:rPr>
                <w:rStyle w:val="VerbatimChar"/>
              </w:rPr>
              <w:t xml:space="preserve">roles/run.developer</w:t>
            </w:r>
            <w:r>
              <w:t xml:space="preserve">,</w:t>
            </w:r>
            <w:r>
              <w:t xml:space="preserve"> </w:t>
            </w:r>
            <w:r>
              <w:rPr>
                <w:rStyle w:val="VerbatimChar"/>
              </w:rPr>
              <w:t xml:space="preserve">roles/storage.objectAdmin</w:t>
            </w:r>
            <w:r>
              <w:t xml:space="preserve">,</w:t>
            </w:r>
            <w:r>
              <w:t xml:space="preserve"> </w:t>
            </w:r>
            <w:r>
              <w:rPr>
                <w:rStyle w:val="VerbatimChar"/>
              </w:rPr>
              <w:t xml:space="preserve">roles/bigquery.dataEditor</w:t>
            </w:r>
            <w:r>
              <w:t xml:space="preserve">,</w:t>
            </w:r>
            <w:r>
              <w:t xml:space="preserve"> </w:t>
            </w:r>
            <w:r>
              <w:rPr>
                <w:rStyle w:val="VerbatimChar"/>
              </w:rPr>
              <w:t xml:space="preserve">roles/aiplatform.user</w:t>
            </w:r>
          </w:p>
        </w:tc>
        <w:tc>
          <w:tcPr/>
          <w:p>
            <w:pPr>
              <w:pStyle w:val="Compact"/>
              <w:jc w:val="left"/>
            </w:pPr>
            <w:r>
              <w:t xml:space="preserve">8 h</w:t>
            </w:r>
          </w:p>
        </w:tc>
        <w:tc>
          <w:tcPr/>
          <w:p>
            <w:pPr>
              <w:pStyle w:val="Compact"/>
              <w:jc w:val="left"/>
            </w:pPr>
            <w:r>
              <w:t xml:space="preserve">Colt Cloud CoE</w:t>
            </w:r>
          </w:p>
        </w:tc>
      </w:tr>
    </w:tbl>
    <w:p>
      <w:pPr>
        <w:pStyle w:val="BodyText"/>
      </w:pPr>
      <w:r>
        <w:rPr>
          <w:b/>
          <w:bCs/>
        </w:rPr>
        <w:t xml:space="preserve">Controls on the entitlement model:</w:t>
      </w:r>
    </w:p>
    <w:p>
      <w:pPr>
        <w:pStyle w:val="Compact"/>
        <w:numPr>
          <w:ilvl w:val="0"/>
          <w:numId w:val="1020"/>
        </w:numPr>
      </w:pPr>
      <w:r>
        <w:t xml:space="preserve">Eligibility is assigned to Entra-backed Google Groups only, so joiner, mover and leaver changes flow through the enterprise identity process and never require an entitlement to be edited.</w:t>
      </w:r>
    </w:p>
    <w:p>
      <w:pPr>
        <w:pStyle w:val="Compact"/>
        <w:numPr>
          <w:ilvl w:val="0"/>
          <w:numId w:val="1020"/>
        </w:numPr>
      </w:pPr>
      <w:r>
        <w:t xml:space="preserve">Durations are short for production and key-management tasks. A recurring need for longer access is treated as a signal to review the permanent role model rather than to extend the entitlement.</w:t>
      </w:r>
    </w:p>
    <w:p>
      <w:pPr>
        <w:pStyle w:val="Compact"/>
        <w:numPr>
          <w:ilvl w:val="0"/>
          <w:numId w:val="1020"/>
        </w:numPr>
      </w:pPr>
      <w:r>
        <w:t xml:space="preserve">Production and key-management entitlements require a second approver from Colt CSOC, to mitigate insider risk. Approvers see the requested scope, duration and justification before deciding.</w:t>
      </w:r>
    </w:p>
    <w:p>
      <w:pPr>
        <w:pStyle w:val="Compact"/>
        <w:numPr>
          <w:ilvl w:val="0"/>
          <w:numId w:val="1020"/>
        </w:numPr>
      </w:pPr>
      <w:r>
        <w:t xml:space="preserve">No primitive role is granted, even just-in-time — including in Sandbox, which hosts the self-hosted GitLab runner, internet egress through Cloud NAT, and the Workbench, so</w:t>
      </w:r>
      <w:r>
        <w:t xml:space="preserve"> </w:t>
      </w:r>
      <w:r>
        <w:rPr>
          <w:rStyle w:val="VerbatimChar"/>
        </w:rPr>
        <w:t xml:space="preserve">roles/editor</w:t>
      </w:r>
      <w:r>
        <w:t xml:space="preserve"> </w:t>
      </w:r>
      <w:r>
        <w:t xml:space="preserve">there would reach KMS, buckets and BigQuery.</w:t>
      </w:r>
    </w:p>
    <w:p>
      <w:pPr>
        <w:pStyle w:val="Compact"/>
        <w:numPr>
          <w:ilvl w:val="0"/>
          <w:numId w:val="1020"/>
        </w:numPr>
      </w:pPr>
      <w:r>
        <w:t xml:space="preserve">Privileged Access Manager is configured at organisation level, and its service agent holds the Privileged Access Manager Service Agent role, inherited by every AICOE project.</w:t>
      </w:r>
    </w:p>
    <w:p>
      <w:pPr>
        <w:pStyle w:val="Compact"/>
        <w:numPr>
          <w:ilvl w:val="0"/>
          <w:numId w:val="1020"/>
        </w:numPr>
      </w:pPr>
      <w:r>
        <w:t xml:space="preserve">Entitlements are provisioned as code in the Terraform infrastructure stage, so the elevation model is versioned and reviewed like the rest of the platform.</w:t>
      </w:r>
    </w:p>
    <w:bookmarkEnd w:id="194"/>
    <w:bookmarkStart w:id="195" w:name="break-glass-access"/>
    <w:p>
      <w:pPr>
        <w:pStyle w:val="Heading3"/>
      </w:pPr>
      <w:r>
        <w:t xml:space="preserve">10.3.10 Break-glass access</w:t>
      </w:r>
    </w:p>
    <w:p>
      <w:pPr>
        <w:pStyle w:val="FirstParagraph"/>
      </w:pPr>
      <w:r>
        <w:t xml:space="preserve">Apigee sits on the path of every model call, so an Apigee outage stops all AI on the platform. BR-19 (documented emergency route to model access) requires a route around that dependency.</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Aspect</w:t>
            </w:r>
          </w:p>
        </w:tc>
        <w:tc>
          <w:tcPr>
            <w:shd w:val="clear" w:color="auto" w:fill="1F3864"/>
          </w:tcPr>
          <w:p>
            <w:pPr>
              <w:pStyle w:val="Compact"/>
              <w:jc w:val="left"/>
            </w:pPr>
            <w:r>
              <w:rPr>
                <w:b/>
                <w:color w:val="FFFFFF"/>
              </w:rPr>
              <w:t xml:space="preserve">Position</w:t>
            </w:r>
          </w:p>
        </w:tc>
      </w:tr>
      <w:tr>
        <w:tc>
          <w:tcPr/>
          <w:p>
            <w:pPr>
              <w:pStyle w:val="Compact"/>
              <w:jc w:val="left"/>
            </w:pPr>
            <w:r>
              <w:t xml:space="preserve">Account</w:t>
            </w:r>
          </w:p>
        </w:tc>
        <w:tc>
          <w:tcPr/>
          <w:p>
            <w:pPr>
              <w:pStyle w:val="Compact"/>
              <w:jc w:val="left"/>
            </w:pPr>
            <w:r>
              <w:rPr>
                <w:rStyle w:val="VerbatimChar"/>
              </w:rPr>
              <w:t xml:space="preserve">llm-breakglass</w:t>
            </w:r>
            <w:r>
              <w:t xml:space="preserve"> </w:t>
            </w:r>
            <w:r>
              <w:t xml:space="preserve">in</w:t>
            </w:r>
            <w:r>
              <w:t xml:space="preserve"> </w:t>
            </w:r>
            <w:r>
              <w:rPr>
                <w:rStyle w:val="VerbatimChar"/>
              </w:rPr>
              <w:t xml:space="preserve">gclt-aicoe-dev-llm</w:t>
            </w:r>
            <w:r>
              <w:t xml:space="preserve">, holding Vertex AI User</w:t>
            </w:r>
          </w:p>
        </w:tc>
      </w:tr>
      <w:tr>
        <w:tc>
          <w:tcPr/>
          <w:p>
            <w:pPr>
              <w:pStyle w:val="Compact"/>
              <w:jc w:val="left"/>
            </w:pPr>
            <w:r>
              <w:t xml:space="preserve">Default impersonation rights</w:t>
            </w:r>
          </w:p>
        </w:tc>
        <w:tc>
          <w:tcPr/>
          <w:p>
            <w:pPr>
              <w:pStyle w:val="Compact"/>
              <w:jc w:val="left"/>
            </w:pPr>
            <w:r>
              <w:t xml:space="preserve">None. No human holds them by default</w:t>
            </w:r>
          </w:p>
        </w:tc>
      </w:tr>
      <w:tr>
        <w:tc>
          <w:tcPr/>
          <w:p>
            <w:pPr>
              <w:pStyle w:val="Compact"/>
              <w:jc w:val="left"/>
            </w:pPr>
            <w:r>
              <w:t xml:space="preserve">How access is obtained</w:t>
            </w:r>
          </w:p>
        </w:tc>
        <w:tc>
          <w:tcPr/>
          <w:p>
            <w:pPr>
              <w:pStyle w:val="Compact"/>
              <w:jc w:val="left"/>
            </w:pPr>
            <w:r>
              <w:t xml:space="preserve">Through the Privileged Access Manager entitlement above, with approval</w:t>
            </w:r>
          </w:p>
        </w:tc>
      </w:tr>
      <w:tr>
        <w:tc>
          <w:tcPr/>
          <w:p>
            <w:pPr>
              <w:pStyle w:val="Compact"/>
              <w:jc w:val="left"/>
            </w:pPr>
            <w:r>
              <w:t xml:space="preserve">Detection</w:t>
            </w:r>
          </w:p>
        </w:tc>
        <w:tc>
          <w:tcPr/>
          <w:p>
            <w:pPr>
              <w:pStyle w:val="Compact"/>
              <w:jc w:val="left"/>
            </w:pPr>
            <w:r>
              <w:t xml:space="preserve">Log-based metric</w:t>
            </w:r>
            <w:r>
              <w:t xml:space="preserve"> </w:t>
            </w:r>
            <w:r>
              <w:rPr>
                <w:rStyle w:val="VerbatimChar"/>
              </w:rPr>
              <w:t xml:space="preserve">breakglass-used</w:t>
            </w:r>
            <w:r>
              <w:t xml:space="preserve"> </w:t>
            </w:r>
            <w:r>
              <w:t xml:space="preserve">on</w:t>
            </w:r>
            <w:r>
              <w:t xml:space="preserve"> </w:t>
            </w:r>
            <w:r>
              <w:rPr>
                <w:rStyle w:val="VerbatimChar"/>
              </w:rPr>
              <w:t xml:space="preserve">protoPayload.authenticationInfo.principalEmail</w:t>
            </w:r>
            <w:r>
              <w:t xml:space="preserve">, alerting on any occurrence at immediate urgency</w:t>
            </w:r>
          </w:p>
        </w:tc>
      </w:tr>
    </w:tbl>
    <w:p>
      <w:pPr>
        <w:pStyle w:val="BodyText"/>
      </w:pPr>
      <w:r>
        <w:t xml:space="preserve">An emergency route whose use is not detected is not a control; the alert is the operative part of this design.</w:t>
      </w:r>
    </w:p>
    <w:bookmarkEnd w:id="195"/>
    <w:bookmarkStart w:id="196" w:name="access-review-and-recertification"/>
    <w:p>
      <w:pPr>
        <w:pStyle w:val="Heading3"/>
      </w:pPr>
      <w:r>
        <w:t xml:space="preserve">10.3.11 Access review and recertification</w:t>
      </w:r>
    </w:p>
    <w:p>
      <w:pPr>
        <w:pStyle w:val="FirstParagraph"/>
      </w:pPr>
      <w:r>
        <w:t xml:space="preserve">CR-27 (access recertification cycle) requires a defined review cycle for the entitlement mechanisms.</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Access type</w:t>
            </w:r>
          </w:p>
        </w:tc>
        <w:tc>
          <w:tcPr>
            <w:shd w:val="clear" w:color="auto" w:fill="1F3864"/>
          </w:tcPr>
          <w:p>
            <w:pPr>
              <w:pStyle w:val="Compact"/>
              <w:jc w:val="left"/>
            </w:pPr>
            <w:r>
              <w:rPr>
                <w:b/>
                <w:color w:val="FFFFFF"/>
              </w:rPr>
              <w:t xml:space="preserve">Cadence</w:t>
            </w:r>
          </w:p>
        </w:tc>
        <w:tc>
          <w:tcPr>
            <w:shd w:val="clear" w:color="auto" w:fill="1F3864"/>
          </w:tcPr>
          <w:p>
            <w:pPr>
              <w:pStyle w:val="Compact"/>
              <w:jc w:val="left"/>
            </w:pPr>
            <w:r>
              <w:rPr>
                <w:b/>
                <w:color w:val="FFFFFF"/>
              </w:rPr>
              <w:t xml:space="preserve">Reviewer</w:t>
            </w:r>
          </w:p>
        </w:tc>
        <w:tc>
          <w:tcPr>
            <w:shd w:val="clear" w:color="auto" w:fill="1F3864"/>
          </w:tcPr>
          <w:p>
            <w:pPr>
              <w:pStyle w:val="Compact"/>
              <w:jc w:val="left"/>
            </w:pPr>
            <w:r>
              <w:rPr>
                <w:b/>
                <w:color w:val="FFFFFF"/>
              </w:rPr>
              <w:t xml:space="preserve">Action on failure</w:t>
            </w:r>
          </w:p>
        </w:tc>
      </w:tr>
      <w:tr>
        <w:tc>
          <w:tcPr/>
          <w:p>
            <w:pPr>
              <w:pStyle w:val="Compact"/>
              <w:jc w:val="left"/>
            </w:pPr>
            <w:r>
              <w:t xml:space="preserve">Entra security-group membership — the three access groups</w:t>
            </w:r>
          </w:p>
        </w:tc>
        <w:tc>
          <w:tcPr/>
          <w:p>
            <w:pPr>
              <w:pStyle w:val="Compact"/>
              <w:jc w:val="left"/>
            </w:pPr>
            <w:r>
              <w:t xml:space="preserve">Enterprise joiner/mover/leaver process, plus quarterly attestation</w:t>
            </w:r>
          </w:p>
        </w:tc>
        <w:tc>
          <w:tcPr/>
          <w:p>
            <w:pPr>
              <w:pStyle w:val="Compact"/>
              <w:jc w:val="left"/>
            </w:pPr>
            <w:r>
              <w:t xml:space="preserve">Group owner, through the enterprise Entra process</w:t>
            </w:r>
          </w:p>
        </w:tc>
        <w:tc>
          <w:tcPr/>
          <w:p>
            <w:pPr>
              <w:pStyle w:val="Compact"/>
              <w:jc w:val="left"/>
            </w:pPr>
            <w:r>
              <w:t xml:space="preserve">Remove membership; access is revoked at IAP</w:t>
            </w:r>
          </w:p>
        </w:tc>
      </w:tr>
      <w:tr>
        <w:tc>
          <w:tcPr/>
          <w:p>
            <w:pPr>
              <w:pStyle w:val="Compact"/>
              <w:jc w:val="left"/>
            </w:pPr>
            <w:r>
              <w:t xml:space="preserve">Sandbox IAP Google-identity grants</w:t>
            </w:r>
          </w:p>
        </w:tc>
        <w:tc>
          <w:tcPr/>
          <w:p>
            <w:pPr>
              <w:pStyle w:val="Compact"/>
              <w:jc w:val="left"/>
            </w:pPr>
            <w:r>
              <w:t xml:space="preserve">Quarterly</w:t>
            </w:r>
          </w:p>
        </w:tc>
        <w:tc>
          <w:tcPr/>
          <w:p>
            <w:pPr>
              <w:pStyle w:val="Compact"/>
              <w:jc w:val="left"/>
            </w:pPr>
            <w:r>
              <w:t xml:space="preserve">AICOE Platform Team</w:t>
            </w:r>
          </w:p>
        </w:tc>
        <w:tc>
          <w:tcPr/>
          <w:p>
            <w:pPr>
              <w:pStyle w:val="Compact"/>
              <w:jc w:val="left"/>
            </w:pPr>
            <w:r>
              <w:t xml:space="preserve">Remove the grant</w:t>
            </w:r>
          </w:p>
        </w:tc>
      </w:tr>
      <w:tr>
        <w:tc>
          <w:tcPr/>
          <w:p>
            <w:pPr>
              <w:pStyle w:val="Compact"/>
              <w:jc w:val="left"/>
            </w:pPr>
            <w:r>
              <w:t xml:space="preserve">Standing privileged access</w:t>
            </w:r>
          </w:p>
        </w:tc>
        <w:tc>
          <w:tcPr/>
          <w:p>
            <w:pPr>
              <w:pStyle w:val="Compact"/>
              <w:jc w:val="left"/>
            </w:pPr>
            <w:r>
              <w:t xml:space="preserve">Quarterly</w:t>
            </w:r>
          </w:p>
        </w:tc>
        <w:tc>
          <w:tcPr/>
          <w:p>
            <w:pPr>
              <w:pStyle w:val="Compact"/>
              <w:jc w:val="left"/>
            </w:pPr>
            <w:r>
              <w:t xml:space="preserve">Colt Cloud CoE with Colt CSOC</w:t>
            </w:r>
          </w:p>
        </w:tc>
        <w:tc>
          <w:tcPr/>
          <w:p>
            <w:pPr>
              <w:pStyle w:val="Compact"/>
              <w:jc w:val="left"/>
            </w:pPr>
            <w:r>
              <w:t xml:space="preserve">Remove the member and update the access record</w:t>
            </w:r>
          </w:p>
        </w:tc>
      </w:tr>
      <w:tr>
        <w:tc>
          <w:tcPr/>
          <w:p>
            <w:pPr>
              <w:pStyle w:val="Compact"/>
              <w:jc w:val="left"/>
            </w:pPr>
            <w:r>
              <w:t xml:space="preserve">Service account role bindings</w:t>
            </w:r>
          </w:p>
        </w:tc>
        <w:tc>
          <w:tcPr/>
          <w:p>
            <w:pPr>
              <w:pStyle w:val="Compact"/>
              <w:jc w:val="left"/>
            </w:pPr>
            <w:r>
              <w:t xml:space="preserve">Semi-annual, informed by IAM Recommender</w:t>
            </w:r>
          </w:p>
        </w:tc>
        <w:tc>
          <w:tcPr/>
          <w:p>
            <w:pPr>
              <w:pStyle w:val="Compact"/>
              <w:jc w:val="left"/>
            </w:pPr>
            <w:r>
              <w:t xml:space="preserve">AICOE Platform Team with Colt CSOC review</w:t>
            </w:r>
          </w:p>
        </w:tc>
        <w:tc>
          <w:tcPr/>
          <w:p>
            <w:pPr>
              <w:pStyle w:val="Compact"/>
              <w:jc w:val="left"/>
            </w:pPr>
            <w:r>
              <w:t xml:space="preserve">Reduce to least privilege through an infrastructure-as-code change</w:t>
            </w:r>
          </w:p>
        </w:tc>
      </w:tr>
      <w:tr>
        <w:tc>
          <w:tcPr/>
          <w:p>
            <w:pPr>
              <w:pStyle w:val="Compact"/>
              <w:jc w:val="left"/>
            </w:pPr>
            <w:r>
              <w:t xml:space="preserve">Privileged Access Manager entitlement definitions and eligibility</w:t>
            </w:r>
          </w:p>
        </w:tc>
        <w:tc>
          <w:tcPr/>
          <w:p>
            <w:pPr>
              <w:pStyle w:val="Compact"/>
              <w:jc w:val="left"/>
            </w:pPr>
            <w:r>
              <w:t xml:space="preserve">Quarterly</w:t>
            </w:r>
          </w:p>
        </w:tc>
        <w:tc>
          <w:tcPr/>
          <w:p>
            <w:pPr>
              <w:pStyle w:val="Compact"/>
              <w:jc w:val="left"/>
            </w:pPr>
            <w:r>
              <w:t xml:space="preserve">Colt Cloud CoE</w:t>
            </w:r>
          </w:p>
        </w:tc>
        <w:tc>
          <w:tcPr/>
          <w:p>
            <w:pPr>
              <w:pStyle w:val="Compact"/>
              <w:jc w:val="left"/>
            </w:pPr>
            <w:r>
              <w:t xml:space="preserve">Remove the unused entitlement; re-validate the eligible group</w:t>
            </w:r>
          </w:p>
        </w:tc>
      </w:tr>
      <w:tr>
        <w:tc>
          <w:tcPr/>
          <w:p>
            <w:pPr>
              <w:pStyle w:val="Compact"/>
              <w:jc w:val="left"/>
            </w:pPr>
            <w:r>
              <w:t xml:space="preserve">Workload Identity Federation attribute conditions</w:t>
            </w:r>
          </w:p>
        </w:tc>
        <w:tc>
          <w:tcPr/>
          <w:p>
            <w:pPr>
              <w:pStyle w:val="Compact"/>
              <w:jc w:val="left"/>
            </w:pPr>
            <w:r>
              <w:t xml:space="preserve">Semi-annual</w:t>
            </w:r>
          </w:p>
        </w:tc>
        <w:tc>
          <w:tcPr/>
          <w:p>
            <w:pPr>
              <w:pStyle w:val="Compact"/>
              <w:jc w:val="left"/>
            </w:pPr>
            <w:r>
              <w:t xml:space="preserve">AICOE Platform Team</w:t>
            </w:r>
          </w:p>
        </w:tc>
        <w:tc>
          <w:tcPr/>
          <w:p>
            <w:pPr>
              <w:pStyle w:val="Compact"/>
              <w:jc w:val="left"/>
            </w:pPr>
            <w:r>
              <w:t xml:space="preserve">Tighten the attribute condition</w:t>
            </w:r>
          </w:p>
        </w:tc>
      </w:tr>
      <w:tr>
        <w:tc>
          <w:tcPr/>
          <w:p>
            <w:pPr>
              <w:pStyle w:val="Compact"/>
              <w:jc w:val="left"/>
            </w:pPr>
            <w:r>
              <w:rPr>
                <w:rStyle w:val="VerbatimChar"/>
              </w:rPr>
              <w:t xml:space="preserve">roles/owner</w:t>
            </w:r>
            <w:r>
              <w:t xml:space="preserve"> </w:t>
            </w:r>
            <w:r>
              <w:t xml:space="preserve">and</w:t>
            </w:r>
            <w:r>
              <w:t xml:space="preserve"> </w:t>
            </w:r>
            <w:r>
              <w:rPr>
                <w:rStyle w:val="VerbatimChar"/>
              </w:rPr>
              <w:t xml:space="preserve">roles/editor</w:t>
            </w:r>
            <w:r>
              <w:t xml:space="preserve"> </w:t>
            </w:r>
            <w:r>
              <w:t xml:space="preserve">holders</w:t>
            </w:r>
          </w:p>
        </w:tc>
        <w:tc>
          <w:tcPr/>
          <w:p>
            <w:pPr>
              <w:pStyle w:val="Compact"/>
              <w:jc w:val="left"/>
            </w:pPr>
            <w:r>
              <w:t xml:space="preserve">Immediately after build, then periodically</w:t>
            </w:r>
          </w:p>
        </w:tc>
        <w:tc>
          <w:tcPr/>
          <w:p>
            <w:pPr>
              <w:pStyle w:val="Compact"/>
              <w:jc w:val="left"/>
            </w:pPr>
            <w:r>
              <w:t xml:space="preserve">AICOE Platform Team</w:t>
            </w:r>
          </w:p>
        </w:tc>
        <w:tc>
          <w:tcPr/>
          <w:p>
            <w:pPr>
              <w:pStyle w:val="Compact"/>
              <w:jc w:val="left"/>
            </w:pPr>
            <w:r>
              <w:t xml:space="preserve">Reduce to least privilege</w:t>
            </w:r>
          </w:p>
        </w:tc>
      </w:tr>
      <w:tr>
        <w:tc>
          <w:tcPr/>
          <w:p>
            <w:pPr>
              <w:pStyle w:val="Compact"/>
              <w:jc w:val="left"/>
            </w:pPr>
            <w:r>
              <w:t xml:space="preserve">Apigee accept list</w:t>
            </w:r>
          </w:p>
        </w:tc>
        <w:tc>
          <w:tcPr/>
          <w:p>
            <w:pPr>
              <w:pStyle w:val="Compact"/>
              <w:jc w:val="left"/>
            </w:pPr>
            <w:r>
              <w:t xml:space="preserve">Periodic</w:t>
            </w:r>
          </w:p>
        </w:tc>
        <w:tc>
          <w:tcPr/>
          <w:p>
            <w:pPr>
              <w:pStyle w:val="Compact"/>
              <w:jc w:val="left"/>
            </w:pPr>
            <w:r>
              <w:t xml:space="preserve">AICOE Platform Team</w:t>
            </w:r>
          </w:p>
        </w:tc>
        <w:tc>
          <w:tcPr/>
          <w:p>
            <w:pPr>
              <w:pStyle w:val="Compact"/>
              <w:jc w:val="left"/>
            </w:pPr>
            <w:r>
              <w:t xml:space="preserve">Delete the offending connection — removal from the accept list alone does not revoke an established connection</w:t>
            </w:r>
          </w:p>
        </w:tc>
      </w:tr>
    </w:tbl>
    <w:p>
      <w:pPr>
        <w:pStyle w:val="BodyText"/>
      </w:pPr>
      <w:r>
        <w:t xml:space="preserve">Reviews are evidence-based, driven from Cloud Audit Logs and Sentinel rather than from a manually maintained list, so the reviewer sees the access that actually exists. Every recertification records the reviewer, the date and the outcome — retain, reduce or revoke — providing an auditable trail.</w:t>
      </w:r>
    </w:p>
    <w:p>
      <w:pPr>
        <w:pStyle w:val="BodyText"/>
      </w:pPr>
      <w:r>
        <w:t xml:space="preserve">Entra group membership drives entitlement, so a stale group membership is a stale entitlement. The review owner for the three access groups is named in</w:t>
      </w:r>
      <w:r>
        <w:t xml:space="preserve"> </w:t>
      </w:r>
      <w:r>
        <w:rPr>
          <w:b/>
          <w:bCs/>
        </w:rPr>
        <w:t xml:space="preserve">RACI — roles and responsibilities</w:t>
      </w:r>
      <w:r>
        <w:t xml:space="preserve">.</w:t>
      </w:r>
    </w:p>
    <w:bookmarkEnd w:id="196"/>
    <w:bookmarkEnd w:id="197"/>
    <w:bookmarkStart w:id="199" w:name="network-security"/>
    <w:p>
      <w:pPr>
        <w:pStyle w:val="Heading2"/>
      </w:pPr>
      <w:r>
        <w:t xml:space="preserve">10.4 Network security</w:t>
      </w:r>
    </w:p>
    <w:p>
      <w:pPr>
        <w:pStyle w:val="FirstParagraph"/>
      </w:pPr>
      <w:r>
        <w:t xml:space="preserve">The network controls themselves are specified in</w:t>
      </w:r>
      <w:r>
        <w:t xml:space="preserve"> </w:t>
      </w:r>
      <w:r>
        <w:rPr>
          <w:b/>
          <w:bCs/>
        </w:rPr>
        <w:t xml:space="preserve">Networking</w:t>
      </w:r>
      <w:r>
        <w:t xml:space="preserve">. They are listed here so the security model can be read in one place.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Position</w:t>
            </w:r>
          </w:p>
        </w:tc>
        <w:tc>
          <w:tcPr>
            <w:shd w:val="clear" w:color="auto" w:fill="1F3864"/>
          </w:tcPr>
          <w:p>
            <w:pPr>
              <w:pStyle w:val="Compact"/>
              <w:jc w:val="left"/>
            </w:pPr>
            <w:r>
              <w:rPr>
                <w:b/>
                <w:color w:val="FFFFFF"/>
              </w:rPr>
              <w:t xml:space="preserve">Specified in</w:t>
            </w:r>
          </w:p>
        </w:tc>
      </w:tr>
      <w:tr>
        <w:tc>
          <w:tcPr/>
          <w:p>
            <w:pPr>
              <w:pStyle w:val="Compact"/>
              <w:jc w:val="left"/>
            </w:pPr>
            <w:r>
              <w:t xml:space="preserve">Single routable address</w:t>
            </w:r>
          </w:p>
        </w:tc>
        <w:tc>
          <w:tcPr/>
          <w:p>
            <w:pPr>
              <w:pStyle w:val="Compact"/>
              <w:jc w:val="left"/>
            </w:pPr>
            <w:r>
              <w:t xml:space="preserve">One address,</w:t>
            </w:r>
            <w:r>
              <w:t xml:space="preserve"> </w:t>
            </w:r>
            <w:r>
              <w:rPr>
                <w:rStyle w:val="VerbatimChar"/>
              </w:rPr>
              <w:t xml:space="preserve">10.110.73.20</w:t>
            </w:r>
            <w:r>
              <w:t xml:space="preserve">, is reachable from the Colt network; everything else sits in an unrouted range</w:t>
            </w:r>
          </w:p>
        </w:tc>
        <w:tc>
          <w:tcPr/>
          <w:p>
            <w:pPr>
              <w:pStyle w:val="Compact"/>
              <w:jc w:val="left"/>
            </w:pPr>
            <w:r>
              <w:rPr>
                <w:b/>
                <w:bCs/>
              </w:rPr>
              <w:t xml:space="preserve">IP addressing plan</w:t>
            </w:r>
          </w:p>
        </w:tc>
      </w:tr>
      <w:tr>
        <w:tc>
          <w:tcPr/>
          <w:p>
            <w:pPr>
              <w:pStyle w:val="Compact"/>
              <w:jc w:val="left"/>
            </w:pPr>
            <w:r>
              <w:t xml:space="preserve">Default-deny egress</w:t>
            </w:r>
          </w:p>
        </w:tc>
        <w:tc>
          <w:tcPr/>
          <w:p>
            <w:pPr>
              <w:pStyle w:val="Compact"/>
              <w:jc w:val="left"/>
            </w:pPr>
            <w:r>
              <w:rPr>
                <w:rStyle w:val="VerbatimChar"/>
              </w:rPr>
              <w:t xml:space="preserve">egress-deny-all</w:t>
            </w:r>
            <w:r>
              <w:t xml:space="preserve"> </w:t>
            </w:r>
            <w:r>
              <w:t xml:space="preserve">at priority 65000, with allow rules only to specific PSC endpoint addresses on TCP 443, per TR-07 (default-deny egress)</w:t>
            </w:r>
          </w:p>
        </w:tc>
        <w:tc>
          <w:tcPr/>
          <w:p>
            <w:pPr>
              <w:pStyle w:val="Compact"/>
              <w:jc w:val="left"/>
            </w:pPr>
            <w:r>
              <w:rPr>
                <w:b/>
                <w:bCs/>
              </w:rPr>
              <w:t xml:space="preserve">Firewall</w:t>
            </w:r>
          </w:p>
        </w:tc>
      </w:tr>
      <w:tr>
        <w:tc>
          <w:tcPr/>
          <w:p>
            <w:pPr>
              <w:pStyle w:val="Compact"/>
              <w:jc w:val="left"/>
            </w:pPr>
            <w:r>
              <w:t xml:space="preserve">No peering</w:t>
            </w:r>
          </w:p>
        </w:tc>
        <w:tc>
          <w:tcPr/>
          <w:p>
            <w:pPr>
              <w:pStyle w:val="Compact"/>
              <w:jc w:val="left"/>
            </w:pPr>
            <w:r>
              <w:rPr>
                <w:rStyle w:val="VerbatimChar"/>
              </w:rPr>
              <w:t xml:space="preserve">compute.restrictVpcPeering</w:t>
            </w:r>
            <w:r>
              <w:t xml:space="preserve"> </w:t>
            </w:r>
            <w:r>
              <w:t xml:space="preserve">deny-all; Apigee provisioned non-peered</w:t>
            </w:r>
          </w:p>
        </w:tc>
        <w:tc>
          <w:tcPr/>
          <w:p>
            <w:pPr>
              <w:pStyle w:val="Compact"/>
              <w:jc w:val="left"/>
            </w:pPr>
            <w:r>
              <w:rPr>
                <w:b/>
                <w:bCs/>
              </w:rPr>
              <w:t xml:space="preserve">Organisation policies</w:t>
            </w:r>
            <w:r>
              <w:t xml:space="preserve">,</w:t>
            </w:r>
            <w:r>
              <w:t xml:space="preserve"> </w:t>
            </w:r>
            <w:r>
              <w:rPr>
                <w:b/>
                <w:bCs/>
              </w:rPr>
              <w:t xml:space="preserve">Why Private Service Connect and not VPC peering</w:t>
            </w:r>
          </w:p>
        </w:tc>
      </w:tr>
      <w:tr>
        <w:tc>
          <w:tcPr/>
          <w:p>
            <w:pPr>
              <w:pStyle w:val="Compact"/>
              <w:jc w:val="left"/>
            </w:pPr>
            <w:r>
              <w:t xml:space="preserve">Controlled Google API access</w:t>
            </w:r>
          </w:p>
        </w:tc>
        <w:tc>
          <w:tcPr/>
          <w:p>
            <w:pPr>
              <w:pStyle w:val="Compact"/>
              <w:jc w:val="left"/>
            </w:pPr>
            <w:r>
              <w:t xml:space="preserve">Private Google Access off, one PSC endpoint per environment, private</w:t>
            </w:r>
            <w:r>
              <w:t xml:space="preserve"> </w:t>
            </w:r>
            <w:r>
              <w:rPr>
                <w:rStyle w:val="VerbatimChar"/>
              </w:rPr>
              <w:t xml:space="preserve">googleapis.com</w:t>
            </w:r>
            <w:r>
              <w:t xml:space="preserve"> </w:t>
            </w:r>
            <w:r>
              <w:t xml:space="preserve">zone,</w:t>
            </w:r>
            <w:r>
              <w:t xml:space="preserve"> </w:t>
            </w:r>
            <w:r>
              <w:rPr>
                <w:rStyle w:val="VerbatimChar"/>
              </w:rPr>
              <w:t xml:space="preserve">vpc-sc</w:t>
            </w:r>
            <w:r>
              <w:t xml:space="preserve"> </w:t>
            </w:r>
            <w:r>
              <w:t xml:space="preserve">service bundle</w:t>
            </w:r>
          </w:p>
        </w:tc>
        <w:tc>
          <w:tcPr/>
          <w:p>
            <w:pPr>
              <w:pStyle w:val="Compact"/>
              <w:jc w:val="left"/>
            </w:pPr>
            <w:r>
              <w:rPr>
                <w:b/>
                <w:bCs/>
              </w:rPr>
              <w:t xml:space="preserve">Private Service Connect</w:t>
            </w:r>
          </w:p>
        </w:tc>
      </w:tr>
      <w:tr>
        <w:tc>
          <w:tcPr/>
          <w:p>
            <w:pPr>
              <w:pStyle w:val="Compact"/>
              <w:jc w:val="left"/>
            </w:pPr>
            <w:r>
              <w:t xml:space="preserve">No public workload addresses</w:t>
            </w:r>
          </w:p>
        </w:tc>
        <w:tc>
          <w:tcPr/>
          <w:p>
            <w:pPr>
              <w:pStyle w:val="Compact"/>
              <w:jc w:val="left"/>
            </w:pPr>
            <w:r>
              <w:t xml:space="preserve">Enforced by</w:t>
            </w:r>
            <w:r>
              <w:t xml:space="preserve"> </w:t>
            </w:r>
            <w:r>
              <w:rPr>
                <w:rStyle w:val="VerbatimChar"/>
              </w:rPr>
              <w:t xml:space="preserve">compute.vmExternalIpAccess</w:t>
            </w:r>
            <w:r>
              <w:t xml:space="preserve"> </w:t>
            </w:r>
            <w:r>
              <w:t xml:space="preserve">and</w:t>
            </w:r>
            <w:r>
              <w:t xml:space="preserve"> </w:t>
            </w:r>
            <w:r>
              <w:rPr>
                <w:rStyle w:val="VerbatimChar"/>
              </w:rPr>
              <w:t xml:space="preserve">run.allowedIngress</w:t>
            </w:r>
            <w:r>
              <w:t xml:space="preserve">, per TR-03 (no public IP address on any workload)</w:t>
            </w:r>
          </w:p>
        </w:tc>
        <w:tc>
          <w:tcPr/>
          <w:p>
            <w:pPr>
              <w:pStyle w:val="Compact"/>
              <w:jc w:val="left"/>
            </w:pPr>
            <w:r>
              <w:rPr>
                <w:b/>
                <w:bCs/>
              </w:rPr>
              <w:t xml:space="preserve">Organisation policies</w:t>
            </w:r>
          </w:p>
        </w:tc>
      </w:tr>
      <w:tr>
        <w:tc>
          <w:tcPr/>
          <w:p>
            <w:pPr>
              <w:pStyle w:val="Compact"/>
              <w:jc w:val="left"/>
            </w:pPr>
            <w:r>
              <w:t xml:space="preserve">Hierarchical firewall policy</w:t>
            </w:r>
          </w:p>
        </w:tc>
        <w:tc>
          <w:tcPr/>
          <w:p>
            <w:pPr>
              <w:pStyle w:val="Compact"/>
              <w:jc w:val="left"/>
            </w:pPr>
            <w:r>
              <w:t xml:space="preserve">Applied at the</w:t>
            </w:r>
            <w:r>
              <w:t xml:space="preserve"> </w:t>
            </w:r>
            <w:r>
              <w:rPr>
                <w:rStyle w:val="VerbatimChar"/>
              </w:rPr>
              <w:t xml:space="preserve">AI COE</w:t>
            </w:r>
            <w:r>
              <w:t xml:space="preserve"> </w:t>
            </w:r>
            <w:r>
              <w:t xml:space="preserve">folder by the Colt Cloud CoE</w:t>
            </w:r>
          </w:p>
        </w:tc>
        <w:tc>
          <w:tcPr/>
          <w:p>
            <w:pPr>
              <w:pStyle w:val="Compact"/>
              <w:jc w:val="left"/>
            </w:pPr>
            <w:r>
              <w:rPr>
                <w:b/>
                <w:bCs/>
              </w:rPr>
              <w:t xml:space="preserve">Firewall</w:t>
            </w:r>
          </w:p>
        </w:tc>
      </w:tr>
    </w:tbl>
    <w:bookmarkStart w:id="198" w:name="vpc-service-controls"/>
    <w:p>
      <w:pPr>
        <w:pStyle w:val="Heading3"/>
      </w:pPr>
      <w:r>
        <w:t xml:space="preserve">10.4.1 VPC Service Controls</w:t>
      </w:r>
    </w:p>
    <w:p>
      <w:pPr>
        <w:pStyle w:val="FirstParagraph"/>
      </w:pPr>
      <w:r>
        <w:t xml:space="preserve">VPC Service Controls is a centralised enterprise control at Colt. The perimeter covering the AI CoE projects is owned, defined and enforced by the Colt Cloud CoE; the AICOE Platform Team does not define perimeter configuration and cannot change it.</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Dimension</w:t>
            </w:r>
          </w:p>
        </w:tc>
        <w:tc>
          <w:tcPr>
            <w:shd w:val="clear" w:color="auto" w:fill="1F3864"/>
          </w:tcPr>
          <w:p>
            <w:pPr>
              <w:pStyle w:val="Compact"/>
              <w:jc w:val="left"/>
            </w:pPr>
            <w:r>
              <w:rPr>
                <w:b/>
                <w:color w:val="FFFFFF"/>
              </w:rPr>
              <w:t xml:space="preserve">Position</w:t>
            </w:r>
          </w:p>
        </w:tc>
      </w:tr>
      <w:tr>
        <w:tc>
          <w:tcPr/>
          <w:p>
            <w:pPr>
              <w:pStyle w:val="Compact"/>
              <w:jc w:val="left"/>
            </w:pPr>
            <w:r>
              <w:t xml:space="preserve">Perimeter ownership</w:t>
            </w:r>
          </w:p>
        </w:tc>
        <w:tc>
          <w:tcPr/>
          <w:p>
            <w:pPr>
              <w:pStyle w:val="Compact"/>
              <w:jc w:val="left"/>
            </w:pPr>
            <w:r>
              <w:t xml:space="preserve">Colt Cloud CoE, as a centralised enterprise control</w:t>
            </w:r>
          </w:p>
        </w:tc>
      </w:tr>
      <w:tr>
        <w:tc>
          <w:tcPr/>
          <w:p>
            <w:pPr>
              <w:pStyle w:val="Compact"/>
              <w:jc w:val="left"/>
            </w:pPr>
            <w:r>
              <w:t xml:space="preserve">Platform obligation</w:t>
            </w:r>
          </w:p>
        </w:tc>
        <w:tc>
          <w:tcPr/>
          <w:p>
            <w:pPr>
              <w:pStyle w:val="Compact"/>
              <w:jc w:val="left"/>
            </w:pPr>
            <w:r>
              <w:t xml:space="preserve">Build in a way that remains compatible with the perimeter, and raise any required ingress or egress rule with the Colt Cloud CoE</w:t>
            </w:r>
          </w:p>
        </w:tc>
      </w:tr>
      <w:tr>
        <w:tc>
          <w:tcPr/>
          <w:p>
            <w:pPr>
              <w:pStyle w:val="Compact"/>
              <w:jc w:val="left"/>
            </w:pPr>
            <w:r>
              <w:t xml:space="preserve">Supporting design choice</w:t>
            </w:r>
          </w:p>
        </w:tc>
        <w:tc>
          <w:tcPr/>
          <w:p>
            <w:pPr>
              <w:pStyle w:val="Compact"/>
              <w:jc w:val="left"/>
            </w:pPr>
            <w:r>
              <w:t xml:space="preserve">The PSC endpoint uses the</w:t>
            </w:r>
            <w:r>
              <w:t xml:space="preserve"> </w:t>
            </w:r>
            <w:r>
              <w:rPr>
                <w:rStyle w:val="VerbatimChar"/>
              </w:rPr>
              <w:t xml:space="preserve">vpc-sc</w:t>
            </w:r>
            <w:r>
              <w:t xml:space="preserve"> </w:t>
            </w:r>
            <w:r>
              <w:t xml:space="preserve">service bundle rather than</w:t>
            </w:r>
            <w:r>
              <w:t xml:space="preserve"> </w:t>
            </w:r>
            <w:r>
              <w:rPr>
                <w:rStyle w:val="VerbatimChar"/>
              </w:rPr>
              <w:t xml:space="preserve">all-apis</w:t>
            </w:r>
            <w:r>
              <w:t xml:space="preserve">, so only perimeter-protected Google APIs resolve from inside the network</w:t>
            </w:r>
          </w:p>
        </w:tc>
      </w:tr>
      <w:tr>
        <w:tc>
          <w:tcPr/>
          <w:p>
            <w:pPr>
              <w:pStyle w:val="Compact"/>
              <w:jc w:val="left"/>
            </w:pPr>
            <w:r>
              <w:t xml:space="preserve">Supporting design choice</w:t>
            </w:r>
          </w:p>
        </w:tc>
        <w:tc>
          <w:tcPr/>
          <w:p>
            <w:pPr>
              <w:pStyle w:val="Compact"/>
              <w:jc w:val="left"/>
            </w:pPr>
            <w:r>
              <w:t xml:space="preserve">Private Google Access is off and a private</w:t>
            </w:r>
            <w:r>
              <w:t xml:space="preserve"> </w:t>
            </w:r>
            <w:r>
              <w:rPr>
                <w:rStyle w:val="VerbatimChar"/>
              </w:rPr>
              <w:t xml:space="preserve">googleapis.com</w:t>
            </w:r>
            <w:r>
              <w:t xml:space="preserve"> </w:t>
            </w:r>
            <w:r>
              <w:t xml:space="preserve">zone redirects all Google API traffic through the single controlled endpoint</w:t>
            </w:r>
          </w:p>
        </w:tc>
      </w:tr>
      <w:tr>
        <w:tc>
          <w:tcPr/>
          <w:p>
            <w:pPr>
              <w:pStyle w:val="Compact"/>
              <w:jc w:val="left"/>
            </w:pPr>
            <w:r>
              <w:t xml:space="preserve">Supporting design choice</w:t>
            </w:r>
          </w:p>
        </w:tc>
        <w:tc>
          <w:tcPr/>
          <w:p>
            <w:pPr>
              <w:pStyle w:val="Compact"/>
              <w:jc w:val="left"/>
            </w:pPr>
            <w:r>
              <w:t xml:space="preserve">Default-deny egress with allow rules to specific PSC addresses only</w:t>
            </w:r>
          </w:p>
        </w:tc>
      </w:tr>
      <w:tr>
        <w:tc>
          <w:tcPr/>
          <w:p>
            <w:pPr>
              <w:pStyle w:val="Compact"/>
              <w:jc w:val="left"/>
            </w:pPr>
            <w:r>
              <w:t xml:space="preserve">Known consequence</w:t>
            </w:r>
          </w:p>
        </w:tc>
        <w:tc>
          <w:tcPr/>
          <w:p>
            <w:pPr>
              <w:pStyle w:val="Compact"/>
              <w:jc w:val="left"/>
            </w:pPr>
            <w:r>
              <w:t xml:space="preserve">Container image push and any other cross-perimeter operation require an ingress rule agreed with the Colt Cloud CoE; this is raised during build rather than discovered at deployment</w:t>
            </w:r>
          </w:p>
        </w:tc>
      </w:tr>
    </w:tbl>
    <w:bookmarkEnd w:id="198"/>
    <w:bookmarkEnd w:id="199"/>
    <w:bookmarkStart w:id="203" w:name="encryption"/>
    <w:p>
      <w:pPr>
        <w:pStyle w:val="Heading2"/>
      </w:pPr>
      <w:r>
        <w:t xml:space="preserve">10.5 Encryption</w:t>
      </w:r>
    </w:p>
    <w:bookmarkStart w:id="200" w:name="at-rest"/>
    <w:p>
      <w:pPr>
        <w:pStyle w:val="Heading3"/>
      </w:pPr>
      <w:r>
        <w:t xml:space="preserve">10.5.1 At rest</w:t>
      </w:r>
    </w:p>
    <w:p>
      <w:pPr>
        <w:pStyle w:val="FirstParagraph"/>
      </w:pPr>
      <w:r>
        <w:t xml:space="preserve">CMEK is applied to every store that supports it, per TR-09 (CMEK across platform data stores). The full key map is in</w:t>
      </w:r>
      <w:r>
        <w:t xml:space="preserve"> </w:t>
      </w:r>
      <w:r>
        <w:rPr>
          <w:b/>
          <w:bCs/>
        </w:rPr>
        <w:t xml:space="preserve">Cloud KMS — key rings and CMEK map</w:t>
      </w:r>
      <w:r>
        <w:t xml:space="preserve">. Two ordering rules govern its application:</w:t>
      </w:r>
    </w:p>
    <w:p>
      <w:pPr>
        <w:pStyle w:val="Compact"/>
        <w:numPr>
          <w:ilvl w:val="0"/>
          <w:numId w:val="1021"/>
        </w:numPr>
      </w:pPr>
      <w:r>
        <w:t xml:space="preserve">The service agent must hold Encrypter/Decrypter on the key before the protected resource is created. Apigee is the strictest case: its runtime database and instance disk keys cannot be added to an existing organisation at all.</w:t>
      </w:r>
    </w:p>
    <w:p>
      <w:pPr>
        <w:pStyle w:val="Compact"/>
        <w:numPr>
          <w:ilvl w:val="0"/>
          <w:numId w:val="1021"/>
        </w:numPr>
      </w:pPr>
      <w:r>
        <w:t xml:space="preserve">Terraform requires an explicit dependency from the protected resource to the IAM member, not merely to the key, or the apply races the grant.</w:t>
      </w:r>
    </w:p>
    <w:bookmarkEnd w:id="200"/>
    <w:bookmarkStart w:id="201" w:name="in-transit"/>
    <w:p>
      <w:pPr>
        <w:pStyle w:val="Heading3"/>
      </w:pPr>
      <w:r>
        <w:t xml:space="preserve">10.5.2 In transit</w:t>
      </w:r>
    </w:p>
    <w:p>
      <w:pPr>
        <w:pStyle w:val="FirstParagraph"/>
      </w:pPr>
      <w:r>
        <w:t xml:space="preserve">TLS 1.2 or above throughout, per TR-10 (TLS 1.2 minimum in transit).</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Hop</w:t>
            </w:r>
          </w:p>
        </w:tc>
        <w:tc>
          <w:tcPr>
            <w:shd w:val="clear" w:color="auto" w:fill="1F3864"/>
          </w:tcPr>
          <w:p>
            <w:pPr>
              <w:pStyle w:val="Compact"/>
              <w:jc w:val="left"/>
            </w:pPr>
            <w:r>
              <w:rPr>
                <w:b/>
                <w:color w:val="FFFFFF"/>
              </w:rPr>
              <w:t xml:space="preserve">Protection</w:t>
            </w:r>
          </w:p>
        </w:tc>
      </w:tr>
      <w:tr>
        <w:tc>
          <w:tcPr/>
          <w:p>
            <w:pPr>
              <w:pStyle w:val="Compact"/>
              <w:jc w:val="left"/>
            </w:pPr>
            <w:r>
              <w:t xml:space="preserve">Browser to AI Hub ILB</w:t>
            </w:r>
          </w:p>
        </w:tc>
        <w:tc>
          <w:tcPr/>
          <w:p>
            <w:pPr>
              <w:pStyle w:val="Compact"/>
              <w:jc w:val="left"/>
            </w:pPr>
            <w:r>
              <w:t xml:space="preserve">TLS 1.2+, certificate for</w:t>
            </w:r>
            <w:r>
              <w:t xml:space="preserve"> </w:t>
            </w:r>
            <w:r>
              <w:rPr>
                <w:rStyle w:val="VerbatimChar"/>
              </w:rPr>
              <w:t xml:space="preserve">aihub.aicoe-dev-int.colt.net</w:t>
            </w:r>
            <w:r>
              <w:t xml:space="preserve">, over the ZPA tunnel</w:t>
            </w:r>
          </w:p>
        </w:tc>
      </w:tr>
      <w:tr>
        <w:tc>
          <w:tcPr/>
          <w:p>
            <w:pPr>
              <w:pStyle w:val="Compact"/>
              <w:jc w:val="left"/>
            </w:pPr>
            <w:r>
              <w:t xml:space="preserve">ILB to Cloud Run, through a serverless NEG</w:t>
            </w:r>
          </w:p>
        </w:tc>
        <w:tc>
          <w:tcPr/>
          <w:p>
            <w:pPr>
              <w:pStyle w:val="Compact"/>
              <w:jc w:val="left"/>
            </w:pPr>
            <w:r>
              <w:t xml:space="preserve">Google-managed, HTTPS backend protocol</w:t>
            </w:r>
          </w:p>
        </w:tc>
      </w:tr>
      <w:tr>
        <w:tc>
          <w:tcPr/>
          <w:p>
            <w:pPr>
              <w:pStyle w:val="Compact"/>
              <w:jc w:val="left"/>
            </w:pPr>
            <w:r>
              <w:t xml:space="preserve">Backend-for-Frontend to the Apigee service endpoint</w:t>
            </w:r>
          </w:p>
        </w:tc>
        <w:tc>
          <w:tcPr/>
          <w:p>
            <w:pPr>
              <w:pStyle w:val="Compact"/>
              <w:jc w:val="left"/>
            </w:pPr>
            <w:r>
              <w:t xml:space="preserve">HTTPS to the hostname with certificate verification enabled, per</w:t>
            </w:r>
            <w:r>
              <w:t xml:space="preserve"> </w:t>
            </w:r>
            <w:r>
              <w:rPr>
                <w:b/>
                <w:bCs/>
              </w:rPr>
              <w:t xml:space="preserve">Flow 2 — Apigee northbound, the service endpoint</w:t>
            </w:r>
          </w:p>
        </w:tc>
      </w:tr>
      <w:tr>
        <w:tc>
          <w:tcPr/>
          <w:p>
            <w:pPr>
              <w:pStyle w:val="Compact"/>
              <w:jc w:val="left"/>
            </w:pPr>
            <w:r>
              <w:t xml:space="preserve">Apigee to endpoint attachment to PSC to Backend ILB</w:t>
            </w:r>
          </w:p>
        </w:tc>
        <w:tc>
          <w:tcPr/>
          <w:p>
            <w:pPr>
              <w:pStyle w:val="Compact"/>
              <w:jc w:val="left"/>
            </w:pPr>
            <w:r>
              <w:t xml:space="preserve">HTTPS 443, private throughout</w:t>
            </w:r>
          </w:p>
        </w:tc>
      </w:tr>
      <w:tr>
        <w:tc>
          <w:tcPr/>
          <w:p>
            <w:pPr>
              <w:pStyle w:val="Compact"/>
              <w:jc w:val="left"/>
            </w:pPr>
            <w:r>
              <w:t xml:space="preserve">Backend ILB to Cloud Run</w:t>
            </w:r>
          </w:p>
        </w:tc>
        <w:tc>
          <w:tcPr/>
          <w:p>
            <w:pPr>
              <w:pStyle w:val="Compact"/>
              <w:jc w:val="left"/>
            </w:pPr>
            <w:r>
              <w:t xml:space="preserve">HTTPS, Google-managed</w:t>
            </w:r>
          </w:p>
        </w:tc>
      </w:tr>
      <w:tr>
        <w:tc>
          <w:tcPr/>
          <w:p>
            <w:pPr>
              <w:pStyle w:val="Compact"/>
              <w:jc w:val="left"/>
            </w:pPr>
            <w:r>
              <w:t xml:space="preserve">Any workload to Google APIs</w:t>
            </w:r>
          </w:p>
        </w:tc>
        <w:tc>
          <w:tcPr/>
          <w:p>
            <w:pPr>
              <w:pStyle w:val="Compact"/>
              <w:jc w:val="left"/>
            </w:pPr>
            <w:r>
              <w:t xml:space="preserve">HTTPS through the PSC endpoint —</w:t>
            </w:r>
            <w:r>
              <w:t xml:space="preserve"> </w:t>
            </w:r>
            <w:r>
              <w:rPr>
                <w:rStyle w:val="VerbatimChar"/>
              </w:rPr>
              <w:t xml:space="preserve">192.168.6.164</w:t>
            </w:r>
            <w:r>
              <w:t xml:space="preserve"> </w:t>
            </w:r>
            <w:r>
              <w:t xml:space="preserve">in Dev,</w:t>
            </w:r>
            <w:r>
              <w:t xml:space="preserve"> </w:t>
            </w:r>
            <w:r>
              <w:rPr>
                <w:rStyle w:val="VerbatimChar"/>
              </w:rPr>
              <w:t xml:space="preserve">192.168.2.3</w:t>
            </w:r>
            <w:r>
              <w:t xml:space="preserve"> </w:t>
            </w:r>
            <w:r>
              <w:t xml:space="preserve">in Sandbox. No public route</w:t>
            </w:r>
          </w:p>
        </w:tc>
      </w:tr>
      <w:tr>
        <w:tc>
          <w:tcPr/>
          <w:p>
            <w:pPr>
              <w:pStyle w:val="Compact"/>
              <w:jc w:val="left"/>
            </w:pPr>
            <w:r>
              <w:t xml:space="preserve">Apigee to Vertex AI</w:t>
            </w:r>
          </w:p>
        </w:tc>
        <w:tc>
          <w:tcPr/>
          <w:p>
            <w:pPr>
              <w:pStyle w:val="Compact"/>
              <w:jc w:val="left"/>
            </w:pPr>
            <w:r>
              <w:t xml:space="preserve">HTTPS to</w:t>
            </w:r>
            <w:r>
              <w:t xml:space="preserve"> </w:t>
            </w:r>
            <w:r>
              <w:rPr>
                <w:rStyle w:val="VerbatimChar"/>
              </w:rPr>
              <w:t xml:space="preserve">europe-west1-aiplatform.googleapis.com</w:t>
            </w:r>
            <w:r>
              <w:t xml:space="preserve">, publicly trusted certificate, no truststore required</w:t>
            </w:r>
          </w:p>
        </w:tc>
      </w:tr>
      <w:tr>
        <w:tc>
          <w:tcPr/>
          <w:p>
            <w:pPr>
              <w:pStyle w:val="Compact"/>
              <w:jc w:val="left"/>
            </w:pPr>
            <w:r>
              <w:t xml:space="preserve">Browser to Sandbox ILBs</w:t>
            </w:r>
          </w:p>
        </w:tc>
        <w:tc>
          <w:tcPr/>
          <w:p>
            <w:pPr>
              <w:pStyle w:val="Compact"/>
              <w:jc w:val="left"/>
            </w:pPr>
            <w:r>
              <w:t xml:space="preserve">TLS 1.2+, certificates for</w:t>
            </w:r>
            <w:r>
              <w:t xml:space="preserve"> </w:t>
            </w:r>
            <w:r>
              <w:rPr>
                <w:rStyle w:val="VerbatimChar"/>
              </w:rPr>
              <w:t xml:space="preserve">translation.aicoesandox-int.colt.net</w:t>
            </w:r>
            <w:r>
              <w:t xml:space="preserve"> </w:t>
            </w:r>
            <w:r>
              <w:t xml:space="preserve">and</w:t>
            </w:r>
            <w:r>
              <w:t xml:space="preserve"> </w:t>
            </w:r>
            <w:r>
              <w:rPr>
                <w:rStyle w:val="VerbatimChar"/>
              </w:rPr>
              <w:t xml:space="preserve">salesagent.aicoesandox-int.colt.net</w:t>
            </w:r>
          </w:p>
        </w:tc>
      </w:tr>
    </w:tbl>
    <w:bookmarkEnd w:id="201"/>
    <w:bookmarkStart w:id="202" w:name="application-level-encryption"/>
    <w:p>
      <w:pPr>
        <w:pStyle w:val="Heading3"/>
      </w:pPr>
      <w:r>
        <w:t xml:space="preserve">10.5.3 Application-level encryption</w:t>
      </w:r>
    </w:p>
    <w:p>
      <w:pPr>
        <w:pStyle w:val="FirstParagraph"/>
      </w:pPr>
      <w:r>
        <w:t xml:space="preserve">The session</w:t>
      </w:r>
      <w:r>
        <w:t xml:space="preserve"> </w:t>
      </w:r>
      <w:r>
        <w:rPr>
          <w:rStyle w:val="VerbatimChar"/>
        </w:rPr>
        <w:t xml:space="preserve">access_token</w:t>
      </w:r>
      <w:r>
        <w:t xml:space="preserve"> </w:t>
      </w:r>
      <w:r>
        <w:t xml:space="preserve">and</w:t>
      </w:r>
      <w:r>
        <w:t xml:space="preserve"> </w:t>
      </w:r>
      <w:r>
        <w:rPr>
          <w:rStyle w:val="VerbatimChar"/>
        </w:rPr>
        <w:t xml:space="preserve">refresh_token</w:t>
      </w:r>
      <w:r>
        <w:t xml:space="preserve"> </w:t>
      </w:r>
      <w:r>
        <w:t xml:space="preserve">are envelope-encrypted above Firestore CMEK, so a database export alone does not yield usable credentials. The mechanism, and the constraint that forbids a KMS round trip on the request path, are specified in</w:t>
      </w:r>
      <w:r>
        <w:t xml:space="preserve"> </w:t>
      </w:r>
      <w:r>
        <w:rPr>
          <w:b/>
          <w:bCs/>
        </w:rPr>
        <w:t xml:space="preserve">Envelope encryption — implementation constraint</w:t>
      </w:r>
      <w:r>
        <w:t xml:space="preserve">.</w:t>
      </w:r>
    </w:p>
    <w:bookmarkEnd w:id="202"/>
    <w:bookmarkEnd w:id="203"/>
    <w:bookmarkStart w:id="205" w:name="data-classification-and-handling"/>
    <w:p>
      <w:pPr>
        <w:pStyle w:val="Heading2"/>
      </w:pPr>
      <w:r>
        <w:t xml:space="preserve">10.6 Data classification and handling</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Level</w:t>
            </w:r>
          </w:p>
        </w:tc>
        <w:tc>
          <w:tcPr>
            <w:shd w:val="clear" w:color="auto" w:fill="1F3864"/>
          </w:tcPr>
          <w:p>
            <w:pPr>
              <w:pStyle w:val="Compact"/>
              <w:jc w:val="left"/>
            </w:pPr>
            <w:r>
              <w:rPr>
                <w:b/>
                <w:color w:val="FFFFFF"/>
              </w:rPr>
              <w:t xml:space="preserve">Meaning on this platform</w:t>
            </w:r>
          </w:p>
        </w:tc>
        <w:tc>
          <w:tcPr>
            <w:shd w:val="clear" w:color="auto" w:fill="1F3864"/>
          </w:tcPr>
          <w:p>
            <w:pPr>
              <w:pStyle w:val="Compact"/>
              <w:jc w:val="left"/>
            </w:pPr>
            <w:r>
              <w:rPr>
                <w:b/>
                <w:color w:val="FFFFFF"/>
              </w:rPr>
              <w:t xml:space="preserve">Required controls</w:t>
            </w:r>
          </w:p>
        </w:tc>
      </w:tr>
      <w:tr>
        <w:tc>
          <w:tcPr/>
          <w:p>
            <w:pPr>
              <w:pStyle w:val="Compact"/>
              <w:jc w:val="left"/>
            </w:pPr>
            <w:r>
              <w:t xml:space="preserve">Public</w:t>
            </w:r>
          </w:p>
        </w:tc>
        <w:tc>
          <w:tcPr/>
          <w:p>
            <w:pPr>
              <w:pStyle w:val="Compact"/>
              <w:jc w:val="left"/>
            </w:pPr>
            <w:r>
              <w:t xml:space="preserve">No data on this platform is classified public</w:t>
            </w:r>
          </w:p>
        </w:tc>
        <w:tc>
          <w:tcPr/>
          <w:p>
            <w:pPr>
              <w:pStyle w:val="Compact"/>
              <w:jc w:val="left"/>
            </w:pPr>
            <w:r>
              <w:t xml:space="preserve">—</w:t>
            </w:r>
          </w:p>
        </w:tc>
      </w:tr>
      <w:tr>
        <w:tc>
          <w:tcPr/>
          <w:p>
            <w:pPr>
              <w:pStyle w:val="Compact"/>
              <w:jc w:val="left"/>
            </w:pPr>
            <w:r>
              <w:t xml:space="preserve">Internal</w:t>
            </w:r>
          </w:p>
        </w:tc>
        <w:tc>
          <w:tcPr/>
          <w:p>
            <w:pPr>
              <w:pStyle w:val="Compact"/>
              <w:jc w:val="left"/>
            </w:pPr>
            <w:r>
              <w:t xml:space="preserve">Platform telemetry, token counts, log metadata</w:t>
            </w:r>
          </w:p>
        </w:tc>
        <w:tc>
          <w:tcPr/>
          <w:p>
            <w:pPr>
              <w:pStyle w:val="Compact"/>
              <w:jc w:val="left"/>
            </w:pPr>
            <w:r>
              <w:t xml:space="preserve">CMEK, uniform IAM, 400-day retention</w:t>
            </w:r>
          </w:p>
        </w:tc>
      </w:tr>
      <w:tr>
        <w:tc>
          <w:tcPr/>
          <w:p>
            <w:pPr>
              <w:pStyle w:val="Compact"/>
              <w:jc w:val="left"/>
            </w:pPr>
            <w:r>
              <w:t xml:space="preserve">Confidential</w:t>
            </w:r>
          </w:p>
        </w:tc>
        <w:tc>
          <w:tcPr/>
          <w:p>
            <w:pPr>
              <w:pStyle w:val="Compact"/>
              <w:jc w:val="left"/>
            </w:pPr>
            <w:r>
              <w:t xml:space="preserve">Uploaded translation documents, retrieved knowledge, prompt and response content</w:t>
            </w:r>
          </w:p>
        </w:tc>
        <w:tc>
          <w:tcPr/>
          <w:p>
            <w:pPr>
              <w:pStyle w:val="Compact"/>
              <w:jc w:val="left"/>
            </w:pPr>
            <w:r>
              <w:t xml:space="preserve">CMEK, uniform bucket IAM,</w:t>
            </w:r>
            <w:r>
              <w:t xml:space="preserve"> </w:t>
            </w:r>
            <w:r>
              <w:rPr>
                <w:rStyle w:val="VerbatimChar"/>
              </w:rPr>
              <w:t xml:space="preserve">restricts</w:t>
            </w:r>
            <w:r>
              <w:t xml:space="preserve"> </w:t>
            </w:r>
            <w:r>
              <w:t xml:space="preserve">filtering, Sensitive Data Protection inspection, metadata-only logging by default</w:t>
            </w:r>
          </w:p>
        </w:tc>
      </w:tr>
      <w:tr>
        <w:tc>
          <w:tcPr/>
          <w:p>
            <w:pPr>
              <w:pStyle w:val="Compact"/>
              <w:jc w:val="left"/>
            </w:pPr>
            <w:r>
              <w:t xml:space="preserve">Personal data</w:t>
            </w:r>
          </w:p>
        </w:tc>
        <w:tc>
          <w:tcPr/>
          <w:p>
            <w:pPr>
              <w:pStyle w:val="Compact"/>
              <w:jc w:val="left"/>
            </w:pPr>
            <w:r>
              <w:t xml:space="preserve">Content within translation documents and prompts;</w:t>
            </w:r>
            <w:r>
              <w:t xml:space="preserve"> </w:t>
            </w:r>
            <w:r>
              <w:rPr>
                <w:rStyle w:val="VerbatimChar"/>
              </w:rPr>
              <w:t xml:space="preserve">oid</w:t>
            </w:r>
            <w:r>
              <w:t xml:space="preserve">,</w:t>
            </w:r>
            <w:r>
              <w:t xml:space="preserve"> </w:t>
            </w:r>
            <w:r>
              <w:rPr>
                <w:rStyle w:val="VerbatimChar"/>
              </w:rPr>
              <w:t xml:space="preserve">email</w:t>
            </w:r>
            <w:r>
              <w:t xml:space="preserve"> </w:t>
            </w:r>
            <w:r>
              <w:t xml:space="preserve">and</w:t>
            </w:r>
            <w:r>
              <w:t xml:space="preserve"> </w:t>
            </w:r>
            <w:r>
              <w:rPr>
                <w:rStyle w:val="VerbatimChar"/>
              </w:rPr>
              <w:t xml:space="preserve">department</w:t>
            </w:r>
            <w:r>
              <w:t xml:space="preserve"> </w:t>
            </w:r>
            <w:r>
              <w:t xml:space="preserve">in session and job records</w:t>
            </w:r>
          </w:p>
        </w:tc>
        <w:tc>
          <w:tcPr/>
          <w:p>
            <w:pPr>
              <w:pStyle w:val="Compact"/>
              <w:jc w:val="left"/>
            </w:pPr>
            <w:r>
              <w:t xml:space="preserve">All of the above, plus Sensitive Data Protection redaction rather than blocking for translation, EU-pinned storage, and envelope encryption of tokens</w:t>
            </w:r>
          </w:p>
        </w:tc>
      </w:tr>
    </w:tbl>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Store</w:t>
            </w:r>
          </w:p>
        </w:tc>
        <w:tc>
          <w:tcPr>
            <w:shd w:val="clear" w:color="auto" w:fill="1F3864"/>
          </w:tcPr>
          <w:p>
            <w:pPr>
              <w:pStyle w:val="Compact"/>
              <w:jc w:val="left"/>
            </w:pPr>
            <w:r>
              <w:rPr>
                <w:b/>
                <w:color w:val="FFFFFF"/>
              </w:rPr>
              <w:t xml:space="preserve">Classification</w:t>
            </w:r>
          </w:p>
        </w:tc>
        <w:tc>
          <w:tcPr>
            <w:shd w:val="clear" w:color="auto" w:fill="1F3864"/>
          </w:tcPr>
          <w:p>
            <w:pPr>
              <w:pStyle w:val="Compact"/>
              <w:jc w:val="left"/>
            </w:pPr>
            <w:r>
              <w:rPr>
                <w:b/>
                <w:color w:val="FFFFFF"/>
              </w:rPr>
              <w:t xml:space="preserve">Note</w:t>
            </w:r>
          </w:p>
        </w:tc>
      </w:tr>
      <w:tr>
        <w:tc>
          <w:tcPr/>
          <w:p>
            <w:pPr>
              <w:pStyle w:val="Compact"/>
              <w:jc w:val="left"/>
            </w:pPr>
            <w:r>
              <w:rPr>
                <w:rStyle w:val="VerbatimChar"/>
              </w:rPr>
              <w:t xml:space="preserve">gclt-aicoe-dev-st-documents</w:t>
            </w:r>
          </w:p>
        </w:tc>
        <w:tc>
          <w:tcPr/>
          <w:p>
            <w:pPr>
              <w:pStyle w:val="Compact"/>
              <w:jc w:val="left"/>
            </w:pPr>
            <w:r>
              <w:t xml:space="preserve">Confidential / personal data</w:t>
            </w:r>
          </w:p>
        </w:tc>
        <w:tc>
          <w:tcPr/>
          <w:p>
            <w:pPr>
              <w:pStyle w:val="Compact"/>
              <w:jc w:val="left"/>
            </w:pPr>
            <w:r>
              <w:t xml:space="preserve">User-uploaded content</w:t>
            </w:r>
          </w:p>
        </w:tc>
      </w:tr>
      <w:tr>
        <w:tc>
          <w:tcPr/>
          <w:p>
            <w:pPr>
              <w:pStyle w:val="Compact"/>
              <w:jc w:val="left"/>
            </w:pPr>
            <w:r>
              <w:rPr>
                <w:rStyle w:val="VerbatimChar"/>
              </w:rPr>
              <w:t xml:space="preserve">gclt-aicoe-dev-st-vector-source</w:t>
            </w:r>
          </w:p>
        </w:tc>
        <w:tc>
          <w:tcPr/>
          <w:p>
            <w:pPr>
              <w:pStyle w:val="Compact"/>
              <w:jc w:val="left"/>
            </w:pPr>
            <w:r>
              <w:t xml:space="preserve">Confidential</w:t>
            </w:r>
          </w:p>
        </w:tc>
        <w:tc>
          <w:tcPr/>
          <w:p>
            <w:pPr>
              <w:pStyle w:val="Compact"/>
              <w:jc w:val="left"/>
            </w:pPr>
            <w:r>
              <w:t xml:space="preserve">Embedding source</w:t>
            </w:r>
          </w:p>
        </w:tc>
      </w:tr>
      <w:tr>
        <w:tc>
          <w:tcPr/>
          <w:p>
            <w:pPr>
              <w:pStyle w:val="Compact"/>
              <w:jc w:val="left"/>
            </w:pPr>
            <w:r>
              <w:t xml:space="preserve">Vector Search index</w:t>
            </w:r>
          </w:p>
        </w:tc>
        <w:tc>
          <w:tcPr/>
          <w:p>
            <w:pPr>
              <w:pStyle w:val="Compact"/>
              <w:jc w:val="left"/>
            </w:pPr>
            <w:r>
              <w:t xml:space="preserve">Confidential</w:t>
            </w:r>
          </w:p>
        </w:tc>
        <w:tc>
          <w:tcPr/>
          <w:p>
            <w:pPr>
              <w:pStyle w:val="Compact"/>
              <w:jc w:val="left"/>
            </w:pPr>
            <w:r>
              <w:t xml:space="preserve">Isolated by</w:t>
            </w:r>
            <w:r>
              <w:t xml:space="preserve"> </w:t>
            </w:r>
            <w:r>
              <w:rPr>
                <w:rStyle w:val="VerbatimChar"/>
              </w:rPr>
              <w:t xml:space="preserve">restricts</w:t>
            </w:r>
            <w:r>
              <w:t xml:space="preserve">, per</w:t>
            </w:r>
            <w:r>
              <w:t xml:space="preserve"> </w:t>
            </w:r>
            <w:r>
              <w:rPr>
                <w:b/>
                <w:bCs/>
              </w:rPr>
              <w:t xml:space="preserve">Vector Search and retrieval-time isolation</w:t>
            </w:r>
          </w:p>
        </w:tc>
      </w:tr>
      <w:tr>
        <w:tc>
          <w:tcPr/>
          <w:p>
            <w:pPr>
              <w:pStyle w:val="Compact"/>
              <w:jc w:val="left"/>
            </w:pPr>
            <w:r>
              <w:t xml:space="preserve">Firestore</w:t>
            </w:r>
            <w:r>
              <w:t xml:space="preserve"> </w:t>
            </w:r>
            <w:r>
              <w:rPr>
                <w:rStyle w:val="VerbatimChar"/>
              </w:rPr>
              <w:t xml:space="preserve">sessions</w:t>
            </w:r>
          </w:p>
        </w:tc>
        <w:tc>
          <w:tcPr/>
          <w:p>
            <w:pPr>
              <w:pStyle w:val="Compact"/>
              <w:jc w:val="left"/>
            </w:pPr>
            <w:r>
              <w:t xml:space="preserve">Personal data</w:t>
            </w:r>
          </w:p>
        </w:tc>
        <w:tc>
          <w:tcPr/>
          <w:p>
            <w:pPr>
              <w:pStyle w:val="Compact"/>
              <w:jc w:val="left"/>
            </w:pPr>
            <w:r>
              <w:t xml:space="preserve">Tokens envelope-encrypted; document keyed on a hash of the session identifier</w:t>
            </w:r>
          </w:p>
        </w:tc>
      </w:tr>
      <w:tr>
        <w:tc>
          <w:tcPr/>
          <w:p>
            <w:pPr>
              <w:pStyle w:val="Compact"/>
              <w:jc w:val="left"/>
            </w:pPr>
            <w:r>
              <w:t xml:space="preserve">Firestore</w:t>
            </w:r>
            <w:r>
              <w:t xml:space="preserve"> </w:t>
            </w:r>
            <w:r>
              <w:rPr>
                <w:rStyle w:val="VerbatimChar"/>
              </w:rPr>
              <w:t xml:space="preserve">jobs</w:t>
            </w:r>
          </w:p>
        </w:tc>
        <w:tc>
          <w:tcPr/>
          <w:p>
            <w:pPr>
              <w:pStyle w:val="Compact"/>
              <w:jc w:val="left"/>
            </w:pPr>
            <w:r>
              <w:t xml:space="preserve">Personal data</w:t>
            </w:r>
          </w:p>
        </w:tc>
        <w:tc>
          <w:tcPr/>
          <w:p>
            <w:pPr>
              <w:pStyle w:val="Compact"/>
              <w:jc w:val="left"/>
            </w:pPr>
            <w:r>
              <w:t xml:space="preserve">Carries</w:t>
            </w:r>
            <w:r>
              <w:t xml:space="preserve"> </w:t>
            </w:r>
            <w:r>
              <w:rPr>
                <w:rStyle w:val="VerbatimChar"/>
              </w:rPr>
              <w:t xml:space="preserve">oid</w:t>
            </w:r>
            <w:r>
              <w:t xml:space="preserve"> </w:t>
            </w:r>
            <w:r>
              <w:t xml:space="preserve">and</w:t>
            </w:r>
            <w:r>
              <w:t xml:space="preserve"> </w:t>
            </w:r>
            <w:r>
              <w:rPr>
                <w:rStyle w:val="VerbatimChar"/>
              </w:rPr>
              <w:t xml:space="preserve">department</w:t>
            </w:r>
            <w:r>
              <w:t xml:space="preserve">, immutable after write</w:t>
            </w:r>
          </w:p>
        </w:tc>
      </w:tr>
      <w:tr>
        <w:tc>
          <w:tcPr/>
          <w:p>
            <w:pPr>
              <w:pStyle w:val="Compact"/>
              <w:jc w:val="left"/>
            </w:pPr>
            <w:r>
              <w:t xml:space="preserve">BigQuery</w:t>
            </w:r>
            <w:r>
              <w:t xml:space="preserve"> </w:t>
            </w:r>
            <w:r>
              <w:rPr>
                <w:rStyle w:val="VerbatimChar"/>
              </w:rPr>
              <w:t xml:space="preserve">aicoe_usage</w:t>
            </w:r>
          </w:p>
        </w:tc>
        <w:tc>
          <w:tcPr/>
          <w:p>
            <w:pPr>
              <w:pStyle w:val="Compact"/>
              <w:jc w:val="left"/>
            </w:pPr>
            <w:r>
              <w:t xml:space="preserve">Internal</w:t>
            </w:r>
          </w:p>
        </w:tc>
        <w:tc>
          <w:tcPr/>
          <w:p>
            <w:pPr>
              <w:pStyle w:val="Compact"/>
              <w:jc w:val="left"/>
            </w:pPr>
            <w:r>
              <w:t xml:space="preserve">Consumption records</w:t>
            </w:r>
          </w:p>
        </w:tc>
      </w:tr>
      <w:tr>
        <w:tc>
          <w:tcPr/>
          <w:p>
            <w:pPr>
              <w:pStyle w:val="Compact"/>
              <w:jc w:val="left"/>
            </w:pPr>
            <w:r>
              <w:t xml:space="preserve">The 400-day log bucket</w:t>
            </w:r>
          </w:p>
        </w:tc>
        <w:tc>
          <w:tcPr/>
          <w:p>
            <w:pPr>
              <w:pStyle w:val="Compact"/>
              <w:jc w:val="left"/>
            </w:pPr>
            <w:r>
              <w:t xml:space="preserve">Internal</w:t>
            </w:r>
          </w:p>
        </w:tc>
        <w:tc>
          <w:tcPr/>
          <w:p>
            <w:pPr>
              <w:pStyle w:val="Compact"/>
              <w:jc w:val="left"/>
            </w:pPr>
            <w:r>
              <w:t xml:space="preserve">Metadata only, while CR-19 (prompt content not logged by default) holds</w:t>
            </w:r>
          </w:p>
        </w:tc>
      </w:tr>
      <w:tr>
        <w:tc>
          <w:tcPr/>
          <w:p>
            <w:pPr>
              <w:pStyle w:val="Compact"/>
              <w:jc w:val="left"/>
            </w:pPr>
            <w:r>
              <w:t xml:space="preserve">Apigee analytics</w:t>
            </w:r>
          </w:p>
        </w:tc>
        <w:tc>
          <w:tcPr/>
          <w:p>
            <w:pPr>
              <w:pStyle w:val="Compact"/>
              <w:jc w:val="left"/>
            </w:pPr>
            <w:r>
              <w:t xml:space="preserve">Internal</w:t>
            </w:r>
          </w:p>
        </w:tc>
        <w:tc>
          <w:tcPr/>
          <w:p>
            <w:pPr>
              <w:pStyle w:val="Compact"/>
              <w:jc w:val="left"/>
            </w:pPr>
            <w:r>
              <w:t xml:space="preserve">Held in the Apigee control plane, in the EU analytics region</w:t>
            </w:r>
          </w:p>
        </w:tc>
      </w:tr>
      <w:tr>
        <w:tc>
          <w:tcPr/>
          <w:p>
            <w:pPr>
              <w:pStyle w:val="Compact"/>
              <w:jc w:val="left"/>
            </w:pPr>
            <w:r>
              <w:t xml:space="preserve">Semantic cache</w:t>
            </w:r>
          </w:p>
        </w:tc>
        <w:tc>
          <w:tcPr/>
          <w:p>
            <w:pPr>
              <w:pStyle w:val="Compact"/>
              <w:jc w:val="left"/>
            </w:pPr>
            <w:r>
              <w:t xml:space="preserve">Would be confidential / personal data</w:t>
            </w:r>
          </w:p>
        </w:tc>
        <w:tc>
          <w:tcPr/>
          <w:p>
            <w:pPr>
              <w:pStyle w:val="Compact"/>
              <w:jc w:val="left"/>
            </w:pPr>
            <w:r>
              <w:t xml:space="preserve">Not built. If enabled it is a data store subject to these rules, per</w:t>
            </w:r>
            <w:r>
              <w:t xml:space="preserve"> </w:t>
            </w:r>
            <w:r>
              <w:rPr>
                <w:b/>
                <w:bCs/>
              </w:rPr>
              <w:t xml:space="preserve">Semantic caching — deferred</w:t>
            </w:r>
          </w:p>
        </w:tc>
      </w:tr>
      <w:tr>
        <w:tc>
          <w:tcPr/>
          <w:p>
            <w:pPr>
              <w:pStyle w:val="Compact"/>
              <w:jc w:val="left"/>
            </w:pPr>
            <w:r>
              <w:t xml:space="preserve">Translation tokenisation mapping table</w:t>
            </w:r>
          </w:p>
        </w:tc>
        <w:tc>
          <w:tcPr/>
          <w:p>
            <w:pPr>
              <w:pStyle w:val="Compact"/>
              <w:jc w:val="left"/>
            </w:pPr>
            <w:r>
              <w:t xml:space="preserve">Personal data — highest sensitivity</w:t>
            </w:r>
          </w:p>
        </w:tc>
        <w:tc>
          <w:tcPr/>
          <w:p>
            <w:pPr>
              <w:pStyle w:val="Compact"/>
              <w:jc w:val="left"/>
            </w:pPr>
            <w:r>
              <w:t xml:space="preserve">Treated as a credential store, per</w:t>
            </w:r>
            <w:r>
              <w:t xml:space="preserve"> </w:t>
            </w:r>
            <w:r>
              <w:rPr>
                <w:b/>
                <w:bCs/>
              </w:rPr>
              <w:t xml:space="preserve">Translation — reversible de-identification</w:t>
            </w:r>
          </w:p>
        </w:tc>
      </w:tr>
    </w:tbl>
    <w:bookmarkStart w:id="204" w:name="Xfb97039b629bc435b184b62899a26284d7669e0"/>
    <w:p>
      <w:pPr>
        <w:pStyle w:val="Heading3"/>
      </w:pPr>
      <w:r>
        <w:t xml:space="preserve">10.6.1 Privacy governance and data subject rights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Obligation</w:t>
            </w:r>
          </w:p>
        </w:tc>
        <w:tc>
          <w:tcPr>
            <w:shd w:val="clear" w:color="auto" w:fill="1F3864"/>
          </w:tcPr>
          <w:p>
            <w:pPr>
              <w:pStyle w:val="Compact"/>
              <w:jc w:val="left"/>
            </w:pPr>
            <w:r>
              <w:rPr>
                <w:b/>
                <w:color w:val="FFFFFF"/>
              </w:rPr>
              <w:t xml:space="preserve">Position</w:t>
            </w:r>
          </w:p>
        </w:tc>
        <w:tc>
          <w:tcPr>
            <w:shd w:val="clear" w:color="auto" w:fill="1F3864"/>
          </w:tcPr>
          <w:p>
            <w:pPr>
              <w:pStyle w:val="Compact"/>
              <w:jc w:val="left"/>
            </w:pPr>
            <w:r>
              <w:rPr>
                <w:b/>
                <w:color w:val="FFFFFF"/>
              </w:rPr>
              <w:t xml:space="preserve">Owner</w:t>
            </w:r>
          </w:p>
        </w:tc>
      </w:tr>
      <w:tr>
        <w:tc>
          <w:tcPr/>
          <w:p>
            <w:pPr>
              <w:pStyle w:val="Compact"/>
              <w:jc w:val="left"/>
            </w:pPr>
            <w:r>
              <w:t xml:space="preserve">Lawful basis and purpose limitation for prompt processing</w:t>
            </w:r>
          </w:p>
        </w:tc>
        <w:tc>
          <w:tcPr/>
          <w:p>
            <w:pPr>
              <w:pStyle w:val="Compact"/>
              <w:jc w:val="left"/>
            </w:pPr>
            <w:r>
              <w:t xml:space="preserve">Metadata-only logging by default. Prompt-content logging requires a stated purpose and retention period, signed off before it is enabled</w:t>
            </w:r>
          </w:p>
        </w:tc>
        <w:tc>
          <w:tcPr/>
          <w:p>
            <w:pPr>
              <w:pStyle w:val="Compact"/>
              <w:jc w:val="left"/>
            </w:pPr>
            <w:r>
              <w:t xml:space="preserve">Colt Data Protection, coordinated by the Colt Cloud CoE</w:t>
            </w:r>
          </w:p>
        </w:tc>
      </w:tr>
      <w:tr>
        <w:tc>
          <w:tcPr/>
          <w:p>
            <w:pPr>
              <w:pStyle w:val="Compact"/>
              <w:jc w:val="left"/>
            </w:pPr>
            <w:r>
              <w:t xml:space="preserve">Data minimisation</w:t>
            </w:r>
          </w:p>
        </w:tc>
        <w:tc>
          <w:tcPr/>
          <w:p>
            <w:pPr>
              <w:pStyle w:val="Compact"/>
              <w:jc w:val="left"/>
            </w:pPr>
            <w:r>
              <w:t xml:space="preserve">The session document is kept small by design; job payloads carry an identifier rather than content</w:t>
            </w:r>
          </w:p>
        </w:tc>
        <w:tc>
          <w:tcPr/>
          <w:p>
            <w:pPr>
              <w:pStyle w:val="Compact"/>
              <w:jc w:val="left"/>
            </w:pPr>
            <w:r>
              <w:t xml:space="preserve">AICOE Platform Team</w:t>
            </w:r>
          </w:p>
        </w:tc>
      </w:tr>
      <w:tr>
        <w:tc>
          <w:tcPr/>
          <w:p>
            <w:pPr>
              <w:pStyle w:val="Compact"/>
              <w:jc w:val="left"/>
            </w:pPr>
            <w:r>
              <w:t xml:space="preserve">Residency</w:t>
            </w:r>
          </w:p>
        </w:tc>
        <w:tc>
          <w:tcPr/>
          <w:p>
            <w:pPr>
              <w:pStyle w:val="Compact"/>
              <w:jc w:val="left"/>
            </w:pPr>
            <w:r>
              <w:rPr>
                <w:rStyle w:val="VerbatimChar"/>
              </w:rPr>
              <w:t xml:space="preserve">europe-west1</w:t>
            </w:r>
            <w:r>
              <w:t xml:space="preserve"> </w:t>
            </w:r>
            <w:r>
              <w:t xml:space="preserve">pinning, manual Secret Manager replication, EU Apigee analytics region, per CR-01 (EU data residency)</w:t>
            </w:r>
          </w:p>
        </w:tc>
        <w:tc>
          <w:tcPr/>
          <w:p>
            <w:pPr>
              <w:pStyle w:val="Compact"/>
              <w:jc w:val="left"/>
            </w:pPr>
            <w:r>
              <w:t xml:space="preserve">AICOE Platform Team</w:t>
            </w:r>
          </w:p>
        </w:tc>
      </w:tr>
      <w:tr>
        <w:tc>
          <w:tcPr/>
          <w:p>
            <w:pPr>
              <w:pStyle w:val="Compact"/>
              <w:jc w:val="left"/>
            </w:pPr>
            <w:r>
              <w:t xml:space="preserve">Right to erasure</w:t>
            </w:r>
          </w:p>
        </w:tc>
        <w:tc>
          <w:tcPr/>
          <w:p>
            <w:pPr>
              <w:pStyle w:val="Compact"/>
              <w:jc w:val="left"/>
            </w:pPr>
            <w:r>
              <w:t xml:space="preserve">Accepted with a stated limitation, below</w:t>
            </w:r>
          </w:p>
        </w:tc>
        <w:tc>
          <w:tcPr/>
          <w:p>
            <w:pPr>
              <w:pStyle w:val="Compact"/>
              <w:jc w:val="left"/>
            </w:pPr>
            <w:r>
              <w:t xml:space="preserve">Colt Data Protection</w:t>
            </w:r>
          </w:p>
        </w:tc>
      </w:tr>
      <w:tr>
        <w:tc>
          <w:tcPr/>
          <w:p>
            <w:pPr>
              <w:pStyle w:val="Compact"/>
              <w:jc w:val="left"/>
            </w:pPr>
            <w:r>
              <w:t xml:space="preserve">Retention</w:t>
            </w:r>
          </w:p>
        </w:tc>
        <w:tc>
          <w:tcPr/>
          <w:p>
            <w:pPr>
              <w:pStyle w:val="Compact"/>
              <w:jc w:val="left"/>
            </w:pPr>
            <w:r>
              <w:t xml:space="preserve">400 days platform-wide; Firestore sessions 8 hours absolute; Apigee analytics per the control plane’s own retention</w:t>
            </w:r>
          </w:p>
        </w:tc>
        <w:tc>
          <w:tcPr/>
          <w:p>
            <w:pPr>
              <w:pStyle w:val="Compact"/>
              <w:jc w:val="left"/>
            </w:pPr>
            <w:r>
              <w:t xml:space="preserve">AICOE Platform Team</w:t>
            </w:r>
          </w:p>
        </w:tc>
      </w:tr>
      <w:tr>
        <w:tc>
          <w:tcPr/>
          <w:p>
            <w:pPr>
              <w:pStyle w:val="Compact"/>
              <w:jc w:val="left"/>
            </w:pPr>
            <w:r>
              <w:t xml:space="preserve">Personal data detection</w:t>
            </w:r>
          </w:p>
        </w:tc>
        <w:tc>
          <w:tcPr/>
          <w:p>
            <w:pPr>
              <w:pStyle w:val="Compact"/>
              <w:jc w:val="left"/>
            </w:pPr>
            <w:r>
              <w:t xml:space="preserve">Sensitive Data Protection inspection templates behind Model Armor’s sensitive-data filter</w:t>
            </w:r>
          </w:p>
        </w:tc>
        <w:tc>
          <w:tcPr/>
          <w:p>
            <w:pPr>
              <w:pStyle w:val="Compact"/>
              <w:jc w:val="left"/>
            </w:pPr>
            <w:r>
              <w:t xml:space="preserve">AICOE Platform Team</w:t>
            </w:r>
          </w:p>
        </w:tc>
      </w:tr>
    </w:tbl>
    <w:p>
      <w:pPr>
        <w:pStyle w:val="BodyText"/>
      </w:pPr>
      <w:r>
        <w:rPr>
          <w:b/>
          <w:bCs/>
        </w:rPr>
        <w:t xml:space="preserve">Right to erasure — stated limitation.</w:t>
      </w:r>
      <w:r>
        <w:t xml:space="preserve"> </w:t>
      </w:r>
      <w:r>
        <w:t xml:space="preserve">Prompt content may exist in Apigee analytics, the session store, job records, BigQuery and a 400-day log bucket, and not all of these support selective deletion. The platform’s position is that erasure obligations are satisfiable only while logging remains metadata-only. This position is conditional on CR-19 (prompt content not logged by default) continuing to hold; if prompt-content logging is enabled, the position must be reassessed before that change is made. The dependency is carried in</w:t>
      </w:r>
      <w:r>
        <w:t xml:space="preserve"> </w:t>
      </w:r>
      <w:r>
        <w:rPr>
          <w:b/>
          <w:bCs/>
        </w:rPr>
        <w:t xml:space="preserve">Risk Register</w:t>
      </w:r>
      <w:r>
        <w:t xml:space="preserve"> </w:t>
      </w:r>
      <w:r>
        <w:t xml:space="preserve">and requires explicit sign-off by Colt Data Protection rather than acceptance by omission.</w:t>
      </w:r>
    </w:p>
    <w:bookmarkEnd w:id="204"/>
    <w:bookmarkEnd w:id="205"/>
    <w:bookmarkStart w:id="206" w:name="secrets-management-and-rotation"/>
    <w:p>
      <w:pPr>
        <w:pStyle w:val="Heading2"/>
      </w:pPr>
      <w:r>
        <w:t xml:space="preserve">10.7 Secrets management and rotation</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Detail</w:t>
            </w:r>
          </w:p>
        </w:tc>
      </w:tr>
      <w:tr>
        <w:tc>
          <w:tcPr/>
          <w:p>
            <w:pPr>
              <w:pStyle w:val="Compact"/>
              <w:jc w:val="left"/>
            </w:pPr>
            <w:r>
              <w:t xml:space="preserve">Storage</w:t>
            </w:r>
          </w:p>
        </w:tc>
        <w:tc>
          <w:tcPr/>
          <w:p>
            <w:pPr>
              <w:pStyle w:val="Compact"/>
              <w:jc w:val="left"/>
            </w:pPr>
            <w:r>
              <w:t xml:space="preserve">Secret Manager only. Never in code, in environment variable values, or in configuration files</w:t>
            </w:r>
          </w:p>
        </w:tc>
      </w:tr>
      <w:tr>
        <w:tc>
          <w:tcPr/>
          <w:p>
            <w:pPr>
              <w:pStyle w:val="Compact"/>
              <w:jc w:val="left"/>
            </w:pPr>
            <w:r>
              <w:t xml:space="preserve">Encryption</w:t>
            </w:r>
          </w:p>
        </w:tc>
        <w:tc>
          <w:tcPr/>
          <w:p>
            <w:pPr>
              <w:pStyle w:val="Compact"/>
              <w:jc w:val="left"/>
            </w:pPr>
            <w:r>
              <w:t xml:space="preserve">CMEK, the</w:t>
            </w:r>
            <w:r>
              <w:t xml:space="preserve"> </w:t>
            </w:r>
            <w:r>
              <w:rPr>
                <w:rStyle w:val="VerbatimChar"/>
              </w:rPr>
              <w:t xml:space="preserve">secrets</w:t>
            </w:r>
            <w:r>
              <w:t xml:space="preserve"> </w:t>
            </w:r>
            <w:r>
              <w:t xml:space="preserve">key</w:t>
            </w:r>
          </w:p>
        </w:tc>
      </w:tr>
      <w:tr>
        <w:tc>
          <w:tcPr/>
          <w:p>
            <w:pPr>
              <w:pStyle w:val="Compact"/>
              <w:jc w:val="left"/>
            </w:pPr>
            <w:r>
              <w:t xml:space="preserve">Replication</w:t>
            </w:r>
          </w:p>
        </w:tc>
        <w:tc>
          <w:tcPr/>
          <w:p>
            <w:pPr>
              <w:pStyle w:val="Compact"/>
              <w:jc w:val="left"/>
            </w:pPr>
            <w:r>
              <w:t xml:space="preserve">Manual,</w:t>
            </w:r>
            <w:r>
              <w:t xml:space="preserve"> </w:t>
            </w:r>
            <w:r>
              <w:rPr>
                <w:rStyle w:val="VerbatimChar"/>
              </w:rPr>
              <w:t xml:space="preserve">europe-west1</w:t>
            </w:r>
            <w:r>
              <w:t xml:space="preserve">, per CR-03 (Secret Manager manual replication)</w:t>
            </w:r>
          </w:p>
        </w:tc>
      </w:tr>
      <w:tr>
        <w:tc>
          <w:tcPr/>
          <w:p>
            <w:pPr>
              <w:pStyle w:val="Compact"/>
              <w:jc w:val="left"/>
            </w:pPr>
            <w:r>
              <w:t xml:space="preserve">Access</w:t>
            </w:r>
          </w:p>
        </w:tc>
        <w:tc>
          <w:tcPr/>
          <w:p>
            <w:pPr>
              <w:pStyle w:val="Compact"/>
              <w:jc w:val="left"/>
            </w:pPr>
            <w:r>
              <w:t xml:space="preserve">Secret Accessor granted per secret, to the single service account that requires it</w:t>
            </w:r>
          </w:p>
        </w:tc>
      </w:tr>
      <w:tr>
        <w:tc>
          <w:tcPr/>
          <w:p>
            <w:pPr>
              <w:pStyle w:val="Compact"/>
              <w:jc w:val="left"/>
            </w:pPr>
            <w:r>
              <w:t xml:space="preserve">Audit</w:t>
            </w:r>
          </w:p>
        </w:tc>
        <w:tc>
          <w:tcPr/>
          <w:p>
            <w:pPr>
              <w:pStyle w:val="Compact"/>
              <w:jc w:val="left"/>
            </w:pPr>
            <w:r>
              <w:t xml:space="preserve">Secret Manager Data Access audit logs enabled at folder level, per CR-06 (Data Access audit logs enabled)</w:t>
            </w:r>
          </w:p>
        </w:tc>
      </w:tr>
    </w:tbl>
    <w:p/>
    <w:tbl>
      <w:tblPr>
        <w:tblStyle w:val="TableGrid"/>
        <w:tblW w:type="pct" w:w="5000"/>
        <w:jc w:val="start"/>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1F3864"/>
          </w:tcPr>
          <w:p>
            <w:pPr>
              <w:pStyle w:val="Compact"/>
              <w:jc w:val="left"/>
            </w:pPr>
            <w:r>
              <w:rPr>
                <w:b/>
                <w:color w:val="FFFFFF"/>
              </w:rPr>
              <w:t xml:space="preserve">Secret class</w:t>
            </w:r>
          </w:p>
        </w:tc>
        <w:tc>
          <w:tcPr>
            <w:shd w:val="clear" w:color="auto" w:fill="1F3864"/>
          </w:tcPr>
          <w:p>
            <w:pPr>
              <w:pStyle w:val="Compact"/>
              <w:jc w:val="left"/>
            </w:pPr>
            <w:r>
              <w:rPr>
                <w:b/>
                <w:color w:val="FFFFFF"/>
              </w:rPr>
              <w:t xml:space="preserve">Secrets</w:t>
            </w:r>
          </w:p>
        </w:tc>
        <w:tc>
          <w:tcPr>
            <w:shd w:val="clear" w:color="auto" w:fill="1F3864"/>
          </w:tcPr>
          <w:p>
            <w:pPr>
              <w:pStyle w:val="Compact"/>
              <w:jc w:val="left"/>
            </w:pPr>
            <w:r>
              <w:rPr>
                <w:b/>
                <w:color w:val="FFFFFF"/>
              </w:rPr>
              <w:t xml:space="preserve">Cadence</w:t>
            </w:r>
          </w:p>
        </w:tc>
        <w:tc>
          <w:tcPr>
            <w:shd w:val="clear" w:color="auto" w:fill="1F3864"/>
          </w:tcPr>
          <w:p>
            <w:pPr>
              <w:pStyle w:val="Compact"/>
              <w:jc w:val="left"/>
            </w:pPr>
            <w:r>
              <w:rPr>
                <w:b/>
                <w:color w:val="FFFFFF"/>
              </w:rPr>
              <w:t xml:space="preserve">Rotation trigger</w:t>
            </w:r>
          </w:p>
        </w:tc>
        <w:tc>
          <w:tcPr>
            <w:shd w:val="clear" w:color="auto" w:fill="1F3864"/>
          </w:tcPr>
          <w:p>
            <w:pPr>
              <w:pStyle w:val="Compact"/>
              <w:jc w:val="left"/>
            </w:pPr>
            <w:r>
              <w:rPr>
                <w:b/>
                <w:color w:val="FFFFFF"/>
              </w:rPr>
              <w:t xml:space="preserve">Executed by</w:t>
            </w:r>
          </w:p>
        </w:tc>
        <w:tc>
          <w:tcPr>
            <w:shd w:val="clear" w:color="auto" w:fill="1F3864"/>
          </w:tcPr>
          <w:p>
            <w:pPr>
              <w:pStyle w:val="Compact"/>
              <w:jc w:val="left"/>
            </w:pPr>
            <w:r>
              <w:rPr>
                <w:b/>
                <w:color w:val="FFFFFF"/>
              </w:rPr>
              <w:t xml:space="preserve">Method</w:t>
            </w:r>
          </w:p>
        </w:tc>
      </w:tr>
      <w:tr>
        <w:tc>
          <w:tcPr/>
          <w:p>
            <w:pPr>
              <w:pStyle w:val="Compact"/>
              <w:jc w:val="left"/>
            </w:pPr>
            <w:r>
              <w:t xml:space="preserve">TLS certificates</w:t>
            </w:r>
          </w:p>
        </w:tc>
        <w:tc>
          <w:tcPr/>
          <w:p>
            <w:pPr>
              <w:pStyle w:val="Compact"/>
              <w:jc w:val="left"/>
            </w:pPr>
            <w:r>
              <w:rPr>
                <w:rStyle w:val="VerbatimChar"/>
              </w:rPr>
              <w:t xml:space="preserve">aihub-tls-cert</w:t>
            </w:r>
            <w:r>
              <w:t xml:space="preserve">,</w:t>
            </w:r>
            <w:r>
              <w:t xml:space="preserve"> </w:t>
            </w:r>
            <w:r>
              <w:rPr>
                <w:rStyle w:val="VerbatimChar"/>
              </w:rPr>
              <w:t xml:space="preserve">aihub-tls-key</w:t>
            </w:r>
            <w:r>
              <w:t xml:space="preserve">, the Sandbox load balancer certificates and the Apigee environment group certificates</w:t>
            </w:r>
          </w:p>
        </w:tc>
        <w:tc>
          <w:tcPr/>
          <w:p>
            <w:pPr>
              <w:pStyle w:val="Compact"/>
              <w:jc w:val="left"/>
            </w:pPr>
            <w:r>
              <w:t xml:space="preserve">Per certificate authority validity</w:t>
            </w:r>
          </w:p>
        </w:tc>
        <w:tc>
          <w:tcPr/>
          <w:p>
            <w:pPr>
              <w:pStyle w:val="Compact"/>
              <w:jc w:val="left"/>
            </w:pPr>
            <w:r>
              <w:t xml:space="preserve">30-day expiry alert</w:t>
            </w:r>
          </w:p>
        </w:tc>
        <w:tc>
          <w:tcPr/>
          <w:p>
            <w:pPr>
              <w:pStyle w:val="Compact"/>
              <w:jc w:val="left"/>
            </w:pPr>
            <w:r>
              <w:t xml:space="preserve">AICOE Platform Team, passing to Platform Operate at handover</w:t>
            </w:r>
          </w:p>
        </w:tc>
        <w:tc>
          <w:tcPr/>
          <w:p>
            <w:pPr>
              <w:pStyle w:val="Compact"/>
              <w:jc w:val="left"/>
            </w:pPr>
            <w:r>
              <w:t xml:space="preserve">Automated DNS-01 renewal, per gate P4 (public DNS zone control and named certificate owner)</w:t>
            </w:r>
          </w:p>
        </w:tc>
      </w:tr>
      <w:tr>
        <w:tc>
          <w:tcPr/>
          <w:p>
            <w:pPr>
              <w:pStyle w:val="Compact"/>
              <w:jc w:val="left"/>
            </w:pPr>
            <w:r>
              <w:t xml:space="preserve">Entra client credential</w:t>
            </w:r>
          </w:p>
        </w:tc>
        <w:tc>
          <w:tcPr/>
          <w:p>
            <w:pPr>
              <w:pStyle w:val="Compact"/>
              <w:jc w:val="left"/>
            </w:pPr>
            <w:r>
              <w:rPr>
                <w:rStyle w:val="VerbatimChar"/>
              </w:rPr>
              <w:t xml:space="preserve">entra-bff-client-secret</w:t>
            </w:r>
          </w:p>
        </w:tc>
        <w:tc>
          <w:tcPr/>
          <w:p>
            <w:pPr>
              <w:pStyle w:val="Compact"/>
              <w:jc w:val="left"/>
            </w:pPr>
            <w:r>
              <w:t xml:space="preserve">Per Entra policy</w:t>
            </w:r>
          </w:p>
        </w:tc>
        <w:tc>
          <w:tcPr/>
          <w:p>
            <w:pPr>
              <w:pStyle w:val="Compact"/>
              <w:jc w:val="left"/>
            </w:pPr>
            <w:r>
              <w:t xml:space="preserve">Expiry alert. A certificate is preferred, to remove the expiry condition entirely</w:t>
            </w:r>
          </w:p>
        </w:tc>
        <w:tc>
          <w:tcPr/>
          <w:p>
            <w:pPr>
              <w:pStyle w:val="Compact"/>
              <w:jc w:val="left"/>
            </w:pPr>
            <w:r>
              <w:t xml:space="preserve">Colt identity function with the AICOE Platform Team</w:t>
            </w:r>
          </w:p>
        </w:tc>
        <w:tc>
          <w:tcPr/>
          <w:p>
            <w:pPr>
              <w:pStyle w:val="Compact"/>
              <w:jc w:val="left"/>
            </w:pPr>
            <w:r>
              <w:t xml:space="preserve">Rotate at Entra, then add a new secret version</w:t>
            </w:r>
          </w:p>
        </w:tc>
      </w:tr>
      <w:tr>
        <w:tc>
          <w:tcPr/>
          <w:p>
            <w:pPr>
              <w:pStyle w:val="Compact"/>
              <w:jc w:val="left"/>
            </w:pPr>
            <w:r>
              <w:t xml:space="preserve">Apigee consumer credentials</w:t>
            </w:r>
          </w:p>
        </w:tc>
        <w:tc>
          <w:tcPr/>
          <w:p>
            <w:pPr>
              <w:pStyle w:val="Compact"/>
              <w:jc w:val="left"/>
            </w:pPr>
            <w:r>
              <w:rPr>
                <w:rStyle w:val="VerbatimChar"/>
              </w:rPr>
              <w:t xml:space="preserve">apigee-consumer-credentials</w:t>
            </w:r>
            <w:r>
              <w:t xml:space="preserve">,</w:t>
            </w:r>
            <w:r>
              <w:t xml:space="preserve"> </w:t>
            </w:r>
            <w:r>
              <w:rPr>
                <w:rStyle w:val="VerbatimChar"/>
              </w:rPr>
              <w:t xml:space="preserve">apigee-bff-client-key</w:t>
            </w:r>
          </w:p>
        </w:tc>
        <w:tc>
          <w:tcPr/>
          <w:p>
            <w:pPr>
              <w:pStyle w:val="Compact"/>
              <w:jc w:val="left"/>
            </w:pPr>
            <w:r>
              <w:t xml:space="preserve">Periodic</w:t>
            </w:r>
          </w:p>
        </w:tc>
        <w:tc>
          <w:tcPr/>
          <w:p>
            <w:pPr>
              <w:pStyle w:val="Compact"/>
              <w:jc w:val="left"/>
            </w:pPr>
            <w:r>
              <w:t xml:space="preserve">Compromise, or a developer app change</w:t>
            </w:r>
          </w:p>
        </w:tc>
        <w:tc>
          <w:tcPr/>
          <w:p>
            <w:pPr>
              <w:pStyle w:val="Compact"/>
              <w:jc w:val="left"/>
            </w:pPr>
            <w:r>
              <w:t xml:space="preserve">AICOE Platform Team</w:t>
            </w:r>
          </w:p>
        </w:tc>
        <w:tc>
          <w:tcPr/>
          <w:p>
            <w:pPr>
              <w:pStyle w:val="Compact"/>
              <w:jc w:val="left"/>
            </w:pPr>
            <w:r>
              <w:t xml:space="preserve">Regenerate the developer app key, add a new secret version, then revoke the previous one</w:t>
            </w:r>
          </w:p>
        </w:tc>
      </w:tr>
      <w:tr>
        <w:tc>
          <w:tcPr/>
          <w:p>
            <w:pPr>
              <w:pStyle w:val="Compact"/>
              <w:jc w:val="left"/>
            </w:pPr>
            <w:r>
              <w:t xml:space="preserve">KMS keys</w:t>
            </w:r>
          </w:p>
        </w:tc>
        <w:tc>
          <w:tcPr/>
          <w:p>
            <w:pPr>
              <w:pStyle w:val="Compact"/>
              <w:jc w:val="left"/>
            </w:pPr>
            <w:r>
              <w:t xml:space="preserve">All symmetric keys in the CMEK map</w:t>
            </w:r>
          </w:p>
        </w:tc>
        <w:tc>
          <w:tcPr/>
          <w:p>
            <w:pPr>
              <w:pStyle w:val="Compact"/>
              <w:jc w:val="left"/>
            </w:pPr>
            <w:r>
              <w:t xml:space="preserve">90 days, automatic</w:t>
            </w:r>
          </w:p>
        </w:tc>
        <w:tc>
          <w:tcPr/>
          <w:p>
            <w:pPr>
              <w:pStyle w:val="Compact"/>
              <w:jc w:val="left"/>
            </w:pPr>
            <w:r>
              <w:t xml:space="preserve">Scheduled</w:t>
            </w:r>
          </w:p>
        </w:tc>
        <w:tc>
          <w:tcPr/>
          <w:p>
            <w:pPr>
              <w:pStyle w:val="Compact"/>
              <w:jc w:val="left"/>
            </w:pPr>
            <w:r>
              <w:t xml:space="preserve">Cloud KMS</w:t>
            </w:r>
          </w:p>
        </w:tc>
        <w:tc>
          <w:tcPr/>
          <w:p>
            <w:pPr>
              <w:pStyle w:val="Compact"/>
              <w:jc w:val="left"/>
            </w:pPr>
            <w:r>
              <w:t xml:space="preserve">Automatic rotation. A key in use is never deleted</w:t>
            </w:r>
          </w:p>
        </w:tc>
      </w:tr>
      <w:tr>
        <w:tc>
          <w:tcPr/>
          <w:p>
            <w:pPr>
              <w:pStyle w:val="Compact"/>
              <w:jc w:val="left"/>
            </w:pPr>
            <w:r>
              <w:t xml:space="preserve">Attestor signing key</w:t>
            </w:r>
          </w:p>
        </w:tc>
        <w:tc>
          <w:tcPr/>
          <w:p>
            <w:pPr>
              <w:pStyle w:val="Compact"/>
              <w:jc w:val="left"/>
            </w:pPr>
            <w:r>
              <w:rPr>
                <w:rStyle w:val="VerbatimChar"/>
              </w:rPr>
              <w:t xml:space="preserve">attestor-signing</w:t>
            </w:r>
          </w:p>
        </w:tc>
        <w:tc>
          <w:tcPr/>
          <w:p>
            <w:pPr>
              <w:pStyle w:val="Compact"/>
              <w:jc w:val="left"/>
            </w:pPr>
            <w:r>
              <w:t xml:space="preserve">Manual</w:t>
            </w:r>
          </w:p>
        </w:tc>
        <w:tc>
          <w:tcPr/>
          <w:p>
            <w:pPr>
              <w:pStyle w:val="Compact"/>
              <w:jc w:val="left"/>
            </w:pPr>
            <w:r>
              <w:t xml:space="preserve">Compromise</w:t>
            </w:r>
          </w:p>
        </w:tc>
        <w:tc>
          <w:tcPr/>
          <w:p>
            <w:pPr>
              <w:pStyle w:val="Compact"/>
              <w:jc w:val="left"/>
            </w:pPr>
            <w:r>
              <w:t xml:space="preserve">AICOE Platform Team</w:t>
            </w:r>
          </w:p>
        </w:tc>
        <w:tc>
          <w:tcPr/>
          <w:p>
            <w:pPr>
              <w:pStyle w:val="Compact"/>
              <w:jc w:val="left"/>
            </w:pPr>
            <w:r>
              <w:t xml:space="preserve">New key version, attestor updated, images re-signed</w:t>
            </w:r>
          </w:p>
        </w:tc>
      </w:tr>
      <w:tr>
        <w:tc>
          <w:tcPr/>
          <w:p>
            <w:pPr>
              <w:pStyle w:val="Compact"/>
              <w:jc w:val="left"/>
            </w:pPr>
            <w:r>
              <w:t xml:space="preserve">Session data encryption key</w:t>
            </w:r>
          </w:p>
        </w:tc>
        <w:tc>
          <w:tcPr/>
          <w:p>
            <w:pPr>
              <w:pStyle w:val="Compact"/>
              <w:jc w:val="left"/>
            </w:pPr>
            <w:r>
              <w:t xml:space="preserve">Wrapped by the AI Hub ring key</w:t>
            </w:r>
          </w:p>
        </w:tc>
        <w:tc>
          <w:tcPr/>
          <w:p>
            <w:pPr>
              <w:pStyle w:val="Compact"/>
              <w:jc w:val="left"/>
            </w:pPr>
            <w:r>
              <w:t xml:space="preserve">Scheduled</w:t>
            </w:r>
          </w:p>
        </w:tc>
        <w:tc>
          <w:tcPr/>
          <w:p>
            <w:pPr>
              <w:pStyle w:val="Compact"/>
              <w:jc w:val="left"/>
            </w:pPr>
            <w:r>
              <w:t xml:space="preserve">Per</w:t>
            </w:r>
            <w:r>
              <w:t xml:space="preserve"> </w:t>
            </w:r>
            <w:r>
              <w:rPr>
                <w:b/>
                <w:bCs/>
              </w:rPr>
              <w:t xml:space="preserve">Envelope encryption — implementation constraint</w:t>
            </w:r>
          </w:p>
        </w:tc>
        <w:tc>
          <w:tcPr/>
          <w:p>
            <w:pPr>
              <w:pStyle w:val="Compact"/>
              <w:jc w:val="left"/>
            </w:pPr>
            <w:r>
              <w:t xml:space="preserve">The Backend-for-Frontend, at instance start</w:t>
            </w:r>
          </w:p>
        </w:tc>
        <w:tc>
          <w:tcPr/>
          <w:p>
            <w:pPr>
              <w:pStyle w:val="Compact"/>
              <w:jc w:val="left"/>
            </w:pPr>
            <w:r>
              <w:t xml:space="preserve">Cached in the instance; never a KMS call per request</w:t>
            </w:r>
          </w:p>
        </w:tc>
      </w:tr>
    </w:tbl>
    <w:p>
      <w:pPr>
        <w:pStyle w:val="BodyText"/>
      </w:pPr>
      <w:r>
        <w:t xml:space="preserve">Expiry monitoring is a control in its own right. Every secret carries a named owner in its labels, and the certificate expiry alert fires 30 days ahead on both the load balancer and the Apigee environment group certificates. An expired certificate on this platform is a total outage.</w:t>
      </w:r>
    </w:p>
    <w:p>
      <w:pPr>
        <w:pStyle w:val="BodyText"/>
      </w:pPr>
      <w:r>
        <w:t xml:space="preserve">Emergency rotation follows the phased response in</w:t>
      </w:r>
      <w:r>
        <w:t xml:space="preserve"> </w:t>
      </w:r>
      <w:r>
        <w:rPr>
          <w:b/>
          <w:bCs/>
        </w:rPr>
        <w:t xml:space="preserve">Emergency termination — kill switch</w:t>
      </w:r>
      <w:r>
        <w:t xml:space="preserve">.</w:t>
      </w:r>
    </w:p>
    <w:bookmarkEnd w:id="206"/>
    <w:bookmarkStart w:id="207" w:name="compute-hardening-vertex-ai-workbench"/>
    <w:p>
      <w:pPr>
        <w:pStyle w:val="Heading2"/>
      </w:pPr>
      <w:r>
        <w:t xml:space="preserve">10.8 Compute hardening — Vertex AI Workbench</w:t>
      </w:r>
    </w:p>
    <w:p>
      <w:pPr>
        <w:pStyle w:val="FirstParagraph"/>
      </w:pPr>
      <w:r>
        <w:t xml:space="preserve">Applies to Sandbox only. The Workbench is the platform’s only interactive compute surface and therefore its largest host-level attack surface. G10 (hardened interactive compute) requires the default exposures to be removed and remote access pinned to IAP alone.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Rationale</w:t>
            </w:r>
          </w:p>
        </w:tc>
      </w:tr>
      <w:tr>
        <w:tc>
          <w:tcPr/>
          <w:p>
            <w:pPr>
              <w:pStyle w:val="Compact"/>
              <w:jc w:val="left"/>
            </w:pPr>
            <w:r>
              <w:t xml:space="preserve">Public IP address</w:t>
            </w:r>
          </w:p>
        </w:tc>
        <w:tc>
          <w:tcPr/>
          <w:p>
            <w:pPr>
              <w:pStyle w:val="Compact"/>
              <w:jc w:val="left"/>
            </w:pPr>
            <w:r>
              <w:rPr>
                <w:rStyle w:val="VerbatimChar"/>
              </w:rPr>
              <w:t xml:space="preserve">disable_public_ip = true</w:t>
            </w:r>
          </w:p>
        </w:tc>
        <w:tc>
          <w:tcPr/>
          <w:p>
            <w:pPr>
              <w:pStyle w:val="Compact"/>
              <w:jc w:val="left"/>
            </w:pPr>
            <w:r>
              <w:t xml:space="preserve">Removes the notebook from the internet-reachable surface, forcing all access through IAP</w:t>
            </w:r>
          </w:p>
        </w:tc>
      </w:tr>
      <w:tr>
        <w:tc>
          <w:tcPr/>
          <w:p>
            <w:pPr>
              <w:pStyle w:val="Compact"/>
              <w:jc w:val="left"/>
            </w:pPr>
            <w:r>
              <w:t xml:space="preserve">Shielded VM — vTPM</w:t>
            </w:r>
          </w:p>
        </w:tc>
        <w:tc>
          <w:tcPr/>
          <w:p>
            <w:pPr>
              <w:pStyle w:val="Compact"/>
              <w:jc w:val="left"/>
            </w:pPr>
            <w:r>
              <w:t xml:space="preserve">Enabled</w:t>
            </w:r>
          </w:p>
        </w:tc>
        <w:tc>
          <w:tcPr/>
          <w:p>
            <w:pPr>
              <w:pStyle w:val="Compact"/>
              <w:jc w:val="left"/>
            </w:pPr>
            <w:r>
              <w:t xml:space="preserve">Anchors measured boot and protects against tampering with boot integrity</w:t>
            </w:r>
          </w:p>
        </w:tc>
      </w:tr>
      <w:tr>
        <w:tc>
          <w:tcPr/>
          <w:p>
            <w:pPr>
              <w:pStyle w:val="Compact"/>
              <w:jc w:val="left"/>
            </w:pPr>
            <w:r>
              <w:t xml:space="preserve">Shielded VM — Secure Boot</w:t>
            </w:r>
          </w:p>
        </w:tc>
        <w:tc>
          <w:tcPr/>
          <w:p>
            <w:pPr>
              <w:pStyle w:val="Compact"/>
              <w:jc w:val="left"/>
            </w:pPr>
            <w:r>
              <w:t xml:space="preserve">Enabled</w:t>
            </w:r>
          </w:p>
        </w:tc>
        <w:tc>
          <w:tcPr/>
          <w:p>
            <w:pPr>
              <w:pStyle w:val="Compact"/>
              <w:jc w:val="left"/>
            </w:pPr>
            <w:r>
              <w:t xml:space="preserve">Only signed, verified boot components load, blocking bootkit and rootkit persistence</w:t>
            </w:r>
          </w:p>
        </w:tc>
      </w:tr>
      <w:tr>
        <w:tc>
          <w:tcPr/>
          <w:p>
            <w:pPr>
              <w:pStyle w:val="Compact"/>
              <w:jc w:val="left"/>
            </w:pPr>
            <w:r>
              <w:t xml:space="preserve">Shielded VM — Integrity Monitoring</w:t>
            </w:r>
          </w:p>
        </w:tc>
        <w:tc>
          <w:tcPr/>
          <w:p>
            <w:pPr>
              <w:pStyle w:val="Compact"/>
              <w:jc w:val="left"/>
            </w:pPr>
            <w:r>
              <w:t xml:space="preserve">Enabled</w:t>
            </w:r>
          </w:p>
        </w:tc>
        <w:tc>
          <w:tcPr/>
          <w:p>
            <w:pPr>
              <w:pStyle w:val="Compact"/>
              <w:jc w:val="left"/>
            </w:pPr>
            <w:r>
              <w:t xml:space="preserve">Provides continuous attestation, so drift from the trusted boot baseline is detected</w:t>
            </w:r>
          </w:p>
        </w:tc>
      </w:tr>
      <w:tr>
        <w:tc>
          <w:tcPr/>
          <w:p>
            <w:pPr>
              <w:pStyle w:val="Compact"/>
              <w:jc w:val="left"/>
            </w:pPr>
            <w:r>
              <w:t xml:space="preserve">OS Login</w:t>
            </w:r>
          </w:p>
        </w:tc>
        <w:tc>
          <w:tcPr/>
          <w:p>
            <w:pPr>
              <w:pStyle w:val="Compact"/>
              <w:jc w:val="left"/>
            </w:pPr>
            <w:r>
              <w:t xml:space="preserve">Disabled; access is by IAP SSH to the notebook service account identity</w:t>
            </w:r>
          </w:p>
        </w:tc>
        <w:tc>
          <w:tcPr/>
          <w:p>
            <w:pPr>
              <w:pStyle w:val="Compact"/>
              <w:jc w:val="left"/>
            </w:pPr>
            <w:r>
              <w:t xml:space="preserve">Channels access through the IAP-authenticated identity rather than SSH key management</w:t>
            </w:r>
          </w:p>
        </w:tc>
      </w:tr>
      <w:tr>
        <w:tc>
          <w:tcPr/>
          <w:p>
            <w:pPr>
              <w:pStyle w:val="Compact"/>
              <w:jc w:val="left"/>
            </w:pPr>
            <w:r>
              <w:t xml:space="preserve">Root access</w:t>
            </w:r>
          </w:p>
        </w:tc>
        <w:tc>
          <w:tcPr/>
          <w:p>
            <w:pPr>
              <w:pStyle w:val="Compact"/>
              <w:jc w:val="left"/>
            </w:pPr>
            <w:r>
              <w:t xml:space="preserve">Disabled by metadata</w:t>
            </w:r>
            <w:r>
              <w:t xml:space="preserve"> </w:t>
            </w:r>
            <w:r>
              <w:rPr>
                <w:rStyle w:val="VerbatimChar"/>
              </w:rPr>
              <w:t xml:space="preserve">notebook-disable-root = true</w:t>
            </w:r>
          </w:p>
        </w:tc>
        <w:tc>
          <w:tcPr/>
          <w:p>
            <w:pPr>
              <w:pStyle w:val="Compact"/>
              <w:jc w:val="left"/>
            </w:pPr>
            <w:r>
              <w:t xml:space="preserve">Prevents privilege escalation to the host and limits what a compromised session can reach</w:t>
            </w:r>
          </w:p>
        </w:tc>
      </w:tr>
      <w:tr>
        <w:tc>
          <w:tcPr/>
          <w:p>
            <w:pPr>
              <w:pStyle w:val="Compact"/>
              <w:jc w:val="left"/>
            </w:pPr>
            <w:r>
              <w:rPr>
                <w:rStyle w:val="VerbatimChar"/>
              </w:rPr>
              <w:t xml:space="preserve">nbconvert</w:t>
            </w:r>
          </w:p>
        </w:tc>
        <w:tc>
          <w:tcPr/>
          <w:p>
            <w:pPr>
              <w:pStyle w:val="Compact"/>
              <w:jc w:val="left"/>
            </w:pPr>
            <w:r>
              <w:t xml:space="preserve">Disabled by metadata</w:t>
            </w:r>
            <w:r>
              <w:t xml:space="preserve"> </w:t>
            </w:r>
            <w:r>
              <w:rPr>
                <w:rStyle w:val="VerbatimChar"/>
              </w:rPr>
              <w:t xml:space="preserve">notebook-disable-nbconvert = true</w:t>
            </w:r>
          </w:p>
        </w:tc>
        <w:tc>
          <w:tcPr/>
          <w:p>
            <w:pPr>
              <w:pStyle w:val="Compact"/>
              <w:jc w:val="left"/>
            </w:pPr>
            <w:r>
              <w:t xml:space="preserve">Removes a common notebook data-export path, reducing exfiltration risk</w:t>
            </w:r>
          </w:p>
        </w:tc>
      </w:tr>
      <w:tr>
        <w:tc>
          <w:tcPr/>
          <w:p>
            <w:pPr>
              <w:pStyle w:val="Compact"/>
              <w:jc w:val="left"/>
            </w:pPr>
            <w:r>
              <w:t xml:space="preserve">Inbound SSH</w:t>
            </w:r>
          </w:p>
        </w:tc>
        <w:tc>
          <w:tcPr/>
          <w:p>
            <w:pPr>
              <w:pStyle w:val="Compact"/>
              <w:jc w:val="left"/>
            </w:pPr>
            <w:r>
              <w:t xml:space="preserve">Permitted only from</w:t>
            </w:r>
            <w:r>
              <w:t xml:space="preserve"> </w:t>
            </w:r>
            <w:r>
              <w:rPr>
                <w:rStyle w:val="VerbatimChar"/>
              </w:rPr>
              <w:t xml:space="preserve">35.235.240.0/20</w:t>
            </w:r>
            <w:r>
              <w:t xml:space="preserve">, the IAP range</w:t>
            </w:r>
          </w:p>
        </w:tc>
        <w:tc>
          <w:tcPr/>
          <w:p>
            <w:pPr>
              <w:pStyle w:val="Compact"/>
              <w:jc w:val="left"/>
            </w:pPr>
            <w:r>
              <w:t xml:space="preserve">Only IAP-brokered, authenticated tunnels can reach the instance</w:t>
            </w:r>
          </w:p>
        </w:tc>
      </w:tr>
      <w:tr>
        <w:tc>
          <w:tcPr/>
          <w:p>
            <w:pPr>
              <w:pStyle w:val="Compact"/>
              <w:jc w:val="left"/>
            </w:pPr>
            <w:r>
              <w:t xml:space="preserve">Boot and data disks</w:t>
            </w:r>
          </w:p>
        </w:tc>
        <w:tc>
          <w:tcPr/>
          <w:p>
            <w:pPr>
              <w:pStyle w:val="Compact"/>
              <w:jc w:val="left"/>
            </w:pPr>
            <w:r>
              <w:t xml:space="preserve">CMEK-encrypted</w:t>
            </w:r>
          </w:p>
        </w:tc>
        <w:tc>
          <w:tcPr/>
          <w:p>
            <w:pPr>
              <w:pStyle w:val="Compact"/>
              <w:jc w:val="left"/>
            </w:pPr>
            <w:r>
              <w:t xml:space="preserve">Consistent with TR-09 (CMEK across platform data stores)</w:t>
            </w:r>
          </w:p>
        </w:tc>
      </w:tr>
    </w:tbl>
    <w:bookmarkEnd w:id="207"/>
    <w:bookmarkStart w:id="208" w:name="supply-chain-integrity"/>
    <w:p>
      <w:pPr>
        <w:pStyle w:val="Heading2"/>
      </w:pPr>
      <w:r>
        <w:t xml:space="preserve">10.9 Supply chain integrity</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Position</w:t>
            </w:r>
          </w:p>
        </w:tc>
        <w:tc>
          <w:tcPr>
            <w:shd w:val="clear" w:color="auto" w:fill="1F3864"/>
          </w:tcPr>
          <w:p>
            <w:pPr>
              <w:pStyle w:val="Compact"/>
              <w:jc w:val="left"/>
            </w:pPr>
            <w:r>
              <w:rPr>
                <w:b/>
                <w:color w:val="FFFFFF"/>
              </w:rPr>
              <w:t xml:space="preserve">Specified in</w:t>
            </w:r>
          </w:p>
        </w:tc>
      </w:tr>
      <w:tr>
        <w:tc>
          <w:tcPr/>
          <w:p>
            <w:pPr>
              <w:pStyle w:val="Compact"/>
              <w:jc w:val="left"/>
            </w:pPr>
            <w:r>
              <w:t xml:space="preserve">Signed images enforced at deploy</w:t>
            </w:r>
          </w:p>
        </w:tc>
        <w:tc>
          <w:tcPr/>
          <w:p>
            <w:pPr>
              <w:pStyle w:val="Compact"/>
              <w:jc w:val="left"/>
            </w:pPr>
            <w:r>
              <w:t xml:space="preserve">Binary Authorization in Enforce mode, attestor</w:t>
            </w:r>
            <w:r>
              <w:t xml:space="preserve"> </w:t>
            </w:r>
            <w:r>
              <w:rPr>
                <w:rStyle w:val="VerbatimChar"/>
              </w:rPr>
              <w:t xml:space="preserve">aicoe-build-attestor</w:t>
            </w:r>
            <w:r>
              <w:t xml:space="preserve">, no exempt images, per TR-16 (signed and verified container images)</w:t>
            </w:r>
          </w:p>
        </w:tc>
        <w:tc>
          <w:tcPr/>
          <w:p>
            <w:pPr>
              <w:pStyle w:val="Compact"/>
              <w:jc w:val="left"/>
            </w:pPr>
            <w:r>
              <w:rPr>
                <w:b/>
                <w:bCs/>
              </w:rPr>
              <w:t xml:space="preserve">Binary Authorization</w:t>
            </w:r>
          </w:p>
        </w:tc>
      </w:tr>
      <w:tr>
        <w:tc>
          <w:tcPr/>
          <w:p>
            <w:pPr>
              <w:pStyle w:val="Compact"/>
              <w:jc w:val="left"/>
            </w:pPr>
            <w:r>
              <w:t xml:space="preserve">Immutable image tags</w:t>
            </w:r>
          </w:p>
        </w:tc>
        <w:tc>
          <w:tcPr/>
          <w:p>
            <w:pPr>
              <w:pStyle w:val="Compact"/>
              <w:jc w:val="left"/>
            </w:pPr>
            <w:r>
              <w:t xml:space="preserve">Enabled on both Artifact Registry repositories, so a signed tag cannot be repointed</w:t>
            </w:r>
          </w:p>
        </w:tc>
        <w:tc>
          <w:tcPr/>
          <w:p>
            <w:pPr>
              <w:pStyle w:val="Compact"/>
              <w:jc w:val="left"/>
            </w:pPr>
            <w:r>
              <w:rPr>
                <w:b/>
                <w:bCs/>
              </w:rPr>
              <w:t xml:space="preserve">Artifact Registry</w:t>
            </w:r>
          </w:p>
        </w:tc>
      </w:tr>
      <w:tr>
        <w:tc>
          <w:tcPr/>
          <w:p>
            <w:pPr>
              <w:pStyle w:val="Compact"/>
              <w:jc w:val="left"/>
            </w:pPr>
            <w:r>
              <w:t xml:space="preserve">Vulnerability scanning</w:t>
            </w:r>
          </w:p>
        </w:tc>
        <w:tc>
          <w:tcPr/>
          <w:p>
            <w:pPr>
              <w:pStyle w:val="Compact"/>
              <w:jc w:val="left"/>
            </w:pPr>
            <w:r>
              <w:t xml:space="preserve">Artifact Analysis automatic scanning per project, per CR-17 (vulnerability assessment before deployment)</w:t>
            </w:r>
          </w:p>
        </w:tc>
        <w:tc>
          <w:tcPr/>
          <w:p>
            <w:pPr>
              <w:pStyle w:val="Compact"/>
              <w:jc w:val="left"/>
            </w:pPr>
            <w:r>
              <w:rPr>
                <w:b/>
                <w:bCs/>
              </w:rPr>
              <w:t xml:space="preserve">Artifact Registry</w:t>
            </w:r>
          </w:p>
        </w:tc>
      </w:tr>
      <w:tr>
        <w:tc>
          <w:tcPr/>
          <w:p>
            <w:pPr>
              <w:pStyle w:val="Compact"/>
              <w:jc w:val="left"/>
            </w:pPr>
            <w:r>
              <w:t xml:space="preserve">Pipeline scanning and gate policy</w:t>
            </w:r>
          </w:p>
        </w:tc>
        <w:tc>
          <w:tcPr/>
          <w:p>
            <w:pPr>
              <w:pStyle w:val="Compact"/>
              <w:jc w:val="left"/>
            </w:pPr>
            <w:r>
              <w:t xml:space="preserve">Source, dependency, image and infrastructure-as-code scanning with defined blocking thresholds and a bounded exception process, per CR-18 (automated security scanning)</w:t>
            </w:r>
          </w:p>
        </w:tc>
        <w:tc>
          <w:tcPr/>
          <w:p>
            <w:pPr>
              <w:pStyle w:val="Compact"/>
              <w:jc w:val="left"/>
            </w:pPr>
            <w:r>
              <w:rPr>
                <w:b/>
                <w:bCs/>
              </w:rPr>
              <w:t xml:space="preserve">DevOps — Infrastructure as Code and CI/CD</w:t>
            </w:r>
          </w:p>
        </w:tc>
      </w:tr>
      <w:tr>
        <w:tc>
          <w:tcPr/>
          <w:p>
            <w:pPr>
              <w:pStyle w:val="Compact"/>
              <w:jc w:val="left"/>
            </w:pPr>
            <w:r>
              <w:t xml:space="preserve">Software Bill of Materials</w:t>
            </w:r>
          </w:p>
        </w:tc>
        <w:tc>
          <w:tcPr/>
          <w:p>
            <w:pPr>
              <w:pStyle w:val="Compact"/>
              <w:jc w:val="left"/>
            </w:pPr>
            <w:r>
              <w:t xml:space="preserve">Generated per build and retained as release evidence</w:t>
            </w:r>
          </w:p>
        </w:tc>
        <w:tc>
          <w:tcPr/>
          <w:p>
            <w:pPr>
              <w:pStyle w:val="Compact"/>
              <w:jc w:val="left"/>
            </w:pPr>
            <w:r>
              <w:rPr>
                <w:b/>
                <w:bCs/>
              </w:rPr>
              <w:t xml:space="preserve">DevOps — Infrastructure as Code and CI/CD</w:t>
            </w:r>
          </w:p>
        </w:tc>
      </w:tr>
      <w:tr>
        <w:tc>
          <w:tcPr/>
          <w:p>
            <w:pPr>
              <w:pStyle w:val="Compact"/>
              <w:jc w:val="left"/>
            </w:pPr>
            <w:r>
              <w:t xml:space="preserve">No static credentials</w:t>
            </w:r>
          </w:p>
        </w:tc>
        <w:tc>
          <w:tcPr/>
          <w:p>
            <w:pPr>
              <w:pStyle w:val="Compact"/>
              <w:jc w:val="left"/>
            </w:pPr>
            <w:r>
              <w:rPr>
                <w:rStyle w:val="VerbatimChar"/>
              </w:rPr>
              <w:t xml:space="preserve">iam.disableServiceAccountKeyCreation</w:t>
            </w:r>
            <w:r>
              <w:t xml:space="preserve"> </w:t>
            </w:r>
            <w:r>
              <w:t xml:space="preserve">enforced; Workload Identity Federation with an attribute condition</w:t>
            </w:r>
          </w:p>
        </w:tc>
        <w:tc>
          <w:tcPr/>
          <w:p>
            <w:pPr>
              <w:pStyle w:val="Compact"/>
              <w:jc w:val="left"/>
            </w:pPr>
            <w:r>
              <w:rPr>
                <w:b/>
                <w:bCs/>
              </w:rPr>
              <w:t xml:space="preserve">Organisation policies</w:t>
            </w:r>
            <w:r>
              <w:t xml:space="preserve">,</w:t>
            </w:r>
            <w:r>
              <w:t xml:space="preserve"> </w:t>
            </w:r>
            <w:r>
              <w:rPr>
                <w:b/>
                <w:bCs/>
              </w:rPr>
              <w:t xml:space="preserve">Workload Identity Federation — GitLab CI</w:t>
            </w:r>
          </w:p>
        </w:tc>
      </w:tr>
      <w:tr>
        <w:tc>
          <w:tcPr/>
          <w:p>
            <w:pPr>
              <w:pStyle w:val="Compact"/>
              <w:jc w:val="left"/>
            </w:pPr>
            <w:r>
              <w:t xml:space="preserve">Separation of signing and deployment</w:t>
            </w:r>
          </w:p>
        </w:tc>
        <w:tc>
          <w:tcPr/>
          <w:p>
            <w:pPr>
              <w:pStyle w:val="Compact"/>
              <w:jc w:val="left"/>
            </w:pPr>
            <w:r>
              <w:t xml:space="preserve">The identity that signs an image differs from the identity that deploys it</w:t>
            </w:r>
          </w:p>
        </w:tc>
        <w:tc>
          <w:tcPr/>
          <w:p>
            <w:pPr>
              <w:pStyle w:val="Compact"/>
              <w:jc w:val="left"/>
            </w:pPr>
            <w:r>
              <w:rPr>
                <w:b/>
                <w:bCs/>
              </w:rPr>
              <w:t xml:space="preserve">Binary Authorization</w:t>
            </w:r>
          </w:p>
        </w:tc>
      </w:tr>
      <w:tr>
        <w:tc>
          <w:tcPr/>
          <w:p>
            <w:pPr>
              <w:pStyle w:val="Compact"/>
              <w:jc w:val="left"/>
            </w:pPr>
            <w:r>
              <w:t xml:space="preserve">Apigee exclusion</w:t>
            </w:r>
          </w:p>
        </w:tc>
        <w:tc>
          <w:tcPr/>
          <w:p>
            <w:pPr>
              <w:pStyle w:val="Compact"/>
              <w:jc w:val="left"/>
            </w:pPr>
            <w:r>
              <w:t xml:space="preserve">Proxy bundles have no attestation equivalent; compensated by Git-held bundles, pipeline-only deployment and an alert on human deployment</w:t>
            </w:r>
          </w:p>
        </w:tc>
        <w:tc>
          <w:tcPr/>
          <w:p>
            <w:pPr>
              <w:pStyle w:val="Compact"/>
              <w:jc w:val="left"/>
            </w:pPr>
            <w:r>
              <w:rPr>
                <w:b/>
                <w:bCs/>
              </w:rPr>
              <w:t xml:space="preserve">Apigee deployment governance</w:t>
            </w:r>
          </w:p>
        </w:tc>
      </w:tr>
    </w:tbl>
    <w:bookmarkEnd w:id="208"/>
    <w:bookmarkStart w:id="216" w:name="data-loss-prevention-and-ai-guardrails"/>
    <w:p>
      <w:pPr>
        <w:pStyle w:val="Heading2"/>
      </w:pPr>
      <w:r>
        <w:t xml:space="preserve">10.10 Data loss prevention and AI guardrails</w:t>
      </w:r>
    </w:p>
    <w:p>
      <w:pPr>
        <w:pStyle w:val="FirstParagraph"/>
      </w:pPr>
      <w:r>
        <w:t xml:space="preserve">CR-21 (AI guardrails on the model request and response path) requires input and output inspection, personal-data detection, prohibited-content filtering and native safety filtering. Enforcement is layered across the gateway and the application.</w:t>
      </w:r>
    </w:p>
    <w:bookmarkStart w:id="209" w:name="enforcement-points"/>
    <w:p>
      <w:pPr>
        <w:pStyle w:val="Heading3"/>
      </w:pPr>
      <w:r>
        <w:t xml:space="preserve">10.10.1 Enforcement points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Point</w:t>
            </w:r>
          </w:p>
        </w:tc>
        <w:tc>
          <w:tcPr>
            <w:shd w:val="clear" w:color="auto" w:fill="1F3864"/>
          </w:tcPr>
          <w:p>
            <w:pPr>
              <w:pStyle w:val="Compact"/>
              <w:jc w:val="left"/>
            </w:pPr>
            <w:r>
              <w:rPr>
                <w:b/>
                <w:color w:val="FFFFFF"/>
              </w:rPr>
              <w:t xml:space="preserve">Enforced by</w:t>
            </w:r>
          </w:p>
        </w:tc>
        <w:tc>
          <w:tcPr>
            <w:shd w:val="clear" w:color="auto" w:fill="1F3864"/>
          </w:tcPr>
          <w:p>
            <w:pPr>
              <w:pStyle w:val="Compact"/>
              <w:jc w:val="left"/>
            </w:pPr>
            <w:r>
              <w:rPr>
                <w:b/>
                <w:color w:val="FFFFFF"/>
              </w:rPr>
              <w:t xml:space="preserve">Behaviour on violation</w:t>
            </w:r>
          </w:p>
        </w:tc>
      </w:tr>
      <w:tr>
        <w:tc>
          <w:tcPr/>
          <w:p>
            <w:pPr>
              <w:pStyle w:val="Compact"/>
              <w:jc w:val="left"/>
            </w:pPr>
            <w:r>
              <w:t xml:space="preserve">API boundary — request validation</w:t>
            </w:r>
          </w:p>
        </w:tc>
        <w:tc>
          <w:tcPr/>
          <w:p>
            <w:pPr>
              <w:pStyle w:val="Compact"/>
              <w:jc w:val="left"/>
            </w:pPr>
            <w:r>
              <w:t xml:space="preserve">The backend service, before a job is created</w:t>
            </w:r>
          </w:p>
        </w:tc>
        <w:tc>
          <w:tcPr/>
          <w:p>
            <w:pPr>
              <w:pStyle w:val="Compact"/>
              <w:jc w:val="left"/>
            </w:pPr>
            <w:r>
              <w:t xml:space="preserve">Reject with HTTP 4xx. No job record, no model call</w:t>
            </w:r>
          </w:p>
        </w:tc>
      </w:tr>
      <w:tr>
        <w:tc>
          <w:tcPr/>
          <w:p>
            <w:pPr>
              <w:pStyle w:val="Compact"/>
              <w:jc w:val="left"/>
            </w:pPr>
            <w:r>
              <w:t xml:space="preserve">Pre-model — prompt inspection</w:t>
            </w:r>
          </w:p>
        </w:tc>
        <w:tc>
          <w:tcPr/>
          <w:p>
            <w:pPr>
              <w:pStyle w:val="Compact"/>
              <w:jc w:val="left"/>
            </w:pPr>
            <w:r>
              <w:t xml:space="preserve">Model Armor</w:t>
            </w:r>
            <w:r>
              <w:t xml:space="preserve"> </w:t>
            </w:r>
            <w:r>
              <w:rPr>
                <w:rStyle w:val="VerbatimChar"/>
              </w:rPr>
              <w:t xml:space="preserve">SanitizeUserPrompt</w:t>
            </w:r>
            <w:r>
              <w:t xml:space="preserve"> </w:t>
            </w:r>
            <w:r>
              <w:t xml:space="preserve">at the AI gateway</w:t>
            </w:r>
          </w:p>
        </w:tc>
        <w:tc>
          <w:tcPr/>
          <w:p>
            <w:pPr>
              <w:pStyle w:val="Compact"/>
              <w:jc w:val="left"/>
            </w:pPr>
            <w:r>
              <w:t xml:space="preserve">Block, log, return an error. The request never reaches the model and no tokens are consumed</w:t>
            </w:r>
          </w:p>
        </w:tc>
      </w:tr>
      <w:tr>
        <w:tc>
          <w:tcPr/>
          <w:p>
            <w:pPr>
              <w:pStyle w:val="Compact"/>
              <w:jc w:val="left"/>
            </w:pPr>
            <w:r>
              <w:t xml:space="preserve">Pre-tool — agent tool calls</w:t>
            </w:r>
          </w:p>
        </w:tc>
        <w:tc>
          <w:tcPr/>
          <w:p>
            <w:pPr>
              <w:pStyle w:val="Compact"/>
              <w:jc w:val="left"/>
            </w:pPr>
            <w:r>
              <w:t xml:space="preserve">The Sales Agent application, on each tool invocation</w:t>
            </w:r>
          </w:p>
        </w:tc>
        <w:tc>
          <w:tcPr/>
          <w:p>
            <w:pPr>
              <w:pStyle w:val="Compact"/>
              <w:jc w:val="left"/>
            </w:pPr>
            <w:r>
              <w:t xml:space="preserve">Block the query and return a blocked-query error. This is the defence against a compromised step attempting to exfiltrate through a tool call</w:t>
            </w:r>
          </w:p>
        </w:tc>
      </w:tr>
      <w:tr>
        <w:tc>
          <w:tcPr/>
          <w:p>
            <w:pPr>
              <w:pStyle w:val="Compact"/>
              <w:jc w:val="left"/>
            </w:pPr>
            <w:r>
              <w:t xml:space="preserve">Post-model — response inspection</w:t>
            </w:r>
          </w:p>
        </w:tc>
        <w:tc>
          <w:tcPr/>
          <w:p>
            <w:pPr>
              <w:pStyle w:val="Compact"/>
              <w:jc w:val="left"/>
            </w:pPr>
            <w:r>
              <w:t xml:space="preserve">Model Armor</w:t>
            </w:r>
            <w:r>
              <w:t xml:space="preserve"> </w:t>
            </w:r>
            <w:r>
              <w:rPr>
                <w:rStyle w:val="VerbatimChar"/>
              </w:rPr>
              <w:t xml:space="preserve">SanitizeModelResponse</w:t>
            </w:r>
            <w:r>
              <w:t xml:space="preserve"> </w:t>
            </w:r>
            <w:r>
              <w:t xml:space="preserve">at the AI gateway, plus native Vertex AI safety settings forced by the proxy</w:t>
            </w:r>
          </w:p>
        </w:tc>
        <w:tc>
          <w:tcPr/>
          <w:p>
            <w:pPr>
              <w:pStyle w:val="Compact"/>
              <w:jc w:val="left"/>
            </w:pPr>
            <w:r>
              <w:t xml:space="preserve">Block, log. A response terminated by the native safety filter is recorded as a safety event</w:t>
            </w:r>
          </w:p>
        </w:tc>
      </w:tr>
      <w:tr>
        <w:tc>
          <w:tcPr/>
          <w:p>
            <w:pPr>
              <w:pStyle w:val="Compact"/>
              <w:jc w:val="left"/>
            </w:pPr>
            <w:r>
              <w:t xml:space="preserve">Post-retrieval — retrieved content</w:t>
            </w:r>
          </w:p>
        </w:tc>
        <w:tc>
          <w:tcPr/>
          <w:p>
            <w:pPr>
              <w:pStyle w:val="Compact"/>
              <w:jc w:val="left"/>
            </w:pPr>
            <w:r>
              <w:t xml:space="preserve">The Sales Agent application, on retrieved chunks from less trusted sources</w:t>
            </w:r>
          </w:p>
        </w:tc>
        <w:tc>
          <w:tcPr/>
          <w:p>
            <w:pPr>
              <w:pStyle w:val="Compact"/>
              <w:jc w:val="left"/>
            </w:pPr>
            <w:r>
              <w:t xml:space="preserve">Flag or block before the content enters the model context, per</w:t>
            </w:r>
            <w:r>
              <w:t xml:space="preserve"> </w:t>
            </w:r>
            <w:r>
              <w:rPr>
                <w:b/>
                <w:bCs/>
              </w:rPr>
              <w:t xml:space="preserve">Indirect prompt injection</w:t>
            </w:r>
          </w:p>
        </w:tc>
      </w:tr>
      <w:tr>
        <w:tc>
          <w:tcPr/>
          <w:p>
            <w:pPr>
              <w:pStyle w:val="Compact"/>
              <w:jc w:val="left"/>
            </w:pPr>
            <w:r>
              <w:t xml:space="preserve">Agent output — final text</w:t>
            </w:r>
          </w:p>
        </w:tc>
        <w:tc>
          <w:tcPr/>
          <w:p>
            <w:pPr>
              <w:pStyle w:val="Compact"/>
              <w:jc w:val="left"/>
            </w:pPr>
            <w:r>
              <w:t xml:space="preserve">The Sales Agent application, on each stage’s final output</w:t>
            </w:r>
          </w:p>
        </w:tc>
        <w:tc>
          <w:tcPr/>
          <w:p>
            <w:pPr>
              <w:pStyle w:val="Compact"/>
              <w:jc w:val="left"/>
            </w:pPr>
            <w:r>
              <w:t xml:space="preserve">Halt the pipeline rather than allow partially contaminated output to continue</w:t>
            </w:r>
          </w:p>
        </w:tc>
      </w:tr>
    </w:tbl>
    <w:p>
      <w:pPr>
        <w:pStyle w:val="BodyText"/>
      </w:pPr>
      <w:r>
        <w:t xml:space="preserve">Input guardrails fail closed. A guardrail failure on a security decision is never retried: a blocked prompt cannot be silently re-attempted into a pass, and only transient model and tool faults are eligible for retry.</w:t>
      </w:r>
    </w:p>
    <w:bookmarkEnd w:id="209"/>
    <w:bookmarkStart w:id="210" w:name="personal-data-detection"/>
    <w:p>
      <w:pPr>
        <w:pStyle w:val="Heading3"/>
      </w:pPr>
      <w:r>
        <w:t xml:space="preserve">10.10.2 Personal data detection</w:t>
      </w:r>
    </w:p>
    <w:p>
      <w:pPr>
        <w:pStyle w:val="FirstParagraph"/>
      </w:pPr>
      <w:r>
        <w:t xml:space="preserve">Detection operates at two levels, and the two are complementary rather than alternatives.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Level</w:t>
            </w:r>
          </w:p>
        </w:tc>
        <w:tc>
          <w:tcPr>
            <w:shd w:val="clear" w:color="auto" w:fill="1F3864"/>
          </w:tcPr>
          <w:p>
            <w:pPr>
              <w:pStyle w:val="Compact"/>
              <w:jc w:val="left"/>
            </w:pPr>
            <w:r>
              <w:rPr>
                <w:b/>
                <w:color w:val="FFFFFF"/>
              </w:rPr>
              <w:t xml:space="preserve">Mechanism</w:t>
            </w:r>
          </w:p>
        </w:tc>
        <w:tc>
          <w:tcPr>
            <w:shd w:val="clear" w:color="auto" w:fill="1F3864"/>
          </w:tcPr>
          <w:p>
            <w:pPr>
              <w:pStyle w:val="Compact"/>
              <w:jc w:val="left"/>
            </w:pPr>
            <w:r>
              <w:rPr>
                <w:b/>
                <w:color w:val="FFFFFF"/>
              </w:rPr>
              <w:t xml:space="preserve">Coverage</w:t>
            </w:r>
          </w:p>
        </w:tc>
      </w:tr>
      <w:tr>
        <w:tc>
          <w:tcPr/>
          <w:p>
            <w:pPr>
              <w:pStyle w:val="Compact"/>
              <w:jc w:val="left"/>
            </w:pPr>
            <w:r>
              <w:t xml:space="preserve">Platform</w:t>
            </w:r>
          </w:p>
        </w:tc>
        <w:tc>
          <w:tcPr/>
          <w:p>
            <w:pPr>
              <w:pStyle w:val="Compact"/>
              <w:jc w:val="left"/>
            </w:pPr>
            <w:r>
              <w:t xml:space="preserve">Sensitive Data Protection inspection templates, invoked through Model Armor’s sensitive-data filter at the AI gateway</w:t>
            </w:r>
          </w:p>
        </w:tc>
        <w:tc>
          <w:tcPr/>
          <w:p>
            <w:pPr>
              <w:pStyle w:val="Compact"/>
              <w:jc w:val="left"/>
            </w:pPr>
            <w:r>
              <w:t xml:space="preserve">Google-managed infoType detectors — names, email addresses, telephone numbers, national identifiers, payment details. Likelihood threshold Possible</w:t>
            </w:r>
          </w:p>
        </w:tc>
      </w:tr>
      <w:tr>
        <w:tc>
          <w:tcPr/>
          <w:p>
            <w:pPr>
              <w:pStyle w:val="Compact"/>
              <w:jc w:val="left"/>
            </w:pPr>
            <w:r>
              <w:t xml:space="preserve">Application</w:t>
            </w:r>
          </w:p>
        </w:tc>
        <w:tc>
          <w:tcPr/>
          <w:p>
            <w:pPr>
              <w:pStyle w:val="Compact"/>
              <w:jc w:val="left"/>
            </w:pPr>
            <w:r>
              <w:t xml:space="preserve">Pattern-based scanning in a single shared guardrail module, used by both the input and the output scanners so the two paths cannot diverge</w:t>
            </w:r>
          </w:p>
        </w:tc>
        <w:tc>
          <w:tcPr/>
          <w:p>
            <w:pPr>
              <w:pStyle w:val="Compact"/>
              <w:jc w:val="left"/>
            </w:pPr>
            <w:r>
              <w:t xml:space="preserve">Email address, telephone number, national insurance or social security number, payment card number, IPv4 address, passport number</w:t>
            </w:r>
          </w:p>
        </w:tc>
      </w:tr>
    </w:tbl>
    <w:p>
      <w:pPr>
        <w:pStyle w:val="BodyText"/>
      </w:pPr>
      <w:r>
        <w:t xml:space="preserve">Request schemas additionally constrain free-text fields to allow-list patterns with bounded length, and reject unknown fields outright, which removes most personal-data-bearing characters before any guardrail runs.</w:t>
      </w:r>
    </w:p>
    <w:bookmarkEnd w:id="210"/>
    <w:bookmarkStart w:id="211" w:name="redaction-masking-and-tokenisation"/>
    <w:p>
      <w:pPr>
        <w:pStyle w:val="Heading3"/>
      </w:pPr>
      <w:r>
        <w:t xml:space="preserve">10.10.3 Redaction, masking and tokenisation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Option</w:t>
            </w:r>
          </w:p>
        </w:tc>
        <w:tc>
          <w:tcPr>
            <w:shd w:val="clear" w:color="auto" w:fill="1F3864"/>
          </w:tcPr>
          <w:p>
            <w:pPr>
              <w:pStyle w:val="Compact"/>
              <w:jc w:val="left"/>
            </w:pPr>
            <w:r>
              <w:rPr>
                <w:b/>
                <w:color w:val="FFFFFF"/>
              </w:rPr>
              <w:t xml:space="preserve">Position</w:t>
            </w:r>
          </w:p>
        </w:tc>
        <w:tc>
          <w:tcPr>
            <w:shd w:val="clear" w:color="auto" w:fill="1F3864"/>
          </w:tcPr>
          <w:p>
            <w:pPr>
              <w:pStyle w:val="Compact"/>
              <w:jc w:val="left"/>
            </w:pPr>
            <w:r>
              <w:rPr>
                <w:b/>
                <w:color w:val="FFFFFF"/>
              </w:rPr>
              <w:t xml:space="preserve">Assessment</w:t>
            </w:r>
          </w:p>
        </w:tc>
      </w:tr>
      <w:tr>
        <w:tc>
          <w:tcPr/>
          <w:p>
            <w:pPr>
              <w:pStyle w:val="Compact"/>
              <w:jc w:val="left"/>
            </w:pPr>
            <w:r>
              <w:t xml:space="preserve">Detect and block</w:t>
            </w:r>
          </w:p>
        </w:tc>
        <w:tc>
          <w:tcPr/>
          <w:p>
            <w:pPr>
              <w:pStyle w:val="Compact"/>
              <w:jc w:val="left"/>
            </w:pPr>
            <w:r>
              <w:t xml:space="preserve">Adopted for the Sales Agent input path</w:t>
            </w:r>
          </w:p>
        </w:tc>
        <w:tc>
          <w:tcPr/>
          <w:p>
            <w:pPr>
              <w:pStyle w:val="Compact"/>
              <w:jc w:val="left"/>
            </w:pPr>
            <w:r>
              <w:t xml:space="preserve">Fail-closed and simple. No personal data transits to the model or to storage. Legitimate input containing an incidental pattern match is rejected rather than sanitised, which is proportionate to a narrow input surface</w:t>
            </w:r>
          </w:p>
        </w:tc>
      </w:tr>
      <w:tr>
        <w:tc>
          <w:tcPr/>
          <w:p>
            <w:pPr>
              <w:pStyle w:val="Compact"/>
              <w:jc w:val="left"/>
            </w:pPr>
            <w:r>
              <w:t xml:space="preserve">Redaction and masking, irreversible</w:t>
            </w:r>
          </w:p>
        </w:tc>
        <w:tc>
          <w:tcPr/>
          <w:p>
            <w:pPr>
              <w:pStyle w:val="Compact"/>
              <w:jc w:val="left"/>
            </w:pPr>
            <w:r>
              <w:t xml:space="preserve">Adopted where the value is not required downstream — application logs, BigQuery telemetry, evidence snippets, and translation findings the recipient does not need</w:t>
            </w:r>
          </w:p>
        </w:tc>
        <w:tc>
          <w:tcPr/>
          <w:p>
            <w:pPr>
              <w:pStyle w:val="Compact"/>
              <w:jc w:val="left"/>
            </w:pPr>
            <w:r>
              <w:t xml:space="preserve">Requires no key material and no vault</w:t>
            </w:r>
          </w:p>
        </w:tc>
      </w:tr>
      <w:tr>
        <w:tc>
          <w:tcPr/>
          <w:p>
            <w:pPr>
              <w:pStyle w:val="Compact"/>
              <w:jc w:val="left"/>
            </w:pPr>
            <w:r>
              <w:t xml:space="preserve">Tokenisation, reversible surrogate</w:t>
            </w:r>
          </w:p>
        </w:tc>
        <w:tc>
          <w:tcPr/>
          <w:p>
            <w:pPr>
              <w:pStyle w:val="Compact"/>
              <w:jc w:val="left"/>
            </w:pPr>
            <w:r>
              <w:t xml:space="preserve">Adopted for translation only, per below. Not adopted for the Sales Agent</w:t>
            </w:r>
          </w:p>
        </w:tc>
        <w:tc>
          <w:tcPr/>
          <w:p>
            <w:pPr>
              <w:pStyle w:val="Compact"/>
              <w:jc w:val="left"/>
            </w:pPr>
            <w:r>
              <w:t xml:space="preserve">A surrogate vault is disproportionate to the Sales Agent’s input surface. Reassessed if that service begins processing customer contact data</w:t>
            </w:r>
          </w:p>
        </w:tc>
      </w:tr>
      <w:tr>
        <w:tc>
          <w:tcPr/>
          <w:p>
            <w:pPr>
              <w:pStyle w:val="Compact"/>
              <w:jc w:val="left"/>
            </w:pPr>
            <w:r>
              <w:t xml:space="preserve">Sensitive Data Protection managed detection</w:t>
            </w:r>
          </w:p>
        </w:tc>
        <w:tc>
          <w:tcPr/>
          <w:p>
            <w:pPr>
              <w:pStyle w:val="Compact"/>
              <w:jc w:val="left"/>
            </w:pPr>
            <w:r>
              <w:t xml:space="preserve">Adopted at the gateway, per</w:t>
            </w:r>
            <w:r>
              <w:t xml:space="preserve"> </w:t>
            </w:r>
            <w:r>
              <w:rPr>
                <w:b/>
                <w:bCs/>
              </w:rPr>
              <w:t xml:space="preserve">Sensitive Data Protection templates</w:t>
            </w:r>
          </w:p>
        </w:tc>
        <w:tc>
          <w:tcPr/>
          <w:p>
            <w:pPr>
              <w:pStyle w:val="Compact"/>
              <w:jc w:val="left"/>
            </w:pPr>
            <w:r>
              <w:t xml:space="preserve">Replaces pattern matching with managed infoType detection covering names, addresses and international identifiers, and supplies de-identification templates</w:t>
            </w:r>
          </w:p>
        </w:tc>
      </w:tr>
    </w:tbl>
    <w:p>
      <w:pPr>
        <w:pStyle w:val="BodyText"/>
      </w:pPr>
      <w:r>
        <w:t xml:space="preserve">Redaction of the observability and storage surface — log formatter output, and the write path to BigQuery and Cloud Storage — is not yet implemented. It is the highest-value outstanding data-protection improvement and is recorded in</w:t>
      </w:r>
      <w:r>
        <w:t xml:space="preserve"> </w:t>
      </w:r>
      <w:r>
        <w:rPr>
          <w:b/>
          <w:bCs/>
        </w:rPr>
        <w:t xml:space="preserve">Risk Register</w:t>
      </w:r>
      <w:r>
        <w:t xml:space="preserve">.</w:t>
      </w:r>
    </w:p>
    <w:bookmarkEnd w:id="211"/>
    <w:bookmarkStart w:id="212" w:name="translation-reversible-de-identification"/>
    <w:p>
      <w:pPr>
        <w:pStyle w:val="Heading3"/>
      </w:pPr>
      <w:r>
        <w:t xml:space="preserve">10.10.4 Translation — reversible de-identification</w:t>
      </w:r>
    </w:p>
    <w:p>
      <w:pPr>
        <w:pStyle w:val="FirstParagraph"/>
      </w:pPr>
      <w:r>
        <w:t xml:space="preserve">Translation must preserve document meaning, so masking a personal name would corrupt the output and, in some documents, alter its legal effect. Translation therefore uses reversible de-identification where the underlying value must survive the round trip.</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Implementation</w:t>
            </w:r>
          </w:p>
        </w:tc>
        <w:tc>
          <w:tcPr>
            <w:shd w:val="clear" w:color="auto" w:fill="1F3864"/>
          </w:tcPr>
          <w:p>
            <w:pPr>
              <w:pStyle w:val="Compact"/>
              <w:jc w:val="left"/>
            </w:pPr>
            <w:r>
              <w:rPr>
                <w:b/>
                <w:color w:val="FFFFFF"/>
              </w:rPr>
              <w:t xml:space="preserve">Rationale</w:t>
            </w:r>
          </w:p>
        </w:tc>
      </w:tr>
      <w:tr>
        <w:tc>
          <w:tcPr/>
          <w:p>
            <w:pPr>
              <w:pStyle w:val="Compact"/>
              <w:jc w:val="left"/>
            </w:pPr>
            <w:r>
              <w:t xml:space="preserve">Inspection</w:t>
            </w:r>
          </w:p>
        </w:tc>
        <w:tc>
          <w:tcPr/>
          <w:p>
            <w:pPr>
              <w:pStyle w:val="Compact"/>
              <w:jc w:val="left"/>
            </w:pPr>
            <w:r>
              <w:t xml:space="preserve">Sensitive Data Protection inspects the document before translation, using managed infoType detectors</w:t>
            </w:r>
          </w:p>
        </w:tc>
        <w:tc>
          <w:tcPr/>
          <w:p>
            <w:pPr>
              <w:pStyle w:val="Compact"/>
              <w:jc w:val="left"/>
            </w:pPr>
            <w:r>
              <w:t xml:space="preserve">Detection is not dependent on locally maintained patterns</w:t>
            </w:r>
          </w:p>
        </w:tc>
      </w:tr>
      <w:tr>
        <w:tc>
          <w:tcPr/>
          <w:p>
            <w:pPr>
              <w:pStyle w:val="Compact"/>
              <w:jc w:val="left"/>
            </w:pPr>
            <w:r>
              <w:t xml:space="preserve">Redaction and masking</w:t>
            </w:r>
          </w:p>
        </w:tc>
        <w:tc>
          <w:tcPr/>
          <w:p>
            <w:pPr>
              <w:pStyle w:val="Compact"/>
              <w:jc w:val="left"/>
            </w:pPr>
            <w:r>
              <w:t xml:space="preserve">De-identification templates redact or character-mask findings whose underlying value the recipient of the translation does not require</w:t>
            </w:r>
          </w:p>
        </w:tc>
        <w:tc>
          <w:tcPr/>
          <w:p>
            <w:pPr>
              <w:pStyle w:val="Compact"/>
              <w:jc w:val="left"/>
            </w:pPr>
            <w:r>
              <w:t xml:space="preserve">Irreversible, requires no key material, and is the correct treatment where the value is not needed</w:t>
            </w:r>
          </w:p>
        </w:tc>
      </w:tr>
      <w:tr>
        <w:tc>
          <w:tcPr/>
          <w:p>
            <w:pPr>
              <w:pStyle w:val="Compact"/>
              <w:jc w:val="left"/>
            </w:pPr>
            <w:r>
              <w:t xml:space="preserve">Tokenisation</w:t>
            </w:r>
          </w:p>
        </w:tc>
        <w:tc>
          <w:tcPr/>
          <w:p>
            <w:pPr>
              <w:pStyle w:val="Compact"/>
              <w:jc w:val="left"/>
            </w:pPr>
            <w:r>
              <w:t xml:space="preserve">Findings that must survive translation are replaced with a reversible surrogate before the text reaches the model</w:t>
            </w:r>
          </w:p>
        </w:tc>
        <w:tc>
          <w:tcPr/>
          <w:p>
            <w:pPr>
              <w:pStyle w:val="Compact"/>
              <w:jc w:val="left"/>
            </w:pPr>
            <w:r>
              <w:t xml:space="preserve">Allows the document to be translated without the underlying personal data leaving the platform boundary</w:t>
            </w:r>
          </w:p>
        </w:tc>
      </w:tr>
      <w:tr>
        <w:tc>
          <w:tcPr/>
          <w:p>
            <w:pPr>
              <w:pStyle w:val="Compact"/>
              <w:jc w:val="left"/>
            </w:pPr>
            <w:r>
              <w:t xml:space="preserve">Mapping table controls</w:t>
            </w:r>
          </w:p>
        </w:tc>
        <w:tc>
          <w:tcPr/>
          <w:p>
            <w:pPr>
              <w:pStyle w:val="Compact"/>
              <w:jc w:val="left"/>
            </w:pPr>
            <w:r>
              <w:t xml:space="preserve">The surrogate mapping table is treated as a credential store rather than as telemetry, and is excluded from every general analytics grant</w:t>
            </w:r>
          </w:p>
        </w:tc>
        <w:tc>
          <w:tcPr/>
          <w:p>
            <w:pPr>
              <w:pStyle w:val="Compact"/>
              <w:jc w:val="left"/>
            </w:pPr>
            <w:r>
              <w:t xml:space="preserve">It is the single place where a surrogate can be resolved back to personal data</w:t>
            </w:r>
          </w:p>
        </w:tc>
      </w:tr>
      <w:tr>
        <w:tc>
          <w:tcPr/>
          <w:p>
            <w:pPr>
              <w:pStyle w:val="Compact"/>
              <w:jc w:val="left"/>
            </w:pPr>
            <w:r>
              <w:t xml:space="preserve">Re-identification</w:t>
            </w:r>
          </w:p>
        </w:tc>
        <w:tc>
          <w:tcPr/>
          <w:p>
            <w:pPr>
              <w:pStyle w:val="Compact"/>
              <w:jc w:val="left"/>
            </w:pPr>
            <w:r>
              <w:t xml:space="preserve">Performed only within the translation response path, to restore surrogates in the translated document. Not exposed as an API operation and not invocable by a user or by a model</w:t>
            </w:r>
          </w:p>
        </w:tc>
        <w:tc>
          <w:tcPr/>
          <w:p>
            <w:pPr>
              <w:pStyle w:val="Compact"/>
              <w:jc w:val="left"/>
            </w:pPr>
            <w:r>
              <w:t xml:space="preserve">Confines reversal to its one legitimate purpose and removes it as a capability an attacker or an injected prompt could invoke</w:t>
            </w:r>
          </w:p>
        </w:tc>
      </w:tr>
      <w:tr>
        <w:tc>
          <w:tcPr/>
          <w:p>
            <w:pPr>
              <w:pStyle w:val="Compact"/>
              <w:jc w:val="left"/>
            </w:pPr>
            <w:r>
              <w:t xml:space="preserve">Retention</w:t>
            </w:r>
          </w:p>
        </w:tc>
        <w:tc>
          <w:tcPr/>
          <w:p>
            <w:pPr>
              <w:pStyle w:val="Compact"/>
              <w:jc w:val="left"/>
            </w:pPr>
            <w:r>
              <w:t xml:space="preserve">Mapping rows are retained only for the lifetime of the translation job and its result-retrieval window, then expired by an explicit retention setting on the table</w:t>
            </w:r>
          </w:p>
        </w:tc>
        <w:tc>
          <w:tcPr/>
          <w:p>
            <w:pPr>
              <w:pStyle w:val="Compact"/>
              <w:jc w:val="left"/>
            </w:pPr>
            <w:r>
              <w:t xml:space="preserve">A mapping table with unbounded retention is a personal-data store by another name</w:t>
            </w:r>
          </w:p>
        </w:tc>
      </w:tr>
      <w:tr>
        <w:tc>
          <w:tcPr/>
          <w:p>
            <w:pPr>
              <w:pStyle w:val="Compact"/>
              <w:jc w:val="left"/>
            </w:pPr>
            <w:r>
              <w:t xml:space="preserve">Monitoring</w:t>
            </w:r>
          </w:p>
        </w:tc>
        <w:tc>
          <w:tcPr/>
          <w:p>
            <w:pPr>
              <w:pStyle w:val="Compact"/>
              <w:jc w:val="left"/>
            </w:pPr>
            <w:r>
              <w:t xml:space="preserve">Finding volume is monitored; a sudden change is alerted</w:t>
            </w:r>
          </w:p>
        </w:tc>
        <w:tc>
          <w:tcPr/>
          <w:p>
            <w:pPr>
              <w:pStyle w:val="Compact"/>
              <w:jc w:val="left"/>
            </w:pPr>
            <w:r>
              <w:t xml:space="preserve">A change in volume is the earliest signal that either the input mix or the detection configuration has changed</w:t>
            </w:r>
          </w:p>
        </w:tc>
      </w:tr>
    </w:tbl>
    <w:p>
      <w:pPr>
        <w:pStyle w:val="BodyText"/>
      </w:pPr>
      <w:r>
        <w:t xml:space="preserve">This satisfies CR-20 (personal data in prompts redacted rather than blocked for translation), which would otherwise be unachievable — blocking would break the usecase, and irreversible masking would corrupt the output.</w:t>
      </w:r>
    </w:p>
    <w:bookmarkEnd w:id="212"/>
    <w:bookmarkStart w:id="213" w:name="Xd541af32786047d70aa3d23a653ea07d19793f4"/>
    <w:p>
      <w:pPr>
        <w:pStyle w:val="Heading3"/>
      </w:pPr>
      <w:r>
        <w:t xml:space="preserve">10.10.5 Prohibited content and native safety settings</w:t>
      </w:r>
    </w:p>
    <w:p>
      <w:pPr>
        <w:pStyle w:val="FirstParagraph"/>
      </w:pPr>
      <w:r>
        <w:t xml:space="preserve">Prohibited-content enforcement targets the compliance risk specific to a sales-intelligence output: references to material non-public information, and explicit buy or sell recommendations. The same pattern set is applied to each stage’s output and to the final report.</w:t>
      </w:r>
    </w:p>
    <w:p>
      <w:pPr>
        <w:pStyle w:val="BodyText"/>
      </w:pPr>
      <w:r>
        <w:t xml:space="preserve">Native model safety settings are forced onto the request body by the AI gateway proxy, so a caller cannot weaken them, per</w:t>
      </w:r>
      <w:r>
        <w:t xml:space="preserve"> </w:t>
      </w:r>
      <w:r>
        <w:rPr>
          <w:b/>
          <w:bCs/>
        </w:rPr>
        <w:t xml:space="preserve">The AI gateway proxy — policy chain</w:t>
      </w:r>
      <w:r>
        <w:t xml:space="preserve">.</w:t>
      </w:r>
    </w:p>
    <w:tbl>
      <w:tblPr>
        <w:tblStyle w:val="TableGrid"/>
        <w:tblW w:type="auto" w:w="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Harm category</w:t>
            </w:r>
          </w:p>
        </w:tc>
        <w:tc>
          <w:tcPr>
            <w:shd w:val="clear" w:color="auto" w:fill="1F3864"/>
          </w:tcPr>
          <w:p>
            <w:pPr>
              <w:pStyle w:val="Compact"/>
              <w:jc w:val="left"/>
            </w:pPr>
            <w:r>
              <w:rPr>
                <w:b/>
                <w:color w:val="FFFFFF"/>
              </w:rPr>
              <w:t xml:space="preserve">Default threshold</w:t>
            </w:r>
          </w:p>
        </w:tc>
      </w:tr>
      <w:tr>
        <w:tc>
          <w:tcPr/>
          <w:p>
            <w:pPr>
              <w:pStyle w:val="Compact"/>
              <w:jc w:val="left"/>
            </w:pPr>
            <w:r>
              <w:t xml:space="preserve">Harassment</w:t>
            </w:r>
          </w:p>
        </w:tc>
        <w:tc>
          <w:tcPr/>
          <w:p>
            <w:pPr>
              <w:pStyle w:val="Compact"/>
              <w:jc w:val="left"/>
            </w:pPr>
            <w:r>
              <w:rPr>
                <w:rStyle w:val="VerbatimChar"/>
              </w:rPr>
              <w:t xml:space="preserve">BLOCK_MEDIUM_AND_ABOVE</w:t>
            </w:r>
          </w:p>
        </w:tc>
      </w:tr>
      <w:tr>
        <w:tc>
          <w:tcPr/>
          <w:p>
            <w:pPr>
              <w:pStyle w:val="Compact"/>
              <w:jc w:val="left"/>
            </w:pPr>
            <w:r>
              <w:t xml:space="preserve">Hate speech</w:t>
            </w:r>
          </w:p>
        </w:tc>
        <w:tc>
          <w:tcPr/>
          <w:p>
            <w:pPr>
              <w:pStyle w:val="Compact"/>
              <w:jc w:val="left"/>
            </w:pPr>
            <w:r>
              <w:rPr>
                <w:rStyle w:val="VerbatimChar"/>
              </w:rPr>
              <w:t xml:space="preserve">BLOCK_MEDIUM_AND_ABOVE</w:t>
            </w:r>
          </w:p>
        </w:tc>
      </w:tr>
      <w:tr>
        <w:tc>
          <w:tcPr/>
          <w:p>
            <w:pPr>
              <w:pStyle w:val="Compact"/>
              <w:jc w:val="left"/>
            </w:pPr>
            <w:r>
              <w:t xml:space="preserve">Sexually explicit</w:t>
            </w:r>
          </w:p>
        </w:tc>
        <w:tc>
          <w:tcPr/>
          <w:p>
            <w:pPr>
              <w:pStyle w:val="Compact"/>
              <w:jc w:val="left"/>
            </w:pPr>
            <w:r>
              <w:rPr>
                <w:rStyle w:val="VerbatimChar"/>
              </w:rPr>
              <w:t xml:space="preserve">BLOCK_LOW_AND_ABOVE</w:t>
            </w:r>
          </w:p>
        </w:tc>
      </w:tr>
      <w:tr>
        <w:tc>
          <w:tcPr/>
          <w:p>
            <w:pPr>
              <w:pStyle w:val="Compact"/>
              <w:jc w:val="left"/>
            </w:pPr>
            <w:r>
              <w:t xml:space="preserve">Dangerous content</w:t>
            </w:r>
          </w:p>
        </w:tc>
        <w:tc>
          <w:tcPr/>
          <w:p>
            <w:pPr>
              <w:pStyle w:val="Compact"/>
              <w:jc w:val="left"/>
            </w:pPr>
            <w:r>
              <w:rPr>
                <w:rStyle w:val="VerbatimChar"/>
              </w:rPr>
              <w:t xml:space="preserve">BLOCK_ONLY_HIGH</w:t>
            </w:r>
          </w:p>
        </w:tc>
      </w:tr>
    </w:tbl>
    <w:p>
      <w:pPr>
        <w:pStyle w:val="BodyText"/>
      </w:pPr>
      <w:r>
        <w:t xml:space="preserve">Thresholds are set by configuration rather than in code. Dangerous content is deliberately relaxed to</w:t>
      </w:r>
      <w:r>
        <w:t xml:space="preserve"> </w:t>
      </w:r>
      <w:r>
        <w:rPr>
          <w:rStyle w:val="VerbatimChar"/>
        </w:rPr>
        <w:t xml:space="preserve">BLOCK_ONLY_HIGH</w:t>
      </w:r>
      <w:r>
        <w:t xml:space="preserve"> </w:t>
      </w:r>
      <w:r>
        <w:t xml:space="preserve">because competitive-threat and risk-assessment language in a business research workload would otherwise be over-blocked; the remaining categories are held at or below medium.</w:t>
      </w:r>
    </w:p>
    <w:bookmarkEnd w:id="213"/>
    <w:bookmarkStart w:id="214" w:name="false-positive-handling"/>
    <w:p>
      <w:pPr>
        <w:pStyle w:val="Heading3"/>
      </w:pPr>
      <w:r>
        <w:t xml:space="preserve">10.10.6 False-positive handling</w:t>
      </w:r>
    </w:p>
    <w:p>
      <w:pPr>
        <w:pStyle w:val="FirstParagraph"/>
      </w:pPr>
      <w:r>
        <w:t xml:space="preserve">The guardrail set is tuned for the false-positive and false-negative balance of a business-research workload, on the principle that a guardrail which blocks legitimate work is disabled by its operators and therefore protects nothing.</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Position</w:t>
            </w:r>
          </w:p>
        </w:tc>
      </w:tr>
      <w:tr>
        <w:tc>
          <w:tcPr/>
          <w:p>
            <w:pPr>
              <w:pStyle w:val="Compact"/>
              <w:jc w:val="left"/>
            </w:pPr>
            <w:r>
              <w:t xml:space="preserve">Per-category safety thresholds</w:t>
            </w:r>
          </w:p>
        </w:tc>
        <w:tc>
          <w:tcPr/>
          <w:p>
            <w:pPr>
              <w:pStyle w:val="Compact"/>
              <w:jc w:val="left"/>
            </w:pPr>
            <w:r>
              <w:t xml:space="preserve">Tuned as above, rather than applied uniformly</w:t>
            </w:r>
          </w:p>
        </w:tc>
      </w:tr>
      <w:tr>
        <w:tc>
          <w:tcPr/>
          <w:p>
            <w:pPr>
              <w:pStyle w:val="Compact"/>
              <w:jc w:val="left"/>
            </w:pPr>
            <w:r>
              <w:t xml:space="preserve">Advisory checks degrade non-fatally</w:t>
            </w:r>
          </w:p>
        </w:tc>
        <w:tc>
          <w:tcPr/>
          <w:p>
            <w:pPr>
              <w:pStyle w:val="Compact"/>
              <w:jc w:val="left"/>
            </w:pPr>
            <w:r>
              <w:t xml:space="preserve">A failure in an advisory check, such as a grounding or hallucination check, is logged and skipped rather than failing the job. This availability trade-off applies to advisory checks only and never to the blocking input or personal-data paths</w:t>
            </w:r>
          </w:p>
        </w:tc>
      </w:tr>
      <w:tr>
        <w:tc>
          <w:tcPr/>
          <w:p>
            <w:pPr>
              <w:pStyle w:val="Compact"/>
              <w:jc w:val="left"/>
            </w:pPr>
            <w:r>
              <w:t xml:space="preserve">Bounded validation retries</w:t>
            </w:r>
          </w:p>
        </w:tc>
        <w:tc>
          <w:tcPr/>
          <w:p>
            <w:pPr>
              <w:pStyle w:val="Compact"/>
              <w:jc w:val="left"/>
            </w:pPr>
            <w:r>
              <w:t xml:space="preserve">Output validation retries up to a configured maximum with a hint injected into the next attempt, rather than failing on the first miss</w:t>
            </w:r>
          </w:p>
        </w:tc>
      </w:tr>
      <w:tr>
        <w:tc>
          <w:tcPr/>
          <w:p>
            <w:pPr>
              <w:pStyle w:val="Compact"/>
              <w:jc w:val="left"/>
            </w:pPr>
            <w:r>
              <w:t xml:space="preserve">Callback isolation</w:t>
            </w:r>
          </w:p>
        </w:tc>
        <w:tc>
          <w:tcPr/>
          <w:p>
            <w:pPr>
              <w:pStyle w:val="Compact"/>
              <w:jc w:val="left"/>
            </w:pPr>
            <w:r>
              <w:t xml:space="preserve">Inspection callbacks are individually guarded, so a malformed payload degrades gracefully rather than aborting the turn</w:t>
            </w:r>
          </w:p>
        </w:tc>
      </w:tr>
      <w:tr>
        <w:tc>
          <w:tcPr/>
          <w:p>
            <w:pPr>
              <w:pStyle w:val="Compact"/>
              <w:jc w:val="left"/>
            </w:pPr>
            <w:r>
              <w:t xml:space="preserve">Security decisions are non-retryable</w:t>
            </w:r>
          </w:p>
        </w:tc>
        <w:tc>
          <w:tcPr/>
          <w:p>
            <w:pPr>
              <w:pStyle w:val="Compact"/>
              <w:jc w:val="left"/>
            </w:pPr>
            <w:r>
              <w:t xml:space="preserve">Input validation failures, guardrail blocks, prompt-injection detections, safety blocks and output-validation failures are never retried</w:t>
            </w:r>
          </w:p>
        </w:tc>
      </w:tr>
      <w:tr>
        <w:tc>
          <w:tcPr/>
          <w:p>
            <w:pPr>
              <w:pStyle w:val="Compact"/>
              <w:jc w:val="left"/>
            </w:pPr>
            <w:r>
              <w:rPr>
                <w:rStyle w:val="VerbatimChar"/>
              </w:rPr>
              <w:t xml:space="preserve">EXECUTION_SKIPPED</w:t>
            </w:r>
            <w:r>
              <w:t xml:space="preserve"> </w:t>
            </w:r>
            <w:r>
              <w:t xml:space="preserve">rate</w:t>
            </w:r>
          </w:p>
        </w:tc>
        <w:tc>
          <w:tcPr/>
          <w:p>
            <w:pPr>
              <w:pStyle w:val="Compact"/>
              <w:jc w:val="left"/>
            </w:pPr>
            <w:r>
              <w:t xml:space="preserve">Alerted on, per</w:t>
            </w:r>
            <w:r>
              <w:t xml:space="preserve"> </w:t>
            </w:r>
            <w:r>
              <w:rPr>
                <w:b/>
                <w:bCs/>
              </w:rPr>
              <w:t xml:space="preserve">Limits and the</w:t>
            </w:r>
            <w:r>
              <w:rPr>
                <w:b/>
                <w:bCs/>
              </w:rPr>
              <w:t xml:space="preserve"> </w:t>
            </w:r>
            <w:r>
              <w:rPr>
                <w:rStyle w:val="VerbatimChar"/>
                <w:b/>
                <w:bCs/>
              </w:rPr>
              <w:t xml:space="preserve">EXECUTION_SKIPPED</w:t>
            </w:r>
            <w:r>
              <w:rPr>
                <w:b/>
                <w:bCs/>
              </w:rPr>
              <w:t xml:space="preserve"> </w:t>
            </w:r>
            <w:r>
              <w:rPr>
                <w:b/>
                <w:bCs/>
              </w:rPr>
              <w:t xml:space="preserve">behaviour</w:t>
            </w:r>
            <w:r>
              <w:t xml:space="preserve">. A sustained rise indicates either a change in usage or an attempt to locate the gap</w:t>
            </w:r>
          </w:p>
        </w:tc>
      </w:tr>
    </w:tbl>
    <w:bookmarkEnd w:id="214"/>
    <w:bookmarkStart w:id="215" w:name="residual-data-protection-exposure"/>
    <w:p>
      <w:pPr>
        <w:pStyle w:val="Heading3"/>
      </w:pPr>
      <w:r>
        <w:t xml:space="preserve">10.10.7 Residual data-protection exposure</w:t>
      </w:r>
    </w:p>
    <w:p>
      <w:pPr>
        <w:pStyle w:val="FirstParagraph"/>
      </w:pPr>
      <w:r>
        <w:t xml:space="preserve">CR-23 (documented residual risk statement) is satisfied by the statement in</w:t>
      </w:r>
      <w:r>
        <w:t xml:space="preserve"> </w:t>
      </w:r>
      <w:r>
        <w:rPr>
          <w:b/>
          <w:bCs/>
        </w:rPr>
        <w:t xml:space="preserve">Residual risk statement</w:t>
      </w:r>
      <w:r>
        <w:t xml:space="preserve"> </w:t>
      </w:r>
      <w:r>
        <w:t xml:space="preserve">for gateway-dependent screening. Two further exposures are recorded here and carried in</w:t>
      </w:r>
      <w:r>
        <w:t xml:space="preserve"> </w:t>
      </w:r>
      <w:r>
        <w:rPr>
          <w:b/>
          <w:bCs/>
        </w:rPr>
        <w:t xml:space="preserve">Risk Register</w:t>
      </w:r>
      <w:r>
        <w:t xml:space="preserve">:</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Exposure</w:t>
            </w:r>
          </w:p>
        </w:tc>
        <w:tc>
          <w:tcPr>
            <w:shd w:val="clear" w:color="auto" w:fill="1F3864"/>
          </w:tcPr>
          <w:p>
            <w:pPr>
              <w:pStyle w:val="Compact"/>
              <w:jc w:val="left"/>
            </w:pPr>
            <w:r>
              <w:rPr>
                <w:b/>
                <w:color w:val="FFFFFF"/>
              </w:rPr>
              <w:t xml:space="preserve">Position</w:t>
            </w:r>
          </w:p>
        </w:tc>
      </w:tr>
      <w:tr>
        <w:tc>
          <w:tcPr/>
          <w:p>
            <w:pPr>
              <w:pStyle w:val="Compact"/>
              <w:jc w:val="left"/>
            </w:pPr>
            <w:r>
              <w:t xml:space="preserve">Observability and storage surface is not redacted</w:t>
            </w:r>
          </w:p>
        </w:tc>
        <w:tc>
          <w:tcPr/>
          <w:p>
            <w:pPr>
              <w:pStyle w:val="Compact"/>
              <w:jc w:val="left"/>
            </w:pPr>
            <w:r>
              <w:t xml:space="preserve">Log output, BigQuery telemetry and stored evidence are written without a redaction pass. Remediation is a redaction stage reusing the existing pattern set, applied in the log formatter and immediately before persistence</w:t>
            </w:r>
          </w:p>
        </w:tc>
      </w:tr>
      <w:tr>
        <w:tc>
          <w:tcPr/>
          <w:p>
            <w:pPr>
              <w:pStyle w:val="Compact"/>
              <w:jc w:val="left"/>
            </w:pPr>
            <w:r>
              <w:t xml:space="preserve">Application pattern coverage is narrower than managed detection</w:t>
            </w:r>
          </w:p>
        </w:tc>
        <w:tc>
          <w:tcPr/>
          <w:p>
            <w:pPr>
              <w:pStyle w:val="Compact"/>
              <w:jc w:val="left"/>
            </w:pPr>
            <w:r>
              <w:t xml:space="preserve">The application’s pattern set does not detect personal names, postal addresses, dates of birth, IBAN or non-UK national identifiers. Managed Sensitive Data Protection detection at the gateway covers these on the model path; the application path relies on the schema allow-list and remains narrower</w:t>
            </w:r>
          </w:p>
        </w:tc>
      </w:tr>
    </w:tbl>
    <w:bookmarkEnd w:id="215"/>
    <w:bookmarkEnd w:id="216"/>
    <w:bookmarkStart w:id="217" w:name="siem-integration-microsoft-sentinel"/>
    <w:p>
      <w:pPr>
        <w:pStyle w:val="Heading2"/>
      </w:pPr>
      <w:r>
        <w:t xml:space="preserve">10.11 SIEM integration — Microsoft Sentinel</w:t>
      </w:r>
    </w:p>
    <w:p>
      <w:pPr>
        <w:pStyle w:val="FirstParagraph"/>
      </w:pPr>
      <w:r>
        <w:t xml:space="preserve">Microsoft Sentinel is a centralised enterprise SIEM owned and operated by the Colt CSOC. The AICOE Platform Team neither runs nor manages it; the platform’s obligation is to route the correct logs to it, per CR-08 (security-relevant logs forwarded to Microsoft Sentinel). Detection engineering, correlation rules and incident response are held by the Colt CSOC.</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Aspect</w:t>
            </w:r>
          </w:p>
        </w:tc>
        <w:tc>
          <w:tcPr>
            <w:shd w:val="clear" w:color="auto" w:fill="1F3864"/>
          </w:tcPr>
          <w:p>
            <w:pPr>
              <w:pStyle w:val="Compact"/>
              <w:jc w:val="left"/>
            </w:pPr>
            <w:r>
              <w:rPr>
                <w:b/>
                <w:color w:val="FFFFFF"/>
              </w:rPr>
              <w:t xml:space="preserve">Configuration</w:t>
            </w:r>
          </w:p>
        </w:tc>
      </w:tr>
      <w:tr>
        <w:tc>
          <w:tcPr/>
          <w:p>
            <w:pPr>
              <w:pStyle w:val="Compact"/>
              <w:jc w:val="left"/>
            </w:pPr>
            <w:r>
              <w:t xml:space="preserve">Path</w:t>
            </w:r>
          </w:p>
        </w:tc>
        <w:tc>
          <w:tcPr/>
          <w:p>
            <w:pPr>
              <w:pStyle w:val="Compact"/>
              <w:jc w:val="left"/>
            </w:pPr>
            <w:r>
              <w:t xml:space="preserve">Folder sink</w:t>
            </w:r>
            <w:r>
              <w:t xml:space="preserve"> </w:t>
            </w:r>
            <w:r>
              <w:rPr>
                <w:rStyle w:val="VerbatimChar"/>
              </w:rPr>
              <w:t xml:space="preserve">aicoe-siem</w:t>
            </w:r>
            <w:r>
              <w:t xml:space="preserve"> </w:t>
            </w:r>
            <w:r>
              <w:t xml:space="preserve">to Pub/Sub topic</w:t>
            </w:r>
            <w:r>
              <w:t xml:space="preserve"> </w:t>
            </w:r>
            <w:r>
              <w:rPr>
                <w:rStyle w:val="VerbatimChar"/>
              </w:rPr>
              <w:t xml:space="preserve">aicoe-security-logs</w:t>
            </w:r>
            <w:r>
              <w:t xml:space="preserve"> </w:t>
            </w:r>
            <w:r>
              <w:t xml:space="preserve">in</w:t>
            </w:r>
            <w:r>
              <w:t xml:space="preserve"> </w:t>
            </w:r>
            <w:r>
              <w:rPr>
                <w:rStyle w:val="VerbatimChar"/>
              </w:rPr>
              <w:t xml:space="preserve">gclt-aicoe-dev-auditlogs</w:t>
            </w:r>
            <w:r>
              <w:t xml:space="preserve">, then to Microsoft Sentinel</w:t>
            </w:r>
          </w:p>
        </w:tc>
      </w:tr>
      <w:tr>
        <w:tc>
          <w:tcPr/>
          <w:p>
            <w:pPr>
              <w:pStyle w:val="Compact"/>
              <w:jc w:val="left"/>
            </w:pPr>
            <w:r>
              <w:t xml:space="preserve">Writer identity</w:t>
            </w:r>
          </w:p>
        </w:tc>
        <w:tc>
          <w:tcPr/>
          <w:p>
            <w:pPr>
              <w:pStyle w:val="Compact"/>
              <w:jc w:val="left"/>
            </w:pPr>
            <w:r>
              <w:t xml:space="preserve">Granted</w:t>
            </w:r>
            <w:r>
              <w:t xml:space="preserve"> </w:t>
            </w:r>
            <w:r>
              <w:rPr>
                <w:rStyle w:val="VerbatimChar"/>
              </w:rPr>
              <w:t xml:space="preserve">roles/pubsub.publisher</w:t>
            </w:r>
            <w:r>
              <w:t xml:space="preserve"> </w:t>
            </w:r>
            <w:r>
              <w:t xml:space="preserve">on the topic</w:t>
            </w:r>
          </w:p>
        </w:tc>
      </w:tr>
      <w:tr>
        <w:tc>
          <w:tcPr/>
          <w:p>
            <w:pPr>
              <w:pStyle w:val="Compact"/>
              <w:jc w:val="left"/>
            </w:pPr>
            <w:r>
              <w:t xml:space="preserve">Filter</w:t>
            </w:r>
          </w:p>
        </w:tc>
        <w:tc>
          <w:tcPr/>
          <w:p>
            <w:pPr>
              <w:pStyle w:val="Compact"/>
              <w:jc w:val="left"/>
            </w:pPr>
            <w:r>
              <w:t xml:space="preserve">Security-relevant records only — audit logs, IAP decisions, denied firewall traffic, Model Armor findings, and break-glass use</w:t>
            </w:r>
          </w:p>
        </w:tc>
      </w:tr>
      <w:tr>
        <w:tc>
          <w:tcPr/>
          <w:p>
            <w:pPr>
              <w:pStyle w:val="Compact"/>
              <w:jc w:val="left"/>
            </w:pPr>
            <w:r>
              <w:t xml:space="preserve">Scope</w:t>
            </w:r>
          </w:p>
        </w:tc>
        <w:tc>
          <w:tcPr/>
          <w:p>
            <w:pPr>
              <w:pStyle w:val="Compact"/>
              <w:jc w:val="left"/>
            </w:pPr>
            <w:r>
              <w:t xml:space="preserve">Folder-level with</w:t>
            </w:r>
            <w:r>
              <w:t xml:space="preserve"> </w:t>
            </w:r>
            <w:r>
              <w:rPr>
                <w:rStyle w:val="VerbatimChar"/>
              </w:rPr>
              <w:t xml:space="preserve">include_children</w:t>
            </w:r>
            <w:r>
              <w:t xml:space="preserve">, so Sandbox, Dev and Prod are all covered by one sink</w:t>
            </w:r>
          </w:p>
        </w:tc>
      </w:tr>
    </w:tbl>
    <w:p>
      <w:pPr>
        <w:pStyle w:val="BodyText"/>
      </w:pPr>
      <w:r>
        <w:t xml:space="preserve">The sink filter is:</w:t>
      </w:r>
    </w:p>
    <w:p>
      <w:pPr>
        <w:pStyle w:val="SourceCode"/>
      </w:pPr>
      <w:r>
        <w:rPr>
          <w:rStyle w:val="VerbatimChar"/>
        </w:rPr>
        <w:t xml:space="preserve">logName:"cloudaudit.googleapis.com" OR</w:t>
      </w:r>
      <w:r>
        <w:br/>
      </w:r>
      <w:r>
        <w:rPr>
          <w:rStyle w:val="VerbatimChar"/>
        </w:rPr>
        <w:t xml:space="preserve">logName:"iap.googleapis.com" OR</w:t>
      </w:r>
      <w:r>
        <w:br/>
      </w:r>
      <w:r>
        <w:rPr>
          <w:rStyle w:val="VerbatimChar"/>
        </w:rPr>
        <w:t xml:space="preserve">jsonPayload.@type:"firewall" OR</w:t>
      </w:r>
      <w:r>
        <w:br/>
      </w:r>
      <w:r>
        <w:rPr>
          <w:rStyle w:val="VerbatimChar"/>
        </w:rPr>
        <w:t xml:space="preserve">protoPayload.serviceName="apigee.googleapis.com"</w:t>
      </w:r>
    </w:p>
    <w:p>
      <w:pPr>
        <w:pStyle w:val="FirstParagraph"/>
      </w:pPr>
      <w:r>
        <w:t xml:space="preserve">The filter is a commercial control as well as a technical one: SIEM products are priced on ingested volume, so Cloud Run application and debug logs are deliberately excluded.</w:t>
      </w:r>
    </w:p>
    <w:p>
      <w:pPr>
        <w:pStyle w:val="BodyText"/>
      </w:pPr>
      <w:r>
        <w:rPr>
          <w:b/>
          <w:bCs/>
        </w:rPr>
        <w:t xml:space="preserve">Cross-cloud correlation.</w:t>
      </w:r>
      <w:r>
        <w:t xml:space="preserve"> </w:t>
      </w:r>
      <w:r>
        <w:t xml:space="preserve">Correlation relies on the user’s principal identifier, which appears in both Entra sign-in events and IAP decisions and allows the two estates’ logs to be joined. This makes three detections possible that neither source supports alone: repeated 403 responses across backends, indicating entitlement probing; IAP binding changes made outside the platform administrator group; and Google Cloud access grants with no corresponding Entra group change.</w:t>
      </w:r>
    </w:p>
    <w:bookmarkEnd w:id="217"/>
    <w:bookmarkStart w:id="221" w:name="ai-consumption-abuse-and-cost-protection"/>
    <w:p>
      <w:pPr>
        <w:pStyle w:val="Heading2"/>
      </w:pPr>
      <w:r>
        <w:t xml:space="preserve">10.12 AI consumption abuse and cost protection</w:t>
      </w:r>
    </w:p>
    <w:p>
      <w:pPr>
        <w:pStyle w:val="FirstParagraph"/>
      </w:pPr>
      <w:r>
        <w:t xml:space="preserve">CR-24 (AI consumption abuse controls) addresses consumption of model spend faster than it is noticed, whether by a malicious caller or a defective one.</w:t>
      </w:r>
    </w:p>
    <w:bookmarkStart w:id="218" w:name="request-admission-and-rate-limiting"/>
    <w:p>
      <w:pPr>
        <w:pStyle w:val="Heading3"/>
      </w:pPr>
      <w:r>
        <w:t xml:space="preserve">10.12.1 Request admission and rate limiting</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Layer</w:t>
            </w:r>
          </w:p>
        </w:tc>
        <w:tc>
          <w:tcPr>
            <w:shd w:val="clear" w:color="auto" w:fill="1F3864"/>
          </w:tcPr>
          <w:p>
            <w:pPr>
              <w:pStyle w:val="Compact"/>
              <w:jc w:val="left"/>
            </w:pPr>
            <w:r>
              <w:rPr>
                <w:b/>
                <w:color w:val="FFFFFF"/>
              </w:rPr>
              <w:t xml:space="preserve">Configuration</w:t>
            </w:r>
          </w:p>
        </w:tc>
        <w:tc>
          <w:tcPr>
            <w:shd w:val="clear" w:color="auto" w:fill="1F3864"/>
          </w:tcPr>
          <w:p>
            <w:pPr>
              <w:pStyle w:val="Compact"/>
              <w:jc w:val="left"/>
            </w:pPr>
            <w:r>
              <w:rPr>
                <w:b/>
                <w:color w:val="FFFFFF"/>
              </w:rPr>
              <w:t xml:space="preserve">Purpose</w:t>
            </w:r>
          </w:p>
        </w:tc>
      </w:tr>
      <w:tr>
        <w:tc>
          <w:tcPr/>
          <w:p>
            <w:pPr>
              <w:pStyle w:val="Compact"/>
              <w:jc w:val="left"/>
            </w:pPr>
            <w:r>
              <w:rPr>
                <w:rStyle w:val="VerbatimChar"/>
              </w:rPr>
              <w:t xml:space="preserve">SpikeArrest</w:t>
            </w:r>
            <w:r>
              <w:t xml:space="preserve"> </w:t>
            </w:r>
            <w:r>
              <w:t xml:space="preserve">on</w:t>
            </w:r>
            <w:r>
              <w:t xml:space="preserve"> </w:t>
            </w:r>
            <w:r>
              <w:rPr>
                <w:rStyle w:val="VerbatimChar"/>
              </w:rPr>
              <w:t xml:space="preserve">oid</w:t>
            </w:r>
          </w:p>
        </w:tc>
        <w:tc>
          <w:tcPr/>
          <w:p>
            <w:pPr>
              <w:pStyle w:val="Compact"/>
              <w:jc w:val="left"/>
            </w:pPr>
            <w:r>
              <w:t xml:space="preserve">Apigee</w:t>
            </w:r>
            <w:r>
              <w:t xml:space="preserve"> </w:t>
            </w:r>
            <w:r>
              <w:rPr>
                <w:rStyle w:val="VerbatimChar"/>
              </w:rPr>
              <w:t xml:space="preserve">int</w:t>
            </w:r>
            <w:r>
              <w:t xml:space="preserve"> </w:t>
            </w:r>
            <w:r>
              <w:t xml:space="preserve">and</w:t>
            </w:r>
            <w:r>
              <w:t xml:space="preserve"> </w:t>
            </w:r>
            <w:r>
              <w:rPr>
                <w:rStyle w:val="VerbatimChar"/>
              </w:rPr>
              <w:t xml:space="preserve">llm</w:t>
            </w:r>
          </w:p>
        </w:tc>
        <w:tc>
          <w:tcPr/>
          <w:p>
            <w:pPr>
              <w:pStyle w:val="Compact"/>
              <w:jc w:val="left"/>
            </w:pPr>
            <w:r>
              <w:rPr>
                <w:rStyle w:val="VerbatimChar"/>
              </w:rPr>
              <w:t xml:space="preserve">UseEffectiveCount</w:t>
            </w:r>
            <w:r>
              <w:t xml:space="preserve"> </w:t>
            </w:r>
            <w:r>
              <w:t xml:space="preserve">true</w:t>
            </w:r>
          </w:p>
        </w:tc>
        <w:tc>
          <w:tcPr/>
          <w:p>
            <w:pPr>
              <w:pStyle w:val="Compact"/>
              <w:jc w:val="left"/>
            </w:pPr>
            <w:r>
              <w:t xml:space="preserve">Sheds load before authentication is evaluated</w:t>
            </w:r>
          </w:p>
        </w:tc>
      </w:tr>
      <w:tr>
        <w:tc>
          <w:tcPr/>
          <w:p>
            <w:pPr>
              <w:pStyle w:val="Compact"/>
              <w:jc w:val="left"/>
            </w:pPr>
            <w:r>
              <w:rPr>
                <w:rStyle w:val="VerbatimChar"/>
              </w:rPr>
              <w:t xml:space="preserve">Quota</w:t>
            </w:r>
            <w:r>
              <w:t xml:space="preserve"> </w:t>
            </w:r>
            <w:r>
              <w:t xml:space="preserve">per minute and per day on</w:t>
            </w:r>
            <w:r>
              <w:t xml:space="preserve"> </w:t>
            </w:r>
            <w:r>
              <w:rPr>
                <w:rStyle w:val="VerbatimChar"/>
              </w:rPr>
              <w:t xml:space="preserve">oid</w:t>
            </w:r>
          </w:p>
        </w:tc>
        <w:tc>
          <w:tcPr/>
          <w:p>
            <w:pPr>
              <w:pStyle w:val="Compact"/>
              <w:jc w:val="left"/>
            </w:pPr>
            <w:r>
              <w:t xml:space="preserve">Apigee</w:t>
            </w:r>
            <w:r>
              <w:t xml:space="preserve"> </w:t>
            </w:r>
            <w:r>
              <w:rPr>
                <w:rStyle w:val="VerbatimChar"/>
              </w:rPr>
              <w:t xml:space="preserve">int</w:t>
            </w:r>
          </w:p>
        </w:tc>
        <w:tc>
          <w:tcPr/>
          <w:p>
            <w:pPr>
              <w:pStyle w:val="Compact"/>
              <w:jc w:val="left"/>
            </w:pPr>
            <w:r>
              <w:t xml:space="preserve">60 and 5,000 standard; 300 and 20,000 power</w:t>
            </w:r>
          </w:p>
        </w:tc>
        <w:tc>
          <w:tcPr/>
          <w:p>
            <w:pPr>
              <w:pStyle w:val="Compact"/>
              <w:jc w:val="left"/>
            </w:pPr>
            <w:r>
              <w:t xml:space="preserve">Abuse control and fair-use ceiling</w:t>
            </w:r>
          </w:p>
        </w:tc>
      </w:tr>
      <w:tr>
        <w:tc>
          <w:tcPr/>
          <w:p>
            <w:pPr>
              <w:pStyle w:val="Compact"/>
              <w:jc w:val="left"/>
            </w:pPr>
            <w:r>
              <w:rPr>
                <w:rStyle w:val="VerbatimChar"/>
              </w:rPr>
              <w:t xml:space="preserve">PromptTokenLimit</w:t>
            </w:r>
          </w:p>
        </w:tc>
        <w:tc>
          <w:tcPr/>
          <w:p>
            <w:pPr>
              <w:pStyle w:val="Compact"/>
              <w:jc w:val="left"/>
            </w:pPr>
            <w:r>
              <w:t xml:space="preserve">Apigee</w:t>
            </w:r>
            <w:r>
              <w:t xml:space="preserve"> </w:t>
            </w:r>
            <w:r>
              <w:rPr>
                <w:rStyle w:val="VerbatimChar"/>
              </w:rPr>
              <w:t xml:space="preserve">llm</w:t>
            </w:r>
          </w:p>
        </w:tc>
        <w:tc>
          <w:tcPr/>
          <w:p>
            <w:pPr>
              <w:pStyle w:val="Compact"/>
              <w:jc w:val="left"/>
            </w:pPr>
            <w:r>
              <w:t xml:space="preserve">Per API Product</w:t>
            </w:r>
          </w:p>
        </w:tc>
        <w:tc>
          <w:tcPr/>
          <w:p>
            <w:pPr>
              <w:pStyle w:val="Compact"/>
              <w:jc w:val="left"/>
            </w:pPr>
            <w:r>
              <w:t xml:space="preserve">Bounds a single oversized prompt</w:t>
            </w:r>
          </w:p>
        </w:tc>
      </w:tr>
      <w:tr>
        <w:tc>
          <w:tcPr/>
          <w:p>
            <w:pPr>
              <w:pStyle w:val="Compact"/>
              <w:jc w:val="left"/>
            </w:pPr>
            <w:r>
              <w:rPr>
                <w:rStyle w:val="VerbatimChar"/>
              </w:rPr>
              <w:t xml:space="preserve">LLMTokenQuota</w:t>
            </w:r>
            <w:r>
              <w:t xml:space="preserve">, enforce and count</w:t>
            </w:r>
          </w:p>
        </w:tc>
        <w:tc>
          <w:tcPr/>
          <w:p>
            <w:pPr>
              <w:pStyle w:val="Compact"/>
              <w:jc w:val="left"/>
            </w:pPr>
            <w:r>
              <w:t xml:space="preserve">Apigee</w:t>
            </w:r>
            <w:r>
              <w:t xml:space="preserve"> </w:t>
            </w:r>
            <w:r>
              <w:rPr>
                <w:rStyle w:val="VerbatimChar"/>
              </w:rPr>
              <w:t xml:space="preserve">llm</w:t>
            </w:r>
          </w:p>
        </w:tc>
        <w:tc>
          <w:tcPr/>
          <w:p>
            <w:pPr>
              <w:pStyle w:val="Compact"/>
              <w:jc w:val="left"/>
            </w:pPr>
            <w:r>
              <w:t xml:space="preserve">200,000 to 5,000,000 tokens per day by product</w:t>
            </w:r>
          </w:p>
        </w:tc>
        <w:tc>
          <w:tcPr/>
          <w:p>
            <w:pPr>
              <w:pStyle w:val="Compact"/>
              <w:jc w:val="left"/>
            </w:pPr>
            <w:r>
              <w:t xml:space="preserve">The consumption budget. Returns 429</w:t>
            </w:r>
          </w:p>
        </w:tc>
      </w:tr>
      <w:tr>
        <w:tc>
          <w:tcPr/>
          <w:p>
            <w:pPr>
              <w:pStyle w:val="Compact"/>
              <w:jc w:val="left"/>
            </w:pPr>
            <w:r>
              <w:rPr>
                <w:rStyle w:val="VerbatimChar"/>
              </w:rPr>
              <w:t xml:space="preserve">FaultRule</w:t>
            </w:r>
            <w:r>
              <w:t xml:space="preserve"> </w:t>
            </w:r>
            <w:r>
              <w:t xml:space="preserve">returning 429 with</w:t>
            </w:r>
            <w:r>
              <w:t xml:space="preserve"> </w:t>
            </w:r>
            <w:r>
              <w:rPr>
                <w:rStyle w:val="VerbatimChar"/>
              </w:rPr>
              <w:t xml:space="preserve">Retry-After</w:t>
            </w:r>
          </w:p>
        </w:tc>
        <w:tc>
          <w:tcPr/>
          <w:p>
            <w:pPr>
              <w:pStyle w:val="Compact"/>
              <w:jc w:val="left"/>
            </w:pPr>
            <w:r>
              <w:t xml:space="preserve">Apigee</w:t>
            </w:r>
            <w:r>
              <w:t xml:space="preserve"> </w:t>
            </w:r>
            <w:r>
              <w:rPr>
                <w:rStyle w:val="VerbatimChar"/>
              </w:rPr>
              <w:t xml:space="preserve">int</w:t>
            </w:r>
          </w:p>
        </w:tc>
        <w:tc>
          <w:tcPr/>
          <w:p>
            <w:pPr>
              <w:pStyle w:val="Compact"/>
              <w:jc w:val="left"/>
            </w:pPr>
            <w:r>
              <w:t xml:space="preserve">Catches quota and spike-arrest faults</w:t>
            </w:r>
          </w:p>
        </w:tc>
        <w:tc>
          <w:tcPr/>
          <w:p>
            <w:pPr>
              <w:pStyle w:val="Compact"/>
              <w:jc w:val="left"/>
            </w:pPr>
            <w:r>
              <w:t xml:space="preserve">The default 500 response causes well-behaved clients to retry immediately</w:t>
            </w:r>
          </w:p>
        </w:tc>
      </w:tr>
      <w:tr>
        <w:tc>
          <w:tcPr/>
          <w:p>
            <w:pPr>
              <w:pStyle w:val="Compact"/>
              <w:jc w:val="left"/>
            </w:pPr>
            <w:r>
              <w:t xml:space="preserve">Cloud Tasks dispatch rate</w:t>
            </w:r>
          </w:p>
        </w:tc>
        <w:tc>
          <w:tcPr/>
          <w:p>
            <w:pPr>
              <w:pStyle w:val="Compact"/>
              <w:jc w:val="left"/>
            </w:pPr>
            <w:r>
              <w:rPr>
                <w:rStyle w:val="VerbatimChar"/>
              </w:rPr>
              <w:t xml:space="preserve">gclt-aicoe-dev-st</w:t>
            </w:r>
          </w:p>
        </w:tc>
        <w:tc>
          <w:tcPr/>
          <w:p>
            <w:pPr>
              <w:pStyle w:val="Compact"/>
              <w:jc w:val="left"/>
            </w:pPr>
            <w:r>
              <w:t xml:space="preserve">5 per second, 10 concurrent</w:t>
            </w:r>
          </w:p>
        </w:tc>
        <w:tc>
          <w:tcPr/>
          <w:p>
            <w:pPr>
              <w:pStyle w:val="Compact"/>
              <w:jc w:val="left"/>
            </w:pPr>
            <w:r>
              <w:t xml:space="preserve">Backpressure on the asynchronous path</w:t>
            </w:r>
          </w:p>
        </w:tc>
      </w:tr>
    </w:tbl>
    <w:bookmarkEnd w:id="218"/>
    <w:bookmarkStart w:id="219" w:name="runtime-execution-bounds"/>
    <w:p>
      <w:pPr>
        <w:pStyle w:val="Heading3"/>
      </w:pPr>
      <w:r>
        <w:t xml:space="preserve">10.12.2 Runtime execution bounds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Configuration</w:t>
            </w:r>
          </w:p>
        </w:tc>
      </w:tr>
      <w:tr>
        <w:tc>
          <w:tcPr/>
          <w:p>
            <w:pPr>
              <w:pStyle w:val="Compact"/>
              <w:jc w:val="left"/>
            </w:pPr>
            <w:r>
              <w:t xml:space="preserve">Cloud Run maximum instances</w:t>
            </w:r>
          </w:p>
        </w:tc>
        <w:tc>
          <w:tcPr/>
          <w:p>
            <w:pPr>
              <w:pStyle w:val="Compact"/>
              <w:jc w:val="left"/>
            </w:pPr>
            <w:r>
              <w:t xml:space="preserve">127 across the workload subnet, allocated per service, per TR-21 (Cloud Run instance ceiling)</w:t>
            </w:r>
          </w:p>
        </w:tc>
      </w:tr>
      <w:tr>
        <w:tc>
          <w:tcPr/>
          <w:p>
            <w:pPr>
              <w:pStyle w:val="Compact"/>
              <w:jc w:val="left"/>
            </w:pPr>
            <w:r>
              <w:t xml:space="preserve">Cloud Run request timeout</w:t>
            </w:r>
          </w:p>
        </w:tc>
        <w:tc>
          <w:tcPr/>
          <w:p>
            <w:pPr>
              <w:pStyle w:val="Compact"/>
              <w:jc w:val="left"/>
            </w:pPr>
            <w:r>
              <w:t xml:space="preserve">600 s for API services, 3,600 s for the worker, per PR-14 (Cloud Run request timeout)</w:t>
            </w:r>
          </w:p>
        </w:tc>
      </w:tr>
      <w:tr>
        <w:tc>
          <w:tcPr/>
          <w:p>
            <w:pPr>
              <w:pStyle w:val="Compact"/>
              <w:jc w:val="left"/>
            </w:pPr>
            <w:r>
              <w:t xml:space="preserve">Cloud Tasks maximum attempts and retry duration</w:t>
            </w:r>
          </w:p>
        </w:tc>
        <w:tc>
          <w:tcPr/>
          <w:p>
            <w:pPr>
              <w:pStyle w:val="Compact"/>
              <w:jc w:val="left"/>
            </w:pPr>
            <w:r>
              <w:t xml:space="preserve">3 attempts, 3,600 s</w:t>
            </w:r>
          </w:p>
        </w:tc>
      </w:tr>
      <w:tr>
        <w:tc>
          <w:tcPr/>
          <w:p>
            <w:pPr>
              <w:pStyle w:val="Compact"/>
              <w:jc w:val="left"/>
            </w:pPr>
            <w:r>
              <w:t xml:space="preserve">Refresh loser cap</w:t>
            </w:r>
          </w:p>
        </w:tc>
        <w:tc>
          <w:tcPr/>
          <w:p>
            <w:pPr>
              <w:pStyle w:val="Compact"/>
              <w:jc w:val="left"/>
            </w:pPr>
            <w:r>
              <w:t xml:space="preserve">Approximately 2 s, then 503, per PR-12 (refresh loser maximum wait)</w:t>
            </w:r>
          </w:p>
        </w:tc>
      </w:tr>
      <w:tr>
        <w:tc>
          <w:tcPr/>
          <w:p>
            <w:pPr>
              <w:pStyle w:val="Compact"/>
              <w:jc w:val="left"/>
            </w:pPr>
            <w:r>
              <w:t xml:space="preserve">Firestore circuit break</w:t>
            </w:r>
          </w:p>
        </w:tc>
        <w:tc>
          <w:tcPr/>
          <w:p>
            <w:pPr>
              <w:pStyle w:val="Compact"/>
              <w:jc w:val="left"/>
            </w:pPr>
            <w:r>
              <w:t xml:space="preserve">Fast 503 rather than waiting on timeouts</w:t>
            </w:r>
          </w:p>
        </w:tc>
      </w:tr>
      <w:tr>
        <w:tc>
          <w:tcPr/>
          <w:p>
            <w:pPr>
              <w:pStyle w:val="Compact"/>
              <w:jc w:val="left"/>
            </w:pPr>
            <w:r>
              <w:t xml:space="preserve">Model allow-list</w:t>
            </w:r>
          </w:p>
        </w:tc>
        <w:tc>
          <w:tcPr/>
          <w:p>
            <w:pPr>
              <w:pStyle w:val="Compact"/>
              <w:jc w:val="left"/>
            </w:pPr>
            <w:r>
              <w:t xml:space="preserve">The</w:t>
            </w:r>
            <w:r>
              <w:t xml:space="preserve"> </w:t>
            </w:r>
            <w:r>
              <w:rPr>
                <w:rStyle w:val="VerbatimChar"/>
              </w:rPr>
              <w:t xml:space="preserve">allowed-models</w:t>
            </w:r>
            <w:r>
              <w:t xml:space="preserve"> </w:t>
            </w:r>
            <w:r>
              <w:t xml:space="preserve">key value map. An unlisted model cannot be selected</w:t>
            </w:r>
          </w:p>
        </w:tc>
      </w:tr>
      <w:tr>
        <w:tc>
          <w:tcPr/>
          <w:p>
            <w:pPr>
              <w:pStyle w:val="Compact"/>
              <w:jc w:val="left"/>
            </w:pPr>
            <w:r>
              <w:t xml:space="preserve">Forced</w:t>
            </w:r>
            <w:r>
              <w:t xml:space="preserve"> </w:t>
            </w:r>
            <w:r>
              <w:rPr>
                <w:rStyle w:val="VerbatimChar"/>
              </w:rPr>
              <w:t xml:space="preserve">safetySettings</w:t>
            </w:r>
          </w:p>
        </w:tc>
        <w:tc>
          <w:tcPr/>
          <w:p>
            <w:pPr>
              <w:pStyle w:val="Compact"/>
              <w:jc w:val="left"/>
            </w:pPr>
            <w:r>
              <w:t xml:space="preserve">Set by the gateway proxy, so a caller cannot weaken them</w:t>
            </w:r>
          </w:p>
        </w:tc>
      </w:tr>
    </w:tbl>
    <w:bookmarkEnd w:id="219"/>
    <w:bookmarkStart w:id="220" w:name="budget-thresholds-and-cost-alerting"/>
    <w:p>
      <w:pPr>
        <w:pStyle w:val="Heading3"/>
      </w:pPr>
      <w:r>
        <w:t xml:space="preserve">10.12.3 Budget thresholds and cost alerting</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Position</w:t>
            </w:r>
          </w:p>
        </w:tc>
      </w:tr>
      <w:tr>
        <w:tc>
          <w:tcPr/>
          <w:p>
            <w:pPr>
              <w:pStyle w:val="Compact"/>
              <w:jc w:val="left"/>
            </w:pPr>
            <w:r>
              <w:t xml:space="preserve">Automatic cut-off</w:t>
            </w:r>
          </w:p>
        </w:tc>
        <w:tc>
          <w:tcPr/>
          <w:p>
            <w:pPr>
              <w:pStyle w:val="Compact"/>
              <w:jc w:val="left"/>
            </w:pPr>
            <w:r>
              <w:rPr>
                <w:rStyle w:val="VerbatimChar"/>
              </w:rPr>
              <w:t xml:space="preserve">LLMTokenQuota</w:t>
            </w:r>
            <w:r>
              <w:t xml:space="preserve"> </w:t>
            </w:r>
            <w:r>
              <w:t xml:space="preserve">is the cut-off. A caller exhausting its allowance receives 429 until the interval resets</w:t>
            </w:r>
          </w:p>
        </w:tc>
      </w:tr>
      <w:tr>
        <w:tc>
          <w:tcPr/>
          <w:p>
            <w:pPr>
              <w:pStyle w:val="Compact"/>
              <w:jc w:val="left"/>
            </w:pPr>
            <w:r>
              <w:t xml:space="preserve">Token consumption reporting</w:t>
            </w:r>
          </w:p>
        </w:tc>
        <w:tc>
          <w:tcPr/>
          <w:p>
            <w:pPr>
              <w:pStyle w:val="Compact"/>
              <w:jc w:val="left"/>
            </w:pPr>
            <w:r>
              <w:t xml:space="preserve">The Apigee Tokens Consumption Report by Developer App and Product, plus the BigQuery export</w:t>
            </w:r>
          </w:p>
        </w:tc>
      </w:tr>
      <w:tr>
        <w:tc>
          <w:tcPr/>
          <w:p>
            <w:pPr>
              <w:pStyle w:val="Compact"/>
              <w:jc w:val="left"/>
            </w:pPr>
            <w:r>
              <w:t xml:space="preserve">Rate-limit metric</w:t>
            </w:r>
          </w:p>
        </w:tc>
        <w:tc>
          <w:tcPr/>
          <w:p>
            <w:pPr>
              <w:pStyle w:val="Compact"/>
              <w:jc w:val="left"/>
            </w:pPr>
            <w:r>
              <w:t xml:space="preserve">The</w:t>
            </w:r>
            <w:r>
              <w:t xml:space="preserve"> </w:t>
            </w:r>
            <w:r>
              <w:rPr>
                <w:rStyle w:val="VerbatimChar"/>
              </w:rPr>
              <w:t xml:space="preserve">rate-limit-429</w:t>
            </w:r>
            <w:r>
              <w:t xml:space="preserve"> </w:t>
            </w:r>
            <w:r>
              <w:t xml:space="preserve">log-based metric. A sustained increase for a business unit is a medium-urgency alert, per</w:t>
            </w:r>
            <w:r>
              <w:t xml:space="preserve"> </w:t>
            </w:r>
            <w:r>
              <w:rPr>
                <w:b/>
                <w:bCs/>
              </w:rPr>
              <w:t xml:space="preserve">TechOps — Logging, Monitoring and Cost</w:t>
            </w:r>
          </w:p>
        </w:tc>
      </w:tr>
      <w:tr>
        <w:tc>
          <w:tcPr/>
          <w:p>
            <w:pPr>
              <w:pStyle w:val="Compact"/>
              <w:jc w:val="left"/>
            </w:pPr>
            <w:r>
              <w:t xml:space="preserve">Per-project budget alerts</w:t>
            </w:r>
          </w:p>
        </w:tc>
        <w:tc>
          <w:tcPr/>
          <w:p>
            <w:pPr>
              <w:pStyle w:val="Compact"/>
              <w:jc w:val="left"/>
            </w:pPr>
            <w:r>
              <w:t xml:space="preserve">Not yet configured. Required before go-live</w:t>
            </w:r>
          </w:p>
        </w:tc>
      </w:tr>
      <w:tr>
        <w:tc>
          <w:tcPr/>
          <w:p>
            <w:pPr>
              <w:pStyle w:val="Compact"/>
              <w:jc w:val="left"/>
            </w:pPr>
            <w:r>
              <w:t xml:space="preserve">Alert on Extensible-proxy call volume</w:t>
            </w:r>
          </w:p>
        </w:tc>
        <w:tc>
          <w:tcPr/>
          <w:p>
            <w:pPr>
              <w:pStyle w:val="Compact"/>
              <w:jc w:val="left"/>
            </w:pPr>
            <w:r>
              <w:t xml:space="preserve">Not yet configured. This is the cost line most likely to move unexpectedly, and is recorded with the item above</w:t>
            </w:r>
          </w:p>
        </w:tc>
      </w:tr>
    </w:tbl>
    <w:bookmarkEnd w:id="220"/>
    <w:bookmarkEnd w:id="221"/>
    <w:bookmarkStart w:id="228" w:name="emergency-termination-kill-switch"/>
    <w:p>
      <w:pPr>
        <w:pStyle w:val="Heading2"/>
      </w:pPr>
      <w:r>
        <w:t xml:space="preserve">10.13 Emergency termination — kill switch</w:t>
      </w:r>
    </w:p>
    <w:p>
      <w:pPr>
        <w:pStyle w:val="FirstParagraph"/>
      </w:pPr>
      <w:r>
        <w:t xml:space="preserve">CR-25 (documented and rehearsed capability to terminate active sessions and agent activity) requires a defined, exercised termination capability rather than an improvised response.</w:t>
      </w:r>
    </w:p>
    <w:bookmarkStart w:id="222" w:name="trigger-conditions"/>
    <w:p>
      <w:pPr>
        <w:pStyle w:val="Heading3"/>
      </w:pPr>
      <w:r>
        <w:t xml:space="preserve">10.13.1 Trigger conditions</w:t>
      </w:r>
    </w:p>
    <w:p>
      <w:pPr>
        <w:pStyle w:val="Compact"/>
        <w:numPr>
          <w:ilvl w:val="0"/>
          <w:numId w:val="1022"/>
        </w:numPr>
      </w:pPr>
      <w:r>
        <w:t xml:space="preserve">Confirmed credential compromise — an Entra account, an Apigee developer app key, or a service account.</w:t>
      </w:r>
    </w:p>
    <w:p>
      <w:pPr>
        <w:pStyle w:val="Compact"/>
        <w:numPr>
          <w:ilvl w:val="0"/>
          <w:numId w:val="1022"/>
        </w:numPr>
      </w:pPr>
      <w:r>
        <w:t xml:space="preserve">A sharp and sustained rise in the Model Armor block rate, indicating an attack rather than a false-positive problem.</w:t>
      </w:r>
    </w:p>
    <w:p>
      <w:pPr>
        <w:pStyle w:val="Compact"/>
        <w:numPr>
          <w:ilvl w:val="0"/>
          <w:numId w:val="1022"/>
        </w:numPr>
      </w:pPr>
      <w:r>
        <w:t xml:space="preserve">Use of the break-glass account without an approved request.</w:t>
      </w:r>
    </w:p>
    <w:p>
      <w:pPr>
        <w:pStyle w:val="Compact"/>
        <w:numPr>
          <w:ilvl w:val="0"/>
          <w:numId w:val="1022"/>
        </w:numPr>
      </w:pPr>
      <w:r>
        <w:t xml:space="preserve">An Apigee proxy deployed by a principal other than the pipeline service account.</w:t>
      </w:r>
    </w:p>
    <w:p>
      <w:pPr>
        <w:pStyle w:val="Compact"/>
        <w:numPr>
          <w:ilvl w:val="0"/>
          <w:numId w:val="1022"/>
        </w:numPr>
      </w:pPr>
      <w:r>
        <w:t xml:space="preserve">Modification of audit configuration or of a log sink — the standard precursor to an attacker suppressing evidence.</w:t>
      </w:r>
    </w:p>
    <w:p>
      <w:pPr>
        <w:pStyle w:val="Compact"/>
        <w:numPr>
          <w:ilvl w:val="0"/>
          <w:numId w:val="1022"/>
        </w:numPr>
      </w:pPr>
      <w:r>
        <w:t xml:space="preserve">Runaway consumption against the Vertex AI quota pool.</w:t>
      </w:r>
    </w:p>
    <w:bookmarkEnd w:id="222"/>
    <w:bookmarkStart w:id="223" w:name="authority-and-roles"/>
    <w:p>
      <w:pPr>
        <w:pStyle w:val="Heading3"/>
      </w:pPr>
      <w:r>
        <w:t xml:space="preserve">10.13.2 Authority and roles</w:t>
      </w:r>
    </w:p>
    <w:p>
      <w:pPr>
        <w:pStyle w:val="FirstParagraph"/>
      </w:pPr>
      <w:r>
        <w:t xml:space="preserve">Incident authority follows</w:t>
      </w:r>
      <w:r>
        <w:t xml:space="preserve"> </w:t>
      </w:r>
      <w:r>
        <w:rPr>
          <w:b/>
          <w:bCs/>
        </w:rPr>
        <w:t xml:space="preserve">RACI — roles and responsibilities</w:t>
      </w:r>
      <w:r>
        <w:t xml:space="preserve">, in which Colt CSOC is accountable for emergency termination and for security incident response, and the AICOE Platform Team and Platform Operate are responsible for executing containment.</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Role</w:t>
            </w:r>
          </w:p>
        </w:tc>
        <w:tc>
          <w:tcPr>
            <w:shd w:val="clear" w:color="auto" w:fill="1F3864"/>
          </w:tcPr>
          <w:p>
            <w:pPr>
              <w:pStyle w:val="Compact"/>
              <w:jc w:val="left"/>
            </w:pPr>
            <w:r>
              <w:rPr>
                <w:b/>
                <w:color w:val="FFFFFF"/>
              </w:rPr>
              <w:t xml:space="preserve">Held by</w:t>
            </w:r>
          </w:p>
        </w:tc>
        <w:tc>
          <w:tcPr>
            <w:shd w:val="clear" w:color="auto" w:fill="1F3864"/>
          </w:tcPr>
          <w:p>
            <w:pPr>
              <w:pStyle w:val="Compact"/>
              <w:jc w:val="left"/>
            </w:pPr>
            <w:r>
              <w:rPr>
                <w:b/>
                <w:color w:val="FFFFFF"/>
              </w:rPr>
              <w:t xml:space="preserve">Responsibility during an incident</w:t>
            </w:r>
          </w:p>
        </w:tc>
      </w:tr>
      <w:tr>
        <w:tc>
          <w:tcPr/>
          <w:p>
            <w:pPr>
              <w:pStyle w:val="Compact"/>
              <w:jc w:val="left"/>
            </w:pPr>
            <w:r>
              <w:t xml:space="preserve">Incident lead</w:t>
            </w:r>
          </w:p>
        </w:tc>
        <w:tc>
          <w:tcPr/>
          <w:p>
            <w:pPr>
              <w:pStyle w:val="Compact"/>
              <w:jc w:val="left"/>
            </w:pPr>
            <w:r>
              <w:t xml:space="preserve">Colt CSOC</w:t>
            </w:r>
          </w:p>
        </w:tc>
        <w:tc>
          <w:tcPr/>
          <w:p>
            <w:pPr>
              <w:pStyle w:val="Compact"/>
              <w:jc w:val="left"/>
            </w:pPr>
            <w:r>
              <w:t xml:space="preserve">Declares the incident, sets the containment tier, owns communication</w:t>
            </w:r>
          </w:p>
        </w:tc>
      </w:tr>
      <w:tr>
        <w:tc>
          <w:tcPr/>
          <w:p>
            <w:pPr>
              <w:pStyle w:val="Compact"/>
              <w:jc w:val="left"/>
            </w:pPr>
            <w:r>
              <w:t xml:space="preserve">Platform operator</w:t>
            </w:r>
          </w:p>
        </w:tc>
        <w:tc>
          <w:tcPr/>
          <w:p>
            <w:pPr>
              <w:pStyle w:val="Compact"/>
              <w:jc w:val="left"/>
            </w:pPr>
            <w:r>
              <w:t xml:space="preserve">AICOE Platform Team and Platform Operate</w:t>
            </w:r>
          </w:p>
        </w:tc>
        <w:tc>
          <w:tcPr/>
          <w:p>
            <w:pPr>
              <w:pStyle w:val="Compact"/>
              <w:jc w:val="left"/>
            </w:pPr>
            <w:r>
              <w:t xml:space="preserve">Executes containment actions</w:t>
            </w:r>
          </w:p>
        </w:tc>
      </w:tr>
      <w:tr>
        <w:tc>
          <w:tcPr/>
          <w:p>
            <w:pPr>
              <w:pStyle w:val="Compact"/>
              <w:jc w:val="left"/>
            </w:pPr>
            <w:r>
              <w:t xml:space="preserve">Identity operator</w:t>
            </w:r>
          </w:p>
        </w:tc>
        <w:tc>
          <w:tcPr/>
          <w:p>
            <w:pPr>
              <w:pStyle w:val="Compact"/>
              <w:jc w:val="left"/>
            </w:pPr>
            <w:r>
              <w:t xml:space="preserve">Colt identity function, coordinated by the Colt Cloud CoE</w:t>
            </w:r>
          </w:p>
        </w:tc>
        <w:tc>
          <w:tcPr/>
          <w:p>
            <w:pPr>
              <w:pStyle w:val="Compact"/>
              <w:jc w:val="left"/>
            </w:pPr>
            <w:r>
              <w:t xml:space="preserve">Disables Entra accounts, revokes sessions, removes group membership</w:t>
            </w:r>
          </w:p>
        </w:tc>
      </w:tr>
      <w:tr>
        <w:tc>
          <w:tcPr/>
          <w:p>
            <w:pPr>
              <w:pStyle w:val="Compact"/>
              <w:jc w:val="left"/>
            </w:pPr>
            <w:r>
              <w:t xml:space="preserve">Break-glass approver</w:t>
            </w:r>
          </w:p>
        </w:tc>
        <w:tc>
          <w:tcPr/>
          <w:p>
            <w:pPr>
              <w:pStyle w:val="Compact"/>
              <w:jc w:val="left"/>
            </w:pPr>
            <w:r>
              <w:t xml:space="preserve">Colt CSOC</w:t>
            </w:r>
          </w:p>
        </w:tc>
        <w:tc>
          <w:tcPr/>
          <w:p>
            <w:pPr>
              <w:pStyle w:val="Compact"/>
              <w:jc w:val="left"/>
            </w:pPr>
            <w:r>
              <w:t xml:space="preserve">Approves any use of</w:t>
            </w:r>
            <w:r>
              <w:t xml:space="preserve"> </w:t>
            </w:r>
            <w:r>
              <w:rPr>
                <w:rStyle w:val="VerbatimChar"/>
              </w:rPr>
              <w:t xml:space="preserve">llm-breakglass</w:t>
            </w:r>
            <w:r>
              <w:t xml:space="preserve"> </w:t>
            </w:r>
            <w:r>
              <w:t xml:space="preserve">during containment</w:t>
            </w:r>
          </w:p>
        </w:tc>
      </w:tr>
      <w:tr>
        <w:tc>
          <w:tcPr/>
          <w:p>
            <w:pPr>
              <w:pStyle w:val="Compact"/>
              <w:jc w:val="left"/>
            </w:pPr>
            <w:r>
              <w:t xml:space="preserve">Data protection contact</w:t>
            </w:r>
          </w:p>
        </w:tc>
        <w:tc>
          <w:tcPr/>
          <w:p>
            <w:pPr>
              <w:pStyle w:val="Compact"/>
              <w:jc w:val="left"/>
            </w:pPr>
            <w:r>
              <w:t xml:space="preserve">Colt Data Protection</w:t>
            </w:r>
          </w:p>
        </w:tc>
        <w:tc>
          <w:tcPr/>
          <w:p>
            <w:pPr>
              <w:pStyle w:val="Compact"/>
              <w:jc w:val="left"/>
            </w:pPr>
            <w:r>
              <w:t xml:space="preserve">Assesses whether personal data was affected and whether notification obligations apply</w:t>
            </w:r>
          </w:p>
        </w:tc>
      </w:tr>
    </w:tbl>
    <w:bookmarkEnd w:id="223"/>
    <w:bookmarkStart w:id="224" w:name="containment-tiers"/>
    <w:p>
      <w:pPr>
        <w:pStyle w:val="Heading3"/>
      </w:pPr>
      <w:r>
        <w:t xml:space="preserve">10.13.3 Containment tiers</w:t>
      </w:r>
    </w:p>
    <w:tbl>
      <w:tblPr>
        <w:tblStyle w:val="TableGrid"/>
        <w:tblW w:type="pct" w:w="5000"/>
        <w:jc w:val="start"/>
        <w:tblLook w:firstRow="1" w:lastRow="0" w:firstColumn="0" w:lastColumn="0" w:noHBand="0" w:noVBand="0" w:val="0020"/>
      </w:tblPr>
      <w:tblGrid>
        <w:gridCol w:w="1584"/>
        <w:gridCol w:w="1584"/>
        <w:gridCol w:w="1584"/>
        <w:gridCol w:w="1584"/>
        <w:gridCol w:w="1584"/>
      </w:tblGrid>
      <w:tr>
        <w:trPr>
          <w:tblHeader w:val="true"/>
        </w:trPr>
        <w:tc>
          <w:tcPr>
            <w:shd w:val="clear" w:color="auto" w:fill="1F3864"/>
          </w:tcPr>
          <w:p>
            <w:pPr>
              <w:pStyle w:val="Compact"/>
              <w:jc w:val="left"/>
            </w:pPr>
            <w:r>
              <w:rPr>
                <w:b/>
                <w:color w:val="FFFFFF"/>
              </w:rPr>
              <w:t xml:space="preserve">Tier</w:t>
            </w:r>
          </w:p>
        </w:tc>
        <w:tc>
          <w:tcPr>
            <w:shd w:val="clear" w:color="auto" w:fill="1F3864"/>
          </w:tcPr>
          <w:p>
            <w:pPr>
              <w:pStyle w:val="Compact"/>
              <w:jc w:val="left"/>
            </w:pPr>
            <w:r>
              <w:rPr>
                <w:b/>
                <w:color w:val="FFFFFF"/>
              </w:rPr>
              <w:t xml:space="preserve">Scope</w:t>
            </w:r>
          </w:p>
        </w:tc>
        <w:tc>
          <w:tcPr>
            <w:shd w:val="clear" w:color="auto" w:fill="1F3864"/>
          </w:tcPr>
          <w:p>
            <w:pPr>
              <w:pStyle w:val="Compact"/>
              <w:jc w:val="left"/>
            </w:pPr>
            <w:r>
              <w:rPr>
                <w:b/>
                <w:color w:val="FFFFFF"/>
              </w:rPr>
              <w:t xml:space="preserve">Applied when</w:t>
            </w:r>
          </w:p>
        </w:tc>
        <w:tc>
          <w:tcPr>
            <w:shd w:val="clear" w:color="auto" w:fill="1F3864"/>
          </w:tcPr>
          <w:p>
            <w:pPr>
              <w:pStyle w:val="Compact"/>
              <w:jc w:val="left"/>
            </w:pPr>
            <w:r>
              <w:rPr>
                <w:b/>
                <w:color w:val="FFFFFF"/>
              </w:rPr>
              <w:t xml:space="preserve">Reversibility</w:t>
            </w:r>
          </w:p>
        </w:tc>
        <w:tc>
          <w:tcPr>
            <w:shd w:val="clear" w:color="auto" w:fill="1F3864"/>
          </w:tcPr>
          <w:p>
            <w:pPr>
              <w:pStyle w:val="Compact"/>
              <w:jc w:val="left"/>
            </w:pPr>
            <w:r>
              <w:rPr>
                <w:b/>
                <w:color w:val="FFFFFF"/>
              </w:rPr>
              <w:t xml:space="preserve">Time to effect</w:t>
            </w:r>
          </w:p>
        </w:tc>
      </w:tr>
      <w:tr>
        <w:tc>
          <w:tcPr/>
          <w:p>
            <w:pPr>
              <w:pStyle w:val="Compact"/>
              <w:jc w:val="left"/>
            </w:pPr>
            <w:r>
              <w:t xml:space="preserve">1 — User</w:t>
            </w:r>
          </w:p>
        </w:tc>
        <w:tc>
          <w:tcPr/>
          <w:p>
            <w:pPr>
              <w:pStyle w:val="Compact"/>
              <w:jc w:val="left"/>
            </w:pPr>
            <w:r>
              <w:t xml:space="preserve">Remove the user from the Entra group; delete their Firestore session documents</w:t>
            </w:r>
          </w:p>
        </w:tc>
        <w:tc>
          <w:tcPr/>
          <w:p>
            <w:pPr>
              <w:pStyle w:val="Compact"/>
              <w:jc w:val="left"/>
            </w:pPr>
            <w:r>
              <w:t xml:space="preserve">One account compromised</w:t>
            </w:r>
          </w:p>
        </w:tc>
        <w:tc>
          <w:tcPr/>
          <w:p>
            <w:pPr>
              <w:pStyle w:val="Compact"/>
              <w:jc w:val="left"/>
            </w:pPr>
            <w:r>
              <w:t xml:space="preserve">Immediate</w:t>
            </w:r>
          </w:p>
        </w:tc>
        <w:tc>
          <w:tcPr/>
          <w:p>
            <w:pPr>
              <w:pStyle w:val="Compact"/>
              <w:jc w:val="left"/>
            </w:pPr>
            <w:r>
              <w:t xml:space="preserve">Minutes</w:t>
            </w:r>
          </w:p>
        </w:tc>
      </w:tr>
      <w:tr>
        <w:tc>
          <w:tcPr/>
          <w:p>
            <w:pPr>
              <w:pStyle w:val="Compact"/>
              <w:jc w:val="left"/>
            </w:pPr>
            <w:r>
              <w:t xml:space="preserve">2 — Usecase</w:t>
            </w:r>
          </w:p>
        </w:tc>
        <w:tc>
          <w:tcPr/>
          <w:p>
            <w:pPr>
              <w:pStyle w:val="Compact"/>
              <w:jc w:val="left"/>
            </w:pPr>
            <w:r>
              <w:t xml:space="preserve">Remove the App Role path rule, or undeploy the affected proxy revision</w:t>
            </w:r>
          </w:p>
        </w:tc>
        <w:tc>
          <w:tcPr/>
          <w:p>
            <w:pPr>
              <w:pStyle w:val="Compact"/>
              <w:jc w:val="left"/>
            </w:pPr>
            <w:r>
              <w:t xml:space="preserve">One usecase misbehaving</w:t>
            </w:r>
          </w:p>
        </w:tc>
        <w:tc>
          <w:tcPr/>
          <w:p>
            <w:pPr>
              <w:pStyle w:val="Compact"/>
              <w:jc w:val="left"/>
            </w:pPr>
            <w:r>
              <w:t xml:space="preserve">Redeploy</w:t>
            </w:r>
          </w:p>
        </w:tc>
        <w:tc>
          <w:tcPr/>
          <w:p>
            <w:pPr>
              <w:pStyle w:val="Compact"/>
              <w:jc w:val="left"/>
            </w:pPr>
            <w:r>
              <w:t xml:space="preserve">Minutes</w:t>
            </w:r>
          </w:p>
        </w:tc>
      </w:tr>
      <w:tr>
        <w:tc>
          <w:tcPr/>
          <w:p>
            <w:pPr>
              <w:pStyle w:val="Compact"/>
              <w:jc w:val="left"/>
            </w:pPr>
            <w:r>
              <w:t xml:space="preserve">3 — AI</w:t>
            </w:r>
          </w:p>
        </w:tc>
        <w:tc>
          <w:tcPr/>
          <w:p>
            <w:pPr>
              <w:pStyle w:val="Compact"/>
              <w:jc w:val="left"/>
            </w:pPr>
            <w:r>
              <w:t xml:space="preserve">Undeploy the</w:t>
            </w:r>
            <w:r>
              <w:t xml:space="preserve"> </w:t>
            </w:r>
            <w:r>
              <w:rPr>
                <w:rStyle w:val="VerbatimChar"/>
              </w:rPr>
              <w:t xml:space="preserve">llm</w:t>
            </w:r>
            <w:r>
              <w:t xml:space="preserve"> </w:t>
            </w:r>
            <w:r>
              <w:t xml:space="preserve">proxy, or revoke Vertex AI User from</w:t>
            </w:r>
            <w:r>
              <w:t xml:space="preserve"> </w:t>
            </w:r>
            <w:r>
              <w:rPr>
                <w:rStyle w:val="VerbatimChar"/>
              </w:rPr>
              <w:t xml:space="preserve">apigee-llm-runtime</w:t>
            </w:r>
          </w:p>
        </w:tc>
        <w:tc>
          <w:tcPr/>
          <w:p>
            <w:pPr>
              <w:pStyle w:val="Compact"/>
              <w:jc w:val="left"/>
            </w:pPr>
            <w:r>
              <w:t xml:space="preserve">Runaway model consumption or a content incident</w:t>
            </w:r>
          </w:p>
        </w:tc>
        <w:tc>
          <w:tcPr/>
          <w:p>
            <w:pPr>
              <w:pStyle w:val="Compact"/>
              <w:jc w:val="left"/>
            </w:pPr>
            <w:r>
              <w:t xml:space="preserve">Regrant</w:t>
            </w:r>
          </w:p>
        </w:tc>
        <w:tc>
          <w:tcPr/>
          <w:p>
            <w:pPr>
              <w:pStyle w:val="Compact"/>
              <w:jc w:val="left"/>
            </w:pPr>
            <w:r>
              <w:t xml:space="preserve">Minutes. This stops all AI platform-wide; break-glass is the exception path</w:t>
            </w:r>
          </w:p>
        </w:tc>
      </w:tr>
      <w:tr>
        <w:tc>
          <w:tcPr/>
          <w:p>
            <w:pPr>
              <w:pStyle w:val="Compact"/>
              <w:jc w:val="left"/>
            </w:pPr>
            <w:r>
              <w:t xml:space="preserve">4 — Platform</w:t>
            </w:r>
          </w:p>
        </w:tc>
        <w:tc>
          <w:tcPr/>
          <w:p>
            <w:pPr>
              <w:pStyle w:val="Compact"/>
              <w:jc w:val="left"/>
            </w:pPr>
            <w:r>
              <w:t xml:space="preserve">Withdraw the CSOC firewall opening for</w:t>
            </w:r>
            <w:r>
              <w:t xml:space="preserve"> </w:t>
            </w:r>
            <w:r>
              <w:rPr>
                <w:rStyle w:val="VerbatimChar"/>
              </w:rPr>
              <w:t xml:space="preserve">10.110.73.20</w:t>
            </w:r>
            <w:r>
              <w:t xml:space="preserve">; disable the AI Hub forwarding rule</w:t>
            </w:r>
          </w:p>
        </w:tc>
        <w:tc>
          <w:tcPr/>
          <w:p>
            <w:pPr>
              <w:pStyle w:val="Compact"/>
              <w:jc w:val="left"/>
            </w:pPr>
            <w:r>
              <w:t xml:space="preserve">Platform-wide compromise</w:t>
            </w:r>
          </w:p>
        </w:tc>
        <w:tc>
          <w:tcPr/>
          <w:p>
            <w:pPr>
              <w:pStyle w:val="Compact"/>
              <w:jc w:val="left"/>
            </w:pPr>
            <w:r>
              <w:t xml:space="preserve">Requires Colt CSOC to reopen</w:t>
            </w:r>
          </w:p>
        </w:tc>
        <w:tc>
          <w:tcPr/>
          <w:p>
            <w:pPr>
              <w:pStyle w:val="Compact"/>
              <w:jc w:val="left"/>
            </w:pPr>
            <w:r>
              <w:t xml:space="preserve">Longer, because of the external dependency</w:t>
            </w:r>
          </w:p>
        </w:tc>
      </w:tr>
    </w:tbl>
    <w:p>
      <w:pPr>
        <w:pStyle w:val="BodyText"/>
      </w:pPr>
      <w:r>
        <w:t xml:space="preserve">Sandbox containment is separate and simpler: remove the affected Google identity’s</w:t>
      </w:r>
      <w:r>
        <w:t xml:space="preserve"> </w:t>
      </w:r>
      <w:r>
        <w:rPr>
          <w:rStyle w:val="VerbatimChar"/>
        </w:rPr>
        <w:t xml:space="preserve">roles/iap.httpsResourceAccessor</w:t>
      </w:r>
      <w:r>
        <w:t xml:space="preserve"> </w:t>
      </w:r>
      <w:r>
        <w:t xml:space="preserve">grant on the relevant load balancer, or disable the forwarding rule.</w:t>
      </w:r>
    </w:p>
    <w:bookmarkEnd w:id="224"/>
    <w:bookmarkStart w:id="225" w:name="phased-response"/>
    <w:p>
      <w:pPr>
        <w:pStyle w:val="Heading3"/>
      </w:pPr>
      <w:r>
        <w:t xml:space="preserve">10.13.4 Phased response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Phase</w:t>
            </w:r>
          </w:p>
        </w:tc>
        <w:tc>
          <w:tcPr>
            <w:shd w:val="clear" w:color="auto" w:fill="1F3864"/>
          </w:tcPr>
          <w:p>
            <w:pPr>
              <w:pStyle w:val="Compact"/>
              <w:jc w:val="left"/>
            </w:pPr>
            <w:r>
              <w:rPr>
                <w:b/>
                <w:color w:val="FFFFFF"/>
              </w:rPr>
              <w:t xml:space="preserve">Action</w:t>
            </w:r>
          </w:p>
        </w:tc>
        <w:tc>
          <w:tcPr>
            <w:shd w:val="clear" w:color="auto" w:fill="1F3864"/>
          </w:tcPr>
          <w:p>
            <w:pPr>
              <w:pStyle w:val="Compact"/>
              <w:jc w:val="left"/>
            </w:pPr>
            <w:r>
              <w:rPr>
                <w:b/>
                <w:color w:val="FFFFFF"/>
              </w:rPr>
              <w:t xml:space="preserve">Owner</w:t>
            </w:r>
          </w:p>
        </w:tc>
      </w:tr>
      <w:tr>
        <w:tc>
          <w:tcPr/>
          <w:p>
            <w:pPr>
              <w:pStyle w:val="Compact"/>
              <w:jc w:val="left"/>
            </w:pPr>
            <w:r>
              <w:t xml:space="preserve">1 Detect</w:t>
            </w:r>
          </w:p>
        </w:tc>
        <w:tc>
          <w:tcPr/>
          <w:p>
            <w:pPr>
              <w:pStyle w:val="Compact"/>
              <w:jc w:val="left"/>
            </w:pPr>
            <w:r>
              <w:t xml:space="preserve">An alert fires, per</w:t>
            </w:r>
            <w:r>
              <w:t xml:space="preserve"> </w:t>
            </w:r>
            <w:r>
              <w:rPr>
                <w:b/>
                <w:bCs/>
              </w:rPr>
              <w:t xml:space="preserve">TechOps — Logging, Monitoring and Cost</w:t>
            </w:r>
            <w:r>
              <w:t xml:space="preserve">, or a report is received</w:t>
            </w:r>
          </w:p>
        </w:tc>
        <w:tc>
          <w:tcPr/>
          <w:p>
            <w:pPr>
              <w:pStyle w:val="Compact"/>
              <w:jc w:val="left"/>
            </w:pPr>
            <w:r>
              <w:t xml:space="preserve">Colt CSOC</w:t>
            </w:r>
          </w:p>
        </w:tc>
      </w:tr>
      <w:tr>
        <w:tc>
          <w:tcPr/>
          <w:p>
            <w:pPr>
              <w:pStyle w:val="Compact"/>
              <w:jc w:val="left"/>
            </w:pPr>
            <w:r>
              <w:t xml:space="preserve">2 Declare</w:t>
            </w:r>
          </w:p>
        </w:tc>
        <w:tc>
          <w:tcPr/>
          <w:p>
            <w:pPr>
              <w:pStyle w:val="Compact"/>
              <w:jc w:val="left"/>
            </w:pPr>
            <w:r>
              <w:t xml:space="preserve">The incident lead sets the containment tier</w:t>
            </w:r>
          </w:p>
        </w:tc>
        <w:tc>
          <w:tcPr/>
          <w:p>
            <w:pPr>
              <w:pStyle w:val="Compact"/>
              <w:jc w:val="left"/>
            </w:pPr>
            <w:r>
              <w:t xml:space="preserve">Colt CSOC</w:t>
            </w:r>
          </w:p>
        </w:tc>
      </w:tr>
      <w:tr>
        <w:tc>
          <w:tcPr/>
          <w:p>
            <w:pPr>
              <w:pStyle w:val="Compact"/>
              <w:jc w:val="left"/>
            </w:pPr>
            <w:r>
              <w:t xml:space="preserve">3 Contain</w:t>
            </w:r>
          </w:p>
        </w:tc>
        <w:tc>
          <w:tcPr/>
          <w:p>
            <w:pPr>
              <w:pStyle w:val="Compact"/>
              <w:jc w:val="left"/>
            </w:pPr>
            <w:r>
              <w:t xml:space="preserve">Execute the tier’s actions</w:t>
            </w:r>
          </w:p>
        </w:tc>
        <w:tc>
          <w:tcPr/>
          <w:p>
            <w:pPr>
              <w:pStyle w:val="Compact"/>
              <w:jc w:val="left"/>
            </w:pPr>
            <w:r>
              <w:t xml:space="preserve">AICOE Platform Team, Platform Operate, Colt identity function</w:t>
            </w:r>
          </w:p>
        </w:tc>
      </w:tr>
      <w:tr>
        <w:tc>
          <w:tcPr/>
          <w:p>
            <w:pPr>
              <w:pStyle w:val="Compact"/>
              <w:jc w:val="left"/>
            </w:pPr>
            <w:r>
              <w:t xml:space="preserve">4 Preserve</w:t>
            </w:r>
          </w:p>
        </w:tc>
        <w:tc>
          <w:tcPr/>
          <w:p>
            <w:pPr>
              <w:pStyle w:val="Compact"/>
              <w:jc w:val="left"/>
            </w:pPr>
            <w:r>
              <w:t xml:space="preserve">Do not delete the log bucket, the sinks or any KMS key. Snapshot the relevant log queries</w:t>
            </w:r>
          </w:p>
        </w:tc>
        <w:tc>
          <w:tcPr/>
          <w:p>
            <w:pPr>
              <w:pStyle w:val="Compact"/>
              <w:jc w:val="left"/>
            </w:pPr>
            <w:r>
              <w:t xml:space="preserve">AICOE Platform Team</w:t>
            </w:r>
          </w:p>
        </w:tc>
      </w:tr>
      <w:tr>
        <w:tc>
          <w:tcPr/>
          <w:p>
            <w:pPr>
              <w:pStyle w:val="Compact"/>
              <w:jc w:val="left"/>
            </w:pPr>
            <w:r>
              <w:t xml:space="preserve">5 Eradicate</w:t>
            </w:r>
          </w:p>
        </w:tc>
        <w:tc>
          <w:tcPr/>
          <w:p>
            <w:pPr>
              <w:pStyle w:val="Compact"/>
              <w:jc w:val="left"/>
            </w:pPr>
            <w:r>
              <w:t xml:space="preserve">Rotate the affected credential per</w:t>
            </w:r>
            <w:r>
              <w:t xml:space="preserve"> </w:t>
            </w:r>
            <w:r>
              <w:rPr>
                <w:b/>
                <w:bCs/>
              </w:rPr>
              <w:t xml:space="preserve">Secrets management and rotation</w:t>
            </w:r>
            <w:r>
              <w:t xml:space="preserve">; revoke sessions; redeploy from a known-good image digest</w:t>
            </w:r>
          </w:p>
        </w:tc>
        <w:tc>
          <w:tcPr/>
          <w:p>
            <w:pPr>
              <w:pStyle w:val="Compact"/>
              <w:jc w:val="left"/>
            </w:pPr>
            <w:r>
              <w:t xml:space="preserve">AICOE Platform Team, Colt identity function</w:t>
            </w:r>
          </w:p>
        </w:tc>
      </w:tr>
      <w:tr>
        <w:tc>
          <w:tcPr/>
          <w:p>
            <w:pPr>
              <w:pStyle w:val="Compact"/>
              <w:jc w:val="left"/>
            </w:pPr>
            <w:r>
              <w:t xml:space="preserve">6 Recover</w:t>
            </w:r>
          </w:p>
        </w:tc>
        <w:tc>
          <w:tcPr/>
          <w:p>
            <w:pPr>
              <w:pStyle w:val="Compact"/>
              <w:jc w:val="left"/>
            </w:pPr>
            <w:r>
              <w:t xml:space="preserve">Restore the tier’s controls in reverse order; confirm the verification tests pass</w:t>
            </w:r>
          </w:p>
        </w:tc>
        <w:tc>
          <w:tcPr/>
          <w:p>
            <w:pPr>
              <w:pStyle w:val="Compact"/>
              <w:jc w:val="left"/>
            </w:pPr>
            <w:r>
              <w:t xml:space="preserve">AICOE Platform Team</w:t>
            </w:r>
          </w:p>
        </w:tc>
      </w:tr>
      <w:tr>
        <w:tc>
          <w:tcPr/>
          <w:p>
            <w:pPr>
              <w:pStyle w:val="Compact"/>
              <w:jc w:val="left"/>
            </w:pPr>
            <w:r>
              <w:t xml:space="preserve">7 Review</w:t>
            </w:r>
          </w:p>
        </w:tc>
        <w:tc>
          <w:tcPr/>
          <w:p>
            <w:pPr>
              <w:pStyle w:val="Compact"/>
              <w:jc w:val="left"/>
            </w:pPr>
            <w:r>
              <w:t xml:space="preserve">Blameless post-incident review, with findings entered into</w:t>
            </w:r>
            <w:r>
              <w:t xml:space="preserve"> </w:t>
            </w:r>
            <w:r>
              <w:rPr>
                <w:b/>
                <w:bCs/>
              </w:rPr>
              <w:t xml:space="preserve">Risk Register</w:t>
            </w:r>
          </w:p>
        </w:tc>
        <w:tc>
          <w:tcPr/>
          <w:p>
            <w:pPr>
              <w:pStyle w:val="Compact"/>
              <w:jc w:val="left"/>
            </w:pPr>
            <w:r>
              <w:t xml:space="preserve">All parties</w:t>
            </w:r>
          </w:p>
        </w:tc>
      </w:tr>
    </w:tbl>
    <w:bookmarkEnd w:id="225"/>
    <w:bookmarkStart w:id="226" w:name="Xe9f4e75f4cea10c899a9c9cd663ff5e5fcb0e0f"/>
    <w:p>
      <w:pPr>
        <w:pStyle w:val="Heading3"/>
      </w:pPr>
      <w:r>
        <w:t xml:space="preserve">10.13.5 Pre-provisioned controls enabling fast containment</w:t>
      </w:r>
    </w:p>
    <w:p>
      <w:pPr>
        <w:pStyle w:val="FirstParagraph"/>
      </w:pPr>
      <w:r>
        <w:t xml:space="preserve">Each control below exists in the design specifically so that containment is a single, reversible change rather than a redeployment.</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Control</w:t>
            </w:r>
          </w:p>
        </w:tc>
        <w:tc>
          <w:tcPr>
            <w:shd w:val="clear" w:color="auto" w:fill="1F3864"/>
          </w:tcPr>
          <w:p>
            <w:pPr>
              <w:pStyle w:val="Compact"/>
              <w:jc w:val="left"/>
            </w:pPr>
            <w:r>
              <w:rPr>
                <w:b/>
                <w:color w:val="FFFFFF"/>
              </w:rPr>
              <w:t xml:space="preserve">Containment property</w:t>
            </w:r>
          </w:p>
        </w:tc>
      </w:tr>
      <w:tr>
        <w:tc>
          <w:tcPr/>
          <w:p>
            <w:pPr>
              <w:pStyle w:val="Compact"/>
              <w:jc w:val="left"/>
            </w:pPr>
            <w:r>
              <w:t xml:space="preserve">Entitlement by Entra group membership</w:t>
            </w:r>
          </w:p>
        </w:tc>
        <w:tc>
          <w:tcPr/>
          <w:p>
            <w:pPr>
              <w:pStyle w:val="Compact"/>
              <w:jc w:val="left"/>
            </w:pPr>
            <w:r>
              <w:t xml:space="preserve">One membership removal ends a user’s access with no deployment</w:t>
            </w:r>
          </w:p>
        </w:tc>
      </w:tr>
      <w:tr>
        <w:tc>
          <w:tcPr/>
          <w:p>
            <w:pPr>
              <w:pStyle w:val="Compact"/>
              <w:jc w:val="left"/>
            </w:pPr>
            <w:r>
              <w:t xml:space="preserve">The session identifier is a Firestore document</w:t>
            </w:r>
          </w:p>
        </w:tc>
        <w:tc>
          <w:tcPr/>
          <w:p>
            <w:pPr>
              <w:pStyle w:val="Compact"/>
              <w:jc w:val="left"/>
            </w:pPr>
            <w:r>
              <w:t xml:space="preserve">Deleting the document ends the session immediately; there is no bearer token to wait out</w:t>
            </w:r>
          </w:p>
        </w:tc>
      </w:tr>
      <w:tr>
        <w:tc>
          <w:tcPr/>
          <w:p>
            <w:pPr>
              <w:pStyle w:val="Compact"/>
              <w:jc w:val="left"/>
            </w:pPr>
            <w:r>
              <w:t xml:space="preserve">The instance session cache is 5 to 15 s and is bypassed on logout</w:t>
            </w:r>
          </w:p>
        </w:tc>
        <w:tc>
          <w:tcPr/>
          <w:p>
            <w:pPr>
              <w:pStyle w:val="Compact"/>
              <w:jc w:val="left"/>
            </w:pPr>
            <w:r>
              <w:t xml:space="preserve">Bounds how long a revoked session can survive</w:t>
            </w:r>
          </w:p>
        </w:tc>
      </w:tr>
      <w:tr>
        <w:tc>
          <w:tcPr/>
          <w:p>
            <w:pPr>
              <w:pStyle w:val="Compact"/>
              <w:jc w:val="left"/>
            </w:pPr>
            <w:r>
              <w:rPr>
                <w:rStyle w:val="VerbatimChar"/>
              </w:rPr>
              <w:t xml:space="preserve">run.invoker</w:t>
            </w:r>
            <w:r>
              <w:t xml:space="preserve"> </w:t>
            </w:r>
            <w:r>
              <w:t xml:space="preserve">scoped to one service account per hop</w:t>
            </w:r>
          </w:p>
        </w:tc>
        <w:tc>
          <w:tcPr/>
          <w:p>
            <w:pPr>
              <w:pStyle w:val="Compact"/>
              <w:jc w:val="left"/>
            </w:pPr>
            <w:r>
              <w:t xml:space="preserve">Removing one binding severs one hop cleanly</w:t>
            </w:r>
          </w:p>
        </w:tc>
      </w:tr>
      <w:tr>
        <w:tc>
          <w:tcPr/>
          <w:p>
            <w:pPr>
              <w:pStyle w:val="Compact"/>
              <w:jc w:val="left"/>
            </w:pPr>
            <w:r>
              <w:rPr>
                <w:rStyle w:val="VerbatimChar"/>
              </w:rPr>
              <w:t xml:space="preserve">aiplatform.user</w:t>
            </w:r>
            <w:r>
              <w:t xml:space="preserve"> </w:t>
            </w:r>
            <w:r>
              <w:t xml:space="preserve">held by one service account</w:t>
            </w:r>
          </w:p>
        </w:tc>
        <w:tc>
          <w:tcPr/>
          <w:p>
            <w:pPr>
              <w:pStyle w:val="Compact"/>
              <w:jc w:val="left"/>
            </w:pPr>
            <w:r>
              <w:t xml:space="preserve">Revoking it stops all model access in a single change</w:t>
            </w:r>
          </w:p>
        </w:tc>
      </w:tr>
      <w:tr>
        <w:tc>
          <w:tcPr/>
          <w:p>
            <w:pPr>
              <w:pStyle w:val="Compact"/>
              <w:jc w:val="left"/>
            </w:pPr>
            <w:r>
              <w:t xml:space="preserve">The model allow-list is a key value map</w:t>
            </w:r>
          </w:p>
        </w:tc>
        <w:tc>
          <w:tcPr/>
          <w:p>
            <w:pPr>
              <w:pStyle w:val="Compact"/>
              <w:jc w:val="left"/>
            </w:pPr>
            <w:r>
              <w:t xml:space="preserve">Removing a model is a configuration edit, not a redeployment</w:t>
            </w:r>
          </w:p>
        </w:tc>
      </w:tr>
      <w:tr>
        <w:tc>
          <w:tcPr/>
          <w:p>
            <w:pPr>
              <w:pStyle w:val="Compact"/>
              <w:jc w:val="left"/>
            </w:pPr>
            <w:r>
              <w:t xml:space="preserve">The break-glass account is alerted on every use</w:t>
            </w:r>
          </w:p>
        </w:tc>
        <w:tc>
          <w:tcPr/>
          <w:p>
            <w:pPr>
              <w:pStyle w:val="Compact"/>
              <w:jc w:val="left"/>
            </w:pPr>
            <w:r>
              <w:t xml:space="preserve">The exception path is visible rather than silent</w:t>
            </w:r>
          </w:p>
        </w:tc>
      </w:tr>
      <w:tr>
        <w:tc>
          <w:tcPr/>
          <w:p>
            <w:pPr>
              <w:pStyle w:val="Compact"/>
              <w:jc w:val="left"/>
            </w:pPr>
            <w:r>
              <w:t xml:space="preserve">The 400-day log bucket</w:t>
            </w:r>
          </w:p>
        </w:tc>
        <w:tc>
          <w:tcPr/>
          <w:p>
            <w:pPr>
              <w:pStyle w:val="Compact"/>
              <w:jc w:val="left"/>
            </w:pPr>
            <w:r>
              <w:t xml:space="preserve">Evidence survives the incident. Retention lock is deliberately not applied in Development and is a Production decision, per I11 (log bucket retention lock)</w:t>
            </w:r>
          </w:p>
        </w:tc>
      </w:tr>
      <w:tr>
        <w:tc>
          <w:tcPr/>
          <w:p>
            <w:pPr>
              <w:pStyle w:val="Compact"/>
              <w:jc w:val="left"/>
            </w:pPr>
            <w:r>
              <w:t xml:space="preserve">The Apigee accept list</w:t>
            </w:r>
          </w:p>
        </w:tc>
        <w:tc>
          <w:tcPr/>
          <w:p>
            <w:pPr>
              <w:pStyle w:val="Compact"/>
              <w:jc w:val="left"/>
            </w:pPr>
            <w:r>
              <w:rPr>
                <w:b/>
                <w:bCs/>
              </w:rPr>
              <w:t xml:space="preserve">A known limitation.</w:t>
            </w:r>
            <w:r>
              <w:t xml:space="preserve"> </w:t>
            </w:r>
            <w:r>
              <w:t xml:space="preserve">The accept list is admission control only and does not sever established connections; revocation requires deleting the connections in the consuming project</w:t>
            </w:r>
          </w:p>
        </w:tc>
      </w:tr>
    </w:tbl>
    <w:bookmarkEnd w:id="226"/>
    <w:bookmarkStart w:id="227" w:name="X355dcb0c1e402928cc98cddaa5fb787fa63890a"/>
    <w:p>
      <w:pPr>
        <w:pStyle w:val="Heading3"/>
      </w:pPr>
      <w:r>
        <w:t xml:space="preserve">10.13.6 Immediate termination of all model access</w:t>
      </w:r>
    </w:p>
    <w:p>
      <w:pPr>
        <w:pStyle w:val="Compact"/>
        <w:numPr>
          <w:ilvl w:val="0"/>
          <w:numId w:val="1023"/>
        </w:numPr>
      </w:pPr>
      <w:r>
        <w:t xml:space="preserve">Revoke</w:t>
      </w:r>
      <w:r>
        <w:t xml:space="preserve"> </w:t>
      </w:r>
      <w:r>
        <w:rPr>
          <w:rStyle w:val="VerbatimChar"/>
        </w:rPr>
        <w:t xml:space="preserve">roles/aiplatform.user</w:t>
      </w:r>
      <w:r>
        <w:t xml:space="preserve"> </w:t>
      </w:r>
      <w:r>
        <w:t xml:space="preserve">from</w:t>
      </w:r>
      <w:r>
        <w:t xml:space="preserve"> </w:t>
      </w:r>
      <w:r>
        <w:rPr>
          <w:rStyle w:val="VerbatimChar"/>
        </w:rPr>
        <w:t xml:space="preserve">apigee-llm-runtime</w:t>
      </w:r>
      <w:r>
        <w:t xml:space="preserve"> </w:t>
      </w:r>
      <w:r>
        <w:t xml:space="preserve">in</w:t>
      </w:r>
      <w:r>
        <w:t xml:space="preserve"> </w:t>
      </w:r>
      <w:r>
        <w:rPr>
          <w:rStyle w:val="VerbatimChar"/>
        </w:rPr>
        <w:t xml:space="preserve">gclt-aicoe-dev-llm</w:t>
      </w:r>
      <w:r>
        <w:t xml:space="preserve">.</w:t>
      </w:r>
    </w:p>
    <w:p>
      <w:pPr>
        <w:pStyle w:val="Compact"/>
        <w:numPr>
          <w:ilvl w:val="0"/>
          <w:numId w:val="1023"/>
        </w:numPr>
      </w:pPr>
      <w:r>
        <w:t xml:space="preserve">Undeploy the AI gateway proxy from the</w:t>
      </w:r>
      <w:r>
        <w:t xml:space="preserve"> </w:t>
      </w:r>
      <w:r>
        <w:rPr>
          <w:rStyle w:val="VerbatimChar"/>
        </w:rPr>
        <w:t xml:space="preserve">llm</w:t>
      </w:r>
      <w:r>
        <w:t xml:space="preserve"> </w:t>
      </w:r>
      <w:r>
        <w:t xml:space="preserve">environment.</w:t>
      </w:r>
    </w:p>
    <w:p>
      <w:pPr>
        <w:pStyle w:val="Compact"/>
        <w:numPr>
          <w:ilvl w:val="0"/>
          <w:numId w:val="1023"/>
        </w:numPr>
      </w:pPr>
      <w:r>
        <w:t xml:space="preserve">Confirm that no workload service account holds</w:t>
      </w:r>
      <w:r>
        <w:t xml:space="preserve"> </w:t>
      </w:r>
      <w:r>
        <w:rPr>
          <w:rStyle w:val="VerbatimChar"/>
        </w:rPr>
        <w:t xml:space="preserve">aiplatform.user</w:t>
      </w:r>
      <w:r>
        <w:t xml:space="preserve">, per</w:t>
      </w:r>
      <w:r>
        <w:t xml:space="preserve"> </w:t>
      </w:r>
      <w:r>
        <w:rPr>
          <w:b/>
          <w:bCs/>
        </w:rPr>
        <w:t xml:space="preserve">The control that makes the AI gateway enforceable</w:t>
      </w:r>
      <w:r>
        <w:t xml:space="preserve">.</w:t>
      </w:r>
    </w:p>
    <w:p>
      <w:pPr>
        <w:pStyle w:val="Compact"/>
        <w:numPr>
          <w:ilvl w:val="0"/>
          <w:numId w:val="1023"/>
        </w:numPr>
      </w:pPr>
      <w:r>
        <w:t xml:space="preserve">Break-glass access remains available under Colt CSOC approval, and every use raises an alert.</w:t>
      </w:r>
    </w:p>
    <w:p>
      <w:pPr>
        <w:pStyle w:val="FirstParagraph"/>
      </w:pPr>
      <w:r>
        <w:t xml:space="preserve">This procedure is rehearsed rather than assumed, ahead of go-live.</w:t>
      </w:r>
    </w:p>
    <w:bookmarkEnd w:id="227"/>
    <w:bookmarkEnd w:id="228"/>
    <w:bookmarkStart w:id="229" w:name="security-control-traceability"/>
    <w:p>
      <w:pPr>
        <w:pStyle w:val="Heading2"/>
      </w:pPr>
      <w:r>
        <w:t xml:space="preserve">10.14 Security control traceability</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Control area</w:t>
            </w:r>
          </w:p>
        </w:tc>
        <w:tc>
          <w:tcPr>
            <w:shd w:val="clear" w:color="auto" w:fill="1F3864"/>
          </w:tcPr>
          <w:p>
            <w:pPr>
              <w:pStyle w:val="Compact"/>
              <w:jc w:val="left"/>
            </w:pPr>
            <w:r>
              <w:rPr>
                <w:b/>
                <w:color w:val="FFFFFF"/>
              </w:rPr>
              <w:t xml:space="preserve">Primary implementation</w:t>
            </w:r>
          </w:p>
        </w:tc>
        <w:tc>
          <w:tcPr>
            <w:shd w:val="clear" w:color="auto" w:fill="1F3864"/>
          </w:tcPr>
          <w:p>
            <w:pPr>
              <w:pStyle w:val="Compact"/>
              <w:jc w:val="left"/>
            </w:pPr>
            <w:r>
              <w:rPr>
                <w:b/>
                <w:color w:val="FFFFFF"/>
              </w:rPr>
              <w:t xml:space="preserve">Specified in</w:t>
            </w:r>
          </w:p>
        </w:tc>
      </w:tr>
      <w:tr>
        <w:tc>
          <w:tcPr/>
          <w:p>
            <w:pPr>
              <w:pStyle w:val="Compact"/>
              <w:jc w:val="left"/>
            </w:pPr>
            <w:r>
              <w:t xml:space="preserve">Network isolation</w:t>
            </w:r>
          </w:p>
        </w:tc>
        <w:tc>
          <w:tcPr/>
          <w:p>
            <w:pPr>
              <w:pStyle w:val="Compact"/>
              <w:jc w:val="left"/>
            </w:pPr>
            <w:r>
              <w:t xml:space="preserve">One routable address;</w:t>
            </w:r>
            <w:r>
              <w:t xml:space="preserve"> </w:t>
            </w:r>
            <w:r>
              <w:rPr>
                <w:rStyle w:val="VerbatimChar"/>
              </w:rPr>
              <w:t xml:space="preserve">192.168.4.0/22</w:t>
            </w:r>
            <w:r>
              <w:t xml:space="preserve"> </w:t>
            </w:r>
            <w:r>
              <w:t xml:space="preserve">unrouted</w:t>
            </w:r>
          </w:p>
        </w:tc>
        <w:tc>
          <w:tcPr/>
          <w:p>
            <w:pPr>
              <w:pStyle w:val="Compact"/>
              <w:jc w:val="left"/>
            </w:pPr>
            <w:r>
              <w:rPr>
                <w:b/>
                <w:bCs/>
              </w:rPr>
              <w:t xml:space="preserve">IP addressing plan</w:t>
            </w:r>
          </w:p>
        </w:tc>
      </w:tr>
      <w:tr>
        <w:tc>
          <w:tcPr/>
          <w:p>
            <w:pPr>
              <w:pStyle w:val="Compact"/>
              <w:jc w:val="left"/>
            </w:pPr>
            <w:r>
              <w:t xml:space="preserve">Egress control</w:t>
            </w:r>
          </w:p>
        </w:tc>
        <w:tc>
          <w:tcPr/>
          <w:p>
            <w:pPr>
              <w:pStyle w:val="Compact"/>
              <w:jc w:val="left"/>
            </w:pPr>
            <w:r>
              <w:rPr>
                <w:rStyle w:val="VerbatimChar"/>
              </w:rPr>
              <w:t xml:space="preserve">egress-deny-all</w:t>
            </w:r>
            <w:r>
              <w:t xml:space="preserve"> </w:t>
            </w:r>
            <w:r>
              <w:t xml:space="preserve">with specific host allow rules</w:t>
            </w:r>
          </w:p>
        </w:tc>
        <w:tc>
          <w:tcPr/>
          <w:p>
            <w:pPr>
              <w:pStyle w:val="Compact"/>
              <w:jc w:val="left"/>
            </w:pPr>
            <w:r>
              <w:rPr>
                <w:b/>
                <w:bCs/>
              </w:rPr>
              <w:t xml:space="preserve">Firewall</w:t>
            </w:r>
          </w:p>
        </w:tc>
      </w:tr>
      <w:tr>
        <w:tc>
          <w:tcPr/>
          <w:p>
            <w:pPr>
              <w:pStyle w:val="Compact"/>
              <w:jc w:val="left"/>
            </w:pPr>
            <w:r>
              <w:t xml:space="preserve">No peering</w:t>
            </w:r>
          </w:p>
        </w:tc>
        <w:tc>
          <w:tcPr/>
          <w:p>
            <w:pPr>
              <w:pStyle w:val="Compact"/>
              <w:jc w:val="left"/>
            </w:pPr>
            <w:r>
              <w:rPr>
                <w:rStyle w:val="VerbatimChar"/>
              </w:rPr>
              <w:t xml:space="preserve">compute.restrictVpcPeering</w:t>
            </w:r>
            <w:r>
              <w:t xml:space="preserve">; Apigee non-peered</w:t>
            </w:r>
          </w:p>
        </w:tc>
        <w:tc>
          <w:tcPr/>
          <w:p>
            <w:pPr>
              <w:pStyle w:val="Compact"/>
              <w:jc w:val="left"/>
            </w:pPr>
            <w:r>
              <w:rPr>
                <w:b/>
                <w:bCs/>
              </w:rPr>
              <w:t xml:space="preserve">Organisation policies</w:t>
            </w:r>
            <w:r>
              <w:t xml:space="preserve">,</w:t>
            </w:r>
            <w:r>
              <w:t xml:space="preserve"> </w:t>
            </w:r>
            <w:r>
              <w:rPr>
                <w:b/>
                <w:bCs/>
              </w:rPr>
              <w:t xml:space="preserve">Why Private Service Connect and not VPC peering</w:t>
            </w:r>
          </w:p>
        </w:tc>
      </w:tr>
      <w:tr>
        <w:tc>
          <w:tcPr/>
          <w:p>
            <w:pPr>
              <w:pStyle w:val="Compact"/>
              <w:jc w:val="left"/>
            </w:pPr>
            <w:r>
              <w:t xml:space="preserve">Google API control</w:t>
            </w:r>
          </w:p>
        </w:tc>
        <w:tc>
          <w:tcPr/>
          <w:p>
            <w:pPr>
              <w:pStyle w:val="Compact"/>
              <w:jc w:val="left"/>
            </w:pPr>
            <w:r>
              <w:t xml:space="preserve">Private Google Access off, private</w:t>
            </w:r>
            <w:r>
              <w:t xml:space="preserve"> </w:t>
            </w:r>
            <w:r>
              <w:rPr>
                <w:rStyle w:val="VerbatimChar"/>
              </w:rPr>
              <w:t xml:space="preserve">googleapis.com</w:t>
            </w:r>
            <w:r>
              <w:t xml:space="preserve"> </w:t>
            </w:r>
            <w:r>
              <w:t xml:space="preserve">zone,</w:t>
            </w:r>
            <w:r>
              <w:t xml:space="preserve"> </w:t>
            </w:r>
            <w:r>
              <w:rPr>
                <w:rStyle w:val="VerbatimChar"/>
              </w:rPr>
              <w:t xml:space="preserve">vpc-sc</w:t>
            </w:r>
            <w:r>
              <w:t xml:space="preserve"> </w:t>
            </w:r>
            <w:r>
              <w:t xml:space="preserve">service bundle</w:t>
            </w:r>
          </w:p>
        </w:tc>
        <w:tc>
          <w:tcPr/>
          <w:p>
            <w:pPr>
              <w:pStyle w:val="Compact"/>
              <w:jc w:val="left"/>
            </w:pPr>
            <w:r>
              <w:rPr>
                <w:b/>
                <w:bCs/>
              </w:rPr>
              <w:t xml:space="preserve">Private Service Connect</w:t>
            </w:r>
          </w:p>
        </w:tc>
      </w:tr>
      <w:tr>
        <w:tc>
          <w:tcPr/>
          <w:p>
            <w:pPr>
              <w:pStyle w:val="Compact"/>
              <w:jc w:val="left"/>
            </w:pPr>
            <w:r>
              <w:t xml:space="preserve">Data exfiltration perimeter</w:t>
            </w:r>
          </w:p>
        </w:tc>
        <w:tc>
          <w:tcPr/>
          <w:p>
            <w:pPr>
              <w:pStyle w:val="Compact"/>
              <w:jc w:val="left"/>
            </w:pPr>
            <w:r>
              <w:t xml:space="preserve">VPC Service Controls, owned by the Colt Cloud CoE</w:t>
            </w:r>
          </w:p>
        </w:tc>
        <w:tc>
          <w:tcPr/>
          <w:p>
            <w:pPr>
              <w:pStyle w:val="Compact"/>
              <w:jc w:val="left"/>
            </w:pPr>
            <w:r>
              <w:rPr>
                <w:b/>
                <w:bCs/>
              </w:rPr>
              <w:t xml:space="preserve">VPC Service Controls</w:t>
            </w:r>
          </w:p>
        </w:tc>
      </w:tr>
      <w:tr>
        <w:tc>
          <w:tcPr/>
          <w:p>
            <w:pPr>
              <w:pStyle w:val="Compact"/>
              <w:jc w:val="left"/>
            </w:pPr>
            <w:r>
              <w:t xml:space="preserve">User authentication — Dev and Prod</w:t>
            </w:r>
          </w:p>
        </w:tc>
        <w:tc>
          <w:tcPr/>
          <w:p>
            <w:pPr>
              <w:pStyle w:val="Compact"/>
              <w:jc w:val="left"/>
            </w:pPr>
            <w:r>
              <w:t xml:space="preserve">IAP with the workforce pool on</w:t>
            </w:r>
            <w:r>
              <w:t xml:space="preserve"> </w:t>
            </w:r>
            <w:r>
              <w:rPr>
                <w:rStyle w:val="VerbatimChar"/>
              </w:rPr>
              <w:t xml:space="preserve">bs-aihub-bff</w:t>
            </w:r>
          </w:p>
        </w:tc>
        <w:tc>
          <w:tcPr/>
          <w:p>
            <w:pPr>
              <w:pStyle w:val="Compact"/>
              <w:jc w:val="left"/>
            </w:pPr>
            <w:r>
              <w:rPr>
                <w:b/>
                <w:bCs/>
              </w:rPr>
              <w:t xml:space="preserve">Workforce Identity Federation and IAP — Dev and Prod</w:t>
            </w:r>
          </w:p>
        </w:tc>
      </w:tr>
      <w:tr>
        <w:tc>
          <w:tcPr/>
          <w:p>
            <w:pPr>
              <w:pStyle w:val="Compact"/>
              <w:jc w:val="left"/>
            </w:pPr>
            <w:r>
              <w:t xml:space="preserve">User authentication — Sandbox</w:t>
            </w:r>
          </w:p>
        </w:tc>
        <w:tc>
          <w:tcPr/>
          <w:p>
            <w:pPr>
              <w:pStyle w:val="Compact"/>
              <w:jc w:val="left"/>
            </w:pPr>
            <w:r>
              <w:t xml:space="preserve">IAP against Google identities on both load balancers</w:t>
            </w:r>
          </w:p>
        </w:tc>
        <w:tc>
          <w:tcPr/>
          <w:p>
            <w:pPr>
              <w:pStyle w:val="Compact"/>
              <w:jc w:val="left"/>
            </w:pPr>
            <w:r>
              <w:rPr>
                <w:b/>
                <w:bCs/>
              </w:rPr>
              <w:t xml:space="preserve">Identity-Aware Proxy — Sandbox</w:t>
            </w:r>
          </w:p>
        </w:tc>
      </w:tr>
      <w:tr>
        <w:tc>
          <w:tcPr/>
          <w:p>
            <w:pPr>
              <w:pStyle w:val="Compact"/>
              <w:jc w:val="left"/>
            </w:pPr>
            <w:r>
              <w:t xml:space="preserve">Single sign-on</w:t>
            </w:r>
          </w:p>
        </w:tc>
        <w:tc>
          <w:tcPr/>
          <w:p>
            <w:pPr>
              <w:pStyle w:val="Compact"/>
              <w:jc w:val="left"/>
            </w:pPr>
            <w:r>
              <w:rPr>
                <w:rStyle w:val="VerbatimChar"/>
              </w:rPr>
              <w:t xml:space="preserve">login_hint</w:t>
            </w:r>
            <w:r>
              <w:t xml:space="preserve"> </w:t>
            </w:r>
            <w:r>
              <w:t xml:space="preserve">taken from the IAP assertion</w:t>
            </w:r>
          </w:p>
        </w:tc>
        <w:tc>
          <w:tcPr/>
          <w:p>
            <w:pPr>
              <w:pStyle w:val="Compact"/>
              <w:jc w:val="left"/>
            </w:pPr>
            <w:r>
              <w:rPr>
                <w:b/>
                <w:bCs/>
              </w:rPr>
              <w:t xml:space="preserve">Authentication and session establishment</w:t>
            </w:r>
          </w:p>
        </w:tc>
      </w:tr>
      <w:tr>
        <w:tc>
          <w:tcPr/>
          <w:p>
            <w:pPr>
              <w:pStyle w:val="Compact"/>
              <w:jc w:val="left"/>
            </w:pPr>
            <w:r>
              <w:t xml:space="preserve">No token in the browser</w:t>
            </w:r>
          </w:p>
        </w:tc>
        <w:tc>
          <w:tcPr/>
          <w:p>
            <w:pPr>
              <w:pStyle w:val="Compact"/>
              <w:jc w:val="left"/>
            </w:pPr>
            <w:r>
              <w:t xml:space="preserve">Opaque</w:t>
            </w:r>
            <w:r>
              <w:t xml:space="preserve"> </w:t>
            </w:r>
            <w:r>
              <w:rPr>
                <w:rStyle w:val="VerbatimChar"/>
              </w:rPr>
              <w:t xml:space="preserve">__Host-</w:t>
            </w:r>
            <w:r>
              <w:t xml:space="preserve"> </w:t>
            </w:r>
            <w:r>
              <w:t xml:space="preserve">prefixed cookie only</w:t>
            </w:r>
          </w:p>
        </w:tc>
        <w:tc>
          <w:tcPr/>
          <w:p>
            <w:pPr>
              <w:pStyle w:val="Compact"/>
              <w:jc w:val="left"/>
            </w:pPr>
            <w:r>
              <w:rPr>
                <w:b/>
                <w:bCs/>
              </w:rPr>
              <w:t xml:space="preserve">Cookie design</w:t>
            </w:r>
          </w:p>
        </w:tc>
      </w:tr>
      <w:tr>
        <w:tc>
          <w:tcPr/>
          <w:p>
            <w:pPr>
              <w:pStyle w:val="Compact"/>
              <w:jc w:val="left"/>
            </w:pPr>
            <w:r>
              <w:t xml:space="preserve">Cross-site request forgery</w:t>
            </w:r>
          </w:p>
        </w:tc>
        <w:tc>
          <w:tcPr/>
          <w:p>
            <w:pPr>
              <w:pStyle w:val="Compact"/>
              <w:jc w:val="left"/>
            </w:pPr>
            <w:r>
              <w:t xml:space="preserve">Synchroniser token with an</w:t>
            </w:r>
            <w:r>
              <w:t xml:space="preserve"> </w:t>
            </w:r>
            <w:r>
              <w:rPr>
                <w:rStyle w:val="VerbatimChar"/>
              </w:rPr>
              <w:t xml:space="preserve">Origin</w:t>
            </w:r>
            <w:r>
              <w:t xml:space="preserve"> </w:t>
            </w:r>
            <w:r>
              <w:t xml:space="preserve">check</w:t>
            </w:r>
          </w:p>
        </w:tc>
        <w:tc>
          <w:tcPr/>
          <w:p>
            <w:pPr>
              <w:pStyle w:val="Compact"/>
              <w:jc w:val="left"/>
            </w:pPr>
            <w:r>
              <w:rPr>
                <w:b/>
                <w:bCs/>
              </w:rPr>
              <w:t xml:space="preserve">Cross-Site Request Forgery</w:t>
            </w:r>
          </w:p>
        </w:tc>
      </w:tr>
      <w:tr>
        <w:tc>
          <w:tcPr/>
          <w:p>
            <w:pPr>
              <w:pStyle w:val="Compact"/>
              <w:jc w:val="left"/>
            </w:pPr>
            <w:r>
              <w:t xml:space="preserve">Entitlement</w:t>
            </w:r>
          </w:p>
        </w:tc>
        <w:tc>
          <w:tcPr/>
          <w:p>
            <w:pPr>
              <w:pStyle w:val="Compact"/>
              <w:jc w:val="left"/>
            </w:pPr>
            <w:r>
              <w:t xml:space="preserve">App Role check at Apigee; the default flow denies</w:t>
            </w:r>
          </w:p>
        </w:tc>
        <w:tc>
          <w:tcPr/>
          <w:p>
            <w:pPr>
              <w:pStyle w:val="Compact"/>
              <w:jc w:val="left"/>
            </w:pPr>
            <w:r>
              <w:rPr>
                <w:b/>
                <w:bCs/>
              </w:rPr>
              <w:t xml:space="preserve">The user API proxy — policy chain</w:t>
            </w:r>
          </w:p>
        </w:tc>
      </w:tr>
      <w:tr>
        <w:tc>
          <w:tcPr/>
          <w:p>
            <w:pPr>
              <w:pStyle w:val="Compact"/>
              <w:jc w:val="left"/>
            </w:pPr>
            <w:r>
              <w:t xml:space="preserve">Header spoofing</w:t>
            </w:r>
          </w:p>
        </w:tc>
        <w:tc>
          <w:tcPr/>
          <w:p>
            <w:pPr>
              <w:pStyle w:val="Compact"/>
              <w:jc w:val="left"/>
            </w:pPr>
            <w:r>
              <w:t xml:space="preserve">Inbound</w:t>
            </w:r>
            <w:r>
              <w:t xml:space="preserve"> </w:t>
            </w:r>
            <w:r>
              <w:rPr>
                <w:rStyle w:val="VerbatimChar"/>
              </w:rPr>
              <w:t xml:space="preserve">x-colt-*</w:t>
            </w:r>
            <w:r>
              <w:t xml:space="preserve"> </w:t>
            </w:r>
            <w:r>
              <w:t xml:space="preserve">stripped at Apigee and again at the backend</w:t>
            </w:r>
          </w:p>
        </w:tc>
        <w:tc>
          <w:tcPr/>
          <w:p>
            <w:pPr>
              <w:pStyle w:val="Compact"/>
              <w:jc w:val="left"/>
            </w:pPr>
            <w:r>
              <w:rPr>
                <w:b/>
                <w:bCs/>
              </w:rPr>
              <w:t xml:space="preserve">The user API proxy — policy chain</w:t>
            </w:r>
            <w:r>
              <w:t xml:space="preserve">,</w:t>
            </w:r>
            <w:r>
              <w:t xml:space="preserve"> </w:t>
            </w:r>
            <w:r>
              <w:rPr>
                <w:b/>
                <w:bCs/>
              </w:rPr>
              <w:t xml:space="preserve">Cloud Run — service inventory and settings</w:t>
            </w:r>
          </w:p>
        </w:tc>
      </w:tr>
      <w:tr>
        <w:tc>
          <w:tcPr/>
          <w:p>
            <w:pPr>
              <w:pStyle w:val="Compact"/>
              <w:jc w:val="left"/>
            </w:pPr>
            <w:r>
              <w:t xml:space="preserve">Machine identity</w:t>
            </w:r>
          </w:p>
        </w:tc>
        <w:tc>
          <w:tcPr/>
          <w:p>
            <w:pPr>
              <w:pStyle w:val="Compact"/>
              <w:jc w:val="left"/>
            </w:pPr>
            <w:r>
              <w:rPr>
                <w:rStyle w:val="VerbatimChar"/>
              </w:rPr>
              <w:t xml:space="preserve">run.invoker</w:t>
            </w:r>
            <w:r>
              <w:t xml:space="preserve"> </w:t>
            </w:r>
            <w:r>
              <w:t xml:space="preserve">scoped to</w:t>
            </w:r>
            <w:r>
              <w:t xml:space="preserve"> </w:t>
            </w:r>
            <w:r>
              <w:rPr>
                <w:rStyle w:val="VerbatimChar"/>
              </w:rPr>
              <w:t xml:space="preserve">apigee-int-runtime</w:t>
            </w:r>
          </w:p>
        </w:tc>
        <w:tc>
          <w:tcPr/>
          <w:p>
            <w:pPr>
              <w:pStyle w:val="Compact"/>
              <w:jc w:val="left"/>
            </w:pPr>
            <w:r>
              <w:rPr>
                <w:b/>
                <w:bCs/>
              </w:rPr>
              <w:t xml:space="preserve">The backend hop — Cloud Run IAM</w:t>
            </w:r>
          </w:p>
        </w:tc>
      </w:tr>
      <w:tr>
        <w:tc>
          <w:tcPr/>
          <w:p>
            <w:pPr>
              <w:pStyle w:val="Compact"/>
              <w:jc w:val="left"/>
            </w:pPr>
            <w:r>
              <w:t xml:space="preserve">Model access</w:t>
            </w:r>
          </w:p>
        </w:tc>
        <w:tc>
          <w:tcPr/>
          <w:p>
            <w:pPr>
              <w:pStyle w:val="Compact"/>
              <w:jc w:val="left"/>
            </w:pPr>
            <w:r>
              <w:rPr>
                <w:rStyle w:val="VerbatimChar"/>
              </w:rPr>
              <w:t xml:space="preserve">aiplatform.user</w:t>
            </w:r>
            <w:r>
              <w:t xml:space="preserve"> </w:t>
            </w:r>
            <w:r>
              <w:t xml:space="preserve">held by</w:t>
            </w:r>
            <w:r>
              <w:t xml:space="preserve"> </w:t>
            </w:r>
            <w:r>
              <w:rPr>
                <w:rStyle w:val="VerbatimChar"/>
              </w:rPr>
              <w:t xml:space="preserve">apigee-llm-runtime</w:t>
            </w:r>
            <w:r>
              <w:t xml:space="preserve"> </w:t>
            </w:r>
            <w:r>
              <w:t xml:space="preserve">alone</w:t>
            </w:r>
          </w:p>
        </w:tc>
        <w:tc>
          <w:tcPr/>
          <w:p>
            <w:pPr>
              <w:pStyle w:val="Compact"/>
              <w:jc w:val="left"/>
            </w:pPr>
            <w:r>
              <w:rPr>
                <w:b/>
                <w:bCs/>
              </w:rPr>
              <w:t xml:space="preserve">The control that makes the AI gateway enforceable</w:t>
            </w:r>
          </w:p>
        </w:tc>
      </w:tr>
      <w:tr>
        <w:tc>
          <w:tcPr/>
          <w:p>
            <w:pPr>
              <w:pStyle w:val="Compact"/>
              <w:jc w:val="left"/>
            </w:pPr>
            <w:r>
              <w:t xml:space="preserve">Gateway caller allow-list</w:t>
            </w:r>
          </w:p>
        </w:tc>
        <w:tc>
          <w:tcPr/>
          <w:p>
            <w:pPr>
              <w:pStyle w:val="Compact"/>
              <w:jc w:val="left"/>
            </w:pPr>
            <w:r>
              <w:rPr>
                <w:rStyle w:val="VerbatimChar"/>
              </w:rPr>
              <w:t xml:space="preserve">VerifyJWT</w:t>
            </w:r>
            <w:r>
              <w:t xml:space="preserve"> </w:t>
            </w:r>
            <w:r>
              <w:t xml:space="preserve">with a permitted service account list</w:t>
            </w:r>
          </w:p>
        </w:tc>
        <w:tc>
          <w:tcPr/>
          <w:p>
            <w:pPr>
              <w:pStyle w:val="Compact"/>
              <w:jc w:val="left"/>
            </w:pPr>
            <w:r>
              <w:rPr>
                <w:b/>
                <w:bCs/>
              </w:rPr>
              <w:t xml:space="preserve">The AI gateway proxy — policy chain</w:t>
            </w:r>
          </w:p>
        </w:tc>
      </w:tr>
      <w:tr>
        <w:tc>
          <w:tcPr/>
          <w:p>
            <w:pPr>
              <w:pStyle w:val="Compact"/>
              <w:jc w:val="left"/>
            </w:pPr>
            <w:r>
              <w:t xml:space="preserve">Consumption limits</w:t>
            </w:r>
          </w:p>
        </w:tc>
        <w:tc>
          <w:tcPr/>
          <w:p>
            <w:pPr>
              <w:pStyle w:val="Compact"/>
              <w:jc w:val="left"/>
            </w:pPr>
            <w:r>
              <w:rPr>
                <w:rStyle w:val="VerbatimChar"/>
              </w:rPr>
              <w:t xml:space="preserve">Quota</w:t>
            </w:r>
            <w:r>
              <w:t xml:space="preserve">,</w:t>
            </w:r>
            <w:r>
              <w:t xml:space="preserve"> </w:t>
            </w:r>
            <w:r>
              <w:rPr>
                <w:rStyle w:val="VerbatimChar"/>
              </w:rPr>
              <w:t xml:space="preserve">LLMTokenQuota</w:t>
            </w:r>
            <w:r>
              <w:t xml:space="preserve"> </w:t>
            </w:r>
            <w:r>
              <w:t xml:space="preserve">and</w:t>
            </w:r>
            <w:r>
              <w:t xml:space="preserve"> </w:t>
            </w:r>
            <w:r>
              <w:rPr>
                <w:rStyle w:val="VerbatimChar"/>
              </w:rPr>
              <w:t xml:space="preserve">PromptTokenLimit</w:t>
            </w:r>
            <w:r>
              <w:t xml:space="preserve"> </w:t>
            </w:r>
            <w:r>
              <w:t xml:space="preserve">on the verified</w:t>
            </w:r>
            <w:r>
              <w:t xml:space="preserve"> </w:t>
            </w:r>
            <w:r>
              <w:rPr>
                <w:rStyle w:val="VerbatimChar"/>
              </w:rPr>
              <w:t xml:space="preserve">oid</w:t>
            </w:r>
          </w:p>
        </w:tc>
        <w:tc>
          <w:tcPr/>
          <w:p>
            <w:pPr>
              <w:pStyle w:val="Compact"/>
              <w:jc w:val="left"/>
            </w:pPr>
            <w:r>
              <w:rPr>
                <w:b/>
                <w:bCs/>
              </w:rPr>
              <w:t xml:space="preserve">Rate limiting model</w:t>
            </w:r>
          </w:p>
        </w:tc>
      </w:tr>
      <w:tr>
        <w:tc>
          <w:tcPr/>
          <w:p>
            <w:pPr>
              <w:pStyle w:val="Compact"/>
              <w:jc w:val="left"/>
            </w:pPr>
            <w:r>
              <w:t xml:space="preserve">Prompt and response safety</w:t>
            </w:r>
          </w:p>
        </w:tc>
        <w:tc>
          <w:tcPr/>
          <w:p>
            <w:pPr>
              <w:pStyle w:val="Compact"/>
              <w:jc w:val="left"/>
            </w:pPr>
            <w:r>
              <w:t xml:space="preserve">Model Armor</w:t>
            </w:r>
            <w:r>
              <w:t xml:space="preserve"> </w:t>
            </w:r>
            <w:r>
              <w:rPr>
                <w:rStyle w:val="VerbatimChar"/>
              </w:rPr>
              <w:t xml:space="preserve">SanitizeUserPrompt</w:t>
            </w:r>
            <w:r>
              <w:t xml:space="preserve"> </w:t>
            </w:r>
            <w:r>
              <w:t xml:space="preserve">and</w:t>
            </w:r>
            <w:r>
              <w:t xml:space="preserve"> </w:t>
            </w:r>
            <w:r>
              <w:rPr>
                <w:rStyle w:val="VerbatimChar"/>
              </w:rPr>
              <w:t xml:space="preserve">SanitizeModelResponse</w:t>
            </w:r>
          </w:p>
        </w:tc>
        <w:tc>
          <w:tcPr/>
          <w:p>
            <w:pPr>
              <w:pStyle w:val="Compact"/>
              <w:jc w:val="left"/>
            </w:pPr>
            <w:r>
              <w:rPr>
                <w:b/>
                <w:bCs/>
              </w:rPr>
              <w:t xml:space="preserve">Model Armor</w:t>
            </w:r>
          </w:p>
        </w:tc>
      </w:tr>
      <w:tr>
        <w:tc>
          <w:tcPr/>
          <w:p>
            <w:pPr>
              <w:pStyle w:val="Compact"/>
              <w:jc w:val="left"/>
            </w:pPr>
            <w:r>
              <w:t xml:space="preserve">Personal data in prompts</w:t>
            </w:r>
          </w:p>
        </w:tc>
        <w:tc>
          <w:tcPr/>
          <w:p>
            <w:pPr>
              <w:pStyle w:val="Compact"/>
              <w:jc w:val="left"/>
            </w:pPr>
            <w:r>
              <w:t xml:space="preserve">Sensitive Data Protection inspection and de-identification templates</w:t>
            </w:r>
          </w:p>
        </w:tc>
        <w:tc>
          <w:tcPr/>
          <w:p>
            <w:pPr>
              <w:pStyle w:val="Compact"/>
              <w:jc w:val="left"/>
            </w:pPr>
            <w:r>
              <w:rPr>
                <w:b/>
                <w:bCs/>
              </w:rPr>
              <w:t xml:space="preserve">Sensitive Data Protection templates</w:t>
            </w:r>
            <w:r>
              <w:t xml:space="preserve">,</w:t>
            </w:r>
            <w:r>
              <w:t xml:space="preserve"> </w:t>
            </w:r>
            <w:r>
              <w:rPr>
                <w:b/>
                <w:bCs/>
              </w:rPr>
              <w:t xml:space="preserve">Translation — reversible de-identification</w:t>
            </w:r>
          </w:p>
        </w:tc>
      </w:tr>
      <w:tr>
        <w:tc>
          <w:tcPr/>
          <w:p>
            <w:pPr>
              <w:pStyle w:val="Compact"/>
              <w:jc w:val="left"/>
            </w:pPr>
            <w:r>
              <w:t xml:space="preserve">Unscreened content</w:t>
            </w:r>
          </w:p>
        </w:tc>
        <w:tc>
          <w:tcPr/>
          <w:p>
            <w:pPr>
              <w:pStyle w:val="Compact"/>
              <w:jc w:val="left"/>
            </w:pPr>
            <w:r>
              <w:t xml:space="preserve">Explicit</w:t>
            </w:r>
            <w:r>
              <w:t xml:space="preserve"> </w:t>
            </w:r>
            <w:r>
              <w:rPr>
                <w:rStyle w:val="VerbatimChar"/>
              </w:rPr>
              <w:t xml:space="preserve">EXECUTION_SKIPPED</w:t>
            </w:r>
            <w:r>
              <w:t xml:space="preserve"> </w:t>
            </w:r>
            <w:r>
              <w:t xml:space="preserve">handling with a rate alert</w:t>
            </w:r>
          </w:p>
        </w:tc>
        <w:tc>
          <w:tcPr/>
          <w:p>
            <w:pPr>
              <w:pStyle w:val="Compact"/>
              <w:jc w:val="left"/>
            </w:pPr>
            <w:r>
              <w:rPr>
                <w:b/>
                <w:bCs/>
              </w:rPr>
              <w:t xml:space="preserve">Limits and the</w:t>
            </w:r>
            <w:r>
              <w:rPr>
                <w:b/>
                <w:bCs/>
              </w:rPr>
              <w:t xml:space="preserve"> </w:t>
            </w:r>
            <w:r>
              <w:rPr>
                <w:rStyle w:val="VerbatimChar"/>
                <w:b/>
                <w:bCs/>
              </w:rPr>
              <w:t xml:space="preserve">EXECUTION_SKIPPED</w:t>
            </w:r>
            <w:r>
              <w:rPr>
                <w:b/>
                <w:bCs/>
              </w:rPr>
              <w:t xml:space="preserve"> </w:t>
            </w:r>
            <w:r>
              <w:rPr>
                <w:b/>
                <w:bCs/>
              </w:rPr>
              <w:t xml:space="preserve">behaviour</w:t>
            </w:r>
          </w:p>
        </w:tc>
      </w:tr>
      <w:tr>
        <w:tc>
          <w:tcPr/>
          <w:p>
            <w:pPr>
              <w:pStyle w:val="Compact"/>
              <w:jc w:val="left"/>
            </w:pPr>
            <w:r>
              <w:t xml:space="preserve">Safety setting tampering</w:t>
            </w:r>
          </w:p>
        </w:tc>
        <w:tc>
          <w:tcPr/>
          <w:p>
            <w:pPr>
              <w:pStyle w:val="Compact"/>
              <w:jc w:val="left"/>
            </w:pPr>
            <w:r>
              <w:rPr>
                <w:rStyle w:val="VerbatimChar"/>
              </w:rPr>
              <w:t xml:space="preserve">AssignMessage</w:t>
            </w:r>
            <w:r>
              <w:t xml:space="preserve"> </w:t>
            </w:r>
            <w:r>
              <w:t xml:space="preserve">forces</w:t>
            </w:r>
            <w:r>
              <w:t xml:space="preserve"> </w:t>
            </w:r>
            <w:r>
              <w:rPr>
                <w:rStyle w:val="VerbatimChar"/>
              </w:rPr>
              <w:t xml:space="preserve">safetySettings</w:t>
            </w:r>
          </w:p>
        </w:tc>
        <w:tc>
          <w:tcPr/>
          <w:p>
            <w:pPr>
              <w:pStyle w:val="Compact"/>
              <w:jc w:val="left"/>
            </w:pPr>
            <w:r>
              <w:rPr>
                <w:b/>
                <w:bCs/>
              </w:rPr>
              <w:t xml:space="preserve">The AI gateway proxy — policy chain</w:t>
            </w:r>
          </w:p>
        </w:tc>
      </w:tr>
      <w:tr>
        <w:tc>
          <w:tcPr/>
          <w:p>
            <w:pPr>
              <w:pStyle w:val="Compact"/>
              <w:jc w:val="left"/>
            </w:pPr>
            <w:r>
              <w:t xml:space="preserve">Tenant isolation on read</w:t>
            </w:r>
          </w:p>
        </w:tc>
        <w:tc>
          <w:tcPr/>
          <w:p>
            <w:pPr>
              <w:pStyle w:val="Compact"/>
              <w:jc w:val="left"/>
            </w:pPr>
            <w:r>
              <w:rPr>
                <w:rStyle w:val="VerbatimChar"/>
              </w:rPr>
              <w:t xml:space="preserve">restricts</w:t>
            </w:r>
            <w:r>
              <w:t xml:space="preserve"> </w:t>
            </w:r>
            <w:r>
              <w:t xml:space="preserve">filter derived from the verified claim</w:t>
            </w:r>
          </w:p>
        </w:tc>
        <w:tc>
          <w:tcPr/>
          <w:p>
            <w:pPr>
              <w:pStyle w:val="Compact"/>
              <w:jc w:val="left"/>
            </w:pPr>
            <w:r>
              <w:rPr>
                <w:b/>
                <w:bCs/>
              </w:rPr>
              <w:t xml:space="preserve">Vector Search and retrieval-time isolation</w:t>
            </w:r>
          </w:p>
        </w:tc>
      </w:tr>
      <w:tr>
        <w:tc>
          <w:tcPr/>
          <w:p>
            <w:pPr>
              <w:pStyle w:val="Compact"/>
              <w:jc w:val="left"/>
            </w:pPr>
            <w:r>
              <w:t xml:space="preserve">Tenant isolation on write</w:t>
            </w:r>
          </w:p>
        </w:tc>
        <w:tc>
          <w:tcPr/>
          <w:p>
            <w:pPr>
              <w:pStyle w:val="Compact"/>
              <w:jc w:val="left"/>
            </w:pPr>
            <w:r>
              <w:t xml:space="preserve">Business unit taken from the verified Entra claim at ingestion</w:t>
            </w:r>
          </w:p>
        </w:tc>
        <w:tc>
          <w:tcPr/>
          <w:p>
            <w:pPr>
              <w:pStyle w:val="Compact"/>
              <w:jc w:val="left"/>
            </w:pPr>
            <w:r>
              <w:rPr>
                <w:b/>
                <w:bCs/>
              </w:rPr>
              <w:t xml:space="preserve">Ingestion handover contract</w:t>
            </w:r>
          </w:p>
        </w:tc>
      </w:tr>
      <w:tr>
        <w:tc>
          <w:tcPr/>
          <w:p>
            <w:pPr>
              <w:pStyle w:val="Compact"/>
              <w:jc w:val="left"/>
            </w:pPr>
            <w:r>
              <w:t xml:space="preserve">Indirect prompt injection</w:t>
            </w:r>
          </w:p>
        </w:tc>
        <w:tc>
          <w:tcPr/>
          <w:p>
            <w:pPr>
              <w:pStyle w:val="Compact"/>
              <w:jc w:val="left"/>
            </w:pPr>
            <w:r>
              <w:t xml:space="preserve">Structural delimiting, chunk screening, constrained output, user-context tool authorisation</w:t>
            </w:r>
          </w:p>
        </w:tc>
        <w:tc>
          <w:tcPr/>
          <w:p>
            <w:pPr>
              <w:pStyle w:val="Compact"/>
              <w:jc w:val="left"/>
            </w:pPr>
            <w:r>
              <w:rPr>
                <w:b/>
                <w:bCs/>
              </w:rPr>
              <w:t xml:space="preserve">Indirect prompt injection</w:t>
            </w:r>
          </w:p>
        </w:tc>
      </w:tr>
      <w:tr>
        <w:tc>
          <w:tcPr/>
          <w:p>
            <w:pPr>
              <w:pStyle w:val="Compact"/>
              <w:jc w:val="left"/>
            </w:pPr>
            <w:r>
              <w:t xml:space="preserve">Supply chain</w:t>
            </w:r>
          </w:p>
        </w:tc>
        <w:tc>
          <w:tcPr/>
          <w:p>
            <w:pPr>
              <w:pStyle w:val="Compact"/>
              <w:jc w:val="left"/>
            </w:pPr>
            <w:r>
              <w:t xml:space="preserve">Binary Authorization, immutable tags, Artifact Analysis</w:t>
            </w:r>
          </w:p>
        </w:tc>
        <w:tc>
          <w:tcPr/>
          <w:p>
            <w:pPr>
              <w:pStyle w:val="Compact"/>
              <w:jc w:val="left"/>
            </w:pPr>
            <w:r>
              <w:rPr>
                <w:b/>
                <w:bCs/>
              </w:rPr>
              <w:t xml:space="preserve">Artifact Registry and Binary Authorization</w:t>
            </w:r>
          </w:p>
        </w:tc>
      </w:tr>
      <w:tr>
        <w:tc>
          <w:tcPr/>
          <w:p>
            <w:pPr>
              <w:pStyle w:val="Compact"/>
              <w:jc w:val="left"/>
            </w:pPr>
            <w:r>
              <w:t xml:space="preserve">No static credentials</w:t>
            </w:r>
          </w:p>
        </w:tc>
        <w:tc>
          <w:tcPr/>
          <w:p>
            <w:pPr>
              <w:pStyle w:val="Compact"/>
              <w:jc w:val="left"/>
            </w:pPr>
            <w:r>
              <w:rPr>
                <w:rStyle w:val="VerbatimChar"/>
              </w:rPr>
              <w:t xml:space="preserve">iam.disableServiceAccountKeyCreation</w:t>
            </w:r>
            <w:r>
              <w:t xml:space="preserve">; WIF with an attribute condition</w:t>
            </w:r>
          </w:p>
        </w:tc>
        <w:tc>
          <w:tcPr/>
          <w:p>
            <w:pPr>
              <w:pStyle w:val="Compact"/>
              <w:jc w:val="left"/>
            </w:pPr>
            <w:r>
              <w:rPr>
                <w:b/>
                <w:bCs/>
              </w:rPr>
              <w:t xml:space="preserve">Organisation policies</w:t>
            </w:r>
            <w:r>
              <w:t xml:space="preserve">,</w:t>
            </w:r>
            <w:r>
              <w:t xml:space="preserve"> </w:t>
            </w:r>
            <w:r>
              <w:rPr>
                <w:b/>
                <w:bCs/>
              </w:rPr>
              <w:t xml:space="preserve">Workload Identity Federation — GitLab CI</w:t>
            </w:r>
          </w:p>
        </w:tc>
      </w:tr>
      <w:tr>
        <w:tc>
          <w:tcPr/>
          <w:p>
            <w:pPr>
              <w:pStyle w:val="Compact"/>
              <w:jc w:val="left"/>
            </w:pPr>
            <w:r>
              <w:t xml:space="preserve">Privileged access</w:t>
            </w:r>
          </w:p>
        </w:tc>
        <w:tc>
          <w:tcPr/>
          <w:p>
            <w:pPr>
              <w:pStyle w:val="Compact"/>
              <w:jc w:val="left"/>
            </w:pPr>
            <w:r>
              <w:t xml:space="preserve">Just-in-time elevation with approval and expiry</w:t>
            </w:r>
          </w:p>
        </w:tc>
        <w:tc>
          <w:tcPr/>
          <w:p>
            <w:pPr>
              <w:pStyle w:val="Compact"/>
              <w:jc w:val="left"/>
            </w:pPr>
            <w:r>
              <w:rPr>
                <w:b/>
                <w:bCs/>
              </w:rPr>
              <w:t xml:space="preserve">Privileged access management — just-in-time elevation</w:t>
            </w:r>
          </w:p>
        </w:tc>
      </w:tr>
      <w:tr>
        <w:tc>
          <w:tcPr/>
          <w:p>
            <w:pPr>
              <w:pStyle w:val="Compact"/>
              <w:jc w:val="left"/>
            </w:pPr>
            <w:r>
              <w:t xml:space="preserve">Encryption at rest</w:t>
            </w:r>
          </w:p>
        </w:tc>
        <w:tc>
          <w:tcPr/>
          <w:p>
            <w:pPr>
              <w:pStyle w:val="Compact"/>
              <w:jc w:val="left"/>
            </w:pPr>
            <w:r>
              <w:t xml:space="preserve">CMEK across the platform</w:t>
            </w:r>
          </w:p>
        </w:tc>
        <w:tc>
          <w:tcPr/>
          <w:p>
            <w:pPr>
              <w:pStyle w:val="Compact"/>
              <w:jc w:val="left"/>
            </w:pPr>
            <w:r>
              <w:rPr>
                <w:b/>
                <w:bCs/>
              </w:rPr>
              <w:t xml:space="preserve">Cloud KMS — key rings and CMEK map</w:t>
            </w:r>
          </w:p>
        </w:tc>
      </w:tr>
      <w:tr>
        <w:tc>
          <w:tcPr/>
          <w:p>
            <w:pPr>
              <w:pStyle w:val="Compact"/>
              <w:jc w:val="left"/>
            </w:pPr>
            <w:r>
              <w:t xml:space="preserve">Encryption in transit</w:t>
            </w:r>
          </w:p>
        </w:tc>
        <w:tc>
          <w:tcPr/>
          <w:p>
            <w:pPr>
              <w:pStyle w:val="Compact"/>
              <w:jc w:val="left"/>
            </w:pPr>
            <w:r>
              <w:t xml:space="preserve">TLS 1.2 or above on every hop</w:t>
            </w:r>
          </w:p>
        </w:tc>
        <w:tc>
          <w:tcPr/>
          <w:p>
            <w:pPr>
              <w:pStyle w:val="Compact"/>
              <w:jc w:val="left"/>
            </w:pPr>
            <w:r>
              <w:rPr>
                <w:b/>
                <w:bCs/>
              </w:rPr>
              <w:t xml:space="preserve">In transit</w:t>
            </w:r>
          </w:p>
        </w:tc>
      </w:tr>
      <w:tr>
        <w:tc>
          <w:tcPr/>
          <w:p>
            <w:pPr>
              <w:pStyle w:val="Compact"/>
              <w:jc w:val="left"/>
            </w:pPr>
            <w:r>
              <w:t xml:space="preserve">Secret handling</w:t>
            </w:r>
          </w:p>
        </w:tc>
        <w:tc>
          <w:tcPr/>
          <w:p>
            <w:pPr>
              <w:pStyle w:val="Compact"/>
              <w:jc w:val="left"/>
            </w:pPr>
            <w:r>
              <w:t xml:space="preserve">Secret Manager, manual EU replication, CMEK, per-secret accessor</w:t>
            </w:r>
          </w:p>
        </w:tc>
        <w:tc>
          <w:tcPr/>
          <w:p>
            <w:pPr>
              <w:pStyle w:val="Compact"/>
              <w:jc w:val="left"/>
            </w:pPr>
            <w:r>
              <w:rPr>
                <w:b/>
                <w:bCs/>
              </w:rPr>
              <w:t xml:space="preserve">Secrets management and rotation</w:t>
            </w:r>
          </w:p>
        </w:tc>
      </w:tr>
      <w:tr>
        <w:tc>
          <w:tcPr/>
          <w:p>
            <w:pPr>
              <w:pStyle w:val="Compact"/>
              <w:jc w:val="left"/>
            </w:pPr>
            <w:r>
              <w:t xml:space="preserve">Interactive compute hardening</w:t>
            </w:r>
          </w:p>
        </w:tc>
        <w:tc>
          <w:tcPr/>
          <w:p>
            <w:pPr>
              <w:pStyle w:val="Compact"/>
              <w:jc w:val="left"/>
            </w:pPr>
            <w:r>
              <w:t xml:space="preserve">Shielded VM, no public address, IAP SSH only</w:t>
            </w:r>
          </w:p>
        </w:tc>
        <w:tc>
          <w:tcPr/>
          <w:p>
            <w:pPr>
              <w:pStyle w:val="Compact"/>
              <w:jc w:val="left"/>
            </w:pPr>
            <w:r>
              <w:rPr>
                <w:b/>
                <w:bCs/>
              </w:rPr>
              <w:t xml:space="preserve">Compute hardening — Vertex AI Workbench</w:t>
            </w:r>
          </w:p>
        </w:tc>
      </w:tr>
      <w:tr>
        <w:tc>
          <w:tcPr/>
          <w:p>
            <w:pPr>
              <w:pStyle w:val="Compact"/>
              <w:jc w:val="left"/>
            </w:pPr>
            <w:r>
              <w:t xml:space="preserve">Evidence retention</w:t>
            </w:r>
          </w:p>
        </w:tc>
        <w:tc>
          <w:tcPr/>
          <w:p>
            <w:pPr>
              <w:pStyle w:val="Compact"/>
              <w:jc w:val="left"/>
            </w:pPr>
            <w:r>
              <w:t xml:space="preserve">400-day bucket, folder sink with</w:t>
            </w:r>
            <w:r>
              <w:t xml:space="preserve"> </w:t>
            </w:r>
            <w:r>
              <w:rPr>
                <w:rStyle w:val="VerbatimChar"/>
              </w:rPr>
              <w:t xml:space="preserve">include_children</w:t>
            </w:r>
            <w:r>
              <w:t xml:space="preserve">, folder audit configuration</w:t>
            </w:r>
          </w:p>
        </w:tc>
        <w:tc>
          <w:tcPr/>
          <w:p>
            <w:pPr>
              <w:pStyle w:val="Compact"/>
              <w:jc w:val="left"/>
            </w:pPr>
            <w:r>
              <w:rPr>
                <w:b/>
                <w:bCs/>
              </w:rPr>
              <w:t xml:space="preserve">TechOps — Logging, Monitoring and Cost</w:t>
            </w:r>
          </w:p>
        </w:tc>
      </w:tr>
      <w:tr>
        <w:tc>
          <w:tcPr/>
          <w:p>
            <w:pPr>
              <w:pStyle w:val="Compact"/>
              <w:jc w:val="left"/>
            </w:pPr>
            <w:r>
              <w:t xml:space="preserve">Attribution</w:t>
            </w:r>
          </w:p>
        </w:tc>
        <w:tc>
          <w:tcPr/>
          <w:p>
            <w:pPr>
              <w:pStyle w:val="Compact"/>
              <w:jc w:val="left"/>
            </w:pPr>
            <w:r>
              <w:t xml:space="preserve">Forwarded user context and the Apigee message identifier, never source address</w:t>
            </w:r>
          </w:p>
        </w:tc>
        <w:tc>
          <w:tcPr/>
          <w:p>
            <w:pPr>
              <w:pStyle w:val="Compact"/>
              <w:jc w:val="left"/>
            </w:pPr>
            <w:r>
              <w:rPr>
                <w:b/>
                <w:bCs/>
              </w:rPr>
              <w:t xml:space="preserve">Flow 3 — Apigee southbound, so Apigee can reach the backends</w:t>
            </w:r>
          </w:p>
        </w:tc>
      </w:tr>
      <w:tr>
        <w:tc>
          <w:tcPr/>
          <w:p>
            <w:pPr>
              <w:pStyle w:val="Compact"/>
              <w:jc w:val="left"/>
            </w:pPr>
            <w:r>
              <w:t xml:space="preserve">Detection</w:t>
            </w:r>
          </w:p>
        </w:tc>
        <w:tc>
          <w:tcPr/>
          <w:p>
            <w:pPr>
              <w:pStyle w:val="Compact"/>
              <w:jc w:val="left"/>
            </w:pPr>
            <w:r>
              <w:t xml:space="preserve">Log-based metrics, alerting policies, and the Sentinel feed</w:t>
            </w:r>
          </w:p>
        </w:tc>
        <w:tc>
          <w:tcPr/>
          <w:p>
            <w:pPr>
              <w:pStyle w:val="Compact"/>
              <w:jc w:val="left"/>
            </w:pPr>
            <w:r>
              <w:rPr>
                <w:b/>
                <w:bCs/>
              </w:rPr>
              <w:t xml:space="preserve">TechOps — Logging, Monitoring and Cost</w:t>
            </w:r>
            <w:r>
              <w:t xml:space="preserve">,</w:t>
            </w:r>
            <w:r>
              <w:t xml:space="preserve"> </w:t>
            </w:r>
            <w:r>
              <w:rPr>
                <w:b/>
                <w:bCs/>
              </w:rPr>
              <w:t xml:space="preserve">SIEM integration — Microsoft Sentinel</w:t>
            </w:r>
          </w:p>
        </w:tc>
      </w:tr>
      <w:tr>
        <w:tc>
          <w:tcPr/>
          <w:p>
            <w:pPr>
              <w:pStyle w:val="Compact"/>
              <w:jc w:val="left"/>
            </w:pPr>
            <w:r>
              <w:t xml:space="preserve">Emergency access</w:t>
            </w:r>
          </w:p>
        </w:tc>
        <w:tc>
          <w:tcPr/>
          <w:p>
            <w:pPr>
              <w:pStyle w:val="Compact"/>
              <w:jc w:val="left"/>
            </w:pPr>
            <w:r>
              <w:rPr>
                <w:rStyle w:val="VerbatimChar"/>
              </w:rPr>
              <w:t xml:space="preserve">llm-breakglass</w:t>
            </w:r>
            <w:r>
              <w:t xml:space="preserve">, gated by just-in-time approval and alerted</w:t>
            </w:r>
          </w:p>
        </w:tc>
        <w:tc>
          <w:tcPr/>
          <w:p>
            <w:pPr>
              <w:pStyle w:val="Compact"/>
              <w:jc w:val="left"/>
            </w:pPr>
            <w:r>
              <w:rPr>
                <w:b/>
                <w:bCs/>
              </w:rPr>
              <w:t xml:space="preserve">Break-glass access</w:t>
            </w:r>
          </w:p>
        </w:tc>
      </w:tr>
      <w:tr>
        <w:tc>
          <w:tcPr/>
          <w:p>
            <w:pPr>
              <w:pStyle w:val="Compact"/>
              <w:jc w:val="left"/>
            </w:pPr>
            <w:r>
              <w:t xml:space="preserve">Emergency termination</w:t>
            </w:r>
          </w:p>
        </w:tc>
        <w:tc>
          <w:tcPr/>
          <w:p>
            <w:pPr>
              <w:pStyle w:val="Compact"/>
              <w:jc w:val="left"/>
            </w:pPr>
            <w:r>
              <w:t xml:space="preserve">Four containment tiers with a phased response</w:t>
            </w:r>
          </w:p>
        </w:tc>
        <w:tc>
          <w:tcPr/>
          <w:p>
            <w:pPr>
              <w:pStyle w:val="Compact"/>
              <w:jc w:val="left"/>
            </w:pPr>
            <w:r>
              <w:rPr>
                <w:b/>
                <w:bCs/>
              </w:rPr>
              <w:t xml:space="preserve">Emergency termination — kill switch</w:t>
            </w:r>
          </w:p>
        </w:tc>
      </w:tr>
    </w:tbl>
    <w:p>
      <w:r>
        <w:pict>
          <v:rect style="width:0;height:1.5pt" o:hralign="center" o:hrstd="t" o:hr="t"/>
        </w:pict>
      </w:r>
    </w:p>
    <w:bookmarkEnd w:id="229"/>
    <w:bookmarkEnd w:id="230"/>
    <w:bookmarkStart w:id="252" w:name="techops-logging-monitoring-and-cost"/>
    <w:p>
      <w:pPr>
        <w:pStyle w:val="Heading1"/>
      </w:pPr>
      <w:r>
        <w:t xml:space="preserve">11. TechOps — Logging, Monitoring and Cost</w:t>
      </w:r>
    </w:p>
    <w:bookmarkStart w:id="241" w:name="logging-design"/>
    <w:p>
      <w:pPr>
        <w:pStyle w:val="Heading2"/>
      </w:pPr>
      <w:r>
        <w:t xml:space="preserve">11.1 Logging design</w:t>
      </w:r>
    </w:p>
    <w:p>
      <w:pPr>
        <w:pStyle w:val="FirstParagraph"/>
      </w:pPr>
      <w:r>
        <w:t xml:space="preserve">CR-07 (400 days of retained logs, held centrally and queryable) requires 400 days of retention across every project, with all logs also routed to a central logging project. G7 (400 days of retained evidence, held centrally) is the design goal this satisfies.</w:t>
      </w:r>
    </w:p>
    <w:p>
      <w:pPr>
        <w:pStyle w:val="BodyText"/>
      </w:pPr>
      <w:r>
        <w:t xml:space="preserve">Sandbox has no audit logs project of its own. Because the sinks below are set at the</w:t>
      </w:r>
      <w:r>
        <w:t xml:space="preserve"> </w:t>
      </w:r>
      <w:r>
        <w:rPr>
          <w:rStyle w:val="VerbatimChar"/>
        </w:rPr>
        <w:t xml:space="preserve">AI COE</w:t>
      </w:r>
      <w:r>
        <w:t xml:space="preserve"> </w:t>
      </w:r>
      <w:r>
        <w:t xml:space="preserve">folder with</w:t>
      </w:r>
      <w:r>
        <w:t xml:space="preserve"> </w:t>
      </w:r>
      <w:r>
        <w:rPr>
          <w:rStyle w:val="VerbatimChar"/>
        </w:rPr>
        <w:t xml:space="preserve">include_children</w:t>
      </w:r>
      <w:r>
        <w:t xml:space="preserve"> </w:t>
      </w:r>
      <w:r>
        <w:t xml:space="preserve">enabled, Sandbox logs are routed into the same 400-day bucket in</w:t>
      </w:r>
      <w:r>
        <w:t xml:space="preserve"> </w:t>
      </w:r>
      <w:r>
        <w:rPr>
          <w:rStyle w:val="VerbatimChar"/>
        </w:rPr>
        <w:t xml:space="preserve">gclt-aicoe-dev-auditlogs</w:t>
      </w:r>
      <w:r>
        <w:t xml:space="preserve"> </w:t>
      </w:r>
      <w:r>
        <w:t xml:space="preserve">as Development. There is no third bucket, no third sink and no separate CMEK key for Sandbox.</w:t>
      </w:r>
    </w:p>
    <w:bookmarkStart w:id="231" w:name="Xed469e801427c6baeb6df96dd8c1f54d7544192"/>
    <w:p>
      <w:pPr>
        <w:pStyle w:val="Heading3"/>
      </w:pPr>
      <w:r>
        <w:t xml:space="preserve">11.1.1 Why a user-defined log bucket is required</w:t>
      </w:r>
    </w:p>
    <w:p>
      <w:pPr>
        <w:pStyle w:val="FirstParagraph"/>
      </w:pPr>
      <w:r>
        <w:t xml:space="preserve">Every project carries two system buckets, and neither satisfies the retention requirement.</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Bucket</w:t>
            </w:r>
          </w:p>
        </w:tc>
        <w:tc>
          <w:tcPr>
            <w:shd w:val="clear" w:color="auto" w:fill="1F3864"/>
          </w:tcPr>
          <w:p>
            <w:pPr>
              <w:pStyle w:val="Compact"/>
              <w:jc w:val="left"/>
            </w:pPr>
            <w:r>
              <w:rPr>
                <w:b/>
                <w:color w:val="FFFFFF"/>
              </w:rPr>
              <w:t xml:space="preserve">Retention</w:t>
            </w:r>
          </w:p>
        </w:tc>
        <w:tc>
          <w:tcPr>
            <w:shd w:val="clear" w:color="auto" w:fill="1F3864"/>
          </w:tcPr>
          <w:p>
            <w:pPr>
              <w:pStyle w:val="Compact"/>
              <w:jc w:val="left"/>
            </w:pPr>
            <w:r>
              <w:rPr>
                <w:b/>
                <w:color w:val="FFFFFF"/>
              </w:rPr>
              <w:t xml:space="preserve">Suitable as the central store</w:t>
            </w:r>
          </w:p>
        </w:tc>
      </w:tr>
      <w:tr>
        <w:tc>
          <w:tcPr/>
          <w:p>
            <w:pPr>
              <w:pStyle w:val="Compact"/>
              <w:jc w:val="left"/>
            </w:pPr>
            <w:r>
              <w:rPr>
                <w:rStyle w:val="VerbatimChar"/>
              </w:rPr>
              <w:t xml:space="preserve">_Required</w:t>
            </w:r>
          </w:p>
        </w:tc>
        <w:tc>
          <w:tcPr/>
          <w:p>
            <w:pPr>
              <w:pStyle w:val="Compact"/>
              <w:jc w:val="left"/>
            </w:pPr>
            <w:r>
              <w:t xml:space="preserve">Fixed at 400 days. Retention cannot be changed, the bucket cannot be deleted, and the set of entries it stores cannot be modified. Holds only entries originating in its own project</w:t>
            </w:r>
          </w:p>
        </w:tc>
        <w:tc>
          <w:tcPr/>
          <w:p>
            <w:pPr>
              <w:pStyle w:val="Compact"/>
              <w:jc w:val="left"/>
            </w:pPr>
            <w:r>
              <w:t xml:space="preserve">No. The retention is already correct, but it is strictly local and limited to Admin Activity, System Event and Access Transparency logs</w:t>
            </w:r>
          </w:p>
        </w:tc>
      </w:tr>
      <w:tr>
        <w:tc>
          <w:tcPr/>
          <w:p>
            <w:pPr>
              <w:pStyle w:val="Compact"/>
              <w:jc w:val="left"/>
            </w:pPr>
            <w:r>
              <w:rPr>
                <w:rStyle w:val="VerbatimChar"/>
              </w:rPr>
              <w:t xml:space="preserve">_Default</w:t>
            </w:r>
          </w:p>
        </w:tc>
        <w:tc>
          <w:tcPr/>
          <w:p>
            <w:pPr>
              <w:pStyle w:val="Compact"/>
              <w:jc w:val="left"/>
            </w:pPr>
            <w:r>
              <w:t xml:space="preserve">30 days by default, adjustable between 1 and 3,650 days</w:t>
            </w:r>
          </w:p>
        </w:tc>
        <w:tc>
          <w:tcPr/>
          <w:p>
            <w:pPr>
              <w:pStyle w:val="Compact"/>
              <w:jc w:val="left"/>
            </w:pPr>
            <w:r>
              <w:t xml:space="preserve">No. It is per-project. Raising it to 400 days in every project produces scattered stores with no CMEK at creation, no region pin, no retention lock and no Log Analytics</w:t>
            </w:r>
          </w:p>
        </w:tc>
      </w:tr>
      <w:tr>
        <w:tc>
          <w:tcPr/>
          <w:p>
            <w:pPr>
              <w:pStyle w:val="Compact"/>
              <w:jc w:val="left"/>
            </w:pPr>
            <w:r>
              <w:t xml:space="preserve">User-defined</w:t>
            </w:r>
          </w:p>
        </w:tc>
        <w:tc>
          <w:tcPr/>
          <w:p>
            <w:pPr>
              <w:pStyle w:val="Compact"/>
              <w:jc w:val="left"/>
            </w:pPr>
            <w:r>
              <w:t xml:space="preserve">1 to 3,650 days</w:t>
            </w:r>
          </w:p>
        </w:tc>
        <w:tc>
          <w:tcPr/>
          <w:p>
            <w:pPr>
              <w:pStyle w:val="Compact"/>
              <w:jc w:val="left"/>
            </w:pPr>
            <w:r>
              <w:t xml:space="preserve">Yes. Routing folder-level entries to a user-defined bucket in one project is the only mechanism that satisfies the requirement</w:t>
            </w:r>
          </w:p>
        </w:tc>
      </w:tr>
    </w:tbl>
    <w:bookmarkEnd w:id="231"/>
    <w:bookmarkStart w:id="232" w:name="the-log-bucket"/>
    <w:p>
      <w:pPr>
        <w:pStyle w:val="Heading3"/>
      </w:pPr>
      <w:r>
        <w:t xml:space="preserve">11.1.2 The log bucket</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Setting</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Note</w:t>
            </w:r>
          </w:p>
        </w:tc>
      </w:tr>
      <w:tr>
        <w:tc>
          <w:tcPr/>
          <w:p>
            <w:pPr>
              <w:pStyle w:val="Compact"/>
              <w:jc w:val="left"/>
            </w:pPr>
            <w:r>
              <w:t xml:space="preserve">Project</w:t>
            </w:r>
          </w:p>
        </w:tc>
        <w:tc>
          <w:tcPr/>
          <w:p>
            <w:pPr>
              <w:pStyle w:val="Compact"/>
              <w:jc w:val="left"/>
            </w:pPr>
            <w:r>
              <w:rPr>
                <w:rStyle w:val="VerbatimChar"/>
              </w:rPr>
              <w:t xml:space="preserve">gclt-aicoe-dev-auditlogs</w:t>
            </w:r>
          </w:p>
        </w:tc>
        <w:tc>
          <w:tcPr/>
          <w:p>
            <w:pPr>
              <w:pStyle w:val="Compact"/>
              <w:jc w:val="left"/>
            </w:pPr>
            <w:r>
              <w:t xml:space="preserve">Also receives Sandbox logs</w:t>
            </w:r>
          </w:p>
        </w:tc>
      </w:tr>
      <w:tr>
        <w:tc>
          <w:tcPr/>
          <w:p>
            <w:pPr>
              <w:pStyle w:val="Compact"/>
              <w:jc w:val="left"/>
            </w:pPr>
            <w:r>
              <w:t xml:space="preserve">Name</w:t>
            </w:r>
          </w:p>
        </w:tc>
        <w:tc>
          <w:tcPr/>
          <w:p>
            <w:pPr>
              <w:pStyle w:val="Compact"/>
              <w:jc w:val="left"/>
            </w:pPr>
            <w:r>
              <w:rPr>
                <w:rStyle w:val="VerbatimChar"/>
              </w:rPr>
              <w:t xml:space="preserve">aicoe-dev-logs-400d</w:t>
            </w:r>
          </w:p>
        </w:tc>
        <w:tc>
          <w:tcPr/>
          <w:p>
            <w:pPr>
              <w:pStyle w:val="Compact"/>
            </w:pPr>
          </w:p>
        </w:tc>
      </w:tr>
      <w:tr>
        <w:tc>
          <w:tcPr/>
          <w:p>
            <w:pPr>
              <w:pStyle w:val="Compact"/>
              <w:jc w:val="left"/>
            </w:pPr>
            <w:r>
              <w:t xml:space="preserve">Location</w:t>
            </w:r>
          </w:p>
        </w:tc>
        <w:tc>
          <w:tcPr/>
          <w:p>
            <w:pPr>
              <w:pStyle w:val="Compact"/>
              <w:jc w:val="left"/>
            </w:pPr>
            <w:r>
              <w:rPr>
                <w:rStyle w:val="VerbatimChar"/>
              </w:rPr>
              <w:t xml:space="preserve">europe-west1</w:t>
            </w:r>
          </w:p>
        </w:tc>
        <w:tc>
          <w:tcPr/>
          <w:p>
            <w:pPr>
              <w:pStyle w:val="Compact"/>
              <w:jc w:val="left"/>
            </w:pPr>
            <w:r>
              <w:t xml:space="preserve">A user-defined bucket permits an explicit region pin;</w:t>
            </w:r>
            <w:r>
              <w:t xml:space="preserve"> </w:t>
            </w:r>
            <w:r>
              <w:rPr>
                <w:rStyle w:val="VerbatimChar"/>
              </w:rPr>
              <w:t xml:space="preserve">_Default</w:t>
            </w:r>
            <w:r>
              <w:t xml:space="preserve"> </w:t>
            </w:r>
            <w:r>
              <w:t xml:space="preserve">does not</w:t>
            </w:r>
          </w:p>
        </w:tc>
      </w:tr>
      <w:tr>
        <w:tc>
          <w:tcPr/>
          <w:p>
            <w:pPr>
              <w:pStyle w:val="Compact"/>
              <w:jc w:val="left"/>
            </w:pPr>
            <w:r>
              <w:t xml:space="preserve">Retention</w:t>
            </w:r>
          </w:p>
        </w:tc>
        <w:tc>
          <w:tcPr/>
          <w:p>
            <w:pPr>
              <w:pStyle w:val="Compact"/>
              <w:jc w:val="left"/>
            </w:pPr>
            <w:r>
              <w:t xml:space="preserve">400 days</w:t>
            </w:r>
          </w:p>
        </w:tc>
        <w:tc>
          <w:tcPr/>
          <w:p>
            <w:pPr>
              <w:pStyle w:val="Compact"/>
            </w:pPr>
          </w:p>
        </w:tc>
      </w:tr>
      <w:tr>
        <w:tc>
          <w:tcPr/>
          <w:p>
            <w:pPr>
              <w:pStyle w:val="Compact"/>
              <w:jc w:val="left"/>
            </w:pPr>
            <w:r>
              <w:t xml:space="preserve">CMEK</w:t>
            </w:r>
          </w:p>
        </w:tc>
        <w:tc>
          <w:tcPr/>
          <w:p>
            <w:pPr>
              <w:pStyle w:val="Compact"/>
              <w:jc w:val="left"/>
            </w:pPr>
            <w:r>
              <w:t xml:space="preserve">Key</w:t>
            </w:r>
            <w:r>
              <w:t xml:space="preserve"> </w:t>
            </w:r>
            <w:r>
              <w:rPr>
                <w:rStyle w:val="VerbatimChar"/>
              </w:rPr>
              <w:t xml:space="preserve">logs/log-bucket</w:t>
            </w:r>
          </w:p>
        </w:tc>
        <w:tc>
          <w:tcPr/>
          <w:p>
            <w:pPr>
              <w:pStyle w:val="Compact"/>
              <w:jc w:val="left"/>
            </w:pPr>
            <w:r>
              <w:t xml:space="preserve">The Logging service agent must hold Encrypter/Decrypter on the key before the bucket is created — the same agent-before-resource ordering described in</w:t>
            </w:r>
            <w:r>
              <w:t xml:space="preserve"> </w:t>
            </w:r>
            <w:r>
              <w:rPr>
                <w:b/>
                <w:bCs/>
              </w:rPr>
              <w:t xml:space="preserve">Service agent creation order</w:t>
            </w:r>
          </w:p>
        </w:tc>
      </w:tr>
      <w:tr>
        <w:tc>
          <w:tcPr/>
          <w:p>
            <w:pPr>
              <w:pStyle w:val="Compact"/>
              <w:jc w:val="left"/>
            </w:pPr>
            <w:r>
              <w:t xml:space="preserve">Log Analytics</w:t>
            </w:r>
          </w:p>
        </w:tc>
        <w:tc>
          <w:tcPr/>
          <w:p>
            <w:pPr>
              <w:pStyle w:val="Compact"/>
              <w:jc w:val="left"/>
            </w:pPr>
            <w:r>
              <w:t xml:space="preserve">Enabled, with linked BigQuery dataset</w:t>
            </w:r>
            <w:r>
              <w:t xml:space="preserve"> </w:t>
            </w:r>
            <w:r>
              <w:rPr>
                <w:rStyle w:val="VerbatimChar"/>
              </w:rPr>
              <w:t xml:space="preserve">aicoe_dev_logs</w:t>
            </w:r>
          </w:p>
        </w:tc>
        <w:tc>
          <w:tcPr/>
          <w:p>
            <w:pPr>
              <w:pStyle w:val="Compact"/>
              <w:jc w:val="left"/>
            </w:pPr>
            <w:r>
              <w:t xml:space="preserve">Permits SQL queries over log data without a second sink into BigQuery, so one stored copy is paid for rather than two</w:t>
            </w:r>
          </w:p>
        </w:tc>
      </w:tr>
      <w:tr>
        <w:tc>
          <w:tcPr/>
          <w:p>
            <w:pPr>
              <w:pStyle w:val="Compact"/>
              <w:jc w:val="left"/>
            </w:pPr>
            <w:r>
              <w:t xml:space="preserve">Retention lock</w:t>
            </w:r>
          </w:p>
        </w:tc>
        <w:tc>
          <w:tcPr/>
          <w:p>
            <w:pPr>
              <w:pStyle w:val="Compact"/>
              <w:jc w:val="left"/>
            </w:pPr>
            <w:r>
              <w:t xml:space="preserve">Not applied in Development</w:t>
            </w:r>
          </w:p>
        </w:tc>
        <w:tc>
          <w:tcPr/>
          <w:p>
            <w:pPr>
              <w:pStyle w:val="Compact"/>
              <w:jc w:val="left"/>
            </w:pPr>
            <w:r>
              <w:t xml:space="preserve">Locking is irreversible: retention cannot be shortened and the bucket cannot be deleted until every entry has served its retention. Applied in Production, where evidence tampering is the greater risk, per I11 (log bucket retention lock)</w:t>
            </w:r>
          </w:p>
        </w:tc>
      </w:tr>
    </w:tbl>
    <w:p>
      <w:pPr>
        <w:pStyle w:val="BodyText"/>
      </w:pPr>
      <w:r>
        <w:t xml:space="preserve">The linked BigQuery dataset can be created simultaneously with the bucket only through the console. In Terraform the bucket is created first, then the linked dataset resource.</w:t>
      </w:r>
    </w:p>
    <w:bookmarkEnd w:id="232"/>
    <w:bookmarkStart w:id="236" w:name="sinks"/>
    <w:p>
      <w:pPr>
        <w:pStyle w:val="Heading3"/>
      </w:pPr>
      <w:r>
        <w:t xml:space="preserve">11.1.3 Sinks</w:t>
      </w:r>
    </w:p>
    <w:p>
      <w:pPr>
        <w:pStyle w:val="FirstParagraph"/>
      </w:pPr>
      <w:r>
        <w:t xml:space="preserve">Three independent sinks, each with its own filter and writer identity. A sink produces a copy; the three are not alternatives to one another.</w:t>
      </w:r>
    </w:p>
    <w:p>
      <w:pPr>
        <w:pStyle w:val="CaptionedFigure"/>
      </w:pPr>
      <w:r>
        <w:drawing>
          <wp:inline>
            <wp:extent cx="5943600" cy="3570568"/>
            <wp:effectExtent b="0" l="0" r="0" t="0"/>
            <wp:docPr descr="AI CoE centralized logging architecture — the aggregated sink at the AI COE folder, feeding a 400-day log bucket with its linked BigQuery dataset and log views, plus a filtered Pub/Sub export to Microsoft Sentinel" title="" id="234" name="Picture"/>
            <a:graphic>
              <a:graphicData uri="http://schemas.openxmlformats.org/drawingml/2006/picture">
                <pic:pic>
                  <pic:nvPicPr>
                    <pic:cNvPr descr="diagrams/logging-architecture.png" id="235" name="Picture"/>
                    <pic:cNvPicPr>
                      <a:picLocks noChangeArrowheads="1" noChangeAspect="1"/>
                    </pic:cNvPicPr>
                  </pic:nvPicPr>
                  <pic:blipFill>
                    <a:blip r:embed="rId233"/>
                    <a:stretch>
                      <a:fillRect/>
                    </a:stretch>
                  </pic:blipFill>
                  <pic:spPr bwMode="auto">
                    <a:xfrm>
                      <a:off x="0" y="0"/>
                      <a:ext cx="5943600" cy="3570568"/>
                    </a:xfrm>
                    <a:prstGeom prst="rect">
                      <a:avLst/>
                    </a:prstGeom>
                    <a:noFill/>
                    <a:ln w="9525">
                      <a:noFill/>
                      <a:headEnd/>
                      <a:tailEnd/>
                    </a:ln>
                  </pic:spPr>
                </pic:pic>
              </a:graphicData>
            </a:graphic>
          </wp:inline>
        </w:drawing>
      </w:r>
    </w:p>
    <w:p>
      <w:pPr>
        <w:pStyle w:val="ImageCaption"/>
      </w:pPr>
      <w:r>
        <w:t xml:space="preserve">AI CoE centralized logging architecture — the aggregated sink at the AI COE folder, feeding a 400-day log bucket with its linked BigQuery dataset and log views, plus a filtered Pub/Sub export to Microsoft Sentinel</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Sink</w:t>
            </w:r>
          </w:p>
        </w:tc>
        <w:tc>
          <w:tcPr>
            <w:shd w:val="clear" w:color="auto" w:fill="1F3864"/>
          </w:tcPr>
          <w:p>
            <w:pPr>
              <w:pStyle w:val="Compact"/>
              <w:jc w:val="left"/>
            </w:pPr>
            <w:r>
              <w:rPr>
                <w:b/>
                <w:color w:val="FFFFFF"/>
              </w:rPr>
              <w:t xml:space="preserve">Level</w:t>
            </w:r>
          </w:p>
        </w:tc>
        <w:tc>
          <w:tcPr>
            <w:shd w:val="clear" w:color="auto" w:fill="1F3864"/>
          </w:tcPr>
          <w:p>
            <w:pPr>
              <w:pStyle w:val="Compact"/>
              <w:jc w:val="left"/>
            </w:pPr>
            <w:r>
              <w:rPr>
                <w:b/>
                <w:color w:val="FFFFFF"/>
              </w:rPr>
              <w:t xml:space="preserve">Destination</w:t>
            </w:r>
          </w:p>
        </w:tc>
        <w:tc>
          <w:tcPr>
            <w:shd w:val="clear" w:color="auto" w:fill="1F3864"/>
          </w:tcPr>
          <w:p>
            <w:pPr>
              <w:pStyle w:val="Compact"/>
              <w:jc w:val="left"/>
            </w:pPr>
            <w:r>
              <w:rPr>
                <w:b/>
                <w:color w:val="FFFFFF"/>
              </w:rPr>
              <w:t xml:space="preserve">Filter</w:t>
            </w:r>
          </w:p>
        </w:tc>
      </w:tr>
      <w:tr>
        <w:tc>
          <w:tcPr/>
          <w:p>
            <w:pPr>
              <w:pStyle w:val="Compact"/>
              <w:jc w:val="left"/>
            </w:pPr>
            <w:r>
              <w:rPr>
                <w:rStyle w:val="VerbatimChar"/>
              </w:rPr>
              <w:t xml:space="preserve">aicoe-400d</w:t>
            </w:r>
          </w:p>
        </w:tc>
        <w:tc>
          <w:tcPr/>
          <w:p>
            <w:pPr>
              <w:pStyle w:val="Compact"/>
              <w:jc w:val="left"/>
            </w:pPr>
            <w:r>
              <w:t xml:space="preserve">Folder</w:t>
            </w:r>
            <w:r>
              <w:t xml:space="preserve"> </w:t>
            </w:r>
            <w:r>
              <w:rPr>
                <w:rStyle w:val="VerbatimChar"/>
              </w:rPr>
              <w:t xml:space="preserve">AI COE</w:t>
            </w:r>
            <w:r>
              <w:t xml:space="preserve">,</w:t>
            </w:r>
            <w:r>
              <w:t xml:space="preserve"> </w:t>
            </w:r>
            <w:r>
              <w:rPr>
                <w:rStyle w:val="VerbatimChar"/>
              </w:rPr>
              <w:t xml:space="preserve">include_children = true</w:t>
            </w:r>
          </w:p>
        </w:tc>
        <w:tc>
          <w:tcPr/>
          <w:p>
            <w:pPr>
              <w:pStyle w:val="Compact"/>
              <w:jc w:val="left"/>
            </w:pPr>
            <w:r>
              <w:rPr>
                <w:rStyle w:val="VerbatimChar"/>
              </w:rPr>
              <w:t xml:space="preserve">aicoe-dev-logs-400d</w:t>
            </w:r>
          </w:p>
        </w:tc>
        <w:tc>
          <w:tcPr/>
          <w:p>
            <w:pPr>
              <w:pStyle w:val="Compact"/>
              <w:jc w:val="left"/>
            </w:pPr>
            <w:r>
              <w:t xml:space="preserve">Everything, less the exclusions in</w:t>
            </w:r>
            <w:r>
              <w:t xml:space="preserve"> </w:t>
            </w:r>
            <w:r>
              <w:rPr>
                <w:b/>
                <w:bCs/>
              </w:rPr>
              <w:t xml:space="preserve">Duplicate routing and log storage cost</w:t>
            </w:r>
          </w:p>
        </w:tc>
      </w:tr>
      <w:tr>
        <w:tc>
          <w:tcPr/>
          <w:p>
            <w:pPr>
              <w:pStyle w:val="Compact"/>
              <w:jc w:val="left"/>
            </w:pPr>
            <w:r>
              <w:rPr>
                <w:rStyle w:val="VerbatimChar"/>
              </w:rPr>
              <w:t xml:space="preserve">aicoe-to-org</w:t>
            </w:r>
          </w:p>
        </w:tc>
        <w:tc>
          <w:tcPr/>
          <w:p>
            <w:pPr>
              <w:pStyle w:val="Compact"/>
              <w:jc w:val="left"/>
            </w:pPr>
            <w:r>
              <w:t xml:space="preserve">Folder</w:t>
            </w:r>
            <w:r>
              <w:t xml:space="preserve"> </w:t>
            </w:r>
            <w:r>
              <w:rPr>
                <w:rStyle w:val="VerbatimChar"/>
              </w:rPr>
              <w:t xml:space="preserve">AI COE</w:t>
            </w:r>
            <w:r>
              <w:t xml:space="preserve">,</w:t>
            </w:r>
            <w:r>
              <w:t xml:space="preserve"> </w:t>
            </w:r>
            <w:r>
              <w:rPr>
                <w:rStyle w:val="VerbatimChar"/>
              </w:rPr>
              <w:t xml:space="preserve">include_children = true</w:t>
            </w:r>
          </w:p>
        </w:tc>
        <w:tc>
          <w:tcPr/>
          <w:p>
            <w:pPr>
              <w:pStyle w:val="Compact"/>
              <w:jc w:val="left"/>
            </w:pPr>
            <w:r>
              <w:t xml:space="preserve">The enterprise logging project</w:t>
            </w:r>
          </w:p>
        </w:tc>
        <w:tc>
          <w:tcPr/>
          <w:p>
            <w:pPr>
              <w:pStyle w:val="Compact"/>
              <w:jc w:val="left"/>
            </w:pPr>
            <w:r>
              <w:t xml:space="preserve">Per the Colt platform-wide standard. This filter is maintained separately, so the platform’s retention requirements are not coupled to the enterprise standard’s</w:t>
            </w:r>
          </w:p>
        </w:tc>
      </w:tr>
      <w:tr>
        <w:tc>
          <w:tcPr/>
          <w:p>
            <w:pPr>
              <w:pStyle w:val="Compact"/>
              <w:jc w:val="left"/>
            </w:pPr>
            <w:r>
              <w:rPr>
                <w:rStyle w:val="VerbatimChar"/>
              </w:rPr>
              <w:t xml:space="preserve">aicoe-siem</w:t>
            </w:r>
          </w:p>
        </w:tc>
        <w:tc>
          <w:tcPr/>
          <w:p>
            <w:pPr>
              <w:pStyle w:val="Compact"/>
              <w:jc w:val="left"/>
            </w:pPr>
            <w:r>
              <w:t xml:space="preserve">Folder</w:t>
            </w:r>
            <w:r>
              <w:t xml:space="preserve"> </w:t>
            </w:r>
            <w:r>
              <w:rPr>
                <w:rStyle w:val="VerbatimChar"/>
              </w:rPr>
              <w:t xml:space="preserve">AI COE</w:t>
            </w:r>
          </w:p>
        </w:tc>
        <w:tc>
          <w:tcPr/>
          <w:p>
            <w:pPr>
              <w:pStyle w:val="Compact"/>
              <w:jc w:val="left"/>
            </w:pPr>
            <w:r>
              <w:t xml:space="preserve">Pub/Sub topic</w:t>
            </w:r>
            <w:r>
              <w:t xml:space="preserve"> </w:t>
            </w:r>
            <w:r>
              <w:rPr>
                <w:rStyle w:val="VerbatimChar"/>
              </w:rPr>
              <w:t xml:space="preserve">aicoe-security-logs</w:t>
            </w:r>
          </w:p>
        </w:tc>
        <w:tc>
          <w:tcPr/>
          <w:p>
            <w:pPr>
              <w:pStyle w:val="Compact"/>
              <w:jc w:val="left"/>
            </w:pPr>
            <w:r>
              <w:t xml:space="preserve">Security-relevant records only, per</w:t>
            </w:r>
            <w:r>
              <w:t xml:space="preserve"> </w:t>
            </w:r>
            <w:r>
              <w:rPr>
                <w:b/>
                <w:bCs/>
              </w:rPr>
              <w:t xml:space="preserve">SIEM integration — Microsoft Sentinel</w:t>
            </w:r>
          </w:p>
        </w:tc>
      </w:tr>
    </w:tbl>
    <w:p>
      <w:pPr>
        <w:pStyle w:val="BodyText"/>
      </w:pPr>
      <w:r>
        <w:rPr>
          <w:rStyle w:val="VerbatimChar"/>
        </w:rPr>
        <w:t xml:space="preserve">include_children = true</w:t>
      </w:r>
      <w:r>
        <w:t xml:space="preserve"> </w:t>
      </w:r>
      <w:r>
        <w:t xml:space="preserve">is required on the aggregated sinks. Without it, a folder-level sink captures only the folder resource itself and routes no project logs.</w:t>
      </w:r>
    </w:p>
    <w:p>
      <w:pPr>
        <w:pStyle w:val="BodyText"/>
      </w:pPr>
      <w:r>
        <w:t xml:space="preserve">Each sink has a writer identity that must be granted on its destination —</w:t>
      </w:r>
      <w:r>
        <w:t xml:space="preserve"> </w:t>
      </w:r>
      <w:r>
        <w:rPr>
          <w:rStyle w:val="VerbatimChar"/>
        </w:rPr>
        <w:t xml:space="preserve">roles/logging.bucketWriter</w:t>
      </w:r>
      <w:r>
        <w:t xml:space="preserve"> </w:t>
      </w:r>
      <w:r>
        <w:t xml:space="preserve">on the log bucket,</w:t>
      </w:r>
      <w:r>
        <w:t xml:space="preserve"> </w:t>
      </w:r>
      <w:r>
        <w:rPr>
          <w:rStyle w:val="VerbatimChar"/>
        </w:rPr>
        <w:t xml:space="preserve">roles/pubsub.publisher</w:t>
      </w:r>
      <w:r>
        <w:t xml:space="preserve"> </w:t>
      </w:r>
      <w:r>
        <w:t xml:space="preserve">on the topic. An aggregated sink’s writer identity does not exist until the sink itself exists, so sink creation and grant are necessarily two stages of the Terraform apply and cannot be collapsed into one.</w:t>
      </w:r>
    </w:p>
    <w:bookmarkEnd w:id="236"/>
    <w:bookmarkStart w:id="237" w:name="audit-log-configuration"/>
    <w:p>
      <w:pPr>
        <w:pStyle w:val="Heading3"/>
      </w:pPr>
      <w:r>
        <w:t xml:space="preserve">11.1.4 Audit log configuration</w:t>
      </w:r>
    </w:p>
    <w:p>
      <w:pPr>
        <w:pStyle w:val="FirstParagraph"/>
      </w:pPr>
      <w:r>
        <w:t xml:space="preserve">Data Access audit logs are disabled by default for most services. Without them there are no IAP</w:t>
      </w:r>
      <w:r>
        <w:t xml:space="preserve"> </w:t>
      </w:r>
      <w:r>
        <w:rPr>
          <w:rStyle w:val="VerbatimChar"/>
        </w:rPr>
        <w:t xml:space="preserve">DATA_READ</w:t>
      </w:r>
      <w:r>
        <w:t xml:space="preserve"> </w:t>
      </w:r>
      <w:r>
        <w:t xml:space="preserve">records, no Cloud Storage object reads and no BigQuery data reads — which are the records the business-unit attribution and access-review positions depend on. CR-06 (Data Access audit logs enabled) requires them.</w:t>
      </w:r>
    </w:p>
    <w:p>
      <w:pPr>
        <w:pStyle w:val="BodyText"/>
      </w:pPr>
      <w:r>
        <w:t xml:space="preserve">The audit configuration is set at</w:t>
      </w:r>
      <w:r>
        <w:t xml:space="preserve"> </w:t>
      </w:r>
      <w:r>
        <w:rPr>
          <w:b/>
          <w:bCs/>
        </w:rPr>
        <w:t xml:space="preserve">folder</w:t>
      </w:r>
      <w:r>
        <w:t xml:space="preserve"> </w:t>
      </w:r>
      <w:r>
        <w:t xml:space="preserve">level, for</w:t>
      </w:r>
      <w:r>
        <w:t xml:space="preserve"> </w:t>
      </w:r>
      <w:r>
        <w:rPr>
          <w:rStyle w:val="VerbatimChar"/>
        </w:rPr>
        <w:t xml:space="preserve">ADMIN_READ</w:t>
      </w:r>
      <w:r>
        <w:t xml:space="preserve">,</w:t>
      </w:r>
      <w:r>
        <w:t xml:space="preserve"> </w:t>
      </w:r>
      <w:r>
        <w:rPr>
          <w:rStyle w:val="VerbatimChar"/>
        </w:rPr>
        <w:t xml:space="preserve">DATA_READ</w:t>
      </w:r>
      <w:r>
        <w:t xml:space="preserve"> </w:t>
      </w:r>
      <w:r>
        <w:t xml:space="preserve">and</w:t>
      </w:r>
      <w:r>
        <w:t xml:space="preserve"> </w:t>
      </w:r>
      <w:r>
        <w:rPr>
          <w:rStyle w:val="VerbatimChar"/>
        </w:rPr>
        <w:t xml:space="preserve">DATA_WRITE</w:t>
      </w:r>
      <w:r>
        <w:t xml:space="preserve">, on at least:</w:t>
      </w:r>
    </w:p>
    <w:p>
      <w:pPr>
        <w:pStyle w:val="BodyText"/>
      </w:pPr>
      <w:r>
        <w:rPr>
          <w:rStyle w:val="VerbatimChar"/>
        </w:rPr>
        <w:t xml:space="preserve">iap.googleapis.com</w:t>
      </w:r>
      <w:r>
        <w:t xml:space="preserve">,</w:t>
      </w:r>
      <w:r>
        <w:t xml:space="preserve"> </w:t>
      </w:r>
      <w:r>
        <w:rPr>
          <w:rStyle w:val="VerbatimChar"/>
        </w:rPr>
        <w:t xml:space="preserve">storage.googleapis.com</w:t>
      </w:r>
      <w:r>
        <w:t xml:space="preserve">,</w:t>
      </w:r>
      <w:r>
        <w:t xml:space="preserve"> </w:t>
      </w:r>
      <w:r>
        <w:rPr>
          <w:rStyle w:val="VerbatimChar"/>
        </w:rPr>
        <w:t xml:space="preserve">bigquery.googleapis.com</w:t>
      </w:r>
      <w:r>
        <w:t xml:space="preserve">,</w:t>
      </w:r>
      <w:r>
        <w:t xml:space="preserve"> </w:t>
      </w:r>
      <w:r>
        <w:rPr>
          <w:rStyle w:val="VerbatimChar"/>
        </w:rPr>
        <w:t xml:space="preserve">aiplatform.googleapis.com</w:t>
      </w:r>
      <w:r>
        <w:t xml:space="preserve">,</w:t>
      </w:r>
      <w:r>
        <w:t xml:space="preserve"> </w:t>
      </w:r>
      <w:r>
        <w:rPr>
          <w:rStyle w:val="VerbatimChar"/>
        </w:rPr>
        <w:t xml:space="preserve">secretmanager.googleapis.com</w:t>
      </w:r>
      <w:r>
        <w:t xml:space="preserve">,</w:t>
      </w:r>
      <w:r>
        <w:t xml:space="preserve"> </w:t>
      </w:r>
      <w:r>
        <w:rPr>
          <w:rStyle w:val="VerbatimChar"/>
        </w:rPr>
        <w:t xml:space="preserve">cloudkms.googleapis.com</w:t>
      </w:r>
      <w:r>
        <w:t xml:space="preserve">,</w:t>
      </w:r>
      <w:r>
        <w:t xml:space="preserve"> </w:t>
      </w:r>
      <w:r>
        <w:rPr>
          <w:rStyle w:val="VerbatimChar"/>
        </w:rPr>
        <w:t xml:space="preserve">run.googleapis.com</w:t>
      </w:r>
    </w:p>
    <w:bookmarkEnd w:id="237"/>
    <w:bookmarkStart w:id="238" w:name="retention-by-log-class"/>
    <w:p>
      <w:pPr>
        <w:pStyle w:val="Heading3"/>
      </w:pPr>
      <w:r>
        <w:t xml:space="preserve">11.1.5 Retention by log class</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Log class</w:t>
            </w:r>
          </w:p>
        </w:tc>
        <w:tc>
          <w:tcPr>
            <w:shd w:val="clear" w:color="auto" w:fill="1F3864"/>
          </w:tcPr>
          <w:p>
            <w:pPr>
              <w:pStyle w:val="Compact"/>
              <w:jc w:val="left"/>
            </w:pPr>
            <w:r>
              <w:rPr>
                <w:b/>
                <w:color w:val="FFFFFF"/>
              </w:rPr>
              <w:t xml:space="preserve">Destination</w:t>
            </w:r>
          </w:p>
        </w:tc>
        <w:tc>
          <w:tcPr>
            <w:shd w:val="clear" w:color="auto" w:fill="1F3864"/>
          </w:tcPr>
          <w:p>
            <w:pPr>
              <w:pStyle w:val="Compact"/>
              <w:jc w:val="left"/>
            </w:pPr>
            <w:r>
              <w:rPr>
                <w:b/>
                <w:color w:val="FFFFFF"/>
              </w:rPr>
              <w:t xml:space="preserve">Retention</w:t>
            </w:r>
          </w:p>
        </w:tc>
        <w:tc>
          <w:tcPr>
            <w:shd w:val="clear" w:color="auto" w:fill="1F3864"/>
          </w:tcPr>
          <w:p>
            <w:pPr>
              <w:pStyle w:val="Compact"/>
              <w:jc w:val="left"/>
            </w:pPr>
            <w:r>
              <w:rPr>
                <w:b/>
                <w:color w:val="FFFFFF"/>
              </w:rPr>
              <w:t xml:space="preserve">Configurable</w:t>
            </w:r>
          </w:p>
        </w:tc>
      </w:tr>
      <w:tr>
        <w:tc>
          <w:tcPr/>
          <w:p>
            <w:pPr>
              <w:pStyle w:val="Compact"/>
              <w:jc w:val="left"/>
            </w:pPr>
            <w:r>
              <w:t xml:space="preserve">Admin Activity, System Event and Access Transparency audit logs</w:t>
            </w:r>
          </w:p>
        </w:tc>
        <w:tc>
          <w:tcPr/>
          <w:p>
            <w:pPr>
              <w:pStyle w:val="Compact"/>
              <w:jc w:val="left"/>
            </w:pPr>
            <w:r>
              <w:rPr>
                <w:rStyle w:val="VerbatimChar"/>
              </w:rPr>
              <w:t xml:space="preserve">_Required</w:t>
            </w:r>
            <w:r>
              <w:t xml:space="preserve">, automatic, per project</w:t>
            </w:r>
          </w:p>
        </w:tc>
        <w:tc>
          <w:tcPr/>
          <w:p>
            <w:pPr>
              <w:pStyle w:val="Compact"/>
              <w:jc w:val="left"/>
            </w:pPr>
            <w:r>
              <w:t xml:space="preserve">400 days</w:t>
            </w:r>
          </w:p>
        </w:tc>
        <w:tc>
          <w:tcPr/>
          <w:p>
            <w:pPr>
              <w:pStyle w:val="Compact"/>
              <w:jc w:val="left"/>
            </w:pPr>
            <w:r>
              <w:t xml:space="preserve">No — fixed by Google, and neither shortenable nor extendable</w:t>
            </w:r>
          </w:p>
        </w:tc>
      </w:tr>
      <w:tr>
        <w:tc>
          <w:tcPr/>
          <w:p>
            <w:pPr>
              <w:pStyle w:val="Compact"/>
              <w:jc w:val="left"/>
            </w:pPr>
            <w:r>
              <w:t xml:space="preserve">Data Access audit logs for the seven services above</w:t>
            </w:r>
          </w:p>
        </w:tc>
        <w:tc>
          <w:tcPr/>
          <w:p>
            <w:pPr>
              <w:pStyle w:val="Compact"/>
              <w:jc w:val="left"/>
            </w:pPr>
            <w:r>
              <w:rPr>
                <w:rStyle w:val="VerbatimChar"/>
              </w:rPr>
              <w:t xml:space="preserve">aicoe-dev-logs-400d</w:t>
            </w:r>
            <w:r>
              <w:t xml:space="preserve">, via the Log Router sink</w:t>
            </w:r>
          </w:p>
        </w:tc>
        <w:tc>
          <w:tcPr/>
          <w:p>
            <w:pPr>
              <w:pStyle w:val="Compact"/>
              <w:jc w:val="left"/>
            </w:pPr>
            <w:r>
              <w:t xml:space="preserve">400 days</w:t>
            </w:r>
          </w:p>
        </w:tc>
        <w:tc>
          <w:tcPr/>
          <w:p>
            <w:pPr>
              <w:pStyle w:val="Compact"/>
              <w:jc w:val="left"/>
            </w:pPr>
            <w:r>
              <w:t xml:space="preserve">Yes</w:t>
            </w:r>
          </w:p>
        </w:tc>
      </w:tr>
      <w:tr>
        <w:tc>
          <w:tcPr/>
          <w:p>
            <w:pPr>
              <w:pStyle w:val="Compact"/>
              <w:jc w:val="left"/>
            </w:pPr>
            <w:r>
              <w:t xml:space="preserve">Policy Denied audit logs, including VPC Service Controls violations</w:t>
            </w:r>
          </w:p>
        </w:tc>
        <w:tc>
          <w:tcPr/>
          <w:p>
            <w:pPr>
              <w:pStyle w:val="Compact"/>
              <w:jc w:val="left"/>
            </w:pPr>
            <w:r>
              <w:rPr>
                <w:rStyle w:val="VerbatimChar"/>
              </w:rPr>
              <w:t xml:space="preserve">aicoe-dev-logs-400d</w:t>
            </w:r>
            <w:r>
              <w:t xml:space="preserve">, via the Log Router sink</w:t>
            </w:r>
          </w:p>
        </w:tc>
        <w:tc>
          <w:tcPr/>
          <w:p>
            <w:pPr>
              <w:pStyle w:val="Compact"/>
              <w:jc w:val="left"/>
            </w:pPr>
            <w:r>
              <w:t xml:space="preserve">400 days</w:t>
            </w:r>
          </w:p>
        </w:tc>
        <w:tc>
          <w:tcPr/>
          <w:p>
            <w:pPr>
              <w:pStyle w:val="Compact"/>
              <w:jc w:val="left"/>
            </w:pPr>
            <w:r>
              <w:t xml:space="preserve">Yes</w:t>
            </w:r>
          </w:p>
        </w:tc>
      </w:tr>
      <w:tr>
        <w:tc>
          <w:tcPr/>
          <w:p>
            <w:pPr>
              <w:pStyle w:val="Compact"/>
              <w:jc w:val="left"/>
            </w:pPr>
            <w:r>
              <w:t xml:space="preserve">Platform and operational logs — VPC Flow, firewall, ILB access, Cloud NAT, Cloud Run request, Workbench system</w:t>
            </w:r>
          </w:p>
        </w:tc>
        <w:tc>
          <w:tcPr/>
          <w:p>
            <w:pPr>
              <w:pStyle w:val="Compact"/>
              <w:jc w:val="left"/>
            </w:pPr>
            <w:r>
              <w:rPr>
                <w:rStyle w:val="VerbatimChar"/>
              </w:rPr>
              <w:t xml:space="preserve">aicoe-dev-logs-400d</w:t>
            </w:r>
            <w:r>
              <w:t xml:space="preserve">, via the Log Router sink</w:t>
            </w:r>
          </w:p>
        </w:tc>
        <w:tc>
          <w:tcPr/>
          <w:p>
            <w:pPr>
              <w:pStyle w:val="Compact"/>
              <w:jc w:val="left"/>
            </w:pPr>
            <w:r>
              <w:t xml:space="preserve">400 days</w:t>
            </w:r>
          </w:p>
        </w:tc>
        <w:tc>
          <w:tcPr/>
          <w:p>
            <w:pPr>
              <w:pStyle w:val="Compact"/>
              <w:jc w:val="left"/>
            </w:pPr>
            <w:r>
              <w:t xml:space="preserve">Yes. Network logs are the evidence base for an incident investigation, where 30 days is frequently shorter than time to detection</w:t>
            </w:r>
          </w:p>
        </w:tc>
      </w:tr>
      <w:tr>
        <w:tc>
          <w:tcPr/>
          <w:p>
            <w:pPr>
              <w:pStyle w:val="Compact"/>
              <w:jc w:val="left"/>
            </w:pPr>
            <w:r>
              <w:t xml:space="preserve">Security-relevant subset</w:t>
            </w:r>
          </w:p>
        </w:tc>
        <w:tc>
          <w:tcPr/>
          <w:p>
            <w:pPr>
              <w:pStyle w:val="Compact"/>
              <w:jc w:val="left"/>
            </w:pPr>
            <w:r>
              <w:t xml:space="preserve">Microsoft Sentinel, via Pub/Sub</w:t>
            </w:r>
          </w:p>
        </w:tc>
        <w:tc>
          <w:tcPr/>
          <w:p>
            <w:pPr>
              <w:pStyle w:val="Compact"/>
              <w:jc w:val="left"/>
            </w:pPr>
            <w:r>
              <w:t xml:space="preserve">Per Colt CSOC policy</w:t>
            </w:r>
          </w:p>
        </w:tc>
        <w:tc>
          <w:tcPr/>
          <w:p>
            <w:pPr>
              <w:pStyle w:val="Compact"/>
              <w:jc w:val="left"/>
            </w:pPr>
            <w:r>
              <w:t xml:space="preserve">Colt CSOC</w:t>
            </w:r>
          </w:p>
        </w:tc>
      </w:tr>
      <w:tr>
        <w:tc>
          <w:tcPr/>
          <w:p>
            <w:pPr>
              <w:pStyle w:val="Compact"/>
              <w:jc w:val="left"/>
            </w:pPr>
            <w:r>
              <w:t xml:space="preserve">Translation de-identification mapping rows</w:t>
            </w:r>
          </w:p>
        </w:tc>
        <w:tc>
          <w:tcPr/>
          <w:p>
            <w:pPr>
              <w:pStyle w:val="Compact"/>
              <w:jc w:val="left"/>
            </w:pPr>
            <w:r>
              <w:t xml:space="preserve">The mapping table itself, not Cloud Logging</w:t>
            </w:r>
          </w:p>
        </w:tc>
        <w:tc>
          <w:tcPr/>
          <w:p>
            <w:pPr>
              <w:pStyle w:val="Compact"/>
              <w:jc w:val="left"/>
            </w:pPr>
            <w:r>
              <w:t xml:space="preserve">Bounded to the job and its result-retrieval window</w:t>
            </w:r>
          </w:p>
        </w:tc>
        <w:tc>
          <w:tcPr/>
          <w:p>
            <w:pPr>
              <w:pStyle w:val="Compact"/>
              <w:jc w:val="left"/>
            </w:pPr>
            <w:r>
              <w:t xml:space="preserve">Yes, set on the table, per</w:t>
            </w:r>
            <w:r>
              <w:t xml:space="preserve"> </w:t>
            </w:r>
            <w:r>
              <w:rPr>
                <w:b/>
                <w:bCs/>
              </w:rPr>
              <w:t xml:space="preserve">Translation — reversible de-identification</w:t>
            </w:r>
          </w:p>
        </w:tc>
      </w:tr>
      <w:tr>
        <w:tc>
          <w:tcPr/>
          <w:p>
            <w:pPr>
              <w:pStyle w:val="Compact"/>
              <w:jc w:val="left"/>
            </w:pPr>
            <w:r>
              <w:t xml:space="preserve">Cloud Trace spans</w:t>
            </w:r>
          </w:p>
        </w:tc>
        <w:tc>
          <w:tcPr/>
          <w:p>
            <w:pPr>
              <w:pStyle w:val="Compact"/>
              <w:jc w:val="left"/>
            </w:pPr>
            <w:r>
              <w:t xml:space="preserve">The Cloud Trace backend</w:t>
            </w:r>
          </w:p>
        </w:tc>
        <w:tc>
          <w:tcPr/>
          <w:p>
            <w:pPr>
              <w:pStyle w:val="Compact"/>
              <w:jc w:val="left"/>
            </w:pPr>
            <w:r>
              <w:t xml:space="preserve">30 days</w:t>
            </w:r>
          </w:p>
        </w:tc>
        <w:tc>
          <w:tcPr/>
          <w:p>
            <w:pPr>
              <w:pStyle w:val="Compact"/>
              <w:jc w:val="left"/>
            </w:pPr>
            <w:r>
              <w:t xml:space="preserve">No — a Cloud Trace platform default</w:t>
            </w:r>
          </w:p>
        </w:tc>
      </w:tr>
      <w:tr>
        <w:tc>
          <w:tcPr/>
          <w:p>
            <w:pPr>
              <w:pStyle w:val="Compact"/>
              <w:jc w:val="left"/>
            </w:pPr>
            <w:r>
              <w:t xml:space="preserve">Pipeline logs</w:t>
            </w:r>
          </w:p>
        </w:tc>
        <w:tc>
          <w:tcPr/>
          <w:p>
            <w:pPr>
              <w:pStyle w:val="Compact"/>
              <w:jc w:val="left"/>
            </w:pPr>
            <w:r>
              <w:t xml:space="preserve">GitLab artifact retention</w:t>
            </w:r>
          </w:p>
        </w:tc>
        <w:tc>
          <w:tcPr/>
          <w:p>
            <w:pPr>
              <w:pStyle w:val="Compact"/>
              <w:jc w:val="left"/>
            </w:pPr>
            <w:r>
              <w:t xml:space="preserve">90 days</w:t>
            </w:r>
          </w:p>
        </w:tc>
        <w:tc>
          <w:tcPr/>
          <w:p>
            <w:pPr>
              <w:pStyle w:val="Compact"/>
              <w:jc w:val="left"/>
            </w:pPr>
            <w:r>
              <w:t xml:space="preserve">Yes, on the GitLab side</w:t>
            </w:r>
          </w:p>
        </w:tc>
      </w:tr>
    </w:tbl>
    <w:bookmarkEnd w:id="238"/>
    <w:bookmarkStart w:id="239" w:name="what-each-source-contributes"/>
    <w:p>
      <w:pPr>
        <w:pStyle w:val="Heading3"/>
      </w:pPr>
      <w:r>
        <w:t xml:space="preserve">11.1.6 What each source contributes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Source</w:t>
            </w:r>
          </w:p>
        </w:tc>
        <w:tc>
          <w:tcPr>
            <w:shd w:val="clear" w:color="auto" w:fill="1F3864"/>
          </w:tcPr>
          <w:p>
            <w:pPr>
              <w:pStyle w:val="Compact"/>
              <w:jc w:val="left"/>
            </w:pPr>
            <w:r>
              <w:rPr>
                <w:b/>
                <w:color w:val="FFFFFF"/>
              </w:rPr>
              <w:t xml:space="preserve">Enabled by</w:t>
            </w:r>
          </w:p>
        </w:tc>
        <w:tc>
          <w:tcPr>
            <w:shd w:val="clear" w:color="auto" w:fill="1F3864"/>
          </w:tcPr>
          <w:p>
            <w:pPr>
              <w:pStyle w:val="Compact"/>
              <w:jc w:val="left"/>
            </w:pPr>
            <w:r>
              <w:rPr>
                <w:b/>
                <w:color w:val="FFFFFF"/>
              </w:rPr>
              <w:t xml:space="preserve">Note</w:t>
            </w:r>
          </w:p>
        </w:tc>
      </w:tr>
      <w:tr>
        <w:tc>
          <w:tcPr/>
          <w:p>
            <w:pPr>
              <w:pStyle w:val="Compact"/>
              <w:jc w:val="left"/>
            </w:pPr>
            <w:r>
              <w:t xml:space="preserve">ILB access logs</w:t>
            </w:r>
          </w:p>
        </w:tc>
        <w:tc>
          <w:tcPr/>
          <w:p>
            <w:pPr>
              <w:pStyle w:val="Compact"/>
              <w:jc w:val="left"/>
            </w:pPr>
            <w:r>
              <w:t xml:space="preserve">Explicitly, per backend service</w:t>
            </w:r>
          </w:p>
        </w:tc>
        <w:tc>
          <w:tcPr/>
          <w:p>
            <w:pPr>
              <w:pStyle w:val="Compact"/>
              <w:jc w:val="left"/>
            </w:pPr>
            <w:r>
              <w:t xml:space="preserve">The Backend ILB records all Apigee traffic with a source address from</w:t>
            </w:r>
            <w:r>
              <w:t xml:space="preserve"> </w:t>
            </w:r>
            <w:r>
              <w:rPr>
                <w:rStyle w:val="VerbatimChar"/>
              </w:rPr>
              <w:t xml:space="preserve">192.168.6.128/28</w:t>
            </w:r>
            <w:r>
              <w:t xml:space="preserve">, so correlation uses the forwarded user context and the Apigee message identifier rather than source address, per</w:t>
            </w:r>
            <w:r>
              <w:t xml:space="preserve"> </w:t>
            </w:r>
            <w:r>
              <w:rPr>
                <w:b/>
                <w:bCs/>
              </w:rPr>
              <w:t xml:space="preserve">Flow 3 — Apigee southbound, so Apigee can reach the backends</w:t>
            </w:r>
          </w:p>
        </w:tc>
      </w:tr>
      <w:tr>
        <w:tc>
          <w:tcPr/>
          <w:p>
            <w:pPr>
              <w:pStyle w:val="Compact"/>
              <w:jc w:val="left"/>
            </w:pPr>
            <w:r>
              <w:t xml:space="preserve">IAP</w:t>
            </w:r>
          </w:p>
        </w:tc>
        <w:tc>
          <w:tcPr/>
          <w:p>
            <w:pPr>
              <w:pStyle w:val="Compact"/>
              <w:jc w:val="left"/>
            </w:pPr>
            <w:r>
              <w:t xml:space="preserve">Data Access audit logs</w:t>
            </w:r>
          </w:p>
        </w:tc>
        <w:tc>
          <w:tcPr/>
          <w:p>
            <w:pPr>
              <w:pStyle w:val="Compact"/>
              <w:jc w:val="left"/>
            </w:pPr>
            <w:r>
              <w:t xml:space="preserve">The authoritative record of who reached what</w:t>
            </w:r>
          </w:p>
        </w:tc>
      </w:tr>
      <w:tr>
        <w:tc>
          <w:tcPr/>
          <w:p>
            <w:pPr>
              <w:pStyle w:val="Compact"/>
              <w:jc w:val="left"/>
            </w:pPr>
            <w:r>
              <w:t xml:space="preserve">Apigee analytics and Message Logging</w:t>
            </w:r>
          </w:p>
        </w:tc>
        <w:tc>
          <w:tcPr/>
          <w:p>
            <w:pPr>
              <w:pStyle w:val="Compact"/>
              <w:jc w:val="left"/>
            </w:pPr>
            <w:r>
              <w:t xml:space="preserve">Message Logging is a proxy policy</w:t>
            </w:r>
          </w:p>
        </w:tc>
        <w:tc>
          <w:tcPr/>
          <w:p>
            <w:pPr>
              <w:pStyle w:val="Compact"/>
              <w:jc w:val="left"/>
            </w:pPr>
            <w:r>
              <w:t xml:space="preserve">Metadata only, per CR-19 (prompt content not logged by default). Apigee analytics is additionally held in Apigee’s own control plane, in the EU analytics region</w:t>
            </w:r>
          </w:p>
        </w:tc>
      </w:tr>
      <w:tr>
        <w:tc>
          <w:tcPr/>
          <w:p>
            <w:pPr>
              <w:pStyle w:val="Compact"/>
              <w:jc w:val="left"/>
            </w:pPr>
            <w:r>
              <w:t xml:space="preserve">VPC Flow Logs</w:t>
            </w:r>
          </w:p>
        </w:tc>
        <w:tc>
          <w:tcPr/>
          <w:p>
            <w:pPr>
              <w:pStyle w:val="Compact"/>
              <w:jc w:val="left"/>
            </w:pPr>
            <w:r>
              <w:t xml:space="preserve">Per subnet</w:t>
            </w:r>
          </w:p>
        </w:tc>
        <w:tc>
          <w:tcPr/>
          <w:p>
            <w:pPr>
              <w:pStyle w:val="Compact"/>
              <w:jc w:val="left"/>
            </w:pPr>
            <w:r>
              <w:t xml:space="preserve">Sample rate is a cost control, per</w:t>
            </w:r>
            <w:r>
              <w:t xml:space="preserve"> </w:t>
            </w:r>
            <w:r>
              <w:rPr>
                <w:b/>
                <w:bCs/>
              </w:rPr>
              <w:t xml:space="preserve">Cost management</w:t>
            </w:r>
          </w:p>
        </w:tc>
      </w:tr>
      <w:tr>
        <w:tc>
          <w:tcPr/>
          <w:p>
            <w:pPr>
              <w:pStyle w:val="Compact"/>
              <w:jc w:val="left"/>
            </w:pPr>
            <w:r>
              <w:t xml:space="preserve">Firewall logs</w:t>
            </w:r>
          </w:p>
        </w:tc>
        <w:tc>
          <w:tcPr/>
          <w:p>
            <w:pPr>
              <w:pStyle w:val="Compact"/>
              <w:jc w:val="left"/>
            </w:pPr>
            <w:r>
              <w:t xml:space="preserve">Per rule</w:t>
            </w:r>
          </w:p>
        </w:tc>
        <w:tc>
          <w:tcPr/>
          <w:p>
            <w:pPr>
              <w:pStyle w:val="Compact"/>
              <w:jc w:val="left"/>
            </w:pPr>
            <w:r>
              <w:t xml:space="preserve">Enabled on deny rules and on the ZPA allow rule, not on every rule</w:t>
            </w:r>
          </w:p>
        </w:tc>
      </w:tr>
      <w:tr>
        <w:tc>
          <w:tcPr/>
          <w:p>
            <w:pPr>
              <w:pStyle w:val="Compact"/>
              <w:jc w:val="left"/>
            </w:pPr>
            <w:r>
              <w:t xml:space="preserve">Cloud Run</w:t>
            </w:r>
          </w:p>
        </w:tc>
        <w:tc>
          <w:tcPr/>
          <w:p>
            <w:pPr>
              <w:pStyle w:val="Compact"/>
              <w:jc w:val="left"/>
            </w:pPr>
            <w:r>
              <w:t xml:space="preserve">On by default</w:t>
            </w:r>
          </w:p>
        </w:tc>
        <w:tc>
          <w:tcPr/>
          <w:p>
            <w:pPr>
              <w:pStyle w:val="Compact"/>
              <w:jc w:val="left"/>
            </w:pPr>
            <w:r>
              <w:t xml:space="preserve">Request logs and application logs</w:t>
            </w:r>
          </w:p>
        </w:tc>
      </w:tr>
      <w:tr>
        <w:tc>
          <w:tcPr/>
          <w:p>
            <w:pPr>
              <w:pStyle w:val="Compact"/>
              <w:jc w:val="left"/>
            </w:pPr>
            <w:r>
              <w:t xml:space="preserve">Cloud Tasks</w:t>
            </w:r>
          </w:p>
        </w:tc>
        <w:tc>
          <w:tcPr/>
          <w:p>
            <w:pPr>
              <w:pStyle w:val="Compact"/>
              <w:jc w:val="left"/>
            </w:pPr>
            <w:r>
              <w:t xml:space="preserve">On by default</w:t>
            </w:r>
          </w:p>
        </w:tc>
        <w:tc>
          <w:tcPr/>
          <w:p>
            <w:pPr>
              <w:pStyle w:val="Compact"/>
              <w:jc w:val="left"/>
            </w:pPr>
            <w:r>
              <w:t xml:space="preserve">Dispatch and retry history for the asynchronous path</w:t>
            </w:r>
          </w:p>
        </w:tc>
      </w:tr>
      <w:tr>
        <w:tc>
          <w:tcPr/>
          <w:p>
            <w:pPr>
              <w:pStyle w:val="Compact"/>
              <w:jc w:val="left"/>
            </w:pPr>
            <w:r>
              <w:t xml:space="preserve">Vertex AI</w:t>
            </w:r>
          </w:p>
        </w:tc>
        <w:tc>
          <w:tcPr/>
          <w:p>
            <w:pPr>
              <w:pStyle w:val="Compact"/>
              <w:jc w:val="left"/>
            </w:pPr>
            <w:r>
              <w:t xml:space="preserve">Data Access audit logs</w:t>
            </w:r>
          </w:p>
        </w:tc>
        <w:tc>
          <w:tcPr/>
          <w:p>
            <w:pPr>
              <w:pStyle w:val="Compact"/>
              <w:jc w:val="left"/>
            </w:pPr>
            <w:r>
              <w:t xml:space="preserve">Records which service account called which model — the evidence for TR-17 (Vertex AI reachable only through</w:t>
            </w:r>
            <w:r>
              <w:t xml:space="preserve"> </w:t>
            </w:r>
            <w:r>
              <w:rPr>
                <w:rStyle w:val="VerbatimChar"/>
              </w:rPr>
              <w:t xml:space="preserve">apigee-llm-runtime</w:t>
            </w:r>
            <w:r>
              <w:t xml:space="preserve">)</w:t>
            </w:r>
          </w:p>
        </w:tc>
      </w:tr>
      <w:tr>
        <w:tc>
          <w:tcPr/>
          <w:p>
            <w:pPr>
              <w:pStyle w:val="Compact"/>
              <w:jc w:val="left"/>
            </w:pPr>
            <w:r>
              <w:t xml:space="preserve">Model Armor</w:t>
            </w:r>
          </w:p>
        </w:tc>
        <w:tc>
          <w:tcPr/>
          <w:p>
            <w:pPr>
              <w:pStyle w:val="Compact"/>
              <w:jc w:val="left"/>
            </w:pPr>
            <w:r>
              <w:t xml:space="preserve">Findings</w:t>
            </w:r>
          </w:p>
        </w:tc>
        <w:tc>
          <w:tcPr/>
          <w:p>
            <w:pPr>
              <w:pStyle w:val="Compact"/>
              <w:jc w:val="left"/>
            </w:pPr>
            <w:r>
              <w:t xml:space="preserve">The block-rate alert depends on these</w:t>
            </w:r>
          </w:p>
        </w:tc>
      </w:tr>
      <w:tr>
        <w:tc>
          <w:tcPr/>
          <w:p>
            <w:pPr>
              <w:pStyle w:val="Compact"/>
              <w:jc w:val="left"/>
            </w:pPr>
            <w:r>
              <w:t xml:space="preserve">Workload Identity Federation and STS</w:t>
            </w:r>
          </w:p>
        </w:tc>
        <w:tc>
          <w:tcPr/>
          <w:p>
            <w:pPr>
              <w:pStyle w:val="Compact"/>
              <w:jc w:val="left"/>
            </w:pPr>
            <w:r>
              <w:t xml:space="preserve">Admin Activity</w:t>
            </w:r>
          </w:p>
        </w:tc>
        <w:tc>
          <w:tcPr/>
          <w:p>
            <w:pPr>
              <w:pStyle w:val="Compact"/>
              <w:jc w:val="left"/>
            </w:pPr>
            <w:r>
              <w:t xml:space="preserve">Token exchange and impersonation — the evidence for the Development and Production boundary</w:t>
            </w:r>
          </w:p>
        </w:tc>
      </w:tr>
      <w:tr>
        <w:tc>
          <w:tcPr/>
          <w:p>
            <w:pPr>
              <w:pStyle w:val="Compact"/>
              <w:jc w:val="left"/>
            </w:pPr>
            <w:r>
              <w:t xml:space="preserve">Cloud NAT</w:t>
            </w:r>
          </w:p>
        </w:tc>
        <w:tc>
          <w:tcPr/>
          <w:p>
            <w:pPr>
              <w:pStyle w:val="Compact"/>
              <w:jc w:val="left"/>
            </w:pPr>
            <w:r>
              <w:t xml:space="preserve">Per gateway, Sandbox only</w:t>
            </w:r>
          </w:p>
        </w:tc>
        <w:tc>
          <w:tcPr/>
          <w:p>
            <w:pPr>
              <w:pStyle w:val="Compact"/>
              <w:jc w:val="left"/>
            </w:pPr>
            <w:r>
              <w:t xml:space="preserve">Port allocation and translation records</w:t>
            </w:r>
          </w:p>
        </w:tc>
      </w:tr>
    </w:tbl>
    <w:bookmarkEnd w:id="239"/>
    <w:bookmarkStart w:id="240" w:name="evidence-retrieval"/>
    <w:p>
      <w:pPr>
        <w:pStyle w:val="Heading3"/>
      </w:pPr>
      <w:r>
        <w:t xml:space="preserve">11.1.7 Evidence retrieval</w:t>
      </w:r>
    </w:p>
    <w:p>
      <w:pPr>
        <w:pStyle w:val="FirstParagraph"/>
      </w:pPr>
      <w:r>
        <w:t xml:space="preserve">The procedure invoked for an audit, a regulatory request or an investigation.</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Step</w:t>
            </w:r>
          </w:p>
        </w:tc>
        <w:tc>
          <w:tcPr>
            <w:shd w:val="clear" w:color="auto" w:fill="1F3864"/>
          </w:tcPr>
          <w:p>
            <w:pPr>
              <w:pStyle w:val="Compact"/>
              <w:jc w:val="left"/>
            </w:pPr>
            <w:r>
              <w:rPr>
                <w:b/>
                <w:color w:val="FFFFFF"/>
              </w:rPr>
              <w:t xml:space="preserve">Action</w:t>
            </w:r>
          </w:p>
        </w:tc>
        <w:tc>
          <w:tcPr>
            <w:shd w:val="clear" w:color="auto" w:fill="1F3864"/>
          </w:tcPr>
          <w:p>
            <w:pPr>
              <w:pStyle w:val="Compact"/>
              <w:jc w:val="left"/>
            </w:pPr>
            <w:r>
              <w:rPr>
                <w:b/>
                <w:color w:val="FFFFFF"/>
              </w:rPr>
              <w:t xml:space="preserve">Owner</w:t>
            </w:r>
          </w:p>
        </w:tc>
        <w:tc>
          <w:tcPr>
            <w:shd w:val="clear" w:color="auto" w:fill="1F3864"/>
          </w:tcPr>
          <w:p>
            <w:pPr>
              <w:pStyle w:val="Compact"/>
              <w:jc w:val="left"/>
            </w:pPr>
            <w:r>
              <w:rPr>
                <w:b/>
                <w:color w:val="FFFFFF"/>
              </w:rPr>
              <w:t xml:space="preserve">Target</w:t>
            </w:r>
          </w:p>
        </w:tc>
      </w:tr>
      <w:tr>
        <w:tc>
          <w:tcPr/>
          <w:p>
            <w:pPr>
              <w:pStyle w:val="Compact"/>
              <w:jc w:val="left"/>
            </w:pPr>
            <w:r>
              <w:t xml:space="preserve">1</w:t>
            </w:r>
          </w:p>
        </w:tc>
        <w:tc>
          <w:tcPr/>
          <w:p>
            <w:pPr>
              <w:pStyle w:val="Compact"/>
              <w:jc w:val="left"/>
            </w:pPr>
            <w:r>
              <w:t xml:space="preserve">Request raised and scoped — date range, principals, resources and reason. Recorded as a ticket that becomes part of the evidence package</w:t>
            </w:r>
          </w:p>
        </w:tc>
        <w:tc>
          <w:tcPr/>
          <w:p>
            <w:pPr>
              <w:pStyle w:val="Compact"/>
              <w:jc w:val="left"/>
            </w:pPr>
            <w:r>
              <w:t xml:space="preserve">Requester, to the Colt Cloud CoE</w:t>
            </w:r>
          </w:p>
        </w:tc>
        <w:tc>
          <w:tcPr/>
          <w:p>
            <w:pPr>
              <w:pStyle w:val="Compact"/>
              <w:jc w:val="left"/>
            </w:pPr>
            <w:r>
              <w:t xml:space="preserve">Same business day</w:t>
            </w:r>
          </w:p>
        </w:tc>
      </w:tr>
      <w:tr>
        <w:tc>
          <w:tcPr/>
          <w:p>
            <w:pPr>
              <w:pStyle w:val="Compact"/>
              <w:jc w:val="left"/>
            </w:pPr>
            <w:r>
              <w:t xml:space="preserve">2</w:t>
            </w:r>
          </w:p>
        </w:tc>
        <w:tc>
          <w:tcPr/>
          <w:p>
            <w:pPr>
              <w:pStyle w:val="Compact"/>
              <w:jc w:val="left"/>
            </w:pPr>
            <w:r>
              <w:t xml:space="preserve">Administrative actions within 400 days retrieved by querying the</w:t>
            </w:r>
            <w:r>
              <w:t xml:space="preserve"> </w:t>
            </w:r>
            <w:r>
              <w:rPr>
                <w:rStyle w:val="VerbatimChar"/>
              </w:rPr>
              <w:t xml:space="preserve">_Required</w:t>
            </w:r>
            <w:r>
              <w:t xml:space="preserve"> </w:t>
            </w:r>
            <w:r>
              <w:t xml:space="preserve">bucket through Logs Explorer</w:t>
            </w:r>
          </w:p>
        </w:tc>
        <w:tc>
          <w:tcPr/>
          <w:p>
            <w:pPr>
              <w:pStyle w:val="Compact"/>
              <w:jc w:val="left"/>
            </w:pPr>
            <w:r>
              <w:t xml:space="preserve">AICOE Platform Team</w:t>
            </w:r>
          </w:p>
        </w:tc>
        <w:tc>
          <w:tcPr/>
          <w:p>
            <w:pPr>
              <w:pStyle w:val="Compact"/>
              <w:jc w:val="left"/>
            </w:pPr>
            <w:r>
              <w:t xml:space="preserve">1 business day</w:t>
            </w:r>
          </w:p>
        </w:tc>
      </w:tr>
      <w:tr>
        <w:tc>
          <w:tcPr/>
          <w:p>
            <w:pPr>
              <w:pStyle w:val="Compact"/>
              <w:jc w:val="left"/>
            </w:pPr>
            <w:r>
              <w:t xml:space="preserve">3</w:t>
            </w:r>
          </w:p>
        </w:tc>
        <w:tc>
          <w:tcPr/>
          <w:p>
            <w:pPr>
              <w:pStyle w:val="Compact"/>
              <w:jc w:val="left"/>
            </w:pPr>
            <w:r>
              <w:t xml:space="preserve">Data access, platform and network records retrieved from</w:t>
            </w:r>
            <w:r>
              <w:t xml:space="preserve"> </w:t>
            </w:r>
            <w:r>
              <w:rPr>
                <w:rStyle w:val="VerbatimChar"/>
              </w:rPr>
              <w:t xml:space="preserve">aicoe-dev-logs-400d</w:t>
            </w:r>
            <w:r>
              <w:t xml:space="preserve">, using Log Analytics SQL over the linked dataset</w:t>
            </w:r>
          </w:p>
        </w:tc>
        <w:tc>
          <w:tcPr/>
          <w:p>
            <w:pPr>
              <w:pStyle w:val="Compact"/>
              <w:jc w:val="left"/>
            </w:pPr>
            <w:r>
              <w:t xml:space="preserve">AICOE Platform Team</w:t>
            </w:r>
          </w:p>
        </w:tc>
        <w:tc>
          <w:tcPr/>
          <w:p>
            <w:pPr>
              <w:pStyle w:val="Compact"/>
              <w:jc w:val="left"/>
            </w:pPr>
            <w:r>
              <w:t xml:space="preserve">1 business day</w:t>
            </w:r>
          </w:p>
        </w:tc>
      </w:tr>
      <w:tr>
        <w:tc>
          <w:tcPr/>
          <w:p>
            <w:pPr>
              <w:pStyle w:val="Compact"/>
              <w:jc w:val="left"/>
            </w:pPr>
            <w:r>
              <w:t xml:space="preserve">4</w:t>
            </w:r>
          </w:p>
        </w:tc>
        <w:tc>
          <w:tcPr/>
          <w:p>
            <w:pPr>
              <w:pStyle w:val="Compact"/>
              <w:jc w:val="left"/>
            </w:pPr>
            <w:r>
              <w:t xml:space="preserve">Correlated identity and access events retrieved from Microsoft Sentinel, joining Entra sign-in records to IAP decisions</w:t>
            </w:r>
          </w:p>
        </w:tc>
        <w:tc>
          <w:tcPr/>
          <w:p>
            <w:pPr>
              <w:pStyle w:val="Compact"/>
              <w:jc w:val="left"/>
            </w:pPr>
            <w:r>
              <w:t xml:space="preserve">Colt CSOC</w:t>
            </w:r>
          </w:p>
        </w:tc>
        <w:tc>
          <w:tcPr/>
          <w:p>
            <w:pPr>
              <w:pStyle w:val="Compact"/>
              <w:jc w:val="left"/>
            </w:pPr>
            <w:r>
              <w:t xml:space="preserve">3 business days</w:t>
            </w:r>
          </w:p>
        </w:tc>
      </w:tr>
      <w:tr>
        <w:tc>
          <w:tcPr/>
          <w:p>
            <w:pPr>
              <w:pStyle w:val="Compact"/>
              <w:jc w:val="left"/>
            </w:pPr>
            <w:r>
              <w:t xml:space="preserve">5</w:t>
            </w:r>
          </w:p>
        </w:tc>
        <w:tc>
          <w:tcPr/>
          <w:p>
            <w:pPr>
              <w:pStyle w:val="Compact"/>
              <w:jc w:val="left"/>
            </w:pPr>
            <w:r>
              <w:t xml:space="preserve">Package and attest — export, SHA-256 manifest, the retrieval audit-log entries showing who read what and when, and reviewer sign-off</w:t>
            </w:r>
          </w:p>
        </w:tc>
        <w:tc>
          <w:tcPr/>
          <w:p>
            <w:pPr>
              <w:pStyle w:val="Compact"/>
              <w:jc w:val="left"/>
            </w:pPr>
            <w:r>
              <w:t xml:space="preserve">Colt Cloud CoE with Colt CSOC</w:t>
            </w:r>
          </w:p>
        </w:tc>
        <w:tc>
          <w:tcPr/>
          <w:p>
            <w:pPr>
              <w:pStyle w:val="Compact"/>
              <w:jc w:val="left"/>
            </w:pPr>
            <w:r>
              <w:t xml:space="preserve">5 business days</w:t>
            </w:r>
          </w:p>
        </w:tc>
      </w:tr>
    </w:tbl>
    <w:p>
      <w:pPr>
        <w:pStyle w:val="BodyText"/>
      </w:pPr>
      <w:r>
        <w:t xml:space="preserve">Log views are used to scope read access to the bucket by team, so evidence retrieval does not require broad grants on the whole 400-day store.</w:t>
      </w:r>
    </w:p>
    <w:bookmarkEnd w:id="240"/>
    <w:bookmarkEnd w:id="241"/>
    <w:bookmarkStart w:id="242" w:name="duplicate-routing-and-log-storage-cost"/>
    <w:p>
      <w:pPr>
        <w:pStyle w:val="Heading2"/>
      </w:pPr>
      <w:r>
        <w:t xml:space="preserve">11.2 Duplicate routing and log storage cost</w:t>
      </w:r>
    </w:p>
    <w:p>
      <w:pPr>
        <w:pStyle w:val="FirstParagraph"/>
      </w:pPr>
      <w:r>
        <w:t xml:space="preserve">A log entry routed to more than one log bucket is charged for storage and retention in each. Routing to</w:t>
      </w:r>
      <w:r>
        <w:t xml:space="preserve"> </w:t>
      </w:r>
      <w:r>
        <w:rPr>
          <w:rStyle w:val="VerbatimChar"/>
        </w:rPr>
        <w:t xml:space="preserve">_Default</w:t>
      </w:r>
      <w:r>
        <w:t xml:space="preserve"> </w:t>
      </w:r>
      <w:r>
        <w:t xml:space="preserve">and to a user-defined bucket, both with retention beyond 30 days, produces two storage charges and two retention charges for the same entry.</w:t>
      </w:r>
    </w:p>
    <w:p>
      <w:pPr>
        <w:pStyle w:val="BodyText"/>
      </w:pPr>
      <w:r>
        <w:rPr>
          <w:rStyle w:val="VerbatimChar"/>
        </w:rPr>
        <w:t xml:space="preserve">_Default</w:t>
      </w:r>
      <w:r>
        <w:t xml:space="preserve"> </w:t>
      </w:r>
      <w:r>
        <w:t xml:space="preserve">retention is therefore</w:t>
      </w:r>
      <w:r>
        <w:t xml:space="preserve"> </w:t>
      </w:r>
      <w:r>
        <w:rPr>
          <w:b/>
          <w:bCs/>
        </w:rPr>
        <w:t xml:space="preserve">not</w:t>
      </w:r>
      <w:r>
        <w:t xml:space="preserve"> </w:t>
      </w:r>
      <w:r>
        <w:t xml:space="preserve">raised to 400 days in any project. In every project,</w:t>
      </w:r>
      <w:r>
        <w:t xml:space="preserve"> </w:t>
      </w:r>
      <w:r>
        <w:rPr>
          <w:rStyle w:val="VerbatimChar"/>
        </w:rPr>
        <w:t xml:space="preserve">_Default</w:t>
      </w:r>
      <w:r>
        <w:t xml:space="preserve"> </w:t>
      </w:r>
      <w:r>
        <w:t xml:space="preserve">is left at 30 days as a short operational tail, and exclusion filters remove what the central bucket already holds.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Exclusion name</w:t>
            </w:r>
          </w:p>
        </w:tc>
        <w:tc>
          <w:tcPr>
            <w:shd w:val="clear" w:color="auto" w:fill="1F3864"/>
          </w:tcPr>
          <w:p>
            <w:pPr>
              <w:pStyle w:val="Compact"/>
              <w:jc w:val="left"/>
            </w:pPr>
            <w:r>
              <w:rPr>
                <w:b/>
                <w:color w:val="FFFFFF"/>
              </w:rPr>
              <w:t xml:space="preserve">Filter</w:t>
            </w:r>
          </w:p>
        </w:tc>
      </w:tr>
      <w:tr>
        <w:tc>
          <w:tcPr/>
          <w:p>
            <w:pPr>
              <w:pStyle w:val="Compact"/>
              <w:jc w:val="left"/>
            </w:pPr>
            <w:r>
              <w:rPr>
                <w:rStyle w:val="VerbatimChar"/>
              </w:rPr>
              <w:t xml:space="preserve">exclude-flow-logs</w:t>
            </w:r>
          </w:p>
        </w:tc>
        <w:tc>
          <w:tcPr/>
          <w:p>
            <w:pPr>
              <w:pStyle w:val="Compact"/>
              <w:jc w:val="left"/>
            </w:pPr>
            <w:r>
              <w:rPr>
                <w:rStyle w:val="VerbatimChar"/>
              </w:rPr>
              <w:t xml:space="preserve">logName:"compute.googleapis.com%2Fvpc_flows"</w:t>
            </w:r>
          </w:p>
        </w:tc>
      </w:tr>
      <w:tr>
        <w:tc>
          <w:tcPr/>
          <w:p>
            <w:pPr>
              <w:pStyle w:val="Compact"/>
              <w:jc w:val="left"/>
            </w:pPr>
            <w:r>
              <w:rPr>
                <w:rStyle w:val="VerbatimChar"/>
              </w:rPr>
              <w:t xml:space="preserve">exclude-lb-health</w:t>
            </w:r>
          </w:p>
        </w:tc>
        <w:tc>
          <w:tcPr/>
          <w:p>
            <w:pPr>
              <w:pStyle w:val="Compact"/>
              <w:jc w:val="left"/>
            </w:pPr>
            <w:r>
              <w:rPr>
                <w:rStyle w:val="VerbatimChar"/>
              </w:rPr>
              <w:t xml:space="preserve">resource.type="http_load_balancer" AND httpRequest.userAgent:"GoogleHC"</w:t>
            </w:r>
          </w:p>
        </w:tc>
      </w:tr>
    </w:tbl>
    <w:p>
      <w:pPr>
        <w:pStyle w:val="BodyText"/>
      </w:pPr>
      <w:r>
        <w:rPr>
          <w:rStyle w:val="VerbatimChar"/>
        </w:rPr>
        <w:t xml:space="preserve">_Required</w:t>
      </w:r>
      <w:r>
        <w:t xml:space="preserve"> </w:t>
      </w:r>
      <w:r>
        <w:t xml:space="preserve">is left untouched. It is fixed, local and not chargeable, so its 400-day duplication carries no cost.</w:t>
      </w:r>
    </w:p>
    <w:bookmarkEnd w:id="242"/>
    <w:bookmarkStart w:id="247" w:name="monitoring-and-alerting"/>
    <w:p>
      <w:pPr>
        <w:pStyle w:val="Heading2"/>
      </w:pPr>
      <w:r>
        <w:t xml:space="preserve">11.3 Monitoring and alerting</w:t>
      </w:r>
    </w:p>
    <w:bookmarkStart w:id="243" w:name="log-based-metrics"/>
    <w:p>
      <w:pPr>
        <w:pStyle w:val="Heading3"/>
      </w:pPr>
      <w:r>
        <w:t xml:space="preserve">11.3.1 Log-based metrics</w:t>
      </w:r>
    </w:p>
    <w:p>
      <w:pPr>
        <w:pStyle w:val="FirstParagraph"/>
      </w:pPr>
      <w:r>
        <w:t xml:space="preserve">Created in</w:t>
      </w:r>
      <w:r>
        <w:t xml:space="preserve"> </w:t>
      </w:r>
      <w:r>
        <w:rPr>
          <w:rStyle w:val="VerbatimChar"/>
        </w:rPr>
        <w:t xml:space="preserve">gclt-aicoe-dev-auditlogs</w:t>
      </w:r>
      <w:r>
        <w:t xml:space="preserve">, of type Counter.</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Metric</w:t>
            </w:r>
          </w:p>
        </w:tc>
        <w:tc>
          <w:tcPr>
            <w:shd w:val="clear" w:color="auto" w:fill="1F3864"/>
          </w:tcPr>
          <w:p>
            <w:pPr>
              <w:pStyle w:val="Compact"/>
              <w:jc w:val="left"/>
            </w:pPr>
            <w:r>
              <w:rPr>
                <w:b/>
                <w:color w:val="FFFFFF"/>
              </w:rPr>
              <w:t xml:space="preserve">Filter</w:t>
            </w:r>
          </w:p>
        </w:tc>
      </w:tr>
      <w:tr>
        <w:tc>
          <w:tcPr/>
          <w:p>
            <w:pPr>
              <w:pStyle w:val="Compact"/>
              <w:jc w:val="left"/>
            </w:pPr>
            <w:r>
              <w:rPr>
                <w:rStyle w:val="VerbatimChar"/>
              </w:rPr>
              <w:t xml:space="preserve">breakglass-used</w:t>
            </w:r>
          </w:p>
        </w:tc>
        <w:tc>
          <w:tcPr/>
          <w:p>
            <w:pPr>
              <w:pStyle w:val="Compact"/>
              <w:jc w:val="left"/>
            </w:pPr>
            <w:r>
              <w:rPr>
                <w:rStyle w:val="VerbatimChar"/>
              </w:rPr>
              <w:t xml:space="preserve">protoPayload.authenticationInfo.principalEmail="llm-breakglass@gclt-aicoe-dev-llm.iam.gserviceaccount.com"</w:t>
            </w:r>
          </w:p>
        </w:tc>
      </w:tr>
      <w:tr>
        <w:tc>
          <w:tcPr/>
          <w:p>
            <w:pPr>
              <w:pStyle w:val="Compact"/>
              <w:jc w:val="left"/>
            </w:pPr>
            <w:r>
              <w:rPr>
                <w:rStyle w:val="VerbatimChar"/>
              </w:rPr>
              <w:t xml:space="preserve">apigee-deploy-by-human</w:t>
            </w:r>
          </w:p>
        </w:tc>
        <w:tc>
          <w:tcPr/>
          <w:p>
            <w:pPr>
              <w:pStyle w:val="Compact"/>
              <w:jc w:val="left"/>
            </w:pPr>
            <w:r>
              <w:rPr>
                <w:rStyle w:val="VerbatimChar"/>
              </w:rPr>
              <w:t xml:space="preserve">protoPayload.serviceName="apigee.googleapis.com" AND protoPayload.methodName:"deploy" AND NOT protoPayload.authenticationInfo.principalEmail:"tf-deployer"</w:t>
            </w:r>
          </w:p>
        </w:tc>
      </w:tr>
      <w:tr>
        <w:tc>
          <w:tcPr/>
          <w:p>
            <w:pPr>
              <w:pStyle w:val="Compact"/>
              <w:jc w:val="left"/>
            </w:pPr>
            <w:r>
              <w:rPr>
                <w:rStyle w:val="VerbatimChar"/>
              </w:rPr>
              <w:t xml:space="preserve">iap-denied</w:t>
            </w:r>
          </w:p>
        </w:tc>
        <w:tc>
          <w:tcPr/>
          <w:p>
            <w:pPr>
              <w:pStyle w:val="Compact"/>
              <w:jc w:val="left"/>
            </w:pPr>
            <w:r>
              <w:rPr>
                <w:rStyle w:val="VerbatimChar"/>
              </w:rPr>
              <w:t xml:space="preserve">protoPayload.serviceName="iap.googleapis.com" AND protoPayload.status.code!=0</w:t>
            </w:r>
          </w:p>
        </w:tc>
      </w:tr>
      <w:tr>
        <w:tc>
          <w:tcPr/>
          <w:p>
            <w:pPr>
              <w:pStyle w:val="Compact"/>
              <w:jc w:val="left"/>
            </w:pPr>
            <w:r>
              <w:rPr>
                <w:rStyle w:val="VerbatimChar"/>
              </w:rPr>
              <w:t xml:space="preserve">zpa-range-denied</w:t>
            </w:r>
          </w:p>
        </w:tc>
        <w:tc>
          <w:tcPr/>
          <w:p>
            <w:pPr>
              <w:pStyle w:val="Compact"/>
              <w:jc w:val="left"/>
            </w:pPr>
            <w:r>
              <w:rPr>
                <w:rStyle w:val="VerbatimChar"/>
              </w:rPr>
              <w:t xml:space="preserve">jsonPayload.connection.src_ip:"10.100.209." AND jsonPayload.disposition="DENIED"</w:t>
            </w:r>
          </w:p>
        </w:tc>
      </w:tr>
      <w:tr>
        <w:tc>
          <w:tcPr/>
          <w:p>
            <w:pPr>
              <w:pStyle w:val="Compact"/>
              <w:jc w:val="left"/>
            </w:pPr>
            <w:r>
              <w:rPr>
                <w:rStyle w:val="VerbatimChar"/>
              </w:rPr>
              <w:t xml:space="preserve">sa-key-attempt</w:t>
            </w:r>
          </w:p>
        </w:tc>
        <w:tc>
          <w:tcPr/>
          <w:p>
            <w:pPr>
              <w:pStyle w:val="Compact"/>
              <w:jc w:val="left"/>
            </w:pPr>
            <w:r>
              <w:rPr>
                <w:rStyle w:val="VerbatimChar"/>
              </w:rPr>
              <w:t xml:space="preserve">protoPayload.methodName="google.iam.admin.v1.CreateServiceAccountKey"</w:t>
            </w:r>
          </w:p>
        </w:tc>
      </w:tr>
      <w:tr>
        <w:tc>
          <w:tcPr/>
          <w:p>
            <w:pPr>
              <w:pStyle w:val="Compact"/>
              <w:jc w:val="left"/>
            </w:pPr>
            <w:r>
              <w:rPr>
                <w:rStyle w:val="VerbatimChar"/>
              </w:rPr>
              <w:t xml:space="preserve">vector-index-change</w:t>
            </w:r>
          </w:p>
        </w:tc>
        <w:tc>
          <w:tcPr/>
          <w:p>
            <w:pPr>
              <w:pStyle w:val="Compact"/>
              <w:jc w:val="left"/>
            </w:pPr>
            <w:r>
              <w:rPr>
                <w:rStyle w:val="VerbatimChar"/>
              </w:rPr>
              <w:t xml:space="preserve">protoPayload.methodName:("DeployIndex" OR "UndeployIndex")</w:t>
            </w:r>
          </w:p>
        </w:tc>
      </w:tr>
      <w:tr>
        <w:tc>
          <w:tcPr/>
          <w:p>
            <w:pPr>
              <w:pStyle w:val="Compact"/>
              <w:jc w:val="left"/>
            </w:pPr>
            <w:r>
              <w:rPr>
                <w:rStyle w:val="VerbatimChar"/>
              </w:rPr>
              <w:t xml:space="preserve">audit-config-change</w:t>
            </w:r>
          </w:p>
        </w:tc>
        <w:tc>
          <w:tcPr/>
          <w:p>
            <w:pPr>
              <w:pStyle w:val="Compact"/>
              <w:jc w:val="left"/>
            </w:pPr>
            <w:r>
              <w:rPr>
                <w:rStyle w:val="VerbatimChar"/>
              </w:rPr>
              <w:t xml:space="preserve">protoPayload.methodName:"SetIamPolicy" AND protoPayload.serviceData.policyDelta.auditConfigDeltas:*</w:t>
            </w:r>
          </w:p>
        </w:tc>
      </w:tr>
      <w:tr>
        <w:tc>
          <w:tcPr/>
          <w:p>
            <w:pPr>
              <w:pStyle w:val="Compact"/>
              <w:jc w:val="left"/>
            </w:pPr>
            <w:r>
              <w:rPr>
                <w:rStyle w:val="VerbatimChar"/>
              </w:rPr>
              <w:t xml:space="preserve">rate-limit-429</w:t>
            </w:r>
          </w:p>
        </w:tc>
        <w:tc>
          <w:tcPr/>
          <w:p>
            <w:pPr>
              <w:pStyle w:val="Compact"/>
              <w:jc w:val="left"/>
            </w:pPr>
            <w:r>
              <w:rPr>
                <w:rStyle w:val="VerbatimChar"/>
              </w:rPr>
              <w:t xml:space="preserve">resource.type="apigee.googleapis.com/Environment" AND httpRequest.status=429</w:t>
            </w:r>
          </w:p>
        </w:tc>
      </w:tr>
    </w:tbl>
    <w:bookmarkEnd w:id="243"/>
    <w:bookmarkStart w:id="244" w:name="alerting-policies"/>
    <w:p>
      <w:pPr>
        <w:pStyle w:val="Heading3"/>
      </w:pPr>
      <w:r>
        <w:t xml:space="preserve">11.3.2 Alerting policies</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Alert</w:t>
            </w:r>
          </w:p>
        </w:tc>
        <w:tc>
          <w:tcPr>
            <w:shd w:val="clear" w:color="auto" w:fill="1F3864"/>
          </w:tcPr>
          <w:p>
            <w:pPr>
              <w:pStyle w:val="Compact"/>
              <w:jc w:val="left"/>
            </w:pPr>
            <w:r>
              <w:rPr>
                <w:b/>
                <w:color w:val="FFFFFF"/>
              </w:rPr>
              <w:t xml:space="preserve">Condition</w:t>
            </w:r>
          </w:p>
        </w:tc>
        <w:tc>
          <w:tcPr>
            <w:shd w:val="clear" w:color="auto" w:fill="1F3864"/>
          </w:tcPr>
          <w:p>
            <w:pPr>
              <w:pStyle w:val="Compact"/>
              <w:jc w:val="left"/>
            </w:pPr>
            <w:r>
              <w:rPr>
                <w:b/>
                <w:color w:val="FFFFFF"/>
              </w:rPr>
              <w:t xml:space="preserve">Urgency</w:t>
            </w:r>
          </w:p>
        </w:tc>
        <w:tc>
          <w:tcPr>
            <w:shd w:val="clear" w:color="auto" w:fill="1F3864"/>
          </w:tcPr>
          <w:p>
            <w:pPr>
              <w:pStyle w:val="Compact"/>
              <w:jc w:val="left"/>
            </w:pPr>
            <w:r>
              <w:rPr>
                <w:b/>
                <w:color w:val="FFFFFF"/>
              </w:rPr>
              <w:t xml:space="preserve">Rationale</w:t>
            </w:r>
          </w:p>
        </w:tc>
      </w:tr>
      <w:tr>
        <w:tc>
          <w:tcPr/>
          <w:p>
            <w:pPr>
              <w:pStyle w:val="Compact"/>
              <w:jc w:val="left"/>
            </w:pPr>
            <w:r>
              <w:t xml:space="preserve">Break-glass account used</w:t>
            </w:r>
          </w:p>
        </w:tc>
        <w:tc>
          <w:tcPr/>
          <w:p>
            <w:pPr>
              <w:pStyle w:val="Compact"/>
              <w:jc w:val="left"/>
            </w:pPr>
            <w:r>
              <w:t xml:space="preserve">Any occurrence</w:t>
            </w:r>
          </w:p>
        </w:tc>
        <w:tc>
          <w:tcPr/>
          <w:p>
            <w:pPr>
              <w:pStyle w:val="Compact"/>
              <w:jc w:val="left"/>
            </w:pPr>
            <w:r>
              <w:t xml:space="preserve">Immediate</w:t>
            </w:r>
          </w:p>
        </w:tc>
        <w:tc>
          <w:tcPr/>
          <w:p>
            <w:pPr>
              <w:pStyle w:val="Compact"/>
              <w:jc w:val="left"/>
            </w:pPr>
            <w:r>
              <w:t xml:space="preserve">An emergency route whose use is undetected is not a control, per</w:t>
            </w:r>
            <w:r>
              <w:t xml:space="preserve"> </w:t>
            </w:r>
            <w:r>
              <w:rPr>
                <w:b/>
                <w:bCs/>
              </w:rPr>
              <w:t xml:space="preserve">Break-glass access</w:t>
            </w:r>
          </w:p>
        </w:tc>
      </w:tr>
      <w:tr>
        <w:tc>
          <w:tcPr/>
          <w:p>
            <w:pPr>
              <w:pStyle w:val="Compact"/>
              <w:jc w:val="left"/>
            </w:pPr>
            <w:r>
              <w:t xml:space="preserve">Apigee proxy deployed by a human principal</w:t>
            </w:r>
          </w:p>
        </w:tc>
        <w:tc>
          <w:tcPr/>
          <w:p>
            <w:pPr>
              <w:pStyle w:val="Compact"/>
              <w:jc w:val="left"/>
            </w:pPr>
            <w:r>
              <w:t xml:space="preserve">Any occurrence</w:t>
            </w:r>
          </w:p>
        </w:tc>
        <w:tc>
          <w:tcPr/>
          <w:p>
            <w:pPr>
              <w:pStyle w:val="Compact"/>
              <w:jc w:val="left"/>
            </w:pPr>
            <w:r>
              <w:t xml:space="preserve">Immediate</w:t>
            </w:r>
          </w:p>
        </w:tc>
        <w:tc>
          <w:tcPr/>
          <w:p>
            <w:pPr>
              <w:pStyle w:val="Compact"/>
              <w:jc w:val="left"/>
            </w:pPr>
            <w:r>
              <w:t xml:space="preserve">Proxy bundles have no Binary Authorization equivalent; this alert is the compensating control, per</w:t>
            </w:r>
            <w:r>
              <w:t xml:space="preserve"> </w:t>
            </w:r>
            <w:r>
              <w:rPr>
                <w:b/>
                <w:bCs/>
              </w:rPr>
              <w:t xml:space="preserve">Apigee deployment governance</w:t>
            </w:r>
          </w:p>
        </w:tc>
      </w:tr>
      <w:tr>
        <w:tc>
          <w:tcPr/>
          <w:p>
            <w:pPr>
              <w:pStyle w:val="Compact"/>
              <w:jc w:val="left"/>
            </w:pPr>
            <w:r>
              <w:t xml:space="preserve">Service account key creation attempted</w:t>
            </w:r>
          </w:p>
        </w:tc>
        <w:tc>
          <w:tcPr/>
          <w:p>
            <w:pPr>
              <w:pStyle w:val="Compact"/>
              <w:jc w:val="left"/>
            </w:pPr>
            <w:r>
              <w:t xml:space="preserve">Any occurrence</w:t>
            </w:r>
          </w:p>
        </w:tc>
        <w:tc>
          <w:tcPr/>
          <w:p>
            <w:pPr>
              <w:pStyle w:val="Compact"/>
              <w:jc w:val="left"/>
            </w:pPr>
            <w:r>
              <w:t xml:space="preserve">Immediate</w:t>
            </w:r>
          </w:p>
        </w:tc>
        <w:tc>
          <w:tcPr/>
          <w:p>
            <w:pPr>
              <w:pStyle w:val="Compact"/>
              <w:jc w:val="left"/>
            </w:pPr>
            <w:r>
              <w:t xml:space="preserve">Blocked by organisation policy, so any attempt is itself a signal</w:t>
            </w:r>
          </w:p>
        </w:tc>
      </w:tr>
      <w:tr>
        <w:tc>
          <w:tcPr/>
          <w:p>
            <w:pPr>
              <w:pStyle w:val="Compact"/>
              <w:jc w:val="left"/>
            </w:pPr>
            <w:r>
              <w:t xml:space="preserve">Audit configuration changed</w:t>
            </w:r>
          </w:p>
        </w:tc>
        <w:tc>
          <w:tcPr/>
          <w:p>
            <w:pPr>
              <w:pStyle w:val="Compact"/>
              <w:jc w:val="left"/>
            </w:pPr>
            <w:r>
              <w:t xml:space="preserve">Any occurrence</w:t>
            </w:r>
          </w:p>
        </w:tc>
        <w:tc>
          <w:tcPr/>
          <w:p>
            <w:pPr>
              <w:pStyle w:val="Compact"/>
              <w:jc w:val="left"/>
            </w:pPr>
            <w:r>
              <w:t xml:space="preserve">Immediate</w:t>
            </w:r>
          </w:p>
        </w:tc>
        <w:tc>
          <w:tcPr/>
          <w:p>
            <w:pPr>
              <w:pStyle w:val="Compact"/>
              <w:jc w:val="left"/>
            </w:pPr>
            <w:r>
              <w:t xml:space="preserve">Modification of audit configuration is a kill-switch trigger condition, per</w:t>
            </w:r>
            <w:r>
              <w:t xml:space="preserve"> </w:t>
            </w:r>
            <w:r>
              <w:rPr>
                <w:b/>
                <w:bCs/>
              </w:rPr>
              <w:t xml:space="preserve">Trigger conditions</w:t>
            </w:r>
          </w:p>
        </w:tc>
      </w:tr>
      <w:tr>
        <w:tc>
          <w:tcPr/>
          <w:p>
            <w:pPr>
              <w:pStyle w:val="Compact"/>
              <w:jc w:val="left"/>
            </w:pPr>
            <w:r>
              <w:t xml:space="preserve">ZPA connector range denied</w:t>
            </w:r>
          </w:p>
        </w:tc>
        <w:tc>
          <w:tcPr/>
          <w:p>
            <w:pPr>
              <w:pStyle w:val="Compact"/>
              <w:jc w:val="left"/>
            </w:pPr>
            <w:r>
              <w:t xml:space="preserve">More than 5 in 5 minutes</w:t>
            </w:r>
          </w:p>
        </w:tc>
        <w:tc>
          <w:tcPr/>
          <w:p>
            <w:pPr>
              <w:pStyle w:val="Compact"/>
              <w:jc w:val="left"/>
            </w:pPr>
            <w:r>
              <w:t xml:space="preserve">High</w:t>
            </w:r>
          </w:p>
        </w:tc>
        <w:tc>
          <w:tcPr/>
          <w:p>
            <w:pPr>
              <w:pStyle w:val="Compact"/>
              <w:jc w:val="left"/>
            </w:pPr>
            <w:r>
              <w:t xml:space="preserve">Usually indicates the App Connector addresses have changed</w:t>
            </w:r>
          </w:p>
        </w:tc>
      </w:tr>
      <w:tr>
        <w:tc>
          <w:tcPr/>
          <w:p>
            <w:pPr>
              <w:pStyle w:val="Compact"/>
              <w:jc w:val="left"/>
            </w:pPr>
            <w:r>
              <w:t xml:space="preserve">Certificate expiry</w:t>
            </w:r>
          </w:p>
        </w:tc>
        <w:tc>
          <w:tcPr/>
          <w:p>
            <w:pPr>
              <w:pStyle w:val="Compact"/>
              <w:jc w:val="left"/>
            </w:pPr>
            <w:r>
              <w:t xml:space="preserve">30 days before expiry, on both the load balancer and the Apigee environment group certificates</w:t>
            </w:r>
          </w:p>
        </w:tc>
        <w:tc>
          <w:tcPr/>
          <w:p>
            <w:pPr>
              <w:pStyle w:val="Compact"/>
              <w:jc w:val="left"/>
            </w:pPr>
            <w:r>
              <w:t xml:space="preserve">High</w:t>
            </w:r>
          </w:p>
        </w:tc>
        <w:tc>
          <w:tcPr/>
          <w:p>
            <w:pPr>
              <w:pStyle w:val="Compact"/>
              <w:jc w:val="left"/>
            </w:pPr>
            <w:r>
              <w:t xml:space="preserve">An expired certificate is a total outage</w:t>
            </w:r>
          </w:p>
        </w:tc>
      </w:tr>
      <w:tr>
        <w:tc>
          <w:tcPr/>
          <w:p>
            <w:pPr>
              <w:pStyle w:val="Compact"/>
              <w:jc w:val="left"/>
            </w:pPr>
            <w:r>
              <w:t xml:space="preserve">Firestore error rate</w:t>
            </w:r>
          </w:p>
        </w:tc>
        <w:tc>
          <w:tcPr/>
          <w:p>
            <w:pPr>
              <w:pStyle w:val="Compact"/>
              <w:jc w:val="left"/>
            </w:pPr>
            <w:r>
              <w:t xml:space="preserve">Sustained</w:t>
            </w:r>
          </w:p>
        </w:tc>
        <w:tc>
          <w:tcPr/>
          <w:p>
            <w:pPr>
              <w:pStyle w:val="Compact"/>
              <w:jc w:val="left"/>
            </w:pPr>
            <w:r>
              <w:t xml:space="preserve">High</w:t>
            </w:r>
          </w:p>
        </w:tc>
        <w:tc>
          <w:tcPr/>
          <w:p>
            <w:pPr>
              <w:pStyle w:val="Compact"/>
              <w:jc w:val="left"/>
            </w:pPr>
            <w:r>
              <w:t xml:space="preserve">A hard request-path dependency introduced by the Backend-for-Frontend, per</w:t>
            </w:r>
            <w:r>
              <w:t xml:space="preserve"> </w:t>
            </w:r>
            <w:r>
              <w:rPr>
                <w:b/>
                <w:bCs/>
              </w:rPr>
              <w:t xml:space="preserve">Session read latency and Firestore failure</w:t>
            </w:r>
          </w:p>
        </w:tc>
      </w:tr>
      <w:tr>
        <w:tc>
          <w:tcPr/>
          <w:p>
            <w:pPr>
              <w:pStyle w:val="Compact"/>
              <w:jc w:val="left"/>
            </w:pPr>
            <w:r>
              <w:t xml:space="preserve">Vector Search index changed</w:t>
            </w:r>
          </w:p>
        </w:tc>
        <w:tc>
          <w:tcPr/>
          <w:p>
            <w:pPr>
              <w:pStyle w:val="Compact"/>
              <w:jc w:val="left"/>
            </w:pPr>
            <w:r>
              <w:t xml:space="preserve">Any occurrence, including an endpoint created without Private Service Connect</w:t>
            </w:r>
          </w:p>
        </w:tc>
        <w:tc>
          <w:tcPr/>
          <w:p>
            <w:pPr>
              <w:pStyle w:val="Compact"/>
              <w:jc w:val="left"/>
            </w:pPr>
            <w:r>
              <w:t xml:space="preserve">Medium</w:t>
            </w:r>
          </w:p>
        </w:tc>
        <w:tc>
          <w:tcPr/>
          <w:p>
            <w:pPr>
              <w:pStyle w:val="Compact"/>
              <w:jc w:val="left"/>
            </w:pPr>
            <w:r>
              <w:t xml:space="preserve">Retrieval isolation depends on the index and endpoint configuration</w:t>
            </w:r>
          </w:p>
        </w:tc>
      </w:tr>
      <w:tr>
        <w:tc>
          <w:tcPr/>
          <w:p>
            <w:pPr>
              <w:pStyle w:val="Compact"/>
              <w:jc w:val="left"/>
            </w:pPr>
            <w:r>
              <w:t xml:space="preserve">Rate-limit 429 rate</w:t>
            </w:r>
          </w:p>
        </w:tc>
        <w:tc>
          <w:tcPr/>
          <w:p>
            <w:pPr>
              <w:pStyle w:val="Compact"/>
              <w:jc w:val="left"/>
            </w:pPr>
            <w:r>
              <w:t xml:space="preserve">Sustained increase for a business unit</w:t>
            </w:r>
          </w:p>
        </w:tc>
        <w:tc>
          <w:tcPr/>
          <w:p>
            <w:pPr>
              <w:pStyle w:val="Compact"/>
              <w:jc w:val="left"/>
            </w:pPr>
            <w:r>
              <w:t xml:space="preserve">Medium</w:t>
            </w:r>
          </w:p>
        </w:tc>
        <w:tc>
          <w:tcPr/>
          <w:p>
            <w:pPr>
              <w:pStyle w:val="Compact"/>
              <w:jc w:val="left"/>
            </w:pPr>
            <w:r>
              <w:t xml:space="preserve">Either abuse, or a product tier set too low</w:t>
            </w:r>
          </w:p>
        </w:tc>
      </w:tr>
      <w:tr>
        <w:tc>
          <w:tcPr/>
          <w:p>
            <w:pPr>
              <w:pStyle w:val="Compact"/>
              <w:jc w:val="left"/>
            </w:pPr>
            <w:r>
              <w:t xml:space="preserve">Model Armor block rate</w:t>
            </w:r>
          </w:p>
        </w:tc>
        <w:tc>
          <w:tcPr/>
          <w:p>
            <w:pPr>
              <w:pStyle w:val="Compact"/>
              <w:jc w:val="left"/>
            </w:pPr>
            <w:r>
              <w:t xml:space="preserve">Sustained increase</w:t>
            </w:r>
          </w:p>
        </w:tc>
        <w:tc>
          <w:tcPr/>
          <w:p>
            <w:pPr>
              <w:pStyle w:val="Compact"/>
              <w:jc w:val="left"/>
            </w:pPr>
            <w:r>
              <w:t xml:space="preserve">Medium</w:t>
            </w:r>
          </w:p>
        </w:tc>
        <w:tc>
          <w:tcPr/>
          <w:p>
            <w:pPr>
              <w:pStyle w:val="Compact"/>
              <w:jc w:val="left"/>
            </w:pPr>
            <w:r>
              <w:t xml:space="preserve">Either an attack, or a false-positive problem</w:t>
            </w:r>
          </w:p>
        </w:tc>
      </w:tr>
      <w:tr>
        <w:tc>
          <w:tcPr/>
          <w:p>
            <w:pPr>
              <w:pStyle w:val="Compact"/>
              <w:jc w:val="left"/>
            </w:pPr>
            <w:r>
              <w:t xml:space="preserve">Session read latency, P95</w:t>
            </w:r>
          </w:p>
        </w:tc>
        <w:tc>
          <w:tcPr/>
          <w:p>
            <w:pPr>
              <w:pStyle w:val="Compact"/>
              <w:jc w:val="left"/>
            </w:pPr>
            <w:r>
              <w:t xml:space="preserve">Above 25 ms</w:t>
            </w:r>
          </w:p>
        </w:tc>
        <w:tc>
          <w:tcPr/>
          <w:p>
            <w:pPr>
              <w:pStyle w:val="Compact"/>
              <w:jc w:val="left"/>
            </w:pPr>
            <w:r>
              <w:t xml:space="preserve">Medium</w:t>
            </w:r>
          </w:p>
        </w:tc>
        <w:tc>
          <w:tcPr/>
          <w:p>
            <w:pPr>
              <w:pStyle w:val="Compact"/>
              <w:jc w:val="left"/>
            </w:pPr>
            <w:r>
              <w:t xml:space="preserve">PR-09 (session read latency). On the critical path of every API call and the value most likely to degrade without a visible failure</w:t>
            </w:r>
          </w:p>
        </w:tc>
      </w:tr>
      <w:tr>
        <w:tc>
          <w:tcPr/>
          <w:p>
            <w:pPr>
              <w:pStyle w:val="Compact"/>
              <w:jc w:val="left"/>
            </w:pPr>
            <w:r>
              <w:t xml:space="preserve">Cloud Run addresses in use</w:t>
            </w:r>
          </w:p>
        </w:tc>
        <w:tc>
          <w:tcPr/>
          <w:p>
            <w:pPr>
              <w:pStyle w:val="Compact"/>
              <w:jc w:val="left"/>
            </w:pPr>
            <w:r>
              <w:t xml:space="preserve">Instance count multiplied by 2 above 250</w:t>
            </w:r>
          </w:p>
        </w:tc>
        <w:tc>
          <w:tcPr/>
          <w:p>
            <w:pPr>
              <w:pStyle w:val="Compact"/>
              <w:jc w:val="left"/>
            </w:pPr>
            <w:r>
              <w:t xml:space="preserve">Medium</w:t>
            </w:r>
          </w:p>
        </w:tc>
        <w:tc>
          <w:tcPr/>
          <w:p>
            <w:pPr>
              <w:pStyle w:val="Compact"/>
              <w:jc w:val="left"/>
            </w:pPr>
            <w:r>
              <w:t xml:space="preserve">PR-19 (Cloud Run address consumption alert). The point at which a revision rollout is at risk against the workload subnet</w:t>
            </w:r>
          </w:p>
        </w:tc>
      </w:tr>
      <w:tr>
        <w:tc>
          <w:tcPr/>
          <w:p>
            <w:pPr>
              <w:pStyle w:val="Compact"/>
              <w:jc w:val="left"/>
            </w:pPr>
            <w:r>
              <w:rPr>
                <w:rStyle w:val="VerbatimChar"/>
              </w:rPr>
              <w:t xml:space="preserve">EXECUTION_SKIPPED</w:t>
            </w:r>
            <w:r>
              <w:t xml:space="preserve"> </w:t>
            </w:r>
            <w:r>
              <w:t xml:space="preserve">rate</w:t>
            </w:r>
          </w:p>
        </w:tc>
        <w:tc>
          <w:tcPr/>
          <w:p>
            <w:pPr>
              <w:pStyle w:val="Compact"/>
              <w:jc w:val="left"/>
            </w:pPr>
            <w:r>
              <w:t xml:space="preserve">Sustained increase</w:t>
            </w:r>
          </w:p>
        </w:tc>
        <w:tc>
          <w:tcPr/>
          <w:p>
            <w:pPr>
              <w:pStyle w:val="Compact"/>
              <w:jc w:val="left"/>
            </w:pPr>
            <w:r>
              <w:t xml:space="preserve">Medium</w:t>
            </w:r>
          </w:p>
        </w:tc>
        <w:tc>
          <w:tcPr/>
          <w:p>
            <w:pPr>
              <w:pStyle w:val="Compact"/>
              <w:jc w:val="left"/>
            </w:pPr>
            <w:r>
              <w:t xml:space="preserve">Either a legitimate change in usage, or probing for the screening gap, per</w:t>
            </w:r>
            <w:r>
              <w:t xml:space="preserve"> </w:t>
            </w:r>
            <w:r>
              <w:rPr>
                <w:b/>
                <w:bCs/>
              </w:rPr>
              <w:t xml:space="preserve">Limits and the</w:t>
            </w:r>
            <w:r>
              <w:rPr>
                <w:b/>
                <w:bCs/>
              </w:rPr>
              <w:t xml:space="preserve"> </w:t>
            </w:r>
            <w:r>
              <w:rPr>
                <w:rStyle w:val="VerbatimChar"/>
                <w:b/>
                <w:bCs/>
              </w:rPr>
              <w:t xml:space="preserve">EXECUTION_SKIPPED</w:t>
            </w:r>
            <w:r>
              <w:rPr>
                <w:b/>
                <w:bCs/>
              </w:rPr>
              <w:t xml:space="preserve"> </w:t>
            </w:r>
            <w:r>
              <w:rPr>
                <w:b/>
                <w:bCs/>
              </w:rPr>
              <w:t xml:space="preserve">behaviour</w:t>
            </w:r>
          </w:p>
        </w:tc>
      </w:tr>
      <w:tr>
        <w:tc>
          <w:tcPr/>
          <w:p>
            <w:pPr>
              <w:pStyle w:val="Compact"/>
              <w:jc w:val="left"/>
            </w:pPr>
            <w:r>
              <w:t xml:space="preserve">ILB backend unhealthy</w:t>
            </w:r>
          </w:p>
        </w:tc>
        <w:tc>
          <w:tcPr/>
          <w:p>
            <w:pPr>
              <w:pStyle w:val="Compact"/>
              <w:jc w:val="left"/>
            </w:pPr>
            <w:r>
              <w:t xml:space="preserve">Any backend unhealthy</w:t>
            </w:r>
          </w:p>
        </w:tc>
        <w:tc>
          <w:tcPr/>
          <w:p>
            <w:pPr>
              <w:pStyle w:val="Compact"/>
              <w:jc w:val="left"/>
            </w:pPr>
            <w:r>
              <w:t xml:space="preserve">High</w:t>
            </w:r>
          </w:p>
        </w:tc>
        <w:tc>
          <w:tcPr/>
          <w:p>
            <w:pPr>
              <w:pStyle w:val="Compact"/>
              <w:jc w:val="left"/>
            </w:pPr>
            <w:r>
              <w:t xml:space="preserve">The user path is unavailable</w:t>
            </w:r>
          </w:p>
        </w:tc>
      </w:tr>
      <w:tr>
        <w:tc>
          <w:tcPr/>
          <w:p>
            <w:pPr>
              <w:pStyle w:val="Compact"/>
              <w:jc w:val="left"/>
            </w:pPr>
            <w:r>
              <w:t xml:space="preserve">Cloud Run error rate</w:t>
            </w:r>
          </w:p>
        </w:tc>
        <w:tc>
          <w:tcPr/>
          <w:p>
            <w:pPr>
              <w:pStyle w:val="Compact"/>
              <w:jc w:val="left"/>
            </w:pPr>
            <w:r>
              <w:t xml:space="preserve">Sustained 5xx increase per service</w:t>
            </w:r>
          </w:p>
        </w:tc>
        <w:tc>
          <w:tcPr/>
          <w:p>
            <w:pPr>
              <w:pStyle w:val="Compact"/>
              <w:jc w:val="left"/>
            </w:pPr>
            <w:r>
              <w:t xml:space="preserve">High</w:t>
            </w:r>
          </w:p>
        </w:tc>
        <w:tc>
          <w:tcPr/>
          <w:p>
            <w:pPr>
              <w:pStyle w:val="Compact"/>
              <w:jc w:val="left"/>
            </w:pPr>
            <w:r>
              <w:t xml:space="preserve">Service degradation ahead of an availability breach</w:t>
            </w:r>
          </w:p>
        </w:tc>
      </w:tr>
      <w:tr>
        <w:tc>
          <w:tcPr/>
          <w:p>
            <w:pPr>
              <w:pStyle w:val="Compact"/>
              <w:jc w:val="left"/>
            </w:pPr>
            <w:r>
              <w:t xml:space="preserve">Cloud NAT port exhaustion</w:t>
            </w:r>
          </w:p>
        </w:tc>
        <w:tc>
          <w:tcPr/>
          <w:p>
            <w:pPr>
              <w:pStyle w:val="Compact"/>
              <w:jc w:val="left"/>
            </w:pPr>
            <w:r>
              <w:t xml:space="preserve">Allocation approaching the configured maximum</w:t>
            </w:r>
          </w:p>
        </w:tc>
        <w:tc>
          <w:tcPr/>
          <w:p>
            <w:pPr>
              <w:pStyle w:val="Compact"/>
              <w:jc w:val="left"/>
            </w:pPr>
            <w:r>
              <w:t xml:space="preserve">Medium</w:t>
            </w:r>
          </w:p>
        </w:tc>
        <w:tc>
          <w:tcPr/>
          <w:p>
            <w:pPr>
              <w:pStyle w:val="Compact"/>
              <w:jc w:val="left"/>
            </w:pPr>
            <w:r>
              <w:t xml:space="preserve">Sandbox only. Exhaustion presents as intermittent outbound failures rather than a clear error</w:t>
            </w:r>
          </w:p>
        </w:tc>
      </w:tr>
    </w:tbl>
    <w:p>
      <w:pPr>
        <w:pStyle w:val="BodyText"/>
      </w:pPr>
      <w:r>
        <w:t xml:space="preserve">Every alert has a named destination and an agreed owner. An alert with no reader is worse than no alert, because it creates unwarranted confidence. Steady-state alert triage and escalation passes to Platform Operate at handover, per</w:t>
      </w:r>
      <w:r>
        <w:t xml:space="preserve"> </w:t>
      </w:r>
      <w:r>
        <w:rPr>
          <w:b/>
          <w:bCs/>
        </w:rPr>
        <w:t xml:space="preserve">RACI — roles and responsibilities</w:t>
      </w:r>
      <w:r>
        <w:t xml:space="preserve">.</w:t>
      </w:r>
    </w:p>
    <w:bookmarkEnd w:id="244"/>
    <w:bookmarkStart w:id="245" w:name="X4dd8a1c59af32abcb3f25292e989f58c67049a2"/>
    <w:p>
      <w:pPr>
        <w:pStyle w:val="Heading3"/>
      </w:pPr>
      <w:r>
        <w:t xml:space="preserve">11.3.3 Service level indicators and error budget</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Indicator</w:t>
            </w:r>
          </w:p>
        </w:tc>
        <w:tc>
          <w:tcPr>
            <w:shd w:val="clear" w:color="auto" w:fill="1F3864"/>
          </w:tcPr>
          <w:p>
            <w:pPr>
              <w:pStyle w:val="Compact"/>
              <w:jc w:val="left"/>
            </w:pPr>
            <w:r>
              <w:rPr>
                <w:b/>
                <w:color w:val="FFFFFF"/>
              </w:rPr>
              <w:t xml:space="preserve">Target</w:t>
            </w:r>
          </w:p>
        </w:tc>
        <w:tc>
          <w:tcPr>
            <w:shd w:val="clear" w:color="auto" w:fill="1F3864"/>
          </w:tcPr>
          <w:p>
            <w:pPr>
              <w:pStyle w:val="Compact"/>
              <w:jc w:val="left"/>
            </w:pPr>
            <w:r>
              <w:rPr>
                <w:b/>
                <w:color w:val="FFFFFF"/>
              </w:rPr>
              <w:t xml:space="preserve">Source</w:t>
            </w:r>
          </w:p>
        </w:tc>
      </w:tr>
      <w:tr>
        <w:tc>
          <w:tcPr/>
          <w:p>
            <w:pPr>
              <w:pStyle w:val="Compact"/>
              <w:jc w:val="left"/>
            </w:pPr>
            <w:r>
              <w:t xml:space="preserve">AI Hub user path availability</w:t>
            </w:r>
          </w:p>
        </w:tc>
        <w:tc>
          <w:tcPr/>
          <w:p>
            <w:pPr>
              <w:pStyle w:val="Compact"/>
              <w:jc w:val="left"/>
            </w:pPr>
            <w:r>
              <w:t xml:space="preserve">99.9% over 30 days, per PR-01 (Translation and Sales Agent API availability)</w:t>
            </w:r>
          </w:p>
        </w:tc>
        <w:tc>
          <w:tcPr/>
          <w:p>
            <w:pPr>
              <w:pStyle w:val="Compact"/>
              <w:jc w:val="left"/>
            </w:pPr>
            <w:r>
              <w:t xml:space="preserve">ILB and Cloud Run request logs</w:t>
            </w:r>
          </w:p>
        </w:tc>
      </w:tr>
      <w:tr>
        <w:tc>
          <w:tcPr/>
          <w:p>
            <w:pPr>
              <w:pStyle w:val="Compact"/>
              <w:jc w:val="left"/>
            </w:pPr>
            <w:r>
              <w:t xml:space="preserve">Translation latency</w:t>
            </w:r>
          </w:p>
        </w:tc>
        <w:tc>
          <w:tcPr/>
          <w:p>
            <w:pPr>
              <w:pStyle w:val="Compact"/>
              <w:jc w:val="left"/>
            </w:pPr>
            <w:r>
              <w:t xml:space="preserve">Per PR-02 (translation latency, up to 10 pages) and PR-03 (translation latency, up to 50 pages)</w:t>
            </w:r>
          </w:p>
        </w:tc>
        <w:tc>
          <w:tcPr/>
          <w:p>
            <w:pPr>
              <w:pStyle w:val="Compact"/>
              <w:jc w:val="left"/>
            </w:pPr>
            <w:r>
              <w:t xml:space="preserve">Application metrics on the job record</w:t>
            </w:r>
          </w:p>
        </w:tc>
      </w:tr>
      <w:tr>
        <w:tc>
          <w:tcPr/>
          <w:p>
            <w:pPr>
              <w:pStyle w:val="Compact"/>
              <w:jc w:val="left"/>
            </w:pPr>
            <w:r>
              <w:t xml:space="preserve">Sales Agent single-turn latency</w:t>
            </w:r>
          </w:p>
        </w:tc>
        <w:tc>
          <w:tcPr/>
          <w:p>
            <w:pPr>
              <w:pStyle w:val="Compact"/>
              <w:jc w:val="left"/>
            </w:pPr>
            <w:r>
              <w:t xml:space="preserve">Per PR-06 (Sales Agent single-turn latency)</w:t>
            </w:r>
          </w:p>
        </w:tc>
        <w:tc>
          <w:tcPr/>
          <w:p>
            <w:pPr>
              <w:pStyle w:val="Compact"/>
              <w:jc w:val="left"/>
            </w:pPr>
            <w:r>
              <w:t xml:space="preserve">Apigee and Cloud Run request logs</w:t>
            </w:r>
          </w:p>
        </w:tc>
      </w:tr>
      <w:tr>
        <w:tc>
          <w:tcPr/>
          <w:p>
            <w:pPr>
              <w:pStyle w:val="Compact"/>
              <w:jc w:val="left"/>
            </w:pPr>
            <w:r>
              <w:t xml:space="preserve">Cloud Run scale-out to first response</w:t>
            </w:r>
          </w:p>
        </w:tc>
        <w:tc>
          <w:tcPr/>
          <w:p>
            <w:pPr>
              <w:pStyle w:val="Compact"/>
              <w:jc w:val="left"/>
            </w:pPr>
            <w:r>
              <w:t xml:space="preserve">Per PR-07 (Cloud Run scale-out to first response)</w:t>
            </w:r>
          </w:p>
        </w:tc>
        <w:tc>
          <w:tcPr/>
          <w:p>
            <w:pPr>
              <w:pStyle w:val="Compact"/>
              <w:jc w:val="left"/>
            </w:pPr>
            <w:r>
              <w:t xml:space="preserve">Cloud Monitoring Cloud Run metrics</w:t>
            </w:r>
          </w:p>
        </w:tc>
      </w:tr>
      <w:tr>
        <w:tc>
          <w:tcPr/>
          <w:p>
            <w:pPr>
              <w:pStyle w:val="Compact"/>
              <w:jc w:val="left"/>
            </w:pPr>
            <w:r>
              <w:t xml:space="preserve">Session read latency</w:t>
            </w:r>
          </w:p>
        </w:tc>
        <w:tc>
          <w:tcPr/>
          <w:p>
            <w:pPr>
              <w:pStyle w:val="Compact"/>
              <w:jc w:val="left"/>
            </w:pPr>
            <w:r>
              <w:t xml:space="preserve">Per PR-09 (session read latency)</w:t>
            </w:r>
          </w:p>
        </w:tc>
        <w:tc>
          <w:tcPr/>
          <w:p>
            <w:pPr>
              <w:pStyle w:val="Compact"/>
              <w:jc w:val="left"/>
            </w:pPr>
            <w:r>
              <w:t xml:space="preserve">Application metric on the Firestore read</w:t>
            </w:r>
          </w:p>
        </w:tc>
      </w:tr>
    </w:tbl>
    <w:p>
      <w:pPr>
        <w:pStyle w:val="BodyText"/>
      </w:pPr>
      <w:r>
        <w:t xml:space="preserve">PR-01 (Translation and Sales Agent API availability) permits approximately 43 minutes of unavailability in 30 days. Two burn-rate alerts are therefore configured on the AI Hub user path rather than a single threshold alert: a fast-burn alert on a 1-hour window, and a slow-burn alert on a 6-hour window. This makes a single degradation visible while error budget remains to decide against.</w:t>
      </w:r>
    </w:p>
    <w:p>
      <w:pPr>
        <w:pStyle w:val="BodyText"/>
      </w:pPr>
      <w:r>
        <w:t xml:space="preserve">PR-08 (end-to-end latency budget) is not yet set. A request traverses ZPA, the load balancer, IAP, the Backend-for-Frontend, Firestore, Apigee, Private Service Connect and the backend load balancer, and IAP adds latency at each front-door call. The budget must be set and measured before go-live.</w:t>
      </w:r>
    </w:p>
    <w:bookmarkEnd w:id="245"/>
    <w:bookmarkStart w:id="246" w:name="synthetic-check"/>
    <w:p>
      <w:pPr>
        <w:pStyle w:val="Heading3"/>
      </w:pPr>
      <w:r>
        <w:t xml:space="preserve">11.3.4 Synthetic check</w:t>
      </w:r>
    </w:p>
    <w:p>
      <w:pPr>
        <w:pStyle w:val="FirstParagraph"/>
      </w:pPr>
      <w:r>
        <w:t xml:space="preserve">An internal address cannot be probed from Google’s public uptime checks. A scheduled job instead calls the health endpoint through the full path — ZPA, load balancer, IAP, Backend-for-Frontend, gateway, backend service — and alerts on failure.</w:t>
      </w:r>
    </w:p>
    <w:p>
      <w:pPr>
        <w:pStyle w:val="BodyText"/>
      </w:pPr>
      <w:r>
        <w:t xml:space="preserve">Exercising the complete chain is the purpose of the check. A probe against Cloud Run directly proves nothing about the components between the user and the service.</w:t>
      </w:r>
    </w:p>
    <w:bookmarkEnd w:id="246"/>
    <w:bookmarkEnd w:id="247"/>
    <w:bookmarkStart w:id="251" w:name="cost-management"/>
    <w:p>
      <w:pPr>
        <w:pStyle w:val="Heading2"/>
      </w:pPr>
      <w:r>
        <w:t xml:space="preserve">11.4 Cost management</w:t>
      </w:r>
    </w:p>
    <w:bookmarkStart w:id="248" w:name="attribution-and-control-mechanisms"/>
    <w:p>
      <w:pPr>
        <w:pStyle w:val="Heading3"/>
      </w:pPr>
      <w:r>
        <w:t xml:space="preserve">11.4.1 Attribution and control mechanisms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Mechanism</w:t>
            </w:r>
          </w:p>
        </w:tc>
        <w:tc>
          <w:tcPr>
            <w:shd w:val="clear" w:color="auto" w:fill="1F3864"/>
          </w:tcPr>
          <w:p>
            <w:pPr>
              <w:pStyle w:val="Compact"/>
              <w:jc w:val="left"/>
            </w:pPr>
            <w:r>
              <w:rPr>
                <w:b/>
                <w:color w:val="FFFFFF"/>
              </w:rPr>
              <w:t xml:space="preserve">Detail</w:t>
            </w:r>
          </w:p>
        </w:tc>
      </w:tr>
      <w:tr>
        <w:tc>
          <w:tcPr/>
          <w:p>
            <w:pPr>
              <w:pStyle w:val="Compact"/>
              <w:jc w:val="left"/>
            </w:pPr>
            <w:r>
              <w:t xml:space="preserve">Resource labels</w:t>
            </w:r>
          </w:p>
        </w:tc>
        <w:tc>
          <w:tcPr/>
          <w:p>
            <w:pPr>
              <w:pStyle w:val="Compact"/>
              <w:jc w:val="left"/>
            </w:pPr>
            <w:r>
              <w:t xml:space="preserve">Environment, project, team and managed-by on every resource, per TR-25 (resource labelling). Labels are what make per-environment cost attribution possible on the bill</w:t>
            </w:r>
          </w:p>
        </w:tc>
      </w:tr>
      <w:tr>
        <w:tc>
          <w:tcPr/>
          <w:p>
            <w:pPr>
              <w:pStyle w:val="Compact"/>
              <w:jc w:val="left"/>
            </w:pPr>
            <w:r>
              <w:t xml:space="preserve">Budgets</w:t>
            </w:r>
          </w:p>
        </w:tc>
        <w:tc>
          <w:tcPr/>
          <w:p>
            <w:pPr>
              <w:pStyle w:val="Compact"/>
              <w:jc w:val="left"/>
            </w:pPr>
            <w:r>
              <w:t xml:space="preserve">Per-project budget alerts. Not yet configured and required before go-live</w:t>
            </w:r>
          </w:p>
        </w:tc>
      </w:tr>
      <w:tr>
        <w:tc>
          <w:tcPr/>
          <w:p>
            <w:pPr>
              <w:pStyle w:val="Compact"/>
              <w:jc w:val="left"/>
            </w:pPr>
            <w:r>
              <w:t xml:space="preserve">VPC Flow Log sampling</w:t>
            </w:r>
          </w:p>
        </w:tc>
        <w:tc>
          <w:tcPr/>
          <w:p>
            <w:pPr>
              <w:pStyle w:val="Compact"/>
              <w:jc w:val="left"/>
            </w:pPr>
            <w:r>
              <w:t xml:space="preserve">Sample rate 0.1, aggregation interval 15 minutes. Full-rate flow logs on a busy subnet can cost more than the workload they observe</w:t>
            </w:r>
          </w:p>
        </w:tc>
      </w:tr>
      <w:tr>
        <w:tc>
          <w:tcPr/>
          <w:p>
            <w:pPr>
              <w:pStyle w:val="Compact"/>
              <w:jc w:val="left"/>
            </w:pPr>
            <w:r>
              <w:t xml:space="preserve">Sink exclusions</w:t>
            </w:r>
          </w:p>
        </w:tc>
        <w:tc>
          <w:tcPr/>
          <w:p>
            <w:pPr>
              <w:pStyle w:val="Compact"/>
              <w:jc w:val="left"/>
            </w:pPr>
            <w:r>
              <w:t xml:space="preserve">Health-check traffic, readiness probes and Cloud Run request logs for static asset paths excluded at the sink</w:t>
            </w:r>
          </w:p>
        </w:tc>
      </w:tr>
      <w:tr>
        <w:tc>
          <w:tcPr/>
          <w:p>
            <w:pPr>
              <w:pStyle w:val="Compact"/>
              <w:jc w:val="left"/>
            </w:pPr>
            <w:r>
              <w:t xml:space="preserve">Log Analytics rather than a BigQuery sink</w:t>
            </w:r>
          </w:p>
        </w:tc>
        <w:tc>
          <w:tcPr/>
          <w:p>
            <w:pPr>
              <w:pStyle w:val="Compact"/>
              <w:jc w:val="left"/>
            </w:pPr>
            <w:r>
              <w:t xml:space="preserve">The linked dataset queries the log bucket in place. A separate BigQuery sink would be a second stored copy at a second cost</w:t>
            </w:r>
          </w:p>
        </w:tc>
      </w:tr>
      <w:tr>
        <w:tc>
          <w:tcPr/>
          <w:p>
            <w:pPr>
              <w:pStyle w:val="Compact"/>
              <w:jc w:val="left"/>
            </w:pPr>
            <w:r>
              <w:t xml:space="preserve">Sentinel sink filtering</w:t>
            </w:r>
          </w:p>
        </w:tc>
        <w:tc>
          <w:tcPr/>
          <w:p>
            <w:pPr>
              <w:pStyle w:val="Compact"/>
              <w:jc w:val="left"/>
            </w:pPr>
            <w:r>
              <w:t xml:space="preserve">Security-relevant records only. SIEM products are priced on volume ingested at the SIEM end</w:t>
            </w:r>
          </w:p>
        </w:tc>
      </w:tr>
      <w:tr>
        <w:tc>
          <w:tcPr/>
          <w:p>
            <w:pPr>
              <w:pStyle w:val="Compact"/>
              <w:jc w:val="left"/>
            </w:pPr>
            <w:r>
              <w:rPr>
                <w:rStyle w:val="VerbatimChar"/>
              </w:rPr>
              <w:t xml:space="preserve">_Default</w:t>
            </w:r>
            <w:r>
              <w:t xml:space="preserve"> </w:t>
            </w:r>
            <w:r>
              <w:t xml:space="preserve">exclusions</w:t>
            </w:r>
          </w:p>
        </w:tc>
        <w:tc>
          <w:tcPr/>
          <w:p>
            <w:pPr>
              <w:pStyle w:val="Compact"/>
              <w:jc w:val="left"/>
            </w:pPr>
            <w:r>
              <w:t xml:space="preserve">Per</w:t>
            </w:r>
            <w:r>
              <w:t xml:space="preserve"> </w:t>
            </w:r>
            <w:r>
              <w:rPr>
                <w:b/>
                <w:bCs/>
              </w:rPr>
              <w:t xml:space="preserve">Duplicate routing and log storage cost</w:t>
            </w:r>
          </w:p>
        </w:tc>
      </w:tr>
      <w:tr>
        <w:tc>
          <w:tcPr/>
          <w:p>
            <w:pPr>
              <w:pStyle w:val="Compact"/>
              <w:jc w:val="left"/>
            </w:pPr>
            <w:r>
              <w:t xml:space="preserve">Apigee environment tier</w:t>
            </w:r>
          </w:p>
        </w:tc>
        <w:tc>
          <w:tcPr/>
          <w:p>
            <w:pPr>
              <w:pStyle w:val="Compact"/>
              <w:jc w:val="left"/>
            </w:pPr>
            <w:r>
              <w:t xml:space="preserve">An Intermediate environment costs several times a Base environment per month, and a single Extensible policy reclassifies a whole proxy to approximately five times the Standard per-call rate. This is the largest single cost lever on the platform, and is gated by P13 (Apigee licence entitlement and cost model)</w:t>
            </w:r>
          </w:p>
        </w:tc>
      </w:tr>
      <w:tr>
        <w:tc>
          <w:tcPr/>
          <w:p>
            <w:pPr>
              <w:pStyle w:val="Compact"/>
              <w:jc w:val="left"/>
            </w:pPr>
            <w:r>
              <w:rPr>
                <w:rStyle w:val="VerbatimChar"/>
              </w:rPr>
              <w:t xml:space="preserve">ext</w:t>
            </w:r>
            <w:r>
              <w:t xml:space="preserve"> </w:t>
            </w:r>
            <w:r>
              <w:t xml:space="preserve">environment not created</w:t>
            </w:r>
          </w:p>
        </w:tc>
        <w:tc>
          <w:tcPr/>
          <w:p>
            <w:pPr>
              <w:pStyle w:val="Compact"/>
              <w:jc w:val="left"/>
            </w:pPr>
            <w:r>
              <w:t xml:space="preserve">Every Apigee environment bills hourly whether or not it carries traffic</w:t>
            </w:r>
          </w:p>
        </w:tc>
      </w:tr>
      <w:tr>
        <w:tc>
          <w:tcPr/>
          <w:p>
            <w:pPr>
              <w:pStyle w:val="Compact"/>
              <w:jc w:val="left"/>
            </w:pPr>
            <w:r>
              <w:t xml:space="preserve">Cloud Run maximum instances</w:t>
            </w:r>
          </w:p>
        </w:tc>
        <w:tc>
          <w:tcPr/>
          <w:p>
            <w:pPr>
              <w:pStyle w:val="Compact"/>
              <w:jc w:val="left"/>
            </w:pPr>
            <w:r>
              <w:t xml:space="preserve">Capped at 127 across the workload subnet by TR-21 (Cloud Run instance ceiling), which bounds compute spend as a consequence</w:t>
            </w:r>
          </w:p>
        </w:tc>
      </w:tr>
      <w:tr>
        <w:tc>
          <w:tcPr/>
          <w:p>
            <w:pPr>
              <w:pStyle w:val="Compact"/>
              <w:jc w:val="left"/>
            </w:pPr>
            <w:r>
              <w:t xml:space="preserve">Cloud Run minimum instances</w:t>
            </w:r>
          </w:p>
        </w:tc>
        <w:tc>
          <w:tcPr/>
          <w:p>
            <w:pPr>
              <w:pStyle w:val="Compact"/>
              <w:jc w:val="left"/>
            </w:pPr>
            <w:r>
              <w:t xml:space="preserve">Zero in Sandbox and Development. Production holds one minimum instance per user-facing service, to meet PR-07 (Cloud Run scale-out to first response)</w:t>
            </w:r>
          </w:p>
        </w:tc>
      </w:tr>
      <w:tr>
        <w:tc>
          <w:tcPr/>
          <w:p>
            <w:pPr>
              <w:pStyle w:val="Compact"/>
              <w:jc w:val="left"/>
            </w:pPr>
            <w:r>
              <w:t xml:space="preserve">Workbench stop policy</w:t>
            </w:r>
          </w:p>
        </w:tc>
        <w:tc>
          <w:tcPr/>
          <w:p>
            <w:pPr>
              <w:pStyle w:val="Compact"/>
              <w:jc w:val="left"/>
            </w:pPr>
            <w:r>
              <w:t xml:space="preserve">The Sandbox Workbench is stopped when idle. It is the largest single fixed cost in Sandbox</w:t>
            </w:r>
          </w:p>
        </w:tc>
      </w:tr>
      <w:tr>
        <w:tc>
          <w:tcPr/>
          <w:p>
            <w:pPr>
              <w:pStyle w:val="Compact"/>
              <w:jc w:val="left"/>
            </w:pPr>
            <w:r>
              <w:t xml:space="preserve">Cloud Storage lifecycle</w:t>
            </w:r>
          </w:p>
        </w:tc>
        <w:tc>
          <w:tcPr/>
          <w:p>
            <w:pPr>
              <w:pStyle w:val="Compact"/>
              <w:jc w:val="left"/>
            </w:pPr>
            <w:r>
              <w:t xml:space="preserve">Lifecycle rules on the documents bucket, aligned to the translation result-retrieval window</w:t>
            </w:r>
          </w:p>
        </w:tc>
      </w:tr>
      <w:tr>
        <w:tc>
          <w:tcPr/>
          <w:p>
            <w:pPr>
              <w:pStyle w:val="Compact"/>
              <w:jc w:val="left"/>
            </w:pPr>
            <w:r>
              <w:t xml:space="preserve">Runtime ceilings and automatic cut-off</w:t>
            </w:r>
          </w:p>
        </w:tc>
        <w:tc>
          <w:tcPr/>
          <w:p>
            <w:pPr>
              <w:pStyle w:val="Compact"/>
              <w:jc w:val="left"/>
            </w:pPr>
            <w:r>
              <w:rPr>
                <w:rStyle w:val="VerbatimChar"/>
              </w:rPr>
              <w:t xml:space="preserve">LLMTokenQuota</w:t>
            </w:r>
            <w:r>
              <w:t xml:space="preserve"> </w:t>
            </w:r>
            <w:r>
              <w:t xml:space="preserve">is the consumption cut-off; runtime bounds are specified in</w:t>
            </w:r>
            <w:r>
              <w:t xml:space="preserve"> </w:t>
            </w:r>
            <w:r>
              <w:rPr>
                <w:b/>
                <w:bCs/>
              </w:rPr>
              <w:t xml:space="preserve">Runtime execution bounds</w:t>
            </w:r>
          </w:p>
        </w:tc>
      </w:tr>
      <w:tr>
        <w:tc>
          <w:tcPr/>
          <w:p>
            <w:pPr>
              <w:pStyle w:val="Compact"/>
              <w:jc w:val="left"/>
            </w:pPr>
            <w:r>
              <w:t xml:space="preserve">Cost anomaly detection</w:t>
            </w:r>
          </w:p>
        </w:tc>
        <w:tc>
          <w:tcPr/>
          <w:p>
            <w:pPr>
              <w:pStyle w:val="Compact"/>
              <w:jc w:val="left"/>
            </w:pPr>
            <w:r>
              <w:t xml:space="preserve">Billing anomaly detection enabled on the billing account, so an unexpected step change is surfaced without waiting for the monthly invoice</w:t>
            </w:r>
          </w:p>
        </w:tc>
      </w:tr>
    </w:tbl>
    <w:p>
      <w:pPr>
        <w:pStyle w:val="BodyText"/>
      </w:pPr>
      <w:r>
        <w:t xml:space="preserve">Monthly logging volume is modelled before go-live. 400 days of retention at full fidelity across nine projects is a material budget line, and sampling is more straightforward to agree in advance than to justify afterwards.</w:t>
      </w:r>
    </w:p>
    <w:bookmarkEnd w:id="248"/>
    <w:bookmarkStart w:id="249" w:name="indicative-infrastructure-cost"/>
    <w:p>
      <w:pPr>
        <w:pStyle w:val="Heading3"/>
      </w:pPr>
      <w:r>
        <w:t xml:space="preserve">11.4.2 Indicative infrastructure cost</w:t>
      </w:r>
    </w:p>
    <w:p>
      <w:pPr>
        <w:pStyle w:val="FirstParagraph"/>
      </w:pPr>
      <w:r>
        <w:t xml:space="preserve">Indicative per-environment infrastructure cost, excluding Apigee and model consumption.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Service</w:t>
            </w:r>
          </w:p>
        </w:tc>
        <w:tc>
          <w:tcPr>
            <w:shd w:val="clear" w:color="auto" w:fill="1F3864"/>
          </w:tcPr>
          <w:p>
            <w:pPr>
              <w:pStyle w:val="Compact"/>
              <w:jc w:val="left"/>
            </w:pPr>
            <w:r>
              <w:rPr>
                <w:b/>
                <w:color w:val="FFFFFF"/>
              </w:rPr>
              <w:t xml:space="preserve">Usage assumption</w:t>
            </w:r>
          </w:p>
        </w:tc>
        <w:tc>
          <w:tcPr>
            <w:shd w:val="clear" w:color="auto" w:fill="1F3864"/>
          </w:tcPr>
          <w:p>
            <w:pPr>
              <w:pStyle w:val="Compact"/>
              <w:jc w:val="left"/>
            </w:pPr>
            <w:r>
              <w:rPr>
                <w:b/>
                <w:color w:val="FFFFFF"/>
              </w:rPr>
              <w:t xml:space="preserve">Indicative monthly cost</w:t>
            </w:r>
          </w:p>
        </w:tc>
      </w:tr>
      <w:tr>
        <w:tc>
          <w:tcPr/>
          <w:p>
            <w:pPr>
              <w:pStyle w:val="Compact"/>
              <w:jc w:val="left"/>
            </w:pPr>
            <w:r>
              <w:t xml:space="preserve">Vertex AI Workbench</w:t>
            </w:r>
          </w:p>
        </w:tc>
        <w:tc>
          <w:tcPr/>
          <w:p>
            <w:pPr>
              <w:pStyle w:val="Compact"/>
              <w:jc w:val="left"/>
            </w:pPr>
            <w:r>
              <w:rPr>
                <w:rStyle w:val="VerbatimChar"/>
              </w:rPr>
              <w:t xml:space="preserve">e2-standard-4</w:t>
            </w:r>
            <w:r>
              <w:t xml:space="preserve">, 250 GiB balanced persistent disk, approximately 160 active hours per month — Sandbox only</w:t>
            </w:r>
          </w:p>
        </w:tc>
        <w:tc>
          <w:tcPr/>
          <w:p>
            <w:pPr>
              <w:pStyle w:val="Compact"/>
              <w:jc w:val="left"/>
            </w:pPr>
            <w:r>
              <w:t xml:space="preserve">£35</w:t>
            </w:r>
          </w:p>
        </w:tc>
      </w:tr>
      <w:tr>
        <w:tc>
          <w:tcPr/>
          <w:p>
            <w:pPr>
              <w:pStyle w:val="Compact"/>
              <w:jc w:val="left"/>
            </w:pPr>
            <w:r>
              <w:t xml:space="preserve">Cloud NAT</w:t>
            </w:r>
          </w:p>
        </w:tc>
        <w:tc>
          <w:tcPr/>
          <w:p>
            <w:pPr>
              <w:pStyle w:val="Compact"/>
              <w:jc w:val="left"/>
            </w:pPr>
            <w:r>
              <w:t xml:space="preserve">Two static addresses, low egress volume — Sandbox only</w:t>
            </w:r>
          </w:p>
        </w:tc>
        <w:tc>
          <w:tcPr/>
          <w:p>
            <w:pPr>
              <w:pStyle w:val="Compact"/>
              <w:jc w:val="left"/>
            </w:pPr>
            <w:r>
              <w:t xml:space="preserve">£4</w:t>
            </w:r>
          </w:p>
        </w:tc>
      </w:tr>
      <w:tr>
        <w:tc>
          <w:tcPr/>
          <w:p>
            <w:pPr>
              <w:pStyle w:val="Compact"/>
              <w:jc w:val="left"/>
            </w:pPr>
            <w:r>
              <w:t xml:space="preserve">Internal Application Load Balancers</w:t>
            </w:r>
          </w:p>
        </w:tc>
        <w:tc>
          <w:tcPr/>
          <w:p>
            <w:pPr>
              <w:pStyle w:val="Compact"/>
              <w:jc w:val="left"/>
            </w:pPr>
            <w:r>
              <w:t xml:space="preserve">Three forwarding rules, low request volume</w:t>
            </w:r>
          </w:p>
        </w:tc>
        <w:tc>
          <w:tcPr/>
          <w:p>
            <w:pPr>
              <w:pStyle w:val="Compact"/>
              <w:jc w:val="left"/>
            </w:pPr>
            <w:r>
              <w:t xml:space="preserve">£15</w:t>
            </w:r>
          </w:p>
        </w:tc>
      </w:tr>
      <w:tr>
        <w:tc>
          <w:tcPr/>
          <w:p>
            <w:pPr>
              <w:pStyle w:val="Compact"/>
              <w:jc w:val="left"/>
            </w:pPr>
            <w:r>
              <w:t xml:space="preserve">Cloud Run</w:t>
            </w:r>
          </w:p>
        </w:tc>
        <w:tc>
          <w:tcPr/>
          <w:p>
            <w:pPr>
              <w:pStyle w:val="Compact"/>
              <w:jc w:val="left"/>
            </w:pPr>
            <w:r>
              <w:t xml:space="preserve">Per-environment request volume, minimum instances zero</w:t>
            </w:r>
          </w:p>
        </w:tc>
        <w:tc>
          <w:tcPr/>
          <w:p>
            <w:pPr>
              <w:pStyle w:val="Compact"/>
              <w:jc w:val="left"/>
            </w:pPr>
            <w:r>
              <w:t xml:space="preserve">£5</w:t>
            </w:r>
          </w:p>
        </w:tc>
      </w:tr>
      <w:tr>
        <w:tc>
          <w:tcPr/>
          <w:p>
            <w:pPr>
              <w:pStyle w:val="Compact"/>
              <w:jc w:val="left"/>
            </w:pPr>
            <w:r>
              <w:t xml:space="preserve">Cloud Storage</w:t>
            </w:r>
          </w:p>
        </w:tc>
        <w:tc>
          <w:tcPr/>
          <w:p>
            <w:pPr>
              <w:pStyle w:val="Compact"/>
              <w:jc w:val="left"/>
            </w:pPr>
            <w:r>
              <w:t xml:space="preserve">Approximately 30 GiB across application, state and bootstrap buckets</w:t>
            </w:r>
          </w:p>
        </w:tc>
        <w:tc>
          <w:tcPr/>
          <w:p>
            <w:pPr>
              <w:pStyle w:val="Compact"/>
              <w:jc w:val="left"/>
            </w:pPr>
            <w:r>
              <w:t xml:space="preserve">£1</w:t>
            </w:r>
          </w:p>
        </w:tc>
      </w:tr>
      <w:tr>
        <w:tc>
          <w:tcPr/>
          <w:p>
            <w:pPr>
              <w:pStyle w:val="Compact"/>
              <w:jc w:val="left"/>
            </w:pPr>
            <w:r>
              <w:t xml:space="preserve">Cloud KMS</w:t>
            </w:r>
          </w:p>
        </w:tc>
        <w:tc>
          <w:tcPr/>
          <w:p>
            <w:pPr>
              <w:pStyle w:val="Compact"/>
              <w:jc w:val="left"/>
            </w:pPr>
            <w:r>
              <w:t xml:space="preserve">Six keys in Sandbox, five to seven per platform environment, with per-environment operations</w:t>
            </w:r>
          </w:p>
        </w:tc>
        <w:tc>
          <w:tcPr/>
          <w:p>
            <w:pPr>
              <w:pStyle w:val="Compact"/>
              <w:jc w:val="left"/>
            </w:pPr>
            <w:r>
              <w:t xml:space="preserve">£1</w:t>
            </w:r>
          </w:p>
        </w:tc>
      </w:tr>
      <w:tr>
        <w:tc>
          <w:tcPr/>
          <w:p>
            <w:pPr>
              <w:pStyle w:val="Compact"/>
              <w:jc w:val="left"/>
            </w:pPr>
            <w:r>
              <w:t xml:space="preserve">Secret Manager</w:t>
            </w:r>
          </w:p>
        </w:tc>
        <w:tc>
          <w:tcPr/>
          <w:p>
            <w:pPr>
              <w:pStyle w:val="Compact"/>
              <w:jc w:val="left"/>
            </w:pPr>
            <w:r>
              <w:t xml:space="preserve">Six secrets</w:t>
            </w:r>
          </w:p>
        </w:tc>
        <w:tc>
          <w:tcPr/>
          <w:p>
            <w:pPr>
              <w:pStyle w:val="Compact"/>
              <w:jc w:val="left"/>
            </w:pPr>
            <w:r>
              <w:t xml:space="preserve">Under £1</w:t>
            </w:r>
          </w:p>
        </w:tc>
      </w:tr>
      <w:tr>
        <w:tc>
          <w:tcPr/>
          <w:p>
            <w:pPr>
              <w:pStyle w:val="Compact"/>
              <w:jc w:val="left"/>
            </w:pPr>
            <w:r>
              <w:t xml:space="preserve">Artifact Registry</w:t>
            </w:r>
          </w:p>
        </w:tc>
        <w:tc>
          <w:tcPr/>
          <w:p>
            <w:pPr>
              <w:pStyle w:val="Compact"/>
              <w:jc w:val="left"/>
            </w:pPr>
            <w:r>
              <w:t xml:space="preserve">Approximately 5 GiB of images</w:t>
            </w:r>
          </w:p>
        </w:tc>
        <w:tc>
          <w:tcPr/>
          <w:p>
            <w:pPr>
              <w:pStyle w:val="Compact"/>
              <w:jc w:val="left"/>
            </w:pPr>
            <w:r>
              <w:t xml:space="preserve">£1</w:t>
            </w:r>
          </w:p>
        </w:tc>
      </w:tr>
      <w:tr>
        <w:tc>
          <w:tcPr/>
          <w:p>
            <w:pPr>
              <w:pStyle w:val="Compact"/>
              <w:jc w:val="left"/>
            </w:pPr>
            <w:r>
              <w:t xml:space="preserve">Firestore</w:t>
            </w:r>
          </w:p>
        </w:tc>
        <w:tc>
          <w:tcPr/>
          <w:p>
            <w:pPr>
              <w:pStyle w:val="Compact"/>
              <w:jc w:val="left"/>
            </w:pPr>
            <w:r>
              <w:t xml:space="preserve">Session, job and idempotency documents at platform request volume</w:t>
            </w:r>
          </w:p>
        </w:tc>
        <w:tc>
          <w:tcPr/>
          <w:p>
            <w:pPr>
              <w:pStyle w:val="Compact"/>
              <w:jc w:val="left"/>
            </w:pPr>
            <w:r>
              <w:t xml:space="preserve">£3</w:t>
            </w:r>
          </w:p>
        </w:tc>
      </w:tr>
      <w:tr>
        <w:tc>
          <w:tcPr/>
          <w:p>
            <w:pPr>
              <w:pStyle w:val="Compact"/>
              <w:jc w:val="left"/>
            </w:pPr>
            <w:r>
              <w:t xml:space="preserve">Cloud Logging and Monitoring</w:t>
            </w:r>
          </w:p>
        </w:tc>
        <w:tc>
          <w:tcPr/>
          <w:p>
            <w:pPr>
              <w:pStyle w:val="Compact"/>
              <w:jc w:val="left"/>
            </w:pPr>
            <w:r>
              <w:t xml:space="preserve">400-day retention on the user-defined bucket, chargeable beyond the 30-day free allowance</w:t>
            </w:r>
          </w:p>
        </w:tc>
        <w:tc>
          <w:tcPr/>
          <w:p>
            <w:pPr>
              <w:pStyle w:val="Compact"/>
              <w:jc w:val="left"/>
            </w:pPr>
            <w:r>
              <w:t xml:space="preserve">£25</w:t>
            </w:r>
          </w:p>
        </w:tc>
      </w:tr>
      <w:tr>
        <w:tc>
          <w:tcPr/>
          <w:p>
            <w:pPr>
              <w:pStyle w:val="Compact"/>
              <w:jc w:val="left"/>
            </w:pPr>
            <w:r>
              <w:rPr>
                <w:b/>
                <w:bCs/>
              </w:rPr>
              <w:t xml:space="preserve">Indicative total, per environment</w:t>
            </w:r>
          </w:p>
        </w:tc>
        <w:tc>
          <w:tcPr/>
          <w:p>
            <w:pPr>
              <w:pStyle w:val="Compact"/>
            </w:pPr>
          </w:p>
        </w:tc>
        <w:tc>
          <w:tcPr/>
          <w:p>
            <w:pPr>
              <w:pStyle w:val="Compact"/>
              <w:jc w:val="left"/>
            </w:pPr>
            <w:r>
              <w:rPr>
                <w:b/>
                <w:bCs/>
              </w:rPr>
              <w:t xml:space="preserve">Approximately £90</w:t>
            </w:r>
          </w:p>
        </w:tc>
      </w:tr>
    </w:tbl>
    <w:p>
      <w:pPr>
        <w:pStyle w:val="BodyText"/>
      </w:pPr>
      <w:r>
        <w:t xml:space="preserve">Three cost lines are deliberately excluded from the table above because they dominate it and are modelled separately:</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Excluded line</w:t>
            </w:r>
          </w:p>
        </w:tc>
        <w:tc>
          <w:tcPr>
            <w:shd w:val="clear" w:color="auto" w:fill="1F3864"/>
          </w:tcPr>
          <w:p>
            <w:pPr>
              <w:pStyle w:val="Compact"/>
              <w:jc w:val="left"/>
            </w:pPr>
            <w:r>
              <w:rPr>
                <w:b/>
                <w:color w:val="FFFFFF"/>
              </w:rPr>
              <w:t xml:space="preserve">Where it is modelled</w:t>
            </w:r>
          </w:p>
        </w:tc>
      </w:tr>
      <w:tr>
        <w:tc>
          <w:tcPr/>
          <w:p>
            <w:pPr>
              <w:pStyle w:val="Compact"/>
              <w:jc w:val="left"/>
            </w:pPr>
            <w:r>
              <w:t xml:space="preserve">Apigee organisation, instance and the Intermediate</w:t>
            </w:r>
            <w:r>
              <w:t xml:space="preserve"> </w:t>
            </w:r>
            <w:r>
              <w:rPr>
                <w:rStyle w:val="VerbatimChar"/>
              </w:rPr>
              <w:t xml:space="preserve">llm</w:t>
            </w:r>
            <w:r>
              <w:t xml:space="preserve"> </w:t>
            </w:r>
            <w:r>
              <w:t xml:space="preserve">environment</w:t>
            </w:r>
          </w:p>
        </w:tc>
        <w:tc>
          <w:tcPr/>
          <w:p>
            <w:pPr>
              <w:pStyle w:val="Compact"/>
              <w:jc w:val="left"/>
            </w:pPr>
            <w:r>
              <w:t xml:space="preserve">P13 (Apigee licence entitlement and cost model). This is the largest single line on the platform</w:t>
            </w:r>
          </w:p>
        </w:tc>
      </w:tr>
      <w:tr>
        <w:tc>
          <w:tcPr/>
          <w:p>
            <w:pPr>
              <w:pStyle w:val="Compact"/>
              <w:jc w:val="left"/>
            </w:pPr>
            <w:r>
              <w:t xml:space="preserve">Vertex AI model consumption</w:t>
            </w:r>
          </w:p>
        </w:tc>
        <w:tc>
          <w:tcPr/>
          <w:p>
            <w:pPr>
              <w:pStyle w:val="Compact"/>
              <w:jc w:val="left"/>
            </w:pPr>
            <w:r>
              <w:t xml:space="preserve">Bounded per user by</w:t>
            </w:r>
            <w:r>
              <w:t xml:space="preserve"> </w:t>
            </w:r>
            <w:r>
              <w:rPr>
                <w:rStyle w:val="VerbatimChar"/>
              </w:rPr>
              <w:t xml:space="preserve">LLMTokenQuota</w:t>
            </w:r>
            <w:r>
              <w:t xml:space="preserve">, per</w:t>
            </w:r>
            <w:r>
              <w:t xml:space="preserve"> </w:t>
            </w:r>
            <w:r>
              <w:rPr>
                <w:b/>
                <w:bCs/>
              </w:rPr>
              <w:t xml:space="preserve">Token quota and cost attribution</w:t>
            </w:r>
            <w:r>
              <w:t xml:space="preserve">. Actual spend is a function of adoption, not of infrastructure</w:t>
            </w:r>
          </w:p>
        </w:tc>
      </w:tr>
      <w:tr>
        <w:tc>
          <w:tcPr/>
          <w:p>
            <w:pPr>
              <w:pStyle w:val="Compact"/>
              <w:jc w:val="left"/>
            </w:pPr>
            <w:r>
              <w:t xml:space="preserve">Vector Search index serving</w:t>
            </w:r>
          </w:p>
        </w:tc>
        <w:tc>
          <w:tcPr/>
          <w:p>
            <w:pPr>
              <w:pStyle w:val="Compact"/>
              <w:jc w:val="left"/>
            </w:pPr>
            <w:r>
              <w:t xml:space="preserve">A function of index size and replica count, with a minimum of two replicas per PR-18 (Vector Search availability)</w:t>
            </w:r>
          </w:p>
        </w:tc>
      </w:tr>
    </w:tbl>
    <w:p>
      <w:pPr>
        <w:pStyle w:val="BodyText"/>
      </w:pPr>
      <w:r>
        <w:t xml:space="preserve">The logging line is the figure most likely to require re-basing against observed volume, and is reviewed after the first full month of operation.</w:t>
      </w:r>
    </w:p>
    <w:bookmarkEnd w:id="249"/>
    <w:bookmarkStart w:id="250" w:name="chargeback"/>
    <w:p>
      <w:pPr>
        <w:pStyle w:val="Heading3"/>
      </w:pPr>
      <w:r>
        <w:t xml:space="preserve">11.4.3 Chargeback</w:t>
      </w:r>
    </w:p>
    <w:p>
      <w:pPr>
        <w:pStyle w:val="FirstParagraph"/>
      </w:pPr>
      <w:r>
        <w:t xml:space="preserve">Token consumption is attributable per user and per business unit, per</w:t>
      </w:r>
      <w:r>
        <w:t xml:space="preserve"> </w:t>
      </w:r>
      <w:r>
        <w:rPr>
          <w:b/>
          <w:bCs/>
        </w:rPr>
        <w:t xml:space="preserve">Token quota and cost attribution</w:t>
      </w:r>
      <w:r>
        <w:t xml:space="preserve">, and is the input to chargeback. The chargeback process itself is not yet defined: the monthly reporting owner, the unit rate, the reconciliation against the Vertex AI invoice, and the alert on Extensible-proxy call volume all remain outstanding. Billing budgets and cost attribution are accountable to the Colt Cloud CoE, per</w:t>
      </w:r>
      <w:r>
        <w:t xml:space="preserve"> </w:t>
      </w:r>
      <w:r>
        <w:rPr>
          <w:b/>
          <w:bCs/>
        </w:rPr>
        <w:t xml:space="preserve">RACI — roles and responsibilities</w:t>
      </w:r>
      <w:r>
        <w:t xml:space="preserve">.</w:t>
      </w:r>
    </w:p>
    <w:p>
      <w:r>
        <w:pict>
          <v:rect style="width:0;height:1.5pt" o:hralign="center" o:hrstd="t" o:hr="t"/>
        </w:pict>
      </w:r>
    </w:p>
    <w:bookmarkEnd w:id="250"/>
    <w:bookmarkEnd w:id="251"/>
    <w:bookmarkEnd w:id="252"/>
    <w:bookmarkStart w:id="272" w:name="devops-infrastructure-as-code-and-cicd"/>
    <w:p>
      <w:pPr>
        <w:pStyle w:val="Heading1"/>
      </w:pPr>
      <w:r>
        <w:t xml:space="preserve">12. DevOps — Infrastructure as Code and CI/CD</w:t>
      </w:r>
    </w:p>
    <w:bookmarkStart w:id="253" w:name="toolchain"/>
    <w:p>
      <w:pPr>
        <w:pStyle w:val="Heading2"/>
      </w:pPr>
      <w:r>
        <w:t xml:space="preserve">12.1 Toolchain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Tool</w:t>
            </w:r>
          </w:p>
        </w:tc>
        <w:tc>
          <w:tcPr>
            <w:shd w:val="clear" w:color="auto" w:fill="1F3864"/>
          </w:tcPr>
          <w:p>
            <w:pPr>
              <w:pStyle w:val="Compact"/>
              <w:jc w:val="left"/>
            </w:pPr>
            <w:r>
              <w:rPr>
                <w:b/>
                <w:color w:val="FFFFFF"/>
              </w:rPr>
              <w:t xml:space="preserve">Role</w:t>
            </w:r>
          </w:p>
        </w:tc>
        <w:tc>
          <w:tcPr>
            <w:shd w:val="clear" w:color="auto" w:fill="1F3864"/>
          </w:tcPr>
          <w:p>
            <w:pPr>
              <w:pStyle w:val="Compact"/>
              <w:jc w:val="left"/>
            </w:pPr>
            <w:r>
              <w:rPr>
                <w:b/>
                <w:color w:val="FFFFFF"/>
              </w:rPr>
              <w:t xml:space="preserve">Version or setting</w:t>
            </w:r>
          </w:p>
        </w:tc>
      </w:tr>
      <w:tr>
        <w:tc>
          <w:tcPr/>
          <w:p>
            <w:pPr>
              <w:pStyle w:val="Compact"/>
              <w:jc w:val="left"/>
            </w:pPr>
            <w:r>
              <w:t xml:space="preserve">Terraform</w:t>
            </w:r>
          </w:p>
        </w:tc>
        <w:tc>
          <w:tcPr/>
          <w:p>
            <w:pPr>
              <w:pStyle w:val="Compact"/>
              <w:jc w:val="left"/>
            </w:pPr>
            <w:r>
              <w:t xml:space="preserve">Infrastructure provisioning</w:t>
            </w:r>
          </w:p>
        </w:tc>
        <w:tc>
          <w:tcPr/>
          <w:p>
            <w:pPr>
              <w:pStyle w:val="Compact"/>
              <w:jc w:val="left"/>
            </w:pPr>
            <w:r>
              <w:rPr>
                <w:rStyle w:val="VerbatimChar"/>
              </w:rPr>
              <w:t xml:space="preserve">~&gt; 1.15.0</w:t>
            </w:r>
          </w:p>
        </w:tc>
      </w:tr>
      <w:tr>
        <w:tc>
          <w:tcPr/>
          <w:p>
            <w:pPr>
              <w:pStyle w:val="Compact"/>
              <w:jc w:val="left"/>
            </w:pPr>
            <w:r>
              <w:t xml:space="preserve">Google provider</w:t>
            </w:r>
          </w:p>
        </w:tc>
        <w:tc>
          <w:tcPr/>
          <w:p>
            <w:pPr>
              <w:pStyle w:val="Compact"/>
              <w:jc w:val="left"/>
            </w:pPr>
            <w:r>
              <w:t xml:space="preserve">GCP resource management</w:t>
            </w:r>
          </w:p>
        </w:tc>
        <w:tc>
          <w:tcPr/>
          <w:p>
            <w:pPr>
              <w:pStyle w:val="Compact"/>
              <w:jc w:val="left"/>
            </w:pPr>
            <w:r>
              <w:rPr>
                <w:rStyle w:val="VerbatimChar"/>
              </w:rPr>
              <w:t xml:space="preserve">7.39.0</w:t>
            </w:r>
          </w:p>
        </w:tc>
      </w:tr>
      <w:tr>
        <w:tc>
          <w:tcPr/>
          <w:p>
            <w:pPr>
              <w:pStyle w:val="Compact"/>
              <w:jc w:val="left"/>
            </w:pPr>
            <w:r>
              <w:t xml:space="preserve">GitLab CI</w:t>
            </w:r>
          </w:p>
        </w:tc>
        <w:tc>
          <w:tcPr/>
          <w:p>
            <w:pPr>
              <w:pStyle w:val="Compact"/>
              <w:jc w:val="left"/>
            </w:pPr>
            <w:r>
              <w:t xml:space="preserve">Pipeline orchestration</w:t>
            </w:r>
          </w:p>
        </w:tc>
        <w:tc>
          <w:tcPr/>
          <w:p>
            <w:pPr>
              <w:pStyle w:val="Compact"/>
              <w:jc w:val="left"/>
            </w:pPr>
            <w:r>
              <w:t xml:space="preserve">—</w:t>
            </w:r>
          </w:p>
        </w:tc>
      </w:tr>
      <w:tr>
        <w:tc>
          <w:tcPr/>
          <w:p>
            <w:pPr>
              <w:pStyle w:val="Compact"/>
              <w:jc w:val="left"/>
            </w:pPr>
            <w:r>
              <w:t xml:space="preserve">Cloud Storage</w:t>
            </w:r>
          </w:p>
        </w:tc>
        <w:tc>
          <w:tcPr/>
          <w:p>
            <w:pPr>
              <w:pStyle w:val="Compact"/>
              <w:jc w:val="left"/>
            </w:pPr>
            <w:r>
              <w:t xml:space="preserve">Remote Terraform state, one bucket</w:t>
            </w:r>
          </w:p>
        </w:tc>
        <w:tc>
          <w:tcPr/>
          <w:p>
            <w:pPr>
              <w:pStyle w:val="Compact"/>
              <w:jc w:val="left"/>
            </w:pPr>
            <w:r>
              <w:t xml:space="preserve">CMEK, versioned, per</w:t>
            </w:r>
            <w:r>
              <w:t xml:space="preserve"> </w:t>
            </w:r>
            <w:r>
              <w:rPr>
                <w:b/>
                <w:bCs/>
              </w:rPr>
              <w:t xml:space="preserve">Terraform state management</w:t>
            </w:r>
          </w:p>
        </w:tc>
      </w:tr>
      <w:tr>
        <w:tc>
          <w:tcPr/>
          <w:p>
            <w:pPr>
              <w:pStyle w:val="Compact"/>
              <w:jc w:val="left"/>
            </w:pPr>
            <w:r>
              <w:rPr>
                <w:rStyle w:val="VerbatimChar"/>
              </w:rPr>
              <w:t xml:space="preserve">apigeecli</w:t>
            </w:r>
          </w:p>
        </w:tc>
        <w:tc>
          <w:tcPr/>
          <w:p>
            <w:pPr>
              <w:pStyle w:val="Compact"/>
              <w:jc w:val="left"/>
            </w:pPr>
            <w:r>
              <w:t xml:space="preserve">Apigee proxy bundle, API Product and key value map deployment</w:t>
            </w:r>
          </w:p>
        </w:tc>
        <w:tc>
          <w:tcPr/>
          <w:p>
            <w:pPr>
              <w:pStyle w:val="Compact"/>
              <w:jc w:val="left"/>
            </w:pPr>
            <w:r>
              <w:t xml:space="preserve">Scripted, not Terraform</w:t>
            </w:r>
          </w:p>
        </w:tc>
      </w:tr>
    </w:tbl>
    <w:p>
      <w:pPr>
        <w:pStyle w:val="BodyText"/>
      </w:pPr>
      <w:r>
        <w:t xml:space="preserve">Version pinning is what makes a build reproducible: two applies of the same commit against the same pinned tool versions produce the same plan. This satisfies TR-15 (infrastructure defined in Terraform and deployed through CI/CD, with a documented cross-project apply order).</w:t>
      </w:r>
    </w:p>
    <w:bookmarkEnd w:id="253"/>
    <w:bookmarkStart w:id="257" w:name="terraform-stage-model"/>
    <w:p>
      <w:pPr>
        <w:pStyle w:val="Heading2"/>
      </w:pPr>
      <w:r>
        <w:t xml:space="preserve">12.2 Terraform stage model</w:t>
      </w:r>
    </w:p>
    <w:p>
      <w:pPr>
        <w:pStyle w:val="FirstParagraph"/>
      </w:pPr>
      <w:r>
        <w:t xml:space="preserve">Every Terraform-managed resource on the platform is organised into</w:t>
      </w:r>
      <w:r>
        <w:t xml:space="preserve"> </w:t>
      </w:r>
      <w:r>
        <w:rPr>
          <w:b/>
          <w:bCs/>
        </w:rPr>
        <w:t xml:space="preserve">ten numbered stages</w:t>
      </w:r>
      <w:r>
        <w:t xml:space="preserve">, one state file per stage, rather than a smaller set of named layers. The stage number is the apply order.</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Stage</w:t>
            </w:r>
          </w:p>
        </w:tc>
        <w:tc>
          <w:tcPr>
            <w:shd w:val="clear" w:color="auto" w:fill="1F3864"/>
          </w:tcPr>
          <w:p>
            <w:pPr>
              <w:pStyle w:val="Compact"/>
              <w:jc w:val="left"/>
            </w:pPr>
            <w:r>
              <w:rPr>
                <w:b/>
                <w:color w:val="FFFFFF"/>
              </w:rPr>
              <w:t xml:space="preserve">Contains</w:t>
            </w:r>
          </w:p>
        </w:tc>
        <w:tc>
          <w:tcPr>
            <w:shd w:val="clear" w:color="auto" w:fill="1F3864"/>
          </w:tcPr>
          <w:p>
            <w:pPr>
              <w:pStyle w:val="Compact"/>
              <w:jc w:val="left"/>
            </w:pPr>
            <w:r>
              <w:rPr>
                <w:b/>
                <w:color w:val="FFFFFF"/>
              </w:rPr>
              <w:t xml:space="preserve">Applies to</w:t>
            </w:r>
          </w:p>
        </w:tc>
        <w:tc>
          <w:tcPr>
            <w:shd w:val="clear" w:color="auto" w:fill="1F3864"/>
          </w:tcPr>
          <w:p>
            <w:pPr>
              <w:pStyle w:val="Compact"/>
              <w:jc w:val="left"/>
            </w:pPr>
            <w:r>
              <w:rPr>
                <w:b/>
                <w:color w:val="FFFFFF"/>
              </w:rPr>
              <w:t xml:space="preserve">Trigger</w:t>
            </w:r>
          </w:p>
        </w:tc>
      </w:tr>
      <w:tr>
        <w:tc>
          <w:tcPr/>
          <w:p>
            <w:pPr>
              <w:pStyle w:val="Compact"/>
              <w:jc w:val="left"/>
            </w:pPr>
            <w:r>
              <w:rPr>
                <w:rStyle w:val="VerbatimChar"/>
              </w:rPr>
              <w:t xml:space="preserve">0-bootstrap</w:t>
            </w:r>
          </w:p>
        </w:tc>
        <w:tc>
          <w:tcPr/>
          <w:p>
            <w:pPr>
              <w:pStyle w:val="Compact"/>
              <w:jc w:val="left"/>
            </w:pPr>
            <w:r>
              <w:t xml:space="preserve">Manual, once: the Terraform state bucket (CMEK, versioned,</w:t>
            </w:r>
            <w:r>
              <w:t xml:space="preserve"> </w:t>
            </w:r>
            <w:r>
              <w:rPr>
                <w:rStyle w:val="VerbatimChar"/>
              </w:rPr>
              <w:t xml:space="preserve">prevent_destroy</w:t>
            </w:r>
            <w:r>
              <w:t xml:space="preserve">), the GitLab Workload Identity Federation pool and provider, one</w:t>
            </w:r>
            <w:r>
              <w:t xml:space="preserve"> </w:t>
            </w:r>
            <w:r>
              <w:rPr>
                <w:rStyle w:val="VerbatimChar"/>
              </w:rPr>
              <w:t xml:space="preserve">tf-deployer</w:t>
            </w:r>
            <w:r>
              <w:t xml:space="preserve"> </w:t>
            </w:r>
            <w:r>
              <w:t xml:space="preserve">service account per project</w:t>
            </w:r>
          </w:p>
        </w:tc>
        <w:tc>
          <w:tcPr/>
          <w:p>
            <w:pPr>
              <w:pStyle w:val="Compact"/>
              <w:jc w:val="left"/>
            </w:pPr>
            <w:r>
              <w:rPr>
                <w:rStyle w:val="VerbatimChar"/>
              </w:rPr>
              <w:t xml:space="preserve">sharedwif</w:t>
            </w:r>
            <w:r>
              <w:t xml:space="preserve"> </w:t>
            </w:r>
            <w:r>
              <w:t xml:space="preserve">— the seed project</w:t>
            </w:r>
          </w:p>
        </w:tc>
        <w:tc>
          <w:tcPr/>
          <w:p>
            <w:pPr>
              <w:pStyle w:val="Compact"/>
              <w:jc w:val="left"/>
            </w:pPr>
            <w:r>
              <w:t xml:space="preserve">Run by hand, never from the pipeline</w:t>
            </w:r>
          </w:p>
        </w:tc>
      </w:tr>
      <w:tr>
        <w:tc>
          <w:tcPr/>
          <w:p>
            <w:pPr>
              <w:pStyle w:val="Compact"/>
              <w:jc w:val="left"/>
            </w:pPr>
            <w:r>
              <w:rPr>
                <w:rStyle w:val="VerbatimChar"/>
              </w:rPr>
              <w:t xml:space="preserve">1-org</w:t>
            </w:r>
          </w:p>
        </w:tc>
        <w:tc>
          <w:tcPr/>
          <w:p>
            <w:pPr>
              <w:pStyle w:val="Compact"/>
              <w:jc w:val="left"/>
            </w:pPr>
            <w:r>
              <w:t xml:space="preserve">A read-only lookup of the existing project estate. Publishes each project’s identifier and number for downstream stages. Creates no project and defines no organisation-policy resource — see</w:t>
            </w:r>
            <w:r>
              <w:t xml:space="preserve"> </w:t>
            </w:r>
            <w:r>
              <w:rPr>
                <w:b/>
                <w:bCs/>
              </w:rPr>
              <w:t xml:space="preserve">Stage</w:t>
            </w:r>
            <w:r>
              <w:rPr>
                <w:b/>
                <w:bCs/>
              </w:rPr>
              <w:t xml:space="preserve"> </w:t>
            </w:r>
            <w:r>
              <w:rPr>
                <w:rStyle w:val="VerbatimChar"/>
                <w:b/>
                <w:bCs/>
              </w:rPr>
              <w:t xml:space="preserve">1-org</w:t>
            </w:r>
            <w:r>
              <w:rPr>
                <w:b/>
                <w:bCs/>
              </w:rPr>
              <w:t xml:space="preserve"> </w:t>
            </w:r>
            <w:r>
              <w:rPr>
                <w:b/>
                <w:bCs/>
              </w:rPr>
              <w:t xml:space="preserve">scope</w:t>
            </w:r>
            <w:r>
              <w:t xml:space="preserve"> </w:t>
            </w:r>
            <w:r>
              <w:t xml:space="preserve">below</w:t>
            </w:r>
          </w:p>
        </w:tc>
        <w:tc>
          <w:tcPr/>
          <w:p>
            <w:pPr>
              <w:pStyle w:val="Compact"/>
              <w:jc w:val="left"/>
            </w:pPr>
            <w:r>
              <w:rPr>
                <w:rStyle w:val="VerbatimChar"/>
              </w:rPr>
              <w:t xml:space="preserve">sharedwif</w:t>
            </w:r>
          </w:p>
        </w:tc>
        <w:tc>
          <w:tcPr/>
          <w:p>
            <w:pPr>
              <w:pStyle w:val="Compact"/>
              <w:jc w:val="left"/>
            </w:pPr>
            <w:r>
              <w:t xml:space="preserve">Pipeline, on a change to stage inputs</w:t>
            </w:r>
          </w:p>
        </w:tc>
      </w:tr>
      <w:tr>
        <w:tc>
          <w:tcPr/>
          <w:p>
            <w:pPr>
              <w:pStyle w:val="Compact"/>
              <w:jc w:val="left"/>
            </w:pPr>
            <w:r>
              <w:rPr>
                <w:rStyle w:val="VerbatimChar"/>
              </w:rPr>
              <w:t xml:space="preserve">2-foundations</w:t>
            </w:r>
          </w:p>
        </w:tc>
        <w:tc>
          <w:tcPr/>
          <w:p>
            <w:pPr>
              <w:pStyle w:val="Compact"/>
              <w:jc w:val="left"/>
            </w:pPr>
            <w:r>
              <w:t xml:space="preserve">Per-project API enablement, forced service agents (per</w:t>
            </w:r>
            <w:r>
              <w:t xml:space="preserve"> </w:t>
            </w:r>
            <w:r>
              <w:rPr>
                <w:b/>
                <w:bCs/>
              </w:rPr>
              <w:t xml:space="preserve">Service agent creation order</w:t>
            </w:r>
            <w:r>
              <w:t xml:space="preserve">), Cloud KMS key rings and keys, Artifact Registry repositories, log buckets and sinks</w:t>
            </w:r>
          </w:p>
        </w:tc>
        <w:tc>
          <w:tcPr/>
          <w:p>
            <w:pPr>
              <w:pStyle w:val="Compact"/>
              <w:jc w:val="left"/>
            </w:pPr>
            <w:r>
              <w:t xml:space="preserve">Every project</w:t>
            </w:r>
          </w:p>
        </w:tc>
        <w:tc>
          <w:tcPr/>
          <w:p>
            <w:pPr>
              <w:pStyle w:val="Compact"/>
              <w:jc w:val="left"/>
            </w:pPr>
            <w:r>
              <w:t xml:space="preserve">Pipeline, needs stage</w:t>
            </w:r>
            <w:r>
              <w:t xml:space="preserve"> </w:t>
            </w:r>
            <w:r>
              <w:rPr>
                <w:rStyle w:val="VerbatimChar"/>
              </w:rPr>
              <w:t xml:space="preserve">1-org</w:t>
            </w:r>
          </w:p>
        </w:tc>
      </w:tr>
      <w:tr>
        <w:tc>
          <w:tcPr/>
          <w:p>
            <w:pPr>
              <w:pStyle w:val="Compact"/>
              <w:jc w:val="left"/>
            </w:pPr>
            <w:r>
              <w:rPr>
                <w:rStyle w:val="VerbatimChar"/>
              </w:rPr>
              <w:t xml:space="preserve">3-network</w:t>
            </w:r>
          </w:p>
        </w:tc>
        <w:tc>
          <w:tcPr/>
          <w:p>
            <w:pPr>
              <w:pStyle w:val="Compact"/>
              <w:jc w:val="left"/>
            </w:pPr>
            <w:r>
              <w:t xml:space="preserve">The VPC, subnets, firewall rules, the private DNS zone and its records, and Shared VPC host and service-project attachments</w:t>
            </w:r>
          </w:p>
        </w:tc>
        <w:tc>
          <w:tcPr/>
          <w:p>
            <w:pPr>
              <w:pStyle w:val="Compact"/>
              <w:jc w:val="left"/>
            </w:pPr>
            <w:r>
              <w:rPr>
                <w:rStyle w:val="VerbatimChar"/>
              </w:rPr>
              <w:t xml:space="preserve">network</w:t>
            </w:r>
            <w:r>
              <w:t xml:space="preserve">;</w:t>
            </w:r>
            <w:r>
              <w:t xml:space="preserve"> </w:t>
            </w:r>
            <w:r>
              <w:rPr>
                <w:rStyle w:val="VerbatimChar"/>
              </w:rPr>
              <w:t xml:space="preserve">aicoesandox</w:t>
            </w:r>
            <w:r>
              <w:t xml:space="preserve"> </w:t>
            </w:r>
            <w:r>
              <w:t xml:space="preserve">in Sandbox</w:t>
            </w:r>
          </w:p>
        </w:tc>
        <w:tc>
          <w:tcPr/>
          <w:p>
            <w:pPr>
              <w:pStyle w:val="Compact"/>
              <w:jc w:val="left"/>
            </w:pPr>
            <w:r>
              <w:t xml:space="preserve">Pipeline, needs stage</w:t>
            </w:r>
            <w:r>
              <w:t xml:space="preserve"> </w:t>
            </w:r>
            <w:r>
              <w:rPr>
                <w:rStyle w:val="VerbatimChar"/>
              </w:rPr>
              <w:t xml:space="preserve">2-foundations</w:t>
            </w:r>
          </w:p>
        </w:tc>
      </w:tr>
      <w:tr>
        <w:tc>
          <w:tcPr/>
          <w:p>
            <w:pPr>
              <w:pStyle w:val="Compact"/>
              <w:jc w:val="left"/>
            </w:pPr>
            <w:r>
              <w:rPr>
                <w:rStyle w:val="VerbatimChar"/>
              </w:rPr>
              <w:t xml:space="preserve">4-apigee</w:t>
            </w:r>
          </w:p>
        </w:tc>
        <w:tc>
          <w:tcPr/>
          <w:p>
            <w:pPr>
              <w:pStyle w:val="Compact"/>
              <w:jc w:val="left"/>
            </w:pPr>
            <w:r>
              <w:t xml:space="preserve">Manual gate, 30 to 60 minutes elapsed. The Apigee organisation, instance, both environments and both environment groups. Five provisioning-time settings are fixed at this stage, per Immutable and expensive-to-reverse decisions in</w:t>
            </w:r>
            <w:r>
              <w:t xml:space="preserve"> </w:t>
            </w:r>
            <w:r>
              <w:rPr>
                <w:b/>
                <w:bCs/>
              </w:rPr>
              <w:t xml:space="preserve">Design Objectives, Scope and Constraints</w:t>
            </w:r>
          </w:p>
        </w:tc>
        <w:tc>
          <w:tcPr/>
          <w:p>
            <w:pPr>
              <w:pStyle w:val="Compact"/>
              <w:jc w:val="left"/>
            </w:pPr>
            <w:r>
              <w:rPr>
                <w:rStyle w:val="VerbatimChar"/>
              </w:rPr>
              <w:t xml:space="preserve">apigee</w:t>
            </w:r>
          </w:p>
        </w:tc>
        <w:tc>
          <w:tcPr/>
          <w:p>
            <w:pPr>
              <w:pStyle w:val="Compact"/>
              <w:jc w:val="left"/>
            </w:pPr>
            <w:r>
              <w:t xml:space="preserve">Pipeline, manual, needs stages</w:t>
            </w:r>
            <w:r>
              <w:t xml:space="preserve"> </w:t>
            </w:r>
            <w:r>
              <w:rPr>
                <w:rStyle w:val="VerbatimChar"/>
              </w:rPr>
              <w:t xml:space="preserve">2-foundations</w:t>
            </w:r>
            <w:r>
              <w:t xml:space="preserve"> </w:t>
            </w:r>
            <w:r>
              <w:t xml:space="preserve">and</w:t>
            </w:r>
            <w:r>
              <w:t xml:space="preserve"> </w:t>
            </w:r>
            <w:r>
              <w:rPr>
                <w:rStyle w:val="VerbatimChar"/>
              </w:rPr>
              <w:t xml:space="preserve">3-network</w:t>
            </w:r>
          </w:p>
        </w:tc>
      </w:tr>
      <w:tr>
        <w:tc>
          <w:tcPr/>
          <w:p>
            <w:pPr>
              <w:pStyle w:val="Compact"/>
              <w:jc w:val="left"/>
            </w:pPr>
            <w:r>
              <w:rPr>
                <w:rStyle w:val="VerbatimChar"/>
              </w:rPr>
              <w:t xml:space="preserve">5-network-psc</w:t>
            </w:r>
          </w:p>
        </w:tc>
        <w:tc>
          <w:tcPr/>
          <w:p>
            <w:pPr>
              <w:pStyle w:val="Compact"/>
              <w:jc w:val="left"/>
            </w:pPr>
            <w:r>
              <w:t xml:space="preserve">Private Service Connect to Google APIs (global) and to Apigee (regional, consuming stage</w:t>
            </w:r>
            <w:r>
              <w:t xml:space="preserve"> </w:t>
            </w:r>
            <w:r>
              <w:rPr>
                <w:rStyle w:val="VerbatimChar"/>
              </w:rPr>
              <w:t xml:space="preserve">4</w:t>
            </w:r>
            <w:r>
              <w:t xml:space="preserve">’s service attachment); the Apigee and Vertex AI private DNS records</w:t>
            </w:r>
          </w:p>
        </w:tc>
        <w:tc>
          <w:tcPr/>
          <w:p>
            <w:pPr>
              <w:pStyle w:val="Compact"/>
              <w:jc w:val="left"/>
            </w:pPr>
            <w:r>
              <w:rPr>
                <w:rStyle w:val="VerbatimChar"/>
              </w:rPr>
              <w:t xml:space="preserve">network</w:t>
            </w:r>
          </w:p>
        </w:tc>
        <w:tc>
          <w:tcPr/>
          <w:p>
            <w:pPr>
              <w:pStyle w:val="Compact"/>
              <w:jc w:val="left"/>
            </w:pPr>
            <w:r>
              <w:t xml:space="preserve">Pipeline, needs stages</w:t>
            </w:r>
            <w:r>
              <w:t xml:space="preserve"> </w:t>
            </w:r>
            <w:r>
              <w:rPr>
                <w:rStyle w:val="VerbatimChar"/>
              </w:rPr>
              <w:t xml:space="preserve">3-network</w:t>
            </w:r>
            <w:r>
              <w:t xml:space="preserve"> </w:t>
            </w:r>
            <w:r>
              <w:t xml:space="preserve">and</w:t>
            </w:r>
            <w:r>
              <w:t xml:space="preserve"> </w:t>
            </w:r>
            <w:r>
              <w:rPr>
                <w:rStyle w:val="VerbatimChar"/>
              </w:rPr>
              <w:t xml:space="preserve">4-apigee</w:t>
            </w:r>
          </w:p>
        </w:tc>
      </w:tr>
      <w:tr>
        <w:tc>
          <w:tcPr/>
          <w:p>
            <w:pPr>
              <w:pStyle w:val="Compact"/>
              <w:jc w:val="left"/>
            </w:pPr>
            <w:r>
              <w:rPr>
                <w:rStyle w:val="VerbatimChar"/>
              </w:rPr>
              <w:t xml:space="preserve">6-workloads</w:t>
            </w:r>
            <w:r>
              <w:t xml:space="preserve"> </w:t>
            </w:r>
            <w:r>
              <w:t xml:space="preserve">(</w:t>
            </w:r>
            <w:r>
              <w:rPr>
                <w:rStyle w:val="VerbatimChar"/>
              </w:rPr>
              <w:t xml:space="preserve">6a</w:t>
            </w:r>
            <w:r>
              <w:t xml:space="preserve"> </w:t>
            </w:r>
            <w:r>
              <w:t xml:space="preserve">/</w:t>
            </w:r>
            <w:r>
              <w:t xml:space="preserve"> </w:t>
            </w:r>
            <w:r>
              <w:rPr>
                <w:rStyle w:val="VerbatimChar"/>
              </w:rPr>
              <w:t xml:space="preserve">6b</w:t>
            </w:r>
            <w:r>
              <w:t xml:space="preserve">)</w:t>
            </w:r>
          </w:p>
        </w:tc>
        <w:tc>
          <w:tcPr/>
          <w:p>
            <w:pPr>
              <w:pStyle w:val="Compact"/>
              <w:jc w:val="left"/>
            </w:pPr>
            <w:r>
              <w:rPr>
                <w:rStyle w:val="VerbatimChar"/>
              </w:rPr>
              <w:t xml:space="preserve">6a</w:t>
            </w:r>
            <w:r>
              <w:t xml:space="preserve">: the Backend-for-Frontend’s backend service and the platform’s one Identity-Aware Proxy.</w:t>
            </w:r>
            <w:r>
              <w:t xml:space="preserve"> </w:t>
            </w:r>
            <w:r>
              <w:rPr>
                <w:rStyle w:val="VerbatimChar"/>
              </w:rPr>
              <w:t xml:space="preserve">6b</w:t>
            </w:r>
            <w:r>
              <w:t xml:space="preserve">: the usecase Cloud Run backend services, serverless NEGs and</w:t>
            </w:r>
            <w:r>
              <w:t xml:space="preserve"> </w:t>
            </w:r>
            <w:r>
              <w:rPr>
                <w:rStyle w:val="VerbatimChar"/>
              </w:rPr>
              <w:t xml:space="preserve">run.invoker</w:t>
            </w:r>
            <w:r>
              <w:t xml:space="preserve"> </w:t>
            </w:r>
            <w:r>
              <w:t xml:space="preserve">grants. The two run in parallel</w:t>
            </w:r>
          </w:p>
        </w:tc>
        <w:tc>
          <w:tcPr/>
          <w:p>
            <w:pPr>
              <w:pStyle w:val="Compact"/>
              <w:jc w:val="left"/>
            </w:pPr>
            <w:r>
              <w:rPr>
                <w:rStyle w:val="VerbatimChar"/>
              </w:rPr>
              <w:t xml:space="preserve">aihub-ui</w:t>
            </w:r>
            <w:r>
              <w:t xml:space="preserve"> </w:t>
            </w:r>
            <w:r>
              <w:t xml:space="preserve">(</w:t>
            </w:r>
            <w:r>
              <w:rPr>
                <w:rStyle w:val="VerbatimChar"/>
              </w:rPr>
              <w:t xml:space="preserve">6a</w:t>
            </w:r>
            <w:r>
              <w:t xml:space="preserve">);</w:t>
            </w:r>
            <w:r>
              <w:t xml:space="preserve"> </w:t>
            </w:r>
            <w:r>
              <w:rPr>
                <w:rStyle w:val="VerbatimChar"/>
              </w:rPr>
              <w:t xml:space="preserve">st</w:t>
            </w:r>
            <w:r>
              <w:t xml:space="preserve"> </w:t>
            </w:r>
            <w:r>
              <w:t xml:space="preserve">(</w:t>
            </w:r>
            <w:r>
              <w:rPr>
                <w:rStyle w:val="VerbatimChar"/>
              </w:rPr>
              <w:t xml:space="preserve">6b</w:t>
            </w:r>
            <w:r>
              <w:t xml:space="preserve">)</w:t>
            </w:r>
          </w:p>
        </w:tc>
        <w:tc>
          <w:tcPr/>
          <w:p>
            <w:pPr>
              <w:pStyle w:val="Compact"/>
              <w:jc w:val="left"/>
            </w:pPr>
            <w:r>
              <w:t xml:space="preserve">Pipeline, needs stage</w:t>
            </w:r>
            <w:r>
              <w:t xml:space="preserve"> </w:t>
            </w:r>
            <w:r>
              <w:rPr>
                <w:rStyle w:val="VerbatimChar"/>
              </w:rPr>
              <w:t xml:space="preserve">5-network-psc</w:t>
            </w:r>
          </w:p>
        </w:tc>
      </w:tr>
      <w:tr>
        <w:tc>
          <w:tcPr/>
          <w:p>
            <w:pPr>
              <w:pStyle w:val="Compact"/>
              <w:jc w:val="left"/>
            </w:pPr>
            <w:r>
              <w:rPr>
                <w:rStyle w:val="VerbatimChar"/>
              </w:rPr>
              <w:t xml:space="preserve">6c-ingress</w:t>
            </w:r>
          </w:p>
        </w:tc>
        <w:tc>
          <w:tcPr/>
          <w:p>
            <w:pPr>
              <w:pStyle w:val="Compact"/>
              <w:jc w:val="left"/>
            </w:pPr>
            <w:r>
              <w:t xml:space="preserve">The cross-project join: both load balancers’ front ends — addresses, URL maps referencing</w:t>
            </w:r>
            <w:r>
              <w:t xml:space="preserve"> </w:t>
            </w:r>
            <w:r>
              <w:rPr>
                <w:rStyle w:val="VerbatimChar"/>
              </w:rPr>
              <w:t xml:space="preserve">6a</w:t>
            </w:r>
            <w:r>
              <w:t xml:space="preserve">’s and</w:t>
            </w:r>
            <w:r>
              <w:t xml:space="preserve"> </w:t>
            </w:r>
            <w:r>
              <w:rPr>
                <w:rStyle w:val="VerbatimChar"/>
              </w:rPr>
              <w:t xml:space="preserve">6b</w:t>
            </w:r>
            <w:r>
              <w:t xml:space="preserve">’s backend services, forwarding rules, and the southbound service attachment to Apigee</w:t>
            </w:r>
          </w:p>
        </w:tc>
        <w:tc>
          <w:tcPr/>
          <w:p>
            <w:pPr>
              <w:pStyle w:val="Compact"/>
              <w:jc w:val="left"/>
            </w:pPr>
            <w:r>
              <w:rPr>
                <w:rStyle w:val="VerbatimChar"/>
              </w:rPr>
              <w:t xml:space="preserve">ingress</w:t>
            </w:r>
          </w:p>
        </w:tc>
        <w:tc>
          <w:tcPr/>
          <w:p>
            <w:pPr>
              <w:pStyle w:val="Compact"/>
              <w:jc w:val="left"/>
            </w:pPr>
            <w:r>
              <w:t xml:space="preserve">Pipeline, needs stage</w:t>
            </w:r>
            <w:r>
              <w:t xml:space="preserve"> </w:t>
            </w:r>
            <w:r>
              <w:rPr>
                <w:rStyle w:val="VerbatimChar"/>
              </w:rPr>
              <w:t xml:space="preserve">3-network</w:t>
            </w:r>
            <w:r>
              <w:t xml:space="preserve">,</w:t>
            </w:r>
            <w:r>
              <w:t xml:space="preserve"> </w:t>
            </w:r>
            <w:r>
              <w:rPr>
                <w:rStyle w:val="VerbatimChar"/>
              </w:rPr>
              <w:t xml:space="preserve">6a</w:t>
            </w:r>
            <w:r>
              <w:t xml:space="preserve"> </w:t>
            </w:r>
            <w:r>
              <w:t xml:space="preserve">and</w:t>
            </w:r>
            <w:r>
              <w:t xml:space="preserve"> </w:t>
            </w:r>
            <w:r>
              <w:rPr>
                <w:rStyle w:val="VerbatimChar"/>
              </w:rPr>
              <w:t xml:space="preserve">6b</w:t>
            </w:r>
          </w:p>
        </w:tc>
      </w:tr>
      <w:tr>
        <w:tc>
          <w:tcPr/>
          <w:p>
            <w:pPr>
              <w:pStyle w:val="Compact"/>
              <w:jc w:val="left"/>
            </w:pPr>
            <w:r>
              <w:rPr>
                <w:rStyle w:val="VerbatimChar"/>
              </w:rPr>
              <w:t xml:space="preserve">7-apigee-runtime</w:t>
            </w:r>
          </w:p>
        </w:tc>
        <w:tc>
          <w:tcPr/>
          <w:p>
            <w:pPr>
              <w:pStyle w:val="Compact"/>
              <w:jc w:val="left"/>
            </w:pPr>
            <w:r>
              <w:t xml:space="preserve">The southbound Apigee endpoint attachment — consuming</w:t>
            </w:r>
            <w:r>
              <w:t xml:space="preserve"> </w:t>
            </w:r>
            <w:r>
              <w:rPr>
                <w:rStyle w:val="VerbatimChar"/>
              </w:rPr>
              <w:t xml:space="preserve">6c</w:t>
            </w:r>
            <w:r>
              <w:t xml:space="preserve">’s service attachment, not stage</w:t>
            </w:r>
            <w:r>
              <w:t xml:space="preserve"> </w:t>
            </w:r>
            <w:r>
              <w:rPr>
                <w:rStyle w:val="VerbatimChar"/>
              </w:rPr>
              <w:t xml:space="preserve">5</w:t>
            </w:r>
            <w:r>
              <w:t xml:space="preserve">’s — and two empty key value map containers</w:t>
            </w:r>
          </w:p>
        </w:tc>
        <w:tc>
          <w:tcPr/>
          <w:p>
            <w:pPr>
              <w:pStyle w:val="Compact"/>
              <w:jc w:val="left"/>
            </w:pPr>
            <w:r>
              <w:rPr>
                <w:rStyle w:val="VerbatimChar"/>
              </w:rPr>
              <w:t xml:space="preserve">apigee</w:t>
            </w:r>
          </w:p>
        </w:tc>
        <w:tc>
          <w:tcPr/>
          <w:p>
            <w:pPr>
              <w:pStyle w:val="Compact"/>
              <w:jc w:val="left"/>
            </w:pPr>
            <w:r>
              <w:t xml:space="preserve">Pipeline, needs stages</w:t>
            </w:r>
            <w:r>
              <w:t xml:space="preserve"> </w:t>
            </w:r>
            <w:r>
              <w:rPr>
                <w:rStyle w:val="VerbatimChar"/>
              </w:rPr>
              <w:t xml:space="preserve">4-apigee</w:t>
            </w:r>
            <w:r>
              <w:t xml:space="preserve"> </w:t>
            </w:r>
            <w:r>
              <w:t xml:space="preserve">and</w:t>
            </w:r>
            <w:r>
              <w:t xml:space="preserve"> </w:t>
            </w:r>
            <w:r>
              <w:rPr>
                <w:rStyle w:val="VerbatimChar"/>
              </w:rPr>
              <w:t xml:space="preserve">6c-ingress</w:t>
            </w:r>
          </w:p>
        </w:tc>
      </w:tr>
      <w:tr>
        <w:tc>
          <w:tcPr/>
          <w:p>
            <w:pPr>
              <w:pStyle w:val="Compact"/>
              <w:jc w:val="left"/>
            </w:pPr>
            <w:r>
              <w:rPr>
                <w:rStyle w:val="VerbatimChar"/>
              </w:rPr>
              <w:t xml:space="preserve">proxies</w:t>
            </w:r>
          </w:p>
        </w:tc>
        <w:tc>
          <w:tcPr/>
          <w:p>
            <w:pPr>
              <w:pStyle w:val="Compact"/>
              <w:jc w:val="left"/>
            </w:pPr>
            <w:r>
              <w:t xml:space="preserve">Apigee proxy bundles, API Products and key value map values. Not Terraform — deployed by</w:t>
            </w:r>
            <w:r>
              <w:t xml:space="preserve"> </w:t>
            </w:r>
            <w:r>
              <w:rPr>
                <w:rStyle w:val="VerbatimChar"/>
              </w:rPr>
              <w:t xml:space="preserve">apigeecli</w:t>
            </w:r>
            <w:r>
              <w:t xml:space="preserve"> </w:t>
            </w:r>
            <w:r>
              <w:t xml:space="preserve">through a scripted step</w:t>
            </w:r>
          </w:p>
        </w:tc>
        <w:tc>
          <w:tcPr/>
          <w:p>
            <w:pPr>
              <w:pStyle w:val="Compact"/>
              <w:jc w:val="left"/>
            </w:pPr>
            <w:r>
              <w:t xml:space="preserve">Not project-scoped</w:t>
            </w:r>
          </w:p>
        </w:tc>
        <w:tc>
          <w:tcPr/>
          <w:p>
            <w:pPr>
              <w:pStyle w:val="Compact"/>
              <w:jc w:val="left"/>
            </w:pPr>
            <w:r>
              <w:t xml:space="preserve">Pipeline, default branch only, on a proxy source change</w:t>
            </w:r>
          </w:p>
        </w:tc>
      </w:tr>
    </w:tbl>
    <w:p>
      <w:pPr>
        <w:pStyle w:val="BodyText"/>
      </w:pPr>
      <w:r>
        <w:rPr>
          <w:rStyle w:val="VerbatimChar"/>
        </w:rPr>
        <w:t xml:space="preserve">modules/</w:t>
      </w:r>
      <w:r>
        <w:t xml:space="preserve"> </w:t>
      </w:r>
      <w:r>
        <w:t xml:space="preserve">holds the shared building blocks referenced by relative path from every stage — a Cloud Run backend-service module, a KMS key-ring module, a project-baseline module and a service-agents module.</w:t>
      </w:r>
      <w:r>
        <w:t xml:space="preserve"> </w:t>
      </w:r>
      <w:r>
        <w:rPr>
          <w:rStyle w:val="VerbatimChar"/>
        </w:rPr>
        <w:t xml:space="preserve">envs/sandbox</w:t>
      </w:r>
      <w:r>
        <w:t xml:space="preserve">,</w:t>
      </w:r>
      <w:r>
        <w:t xml:space="preserve"> </w:t>
      </w:r>
      <w:r>
        <w:rPr>
          <w:rStyle w:val="VerbatimChar"/>
        </w:rPr>
        <w:t xml:space="preserve">envs/dev</w:t>
      </w:r>
      <w:r>
        <w:t xml:space="preserve"> </w:t>
      </w:r>
      <w:r>
        <w:t xml:space="preserve">and</w:t>
      </w:r>
      <w:r>
        <w:t xml:space="preserve"> </w:t>
      </w:r>
      <w:r>
        <w:rPr>
          <w:rStyle w:val="VerbatimChar"/>
        </w:rPr>
        <w:t xml:space="preserve">envs/prod</w:t>
      </w:r>
      <w:r>
        <w:t xml:space="preserve"> </w:t>
      </w:r>
      <w:r>
        <w:t xml:space="preserve">each hold one value file against the same stage code; this is the entire mechanism by which the same Terraform produces Sandbox, Development and, eventually, Production. G8 (layered blast-radius containment) rests on the state file being split by stage in the way this table describes.</w:t>
      </w:r>
    </w:p>
    <w:bookmarkStart w:id="254" w:name="applicability-by-environment"/>
    <w:p>
      <w:pPr>
        <w:pStyle w:val="Heading3"/>
      </w:pPr>
      <w:r>
        <w:t xml:space="preserve">12.2.1 Applicability by environment</w:t>
      </w:r>
    </w:p>
    <w:p>
      <w:pPr>
        <w:pStyle w:val="FirstParagraph"/>
      </w:pPr>
      <w:r>
        <w:t xml:space="preserve">Development and Production hold eight projects each and use every stage in the table above. Sandbox holds one project, and several stages either collapse into</w:t>
      </w:r>
      <w:r>
        <w:t xml:space="preserve"> </w:t>
      </w:r>
      <w:r>
        <w:rPr>
          <w:rStyle w:val="VerbatimChar"/>
        </w:rPr>
        <w:t xml:space="preserve">aicoesandox</w:t>
      </w:r>
      <w:r>
        <w:t xml:space="preserve"> </w:t>
      </w:r>
      <w:r>
        <w:t xml:space="preserve">or do not apply:</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Stage</w:t>
            </w:r>
          </w:p>
        </w:tc>
        <w:tc>
          <w:tcPr>
            <w:shd w:val="clear" w:color="auto" w:fill="1F3864"/>
          </w:tcPr>
          <w:p>
            <w:pPr>
              <w:pStyle w:val="Compact"/>
              <w:jc w:val="left"/>
            </w:pPr>
            <w:r>
              <w:rPr>
                <w:b/>
                <w:color w:val="FFFFFF"/>
              </w:rPr>
              <w:t xml:space="preserve">Sandbox</w:t>
            </w:r>
          </w:p>
        </w:tc>
      </w:tr>
      <w:tr>
        <w:tc>
          <w:tcPr/>
          <w:p>
            <w:pPr>
              <w:pStyle w:val="Compact"/>
              <w:jc w:val="left"/>
            </w:pPr>
            <w:r>
              <w:rPr>
                <w:rStyle w:val="VerbatimChar"/>
              </w:rPr>
              <w:t xml:space="preserve">0-bootstrap</w:t>
            </w:r>
            <w:r>
              <w:t xml:space="preserve">,</w:t>
            </w:r>
            <w:r>
              <w:t xml:space="preserve"> </w:t>
            </w:r>
            <w:r>
              <w:rPr>
                <w:rStyle w:val="VerbatimChar"/>
              </w:rPr>
              <w:t xml:space="preserve">2-foundations</w:t>
            </w:r>
            <w:r>
              <w:t xml:space="preserve">,</w:t>
            </w:r>
            <w:r>
              <w:t xml:space="preserve"> </w:t>
            </w:r>
            <w:r>
              <w:rPr>
                <w:rStyle w:val="VerbatimChar"/>
              </w:rPr>
              <w:t xml:space="preserve">3-network</w:t>
            </w:r>
          </w:p>
        </w:tc>
        <w:tc>
          <w:tcPr/>
          <w:p>
            <w:pPr>
              <w:pStyle w:val="Compact"/>
              <w:jc w:val="left"/>
            </w:pPr>
            <w:r>
              <w:t xml:space="preserve">Apply, targeting</w:t>
            </w:r>
            <w:r>
              <w:t xml:space="preserve"> </w:t>
            </w:r>
            <w:r>
              <w:rPr>
                <w:rStyle w:val="VerbatimChar"/>
              </w:rPr>
              <w:t xml:space="preserve">aicoesandox</w:t>
            </w:r>
            <w:r>
              <w:t xml:space="preserve"> </w:t>
            </w:r>
            <w:r>
              <w:t xml:space="preserve">in place of the separate network, foundations and per-function projects used in Development</w:t>
            </w:r>
          </w:p>
        </w:tc>
      </w:tr>
      <w:tr>
        <w:tc>
          <w:tcPr/>
          <w:p>
            <w:pPr>
              <w:pStyle w:val="Compact"/>
              <w:jc w:val="left"/>
            </w:pPr>
            <w:r>
              <w:rPr>
                <w:rStyle w:val="VerbatimChar"/>
              </w:rPr>
              <w:t xml:space="preserve">6-workloads</w:t>
            </w:r>
          </w:p>
        </w:tc>
        <w:tc>
          <w:tcPr/>
          <w:p>
            <w:pPr>
              <w:pStyle w:val="Compact"/>
              <w:jc w:val="left"/>
            </w:pPr>
            <w:r>
              <w:t xml:space="preserve">Only the</w:t>
            </w:r>
            <w:r>
              <w:t xml:space="preserve"> </w:t>
            </w:r>
            <w:r>
              <w:rPr>
                <w:rStyle w:val="VerbatimChar"/>
              </w:rPr>
              <w:t xml:space="preserve">6b</w:t>
            </w:r>
            <w:r>
              <w:t xml:space="preserve"> </w:t>
            </w:r>
            <w:r>
              <w:t xml:space="preserve">role applies — the two Sandbox ILBs front the translation and Sales Agent Cloud Run services directly. There is no</w:t>
            </w:r>
            <w:r>
              <w:t xml:space="preserve"> </w:t>
            </w:r>
            <w:r>
              <w:rPr>
                <w:rStyle w:val="VerbatimChar"/>
              </w:rPr>
              <w:t xml:space="preserve">6a</w:t>
            </w:r>
            <w:r>
              <w:t xml:space="preserve"> </w:t>
            </w:r>
            <w:r>
              <w:t xml:space="preserve">role, because Sandbox has no Backend-for-Frontend</w:t>
            </w:r>
          </w:p>
        </w:tc>
      </w:tr>
      <w:tr>
        <w:tc>
          <w:tcPr/>
          <w:p>
            <w:pPr>
              <w:pStyle w:val="Compact"/>
              <w:jc w:val="left"/>
            </w:pPr>
            <w:r>
              <w:rPr>
                <w:rStyle w:val="VerbatimChar"/>
              </w:rPr>
              <w:t xml:space="preserve">4-apigee</w:t>
            </w:r>
            <w:r>
              <w:t xml:space="preserve">,</w:t>
            </w:r>
            <w:r>
              <w:t xml:space="preserve"> </w:t>
            </w:r>
            <w:r>
              <w:rPr>
                <w:rStyle w:val="VerbatimChar"/>
              </w:rPr>
              <w:t xml:space="preserve">5-network-psc</w:t>
            </w:r>
            <w:r>
              <w:t xml:space="preserve">’s Apigee leg,</w:t>
            </w:r>
            <w:r>
              <w:t xml:space="preserve"> </w:t>
            </w:r>
            <w:r>
              <w:rPr>
                <w:rStyle w:val="VerbatimChar"/>
              </w:rPr>
              <w:t xml:space="preserve">6c-ingress</w:t>
            </w:r>
            <w:r>
              <w:t xml:space="preserve">,</w:t>
            </w:r>
            <w:r>
              <w:t xml:space="preserve"> </w:t>
            </w:r>
            <w:r>
              <w:rPr>
                <w:rStyle w:val="VerbatimChar"/>
              </w:rPr>
              <w:t xml:space="preserve">7-apigee-runtime</w:t>
            </w:r>
          </w:p>
        </w:tc>
        <w:tc>
          <w:tcPr/>
          <w:p>
            <w:pPr>
              <w:pStyle w:val="Compact"/>
              <w:jc w:val="left"/>
            </w:pPr>
            <w:r>
              <w:t xml:space="preserve">Do not apply. Sandbox has no Apigee organisation and no separate ingress project</w:t>
            </w:r>
          </w:p>
        </w:tc>
      </w:tr>
    </w:tbl>
    <w:p>
      <w:pPr>
        <w:pStyle w:val="BodyText"/>
      </w:pPr>
      <w:r>
        <w:t xml:space="preserve">Sandbox was built under this stage numbering before Development, and its build corresponds to steps 1 through 7 of Day-1 build sequence, already applied. Steps 8 through 31 build Development.</w:t>
      </w:r>
    </w:p>
    <w:bookmarkEnd w:id="254"/>
    <w:bookmarkStart w:id="255" w:name="rationale-for-the-numbered-stage-model"/>
    <w:p>
      <w:pPr>
        <w:pStyle w:val="Heading3"/>
      </w:pPr>
      <w:r>
        <w:t xml:space="preserve">12.2.2 Rationale for the numbered-stage model</w:t>
      </w:r>
    </w:p>
    <w:p>
      <w:pPr>
        <w:pStyle w:val="FirstParagraph"/>
      </w:pPr>
      <w:r>
        <w:t xml:space="preserve">An earlier, named-layer structure preceded this one. The numbered-stage model replaced it for the following reasons:</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Limitation of a named-layer structure</w:t>
            </w:r>
          </w:p>
        </w:tc>
        <w:tc>
          <w:tcPr>
            <w:shd w:val="clear" w:color="auto" w:fill="1F3864"/>
          </w:tcPr>
          <w:p>
            <w:pPr>
              <w:pStyle w:val="Compact"/>
              <w:jc w:val="left"/>
            </w:pPr>
            <w:r>
              <w:rPr>
                <w:b/>
                <w:color w:val="FFFFFF"/>
              </w:rPr>
              <w:t xml:space="preserve">Fix in the numbered-stage model</w:t>
            </w:r>
          </w:p>
        </w:tc>
      </w:tr>
      <w:tr>
        <w:tc>
          <w:tcPr/>
          <w:p>
            <w:pPr>
              <w:pStyle w:val="Compact"/>
              <w:jc w:val="left"/>
            </w:pPr>
            <w:r>
              <w:t xml:space="preserve">Named layers are not inherently ordered — the dependency graph exists only in the heads of the people who built it</w:t>
            </w:r>
          </w:p>
        </w:tc>
        <w:tc>
          <w:tcPr/>
          <w:p>
            <w:pPr>
              <w:pStyle w:val="Compact"/>
              <w:jc w:val="left"/>
            </w:pPr>
            <w:r>
              <w:t xml:space="preserve">Numbered stages</w:t>
            </w:r>
            <w:r>
              <w:t xml:space="preserve"> </w:t>
            </w:r>
            <w:r>
              <w:rPr>
                <w:rStyle w:val="VerbatimChar"/>
              </w:rPr>
              <w:t xml:space="preserve">0</w:t>
            </w:r>
            <w:r>
              <w:t xml:space="preserve"> </w:t>
            </w:r>
            <w:r>
              <w:t xml:space="preserve">to</w:t>
            </w:r>
            <w:r>
              <w:t xml:space="preserve"> </w:t>
            </w:r>
            <w:r>
              <w:rPr>
                <w:rStyle w:val="VerbatimChar"/>
              </w:rPr>
              <w:t xml:space="preserve">7</w:t>
            </w:r>
            <w:r>
              <w:t xml:space="preserve">; the number is the apply order</w:t>
            </w:r>
          </w:p>
        </w:tc>
      </w:tr>
      <w:tr>
        <w:tc>
          <w:tcPr/>
          <w:p>
            <w:pPr>
              <w:pStyle w:val="Compact"/>
              <w:jc w:val="left"/>
            </w:pPr>
            <w:r>
              <w:t xml:space="preserve">Cross-stack handoff by</w:t>
            </w:r>
            <w:r>
              <w:t xml:space="preserve"> </w:t>
            </w:r>
            <w:r>
              <w:rPr>
                <w:rStyle w:val="VerbatimChar"/>
              </w:rPr>
              <w:t xml:space="preserve">terraform_remote_state</w:t>
            </w:r>
            <w:r>
              <w:t xml:space="preserve"> </w:t>
            </w:r>
            <w:r>
              <w:t xml:space="preserve">lets any stage’s identity read every other stage’s full state</w:t>
            </w:r>
          </w:p>
        </w:tc>
        <w:tc>
          <w:tcPr/>
          <w:p>
            <w:pPr>
              <w:pStyle w:val="Compact"/>
              <w:jc w:val="left"/>
            </w:pPr>
            <w:r>
              <w:rPr>
                <w:rStyle w:val="VerbatimChar"/>
              </w:rPr>
              <w:t xml:space="preserve">.auto.tfvars.json</w:t>
            </w:r>
            <w:r>
              <w:t xml:space="preserve"> </w:t>
            </w:r>
            <w:r>
              <w:t xml:space="preserve">artifacts published by each pipeline job and consumed only by name, per</w:t>
            </w:r>
            <w:r>
              <w:t xml:space="preserve"> </w:t>
            </w:r>
            <w:r>
              <w:rPr>
                <w:b/>
                <w:bCs/>
              </w:rPr>
              <w:t xml:space="preserve">Terraform state management</w:t>
            </w:r>
            <w:r>
              <w:t xml:space="preserve"> </w:t>
            </w:r>
            <w:r>
              <w:t xml:space="preserve">— a stage’s identity sees only its own state</w:t>
            </w:r>
          </w:p>
        </w:tc>
      </w:tr>
      <w:tr>
        <w:tc>
          <w:tcPr/>
          <w:p>
            <w:pPr>
              <w:pStyle w:val="Compact"/>
              <w:jc w:val="left"/>
            </w:pPr>
            <w:r>
              <w:t xml:space="preserve">No bootstrap stage — the state bucket and the pipeline identity had to already exist before anything could run</w:t>
            </w:r>
          </w:p>
        </w:tc>
        <w:tc>
          <w:tcPr/>
          <w:p>
            <w:pPr>
              <w:pStyle w:val="Compact"/>
              <w:jc w:val="left"/>
            </w:pPr>
            <w:r>
              <w:rPr>
                <w:rStyle w:val="VerbatimChar"/>
              </w:rPr>
              <w:t xml:space="preserve">0-bootstrap</w:t>
            </w:r>
            <w:r>
              <w:t xml:space="preserve">, run once by hand, exists specifically to remove that circularity</w:t>
            </w:r>
          </w:p>
        </w:tc>
      </w:tr>
      <w:tr>
        <w:tc>
          <w:tcPr/>
          <w:p>
            <w:pPr>
              <w:pStyle w:val="Compact"/>
              <w:jc w:val="left"/>
            </w:pPr>
            <w:r>
              <w:t xml:space="preserve">API enablement, forced service agents and service-account creation held together in one module, one concern not separable from another</w:t>
            </w:r>
          </w:p>
        </w:tc>
        <w:tc>
          <w:tcPr/>
          <w:p>
            <w:pPr>
              <w:pStyle w:val="Compact"/>
              <w:jc w:val="left"/>
            </w:pPr>
            <w:r>
              <w:t xml:space="preserve">Split across</w:t>
            </w:r>
            <w:r>
              <w:t xml:space="preserve"> </w:t>
            </w:r>
            <w:r>
              <w:rPr>
                <w:rStyle w:val="VerbatimChar"/>
              </w:rPr>
              <w:t xml:space="preserve">1-org</w:t>
            </w:r>
            <w:r>
              <w:t xml:space="preserve"> </w:t>
            </w:r>
            <w:r>
              <w:t xml:space="preserve">(project and identity lookup) and</w:t>
            </w:r>
            <w:r>
              <w:t xml:space="preserve"> </w:t>
            </w:r>
            <w:r>
              <w:rPr>
                <w:rStyle w:val="VerbatimChar"/>
              </w:rPr>
              <w:t xml:space="preserve">2-foundations</w:t>
            </w:r>
            <w:r>
              <w:t xml:space="preserve"> </w:t>
            </w:r>
            <w:r>
              <w:t xml:space="preserve">(API enablement, service agents, KMS, registries)</w:t>
            </w:r>
          </w:p>
        </w:tc>
      </w:tr>
      <w:tr>
        <w:tc>
          <w:tcPr/>
          <w:p>
            <w:pPr>
              <w:pStyle w:val="Compact"/>
              <w:jc w:val="left"/>
            </w:pPr>
            <w:r>
              <w:t xml:space="preserve">No environment abstraction beyond convention</w:t>
            </w:r>
          </w:p>
        </w:tc>
        <w:tc>
          <w:tcPr/>
          <w:p>
            <w:pPr>
              <w:pStyle w:val="Compact"/>
              <w:jc w:val="left"/>
            </w:pPr>
            <w:r>
              <w:rPr>
                <w:rStyle w:val="VerbatimChar"/>
              </w:rPr>
              <w:t xml:space="preserve">envs/sandbox</w:t>
            </w:r>
            <w:r>
              <w:t xml:space="preserve">,</w:t>
            </w:r>
            <w:r>
              <w:t xml:space="preserve"> </w:t>
            </w:r>
            <w:r>
              <w:rPr>
                <w:rStyle w:val="VerbatimChar"/>
              </w:rPr>
              <w:t xml:space="preserve">envs/dev</w:t>
            </w:r>
            <w:r>
              <w:t xml:space="preserve"> </w:t>
            </w:r>
            <w:r>
              <w:t xml:space="preserve">and</w:t>
            </w:r>
            <w:r>
              <w:t xml:space="preserve"> </w:t>
            </w:r>
            <w:r>
              <w:rPr>
                <w:rStyle w:val="VerbatimChar"/>
              </w:rPr>
              <w:t xml:space="preserve">envs/prod</w:t>
            </w:r>
            <w:r>
              <w:t xml:space="preserve"> </w:t>
            </w:r>
            <w:r>
              <w:t xml:space="preserve">hold one value file each against the same stage code</w:t>
            </w:r>
          </w:p>
        </w:tc>
      </w:tr>
      <w:tr>
        <w:tc>
          <w:tcPr/>
          <w:p>
            <w:pPr>
              <w:pStyle w:val="Compact"/>
              <w:jc w:val="left"/>
            </w:pPr>
            <w:r>
              <w:t xml:space="preserve">A policy check asserting an unconditional pass — a control that appeared in the plan output without enforcing anything</w:t>
            </w:r>
          </w:p>
        </w:tc>
        <w:tc>
          <w:tcPr/>
          <w:p>
            <w:pPr>
              <w:pStyle w:val="Compact"/>
              <w:jc w:val="left"/>
            </w:pPr>
            <w:r>
              <w:t xml:space="preserve">Replaced by</w:t>
            </w:r>
            <w:r>
              <w:t xml:space="preserve"> </w:t>
            </w:r>
            <w:r>
              <w:rPr>
                <w:rStyle w:val="VerbatimChar"/>
              </w:rPr>
              <w:t xml:space="preserve">ci/policy-check.sh</w:t>
            </w:r>
            <w:r>
              <w:t xml:space="preserve">, per</w:t>
            </w:r>
            <w:r>
              <w:t xml:space="preserve"> </w:t>
            </w:r>
            <w:r>
              <w:rPr>
                <w:b/>
                <w:bCs/>
              </w:rPr>
              <w:t xml:space="preserve">Policy as code</w:t>
            </w:r>
          </w:p>
        </w:tc>
      </w:tr>
    </w:tbl>
    <w:p>
      <w:pPr>
        <w:pStyle w:val="BodyText"/>
      </w:pPr>
      <w:r>
        <w:t xml:space="preserve">Terragrunt, the Fabric FAST framework adopted wholesale, and Terraform Stacks were each considered and not adopted for this platform; the comparison and the reasoning behind each rejection is recorded in</w:t>
      </w:r>
      <w:r>
        <w:t xml:space="preserve"> </w:t>
      </w:r>
      <w:r>
        <w:rPr>
          <w:b/>
          <w:bCs/>
        </w:rPr>
        <w:t xml:space="preserve">Decision Log</w:t>
      </w:r>
      <w:r>
        <w:t xml:space="preserve">.</w:t>
      </w:r>
    </w:p>
    <w:bookmarkEnd w:id="255"/>
    <w:bookmarkStart w:id="256" w:name="stage-1-org-scope"/>
    <w:p>
      <w:pPr>
        <w:pStyle w:val="Heading3"/>
      </w:pPr>
      <w:r>
        <w:t xml:space="preserve">12.2.3 Stage</w:t>
      </w:r>
      <w:r>
        <w:t xml:space="preserve"> </w:t>
      </w:r>
      <w:r>
        <w:rPr>
          <w:rStyle w:val="VerbatimChar"/>
        </w:rPr>
        <w:t xml:space="preserve">1-org</w:t>
      </w:r>
      <w:r>
        <w:t xml:space="preserve"> </w:t>
      </w:r>
      <w:r>
        <w:t xml:space="preserve">scope</w:t>
      </w:r>
    </w:p>
    <w:p>
      <w:pPr>
        <w:pStyle w:val="FirstParagraph"/>
      </w:pPr>
      <w:r>
        <w:rPr>
          <w:rStyle w:val="VerbatimChar"/>
        </w:rPr>
        <w:t xml:space="preserve">1-org</w:t>
      </w:r>
      <w:r>
        <w:t xml:space="preserve"> </w:t>
      </w:r>
      <w:r>
        <w:t xml:space="preserve">performs a read-only lookup of the existing project estate, keyed by a</w:t>
      </w:r>
      <w:r>
        <w:t xml:space="preserve"> </w:t>
      </w:r>
      <w:r>
        <w:rPr>
          <w:rStyle w:val="VerbatimChar"/>
        </w:rPr>
        <w:t xml:space="preserve">role =&gt; project ID</w:t>
      </w:r>
      <w:r>
        <w:t xml:space="preserve"> </w:t>
      </w:r>
      <w:r>
        <w:t xml:space="preserve">map held in each environment’s value file, and publishes each project’s identifier and number for every downstream stage to consume. It creates no project, and no organisation-policy resource is defined anywhere in this Terraform.</w:t>
      </w:r>
    </w:p>
    <w:p>
      <w:pPr>
        <w:pStyle w:val="BodyText"/>
      </w:pPr>
      <w:r>
        <w:t xml:space="preserve">Project creation, and organisation policy at the</w:t>
      </w:r>
      <w:r>
        <w:t xml:space="preserve"> </w:t>
      </w:r>
      <w:r>
        <w:rPr>
          <w:rStyle w:val="VerbatimChar"/>
        </w:rPr>
        <w:t xml:space="preserve">AI COE</w:t>
      </w:r>
      <w:r>
        <w:t xml:space="preserve"> </w:t>
      </w:r>
      <w:r>
        <w:t xml:space="preserve">folder — including the hierarchical firewall policy — are provisioned and maintained directly by the</w:t>
      </w:r>
      <w:r>
        <w:t xml:space="preserve"> </w:t>
      </w:r>
      <w:r>
        <w:rPr>
          <w:b/>
          <w:bCs/>
        </w:rPr>
        <w:t xml:space="preserve">Colt Cloud CoE</w:t>
      </w:r>
      <w:r>
        <w:t xml:space="preserve">, per</w:t>
      </w:r>
      <w:r>
        <w:t xml:space="preserve"> </w:t>
      </w:r>
      <w:r>
        <w:rPr>
          <w:b/>
          <w:bCs/>
        </w:rPr>
        <w:t xml:space="preserve">Solution Architecture Overview</w:t>
      </w:r>
      <w:r>
        <w:t xml:space="preserve">. Neither is represented as a Terraform resource, so a Terraform plan against</w:t>
      </w:r>
      <w:r>
        <w:t xml:space="preserve"> </w:t>
      </w:r>
      <w:r>
        <w:rPr>
          <w:rStyle w:val="VerbatimChar"/>
        </w:rPr>
        <w:t xml:space="preserve">1-org</w:t>
      </w:r>
      <w:r>
        <w:t xml:space="preserve"> </w:t>
      </w:r>
      <w:r>
        <w:t xml:space="preserve">shows no drift in either area regardless of what changes underneath it; the risk this creates is recorded in</w:t>
      </w:r>
      <w:r>
        <w:t xml:space="preserve"> </w:t>
      </w:r>
      <w:r>
        <w:rPr>
          <w:b/>
          <w:bCs/>
        </w:rPr>
        <w:t xml:space="preserve">Risk Register</w:t>
      </w:r>
      <w:r>
        <w:t xml:space="preserve">.</w:t>
      </w:r>
    </w:p>
    <w:p>
      <w:pPr>
        <w:pStyle w:val="BodyText"/>
      </w:pPr>
      <w:r>
        <w:t xml:space="preserve">Resource-labelling enforcement — environment, project, team and managed-by, per TR-25 (resource labelling) — has no automated check in this Terraform or in the pipeline.</w:t>
      </w:r>
    </w:p>
    <w:bookmarkEnd w:id="256"/>
    <w:bookmarkEnd w:id="257"/>
    <w:bookmarkStart w:id="261" w:name="stage-dependency-graph-and-apply-order"/>
    <w:p>
      <w:pPr>
        <w:pStyle w:val="Heading2"/>
      </w:pPr>
      <w:r>
        <w:t xml:space="preserve">12.3 Stage dependency graph and apply order</w:t>
      </w:r>
    </w:p>
    <w:p>
      <w:pPr>
        <w:pStyle w:val="FirstParagraph"/>
      </w:pPr>
      <w:r>
        <w:t xml:space="preserve">Two dependencies take the stage sequence out of strict numeric order, and both are encoded in the pipeline’s job dependencies rather than left as unwritten knowledge.</w:t>
      </w:r>
    </w:p>
    <w:p>
      <w:pPr>
        <w:pStyle w:val="BodyText"/>
      </w:pPr>
      <w:r>
        <w:rPr>
          <w:b/>
          <w:bCs/>
        </w:rPr>
        <w:t xml:space="preserve">The Apigee and network split.</w:t>
      </w:r>
      <w:r>
        <w:t xml:space="preserve"> </w:t>
      </w:r>
      <w:r>
        <w:t xml:space="preserve">The Private Service Connect endpoint to Apigee targets a service attachment that exists only once the Apigee instance is provisioned in stage</w:t>
      </w:r>
      <w:r>
        <w:t xml:space="preserve"> </w:t>
      </w:r>
      <w:r>
        <w:rPr>
          <w:rStyle w:val="VerbatimChar"/>
        </w:rPr>
        <w:t xml:space="preserve">4-apigee</w:t>
      </w:r>
      <w:r>
        <w:t xml:space="preserve">. Rather than applying the network stage twice, the network stage is split:</w:t>
      </w:r>
      <w:r>
        <w:t xml:space="preserve"> </w:t>
      </w:r>
      <w:r>
        <w:rPr>
          <w:rStyle w:val="VerbatimChar"/>
        </w:rPr>
        <w:t xml:space="preserve">3-network</w:t>
      </w:r>
      <w:r>
        <w:t xml:space="preserve">, which nothing Apigee-specific depends on, and</w:t>
      </w:r>
      <w:r>
        <w:t xml:space="preserve"> </w:t>
      </w:r>
      <w:r>
        <w:rPr>
          <w:rStyle w:val="VerbatimChar"/>
        </w:rPr>
        <w:t xml:space="preserve">5-network-psc</w:t>
      </w:r>
      <w:r>
        <w:t xml:space="preserve">, which needs stage</w:t>
      </w:r>
      <w:r>
        <w:t xml:space="preserve"> </w:t>
      </w:r>
      <w:r>
        <w:rPr>
          <w:rStyle w:val="VerbatimChar"/>
        </w:rPr>
        <w:t xml:space="preserve">4-apigee</w:t>
      </w:r>
      <w:r>
        <w:t xml:space="preserve">’s output.</w:t>
      </w:r>
    </w:p>
    <w:p>
      <w:pPr>
        <w:pStyle w:val="BodyText"/>
      </w:pPr>
      <w:r>
        <w:rPr>
          <w:b/>
          <w:bCs/>
        </w:rPr>
        <w:t xml:space="preserve">The cross-project ingress join.</w:t>
      </w:r>
      <w:r>
        <w:t xml:space="preserve"> </w:t>
      </w:r>
      <w:r>
        <w:t xml:space="preserve">A serverless NEG must live in the same project as the Cloud Run service it points at, so backend services are created in</w:t>
      </w:r>
      <w:r>
        <w:t xml:space="preserve"> </w:t>
      </w:r>
      <w:r>
        <w:rPr>
          <w:rStyle w:val="VerbatimChar"/>
        </w:rPr>
        <w:t xml:space="preserve">aihub-ui</w:t>
      </w:r>
      <w:r>
        <w:t xml:space="preserve"> </w:t>
      </w:r>
      <w:r>
        <w:t xml:space="preserve">(</w:t>
      </w:r>
      <w:r>
        <w:rPr>
          <w:rStyle w:val="VerbatimChar"/>
        </w:rPr>
        <w:t xml:space="preserve">6a</w:t>
      </w:r>
      <w:r>
        <w:t xml:space="preserve">) and</w:t>
      </w:r>
      <w:r>
        <w:t xml:space="preserve"> </w:t>
      </w:r>
      <w:r>
        <w:rPr>
          <w:rStyle w:val="VerbatimChar"/>
        </w:rPr>
        <w:t xml:space="preserve">st</w:t>
      </w:r>
      <w:r>
        <w:t xml:space="preserve"> </w:t>
      </w:r>
      <w:r>
        <w:t xml:space="preserve">(</w:t>
      </w:r>
      <w:r>
        <w:rPr>
          <w:rStyle w:val="VerbatimChar"/>
        </w:rPr>
        <w:t xml:space="preserve">6b</w:t>
      </w:r>
      <w:r>
        <w:t xml:space="preserve">), while the URL maps referencing them live in</w:t>
      </w:r>
      <w:r>
        <w:t xml:space="preserve"> </w:t>
      </w:r>
      <w:r>
        <w:rPr>
          <w:rStyle w:val="VerbatimChar"/>
        </w:rPr>
        <w:t xml:space="preserve">ingress</w:t>
      </w:r>
      <w:r>
        <w:t xml:space="preserve"> </w:t>
      </w:r>
      <w:r>
        <w:t xml:space="preserve">(</w:t>
      </w:r>
      <w:r>
        <w:rPr>
          <w:rStyle w:val="VerbatimChar"/>
        </w:rPr>
        <w:t xml:space="preserve">6c</w:t>
      </w:r>
      <w:r>
        <w:t xml:space="preserve">).</w:t>
      </w:r>
      <w:r>
        <w:t xml:space="preserve"> </w:t>
      </w:r>
      <w:r>
        <w:rPr>
          <w:rStyle w:val="VerbatimChar"/>
        </w:rPr>
        <w:t xml:space="preserve">6c-ingress</w:t>
      </w:r>
      <w:r>
        <w:t xml:space="preserve"> </w:t>
      </w:r>
      <w:r>
        <w:t xml:space="preserve">therefore needs artifacts from both</w:t>
      </w:r>
      <w:r>
        <w:t xml:space="preserve"> </w:t>
      </w:r>
      <w:r>
        <w:rPr>
          <w:rStyle w:val="VerbatimChar"/>
        </w:rPr>
        <w:t xml:space="preserve">6a</w:t>
      </w:r>
      <w:r>
        <w:t xml:space="preserve"> </w:t>
      </w:r>
      <w:r>
        <w:t xml:space="preserve">and</w:t>
      </w:r>
      <w:r>
        <w:t xml:space="preserve"> </w:t>
      </w:r>
      <w:r>
        <w:rPr>
          <w:rStyle w:val="VerbatimChar"/>
        </w:rPr>
        <w:t xml:space="preserve">6b</w:t>
      </w:r>
      <w:r>
        <w:t xml:space="preserve"> </w:t>
      </w:r>
      <w:r>
        <w:t xml:space="preserve">as well as from</w:t>
      </w:r>
      <w:r>
        <w:t xml:space="preserve"> </w:t>
      </w:r>
      <w:r>
        <w:rPr>
          <w:rStyle w:val="VerbatimChar"/>
        </w:rPr>
        <w:t xml:space="preserve">3-network</w:t>
      </w:r>
      <w:r>
        <w:t xml:space="preserve"> </w:t>
      </w:r>
      <w:r>
        <w:t xml:space="preserve">— without those dependencies, a stage can complete while a load balancer still points at nothing.</w:t>
      </w:r>
      <w:r>
        <w:t xml:space="preserve"> </w:t>
      </w:r>
      <w:r>
        <w:rPr>
          <w:rStyle w:val="VerbatimChar"/>
        </w:rPr>
        <w:t xml:space="preserve">7-apigee-runtime</w:t>
      </w:r>
      <w:r>
        <w:t xml:space="preserve">’s southbound endpoint attachment consumes</w:t>
      </w:r>
      <w:r>
        <w:t xml:space="preserve"> </w:t>
      </w:r>
      <w:r>
        <w:rPr>
          <w:rStyle w:val="VerbatimChar"/>
        </w:rPr>
        <w:t xml:space="preserve">6c-ingress</w:t>
      </w:r>
      <w:r>
        <w:t xml:space="preserve">’s service attachment, not stage</w:t>
      </w:r>
      <w:r>
        <w:t xml:space="preserve"> </w:t>
      </w:r>
      <w:r>
        <w:rPr>
          <w:rStyle w:val="VerbatimChar"/>
        </w:rPr>
        <w:t xml:space="preserve">5-network-psc</w:t>
      </w:r>
      <w:r>
        <w:t xml:space="preserve">’s, which is the detail most likely to be read backwards from the stage numbers alone.</w:t>
      </w:r>
    </w:p>
    <w:p>
      <w:pPr>
        <w:pStyle w:val="CaptionedFigure"/>
      </w:pPr>
      <w:r>
        <w:drawing>
          <wp:inline>
            <wp:extent cx="5943600" cy="3962400"/>
            <wp:effectExtent b="0" l="0" r="0" t="0"/>
            <wp:docPr descr="Terraform stage dependency graph — 0-bootstrap through 7-apigee-runtime and the non-Terraform proxies stage, showing the network/Apigee split and the cross-project join at 6c-ingress" title="" id="259" name="Picture"/>
            <a:graphic>
              <a:graphicData uri="http://schemas.openxmlformats.org/drawingml/2006/picture">
                <pic:pic>
                  <pic:nvPicPr>
                    <pic:cNvPr descr="diagrams/terraform-stage-dependency.png" id="260" name="Picture"/>
                    <pic:cNvPicPr>
                      <a:picLocks noChangeArrowheads="1" noChangeAspect="1"/>
                    </pic:cNvPicPr>
                  </pic:nvPicPr>
                  <pic:blipFill>
                    <a:blip r:embed="rId258"/>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Terraform stage dependency graph — 0-bootstrap through 7-apigee-runtime and the non-Terraform proxies stage, showing the network/Apigee split and the cross-project join at 6c-ingress</w:t>
      </w:r>
    </w:p>
    <w:p>
      <w:pPr>
        <w:pStyle w:val="BodyText"/>
      </w:pPr>
      <w:r>
        <w:t xml:space="preserve">Apply order for a green-field build:</w:t>
      </w:r>
    </w:p>
    <w:p>
      <w:pPr>
        <w:pStyle w:val="SourceCode"/>
      </w:pPr>
      <w:r>
        <w:rPr>
          <w:rStyle w:val="VerbatimChar"/>
        </w:rPr>
        <w:t xml:space="preserve">0  0-bootstrap        MANUAL, ONCE: state bucket, KMS key for state, WIF pool/provider,</w:t>
      </w:r>
      <w:r>
        <w:br/>
      </w:r>
      <w:r>
        <w:rPr>
          <w:rStyle w:val="VerbatimChar"/>
        </w:rPr>
        <w:t xml:space="preserve">                       one tf-deployer service account per project — sharedwif</w:t>
      </w:r>
      <w:r>
        <w:br/>
      </w:r>
      <w:r>
        <w:rPr>
          <w:rStyle w:val="VerbatimChar"/>
        </w:rPr>
        <w:t xml:space="preserve">1  1-org               READ-ONLY: looks up the pre-existing projects, publishes their</w:t>
      </w:r>
      <w:r>
        <w:br/>
      </w:r>
      <w:r>
        <w:rPr>
          <w:rStyle w:val="VerbatimChar"/>
        </w:rPr>
        <w:t xml:space="preserve">                       IDs and numbers. Creates nothing — no projects, no org policy</w:t>
      </w:r>
      <w:r>
        <w:br/>
      </w:r>
      <w:r>
        <w:rPr>
          <w:rStyle w:val="VerbatimChar"/>
        </w:rPr>
        <w:t xml:space="preserve">2  2-foundations       APIs, forced service agents, KMS rings/keys, Artifact Registry,</w:t>
      </w:r>
      <w:r>
        <w:br/>
      </w:r>
      <w:r>
        <w:rPr>
          <w:rStyle w:val="VerbatimChar"/>
        </w:rPr>
        <w:t xml:space="preserve">                       log buckets and sinks — per project</w:t>
      </w:r>
      <w:r>
        <w:br/>
      </w:r>
      <w:r>
        <w:rPr>
          <w:rStyle w:val="VerbatimChar"/>
        </w:rPr>
        <w:t xml:space="preserve">3  3-network           VPC, subnets, firewall, private DNS zone, Shared VPC attachments</w:t>
      </w:r>
      <w:r>
        <w:br/>
      </w:r>
      <w:r>
        <w:rPr>
          <w:rStyle w:val="VerbatimChar"/>
        </w:rPr>
        <w:t xml:space="preserve">4  4-apigee            MANUAL GATE: org, instance, environments, environment groups</w:t>
      </w:r>
      <w:r>
        <w:br/>
      </w:r>
      <w:r>
        <w:rPr>
          <w:rStyle w:val="VerbatimChar"/>
        </w:rPr>
        <w:t xml:space="preserve">                       (30-60 min elapsed)</w:t>
      </w:r>
      <w:r>
        <w:br/>
      </w:r>
      <w:r>
        <w:rPr>
          <w:rStyle w:val="VerbatimChar"/>
        </w:rPr>
        <w:t xml:space="preserve">5  5-network-psc       PSC to Google APIs, PSC to Apigee (needs stage 4's service</w:t>
      </w:r>
      <w:r>
        <w:br/>
      </w:r>
      <w:r>
        <w:rPr>
          <w:rStyle w:val="VerbatimChar"/>
        </w:rPr>
        <w:t xml:space="preserve">                       attachment), Apigee and Vertex AI DNS records</w:t>
      </w:r>
      <w:r>
        <w:br/>
      </w:r>
      <w:r>
        <w:rPr>
          <w:rStyle w:val="VerbatimChar"/>
        </w:rPr>
        <w:t xml:space="preserve">6a 6a-aihub-ui         Backend-for-Frontend backend service, the platform's one IAP    \ run in</w:t>
      </w:r>
      <w:r>
        <w:br/>
      </w:r>
      <w:r>
        <w:rPr>
          <w:rStyle w:val="VerbatimChar"/>
        </w:rPr>
        <w:t xml:space="preserve">6b 6b-st               usecase backend services, NEGs, run.invoker grants             / parallel</w:t>
      </w:r>
      <w:r>
        <w:br/>
      </w:r>
      <w:r>
        <w:rPr>
          <w:rStyle w:val="VerbatimChar"/>
        </w:rPr>
        <w:t xml:space="preserve">6c 6c-ingress          THE CROSS-PROJECT JOIN: both load balancers' front ends, URL maps</w:t>
      </w:r>
      <w:r>
        <w:br/>
      </w:r>
      <w:r>
        <w:rPr>
          <w:rStyle w:val="VerbatimChar"/>
        </w:rPr>
        <w:t xml:space="preserve">                       referencing 6a and 6b, southbound service attachment to Apigee</w:t>
      </w:r>
      <w:r>
        <w:br/>
      </w:r>
      <w:r>
        <w:rPr>
          <w:rStyle w:val="VerbatimChar"/>
        </w:rPr>
        <w:t xml:space="preserve">7  7-apigee-runtime    endpoint attachment (consumes 6c's service attachment, not stage</w:t>
      </w:r>
      <w:r>
        <w:br/>
      </w:r>
      <w:r>
        <w:rPr>
          <w:rStyle w:val="VerbatimChar"/>
        </w:rPr>
        <w:t xml:space="preserve">                       5's), KVM containers</w:t>
      </w:r>
      <w:r>
        <w:br/>
      </w:r>
      <w:r>
        <w:rPr>
          <w:rStyle w:val="VerbatimChar"/>
        </w:rPr>
        <w:t xml:space="preserve">   proxies             apigeecli deploys proxy bundles, products, KVM values (not Terraform)</w:t>
      </w:r>
    </w:p>
    <w:bookmarkEnd w:id="261"/>
    <w:bookmarkStart w:id="262" w:name="terraform-state-management"/>
    <w:p>
      <w:pPr>
        <w:pStyle w:val="Heading2"/>
      </w:pPr>
      <w:r>
        <w:t xml:space="preserve">12.4 Terraform state management</w:t>
      </w:r>
    </w:p>
    <w:p>
      <w:pPr>
        <w:pStyle w:val="FirstParagraph"/>
      </w:pPr>
      <w:r>
        <w:t xml:space="preserve">One state file per stage, in a single CMEK-encrypted bucket,</w:t>
      </w:r>
      <w:r>
        <w:t xml:space="preserve"> </w:t>
      </w:r>
      <w:r>
        <w:rPr>
          <w:rStyle w:val="VerbatimChar"/>
        </w:rPr>
        <w:t xml:space="preserve">gs://aicoe-sharedwif-tfstate/</w:t>
      </w:r>
      <w:r>
        <w:t xml:space="preserve">, created by</w:t>
      </w:r>
      <w:r>
        <w:t xml:space="preserve"> </w:t>
      </w:r>
      <w:r>
        <w:rPr>
          <w:rStyle w:val="VerbatimChar"/>
        </w:rPr>
        <w:t xml:space="preserve">0-bootstrap</w:t>
      </w:r>
      <w:r>
        <w:t xml:space="preserve">:</w:t>
      </w:r>
    </w:p>
    <w:p>
      <w:pPr>
        <w:pStyle w:val="SourceCode"/>
      </w:pPr>
      <w:r>
        <w:rPr>
          <w:rStyle w:val="VerbatimChar"/>
        </w:rPr>
        <w:t xml:space="preserve">gs://aicoe-sharedwif-tfstate/</w:t>
      </w:r>
      <w:r>
        <w:br/>
      </w:r>
      <w:r>
        <w:rPr>
          <w:rStyle w:val="VerbatimChar"/>
        </w:rPr>
        <w:t xml:space="preserve">  0-bootstrap/</w:t>
      </w:r>
      <w:r>
        <w:br/>
      </w:r>
      <w:r>
        <w:rPr>
          <w:rStyle w:val="VerbatimChar"/>
        </w:rPr>
        <w:t xml:space="preserve">  1-org/</w:t>
      </w:r>
      <w:r>
        <w:br/>
      </w:r>
      <w:r>
        <w:rPr>
          <w:rStyle w:val="VerbatimChar"/>
        </w:rPr>
        <w:t xml:space="preserve">  2-foundations/</w:t>
      </w:r>
      <w:r>
        <w:br/>
      </w:r>
      <w:r>
        <w:rPr>
          <w:rStyle w:val="VerbatimChar"/>
        </w:rPr>
        <w:t xml:space="preserve">  3-network/</w:t>
      </w:r>
      <w:r>
        <w:br/>
      </w:r>
      <w:r>
        <w:rPr>
          <w:rStyle w:val="VerbatimChar"/>
        </w:rPr>
        <w:t xml:space="preserve">  4-apigee/</w:t>
      </w:r>
      <w:r>
        <w:br/>
      </w:r>
      <w:r>
        <w:rPr>
          <w:rStyle w:val="VerbatimChar"/>
        </w:rPr>
        <w:t xml:space="preserve">  5-network-psc/</w:t>
      </w:r>
      <w:r>
        <w:br/>
      </w:r>
      <w:r>
        <w:rPr>
          <w:rStyle w:val="VerbatimChar"/>
        </w:rPr>
        <w:t xml:space="preserve">  6-workloads/6a-aihub-ui/</w:t>
      </w:r>
      <w:r>
        <w:br/>
      </w:r>
      <w:r>
        <w:rPr>
          <w:rStyle w:val="VerbatimChar"/>
        </w:rPr>
        <w:t xml:space="preserve">  6-workloads/6b-st/</w:t>
      </w:r>
      <w:r>
        <w:br/>
      </w:r>
      <w:r>
        <w:rPr>
          <w:rStyle w:val="VerbatimChar"/>
        </w:rPr>
        <w:t xml:space="preserve">  6-workloads/6c-ingress/</w:t>
      </w:r>
      <w:r>
        <w:br/>
      </w:r>
      <w:r>
        <w:rPr>
          <w:rStyle w:val="VerbatimChar"/>
        </w:rPr>
        <w:t xml:space="preserve">  7-apigee-runtime/</w:t>
      </w:r>
    </w:p>
    <w:p>
      <w:pPr>
        <w:pStyle w:val="FirstParagraph"/>
      </w:pPr>
      <w:r>
        <w:t xml:space="preserve">Bucket settings: a dedicated</w:t>
      </w:r>
      <w:r>
        <w:t xml:space="preserve"> </w:t>
      </w:r>
      <w:r>
        <w:rPr>
          <w:rStyle w:val="VerbatimChar"/>
        </w:rPr>
        <w:t xml:space="preserve">tfstate</w:t>
      </w:r>
      <w:r>
        <w:t xml:space="preserve"> </w:t>
      </w:r>
      <w:r>
        <w:t xml:space="preserve">CMEK key with a 90-day rotation period, versioning on, uniform bucket-level access, public access prevention enforced, objects older than the twenty most recent versions deleted,</w:t>
      </w:r>
      <w:r>
        <w:t xml:space="preserve"> </w:t>
      </w:r>
      <w:r>
        <w:rPr>
          <w:rStyle w:val="VerbatimChar"/>
        </w:rPr>
        <w:t xml:space="preserve">prevent_destroy</w:t>
      </w:r>
      <w:r>
        <w:t xml:space="preserve"> </w:t>
      </w:r>
      <w:r>
        <w:t xml:space="preserve">set on the bucket itself.</w:t>
      </w:r>
    </w:p>
    <w:p>
      <w:pPr>
        <w:pStyle w:val="BodyText"/>
      </w:pPr>
      <w:r>
        <w:t xml:space="preserve">Access is scoped per stage, not by convention alone.</w:t>
      </w:r>
      <w:r>
        <w:t xml:space="preserve"> </w:t>
      </w:r>
      <w:r>
        <w:rPr>
          <w:rStyle w:val="VerbatimChar"/>
        </w:rPr>
        <w:t xml:space="preserve">0-bootstrap</w:t>
      </w:r>
      <w:r>
        <w:t xml:space="preserve"> </w:t>
      </w:r>
      <w:r>
        <w:t xml:space="preserve">creates one</w:t>
      </w:r>
      <w:r>
        <w:t xml:space="preserve"> </w:t>
      </w:r>
      <w:r>
        <w:rPr>
          <w:rStyle w:val="VerbatimChar"/>
        </w:rPr>
        <w:t xml:space="preserve">tf-deployer</w:t>
      </w:r>
      <w:r>
        <w:t xml:space="preserve"> </w:t>
      </w:r>
      <w:r>
        <w:t xml:space="preserve">service account per project and grants each</w:t>
      </w:r>
      <w:r>
        <w:t xml:space="preserve"> </w:t>
      </w:r>
      <w:r>
        <w:rPr>
          <w:rStyle w:val="VerbatimChar"/>
        </w:rPr>
        <w:t xml:space="preserve">roles/storage.objectAdmin</w:t>
      </w:r>
      <w:r>
        <w:t xml:space="preserve"> </w:t>
      </w:r>
      <w:r>
        <w:t xml:space="preserve">on the state bucket</w:t>
      </w:r>
      <w:r>
        <w:t xml:space="preserve"> </w:t>
      </w:r>
      <w:r>
        <w:rPr>
          <w:b/>
          <w:bCs/>
        </w:rPr>
        <w:t xml:space="preserve">with an IAM condition restricting it to that project’s own object prefix</w:t>
      </w:r>
      <w:r>
        <w:t xml:space="preserve">. A stage’s identity cannot read another stage’s state at all — this is the mechanism behind G8 (layered blast-radius containment), and the direct replacement for</w:t>
      </w:r>
      <w:r>
        <w:t xml:space="preserve"> </w:t>
      </w:r>
      <w:r>
        <w:rPr>
          <w:rStyle w:val="VerbatimChar"/>
        </w:rPr>
        <w:t xml:space="preserve">terraform_remote_state</w:t>
      </w:r>
      <w:r>
        <w:t xml:space="preserve"> </w:t>
      </w:r>
      <w:r>
        <w:t xml:space="preserve">cross-stack reads. Handoff between stages is by</w:t>
      </w:r>
      <w:r>
        <w:t xml:space="preserve"> </w:t>
      </w:r>
      <w:r>
        <w:rPr>
          <w:rStyle w:val="VerbatimChar"/>
        </w:rPr>
        <w:t xml:space="preserve">.auto.tfvars.json</w:t>
      </w:r>
      <w:r>
        <w:t xml:space="preserve"> </w:t>
      </w:r>
      <w:r>
        <w:t xml:space="preserve">artifact, published by each pipeline job and consumed by name, per</w:t>
      </w:r>
      <w:r>
        <w:t xml:space="preserve"> </w:t>
      </w:r>
      <w:r>
        <w:rPr>
          <w:b/>
          <w:bCs/>
        </w:rPr>
        <w:t xml:space="preserve">Pipeline</w:t>
      </w:r>
      <w:r>
        <w:t xml:space="preserve"> </w:t>
      </w:r>
      <w:r>
        <w:t xml:space="preserve">below — never by state access.</w:t>
      </w:r>
    </w:p>
    <w:bookmarkEnd w:id="262"/>
    <w:bookmarkStart w:id="263" w:name="Xd311056444232dd8f2985fc42e2ff4e061aff83"/>
    <w:p>
      <w:pPr>
        <w:pStyle w:val="Heading2"/>
      </w:pPr>
      <w:r>
        <w:t xml:space="preserve">12.5 Failure patterns addressed by the stage design</w:t>
      </w:r>
    </w:p>
    <w:p>
      <w:pPr>
        <w:pStyle w:val="FirstParagraph"/>
      </w:pPr>
      <w:r>
        <w:t xml:space="preserve">Two ordering traps are specific to this stage design and are not covered elsewhere in this document. The lazy creation of service agents, and the requirement that a KMS binding precede the resource it protects, are addressed in</w:t>
      </w:r>
      <w:r>
        <w:t xml:space="preserve"> </w:t>
      </w:r>
      <w:r>
        <w:rPr>
          <w:b/>
          <w:bCs/>
        </w:rPr>
        <w:t xml:space="preserve">Service agent creation order</w:t>
      </w:r>
      <w:r>
        <w:t xml:space="preserv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Pattern</w:t>
            </w:r>
          </w:p>
        </w:tc>
        <w:tc>
          <w:tcPr>
            <w:shd w:val="clear" w:color="auto" w:fill="1F3864"/>
          </w:tcPr>
          <w:p>
            <w:pPr>
              <w:pStyle w:val="Compact"/>
              <w:jc w:val="left"/>
            </w:pPr>
            <w:r>
              <w:rPr>
                <w:b/>
                <w:color w:val="FFFFFF"/>
              </w:rPr>
              <w:t xml:space="preserve">Where it bites</w:t>
            </w:r>
          </w:p>
        </w:tc>
        <w:tc>
          <w:tcPr>
            <w:shd w:val="clear" w:color="auto" w:fill="1F3864"/>
          </w:tcPr>
          <w:p>
            <w:pPr>
              <w:pStyle w:val="Compact"/>
              <w:jc w:val="left"/>
            </w:pPr>
            <w:r>
              <w:rPr>
                <w:b/>
                <w:color w:val="FFFFFF"/>
              </w:rPr>
              <w:t xml:space="preserve">Fix</w:t>
            </w:r>
          </w:p>
        </w:tc>
      </w:tr>
      <w:tr>
        <w:tc>
          <w:tcPr/>
          <w:p>
            <w:pPr>
              <w:pStyle w:val="Compact"/>
              <w:jc w:val="left"/>
            </w:pPr>
            <w:r>
              <w:t xml:space="preserve">A sink’s writer identity does not exist until the sink itself does, so granting it on the destination in the same apply fails</w:t>
            </w:r>
          </w:p>
        </w:tc>
        <w:tc>
          <w:tcPr/>
          <w:p>
            <w:pPr>
              <w:pStyle w:val="Compact"/>
              <w:jc w:val="left"/>
            </w:pPr>
            <w:r>
              <w:rPr>
                <w:rStyle w:val="VerbatimChar"/>
              </w:rPr>
              <w:t xml:space="preserve">2-foundations</w:t>
            </w:r>
          </w:p>
        </w:tc>
        <w:tc>
          <w:tcPr/>
          <w:p>
            <w:pPr>
              <w:pStyle w:val="Compact"/>
              <w:jc w:val="left"/>
            </w:pPr>
            <w:r>
              <w:t xml:space="preserve">The sink is created first; the grant on the writer identity follows as an explicit dependent step</w:t>
            </w:r>
          </w:p>
        </w:tc>
      </w:tr>
      <w:tr>
        <w:tc>
          <w:tcPr/>
          <w:p>
            <w:pPr>
              <w:pStyle w:val="Compact"/>
              <w:jc w:val="left"/>
            </w:pPr>
            <w:r>
              <w:t xml:space="preserve">The southbound endpoint attachment is wired to the wrong stage’s output — stage</w:t>
            </w:r>
            <w:r>
              <w:t xml:space="preserve"> </w:t>
            </w:r>
            <w:r>
              <w:rPr>
                <w:rStyle w:val="VerbatimChar"/>
              </w:rPr>
              <w:t xml:space="preserve">5-network-psc</w:t>
            </w:r>
            <w:r>
              <w:t xml:space="preserve">’s network PSC address, rather than stage</w:t>
            </w:r>
            <w:r>
              <w:t xml:space="preserve"> </w:t>
            </w:r>
            <w:r>
              <w:rPr>
                <w:rStyle w:val="VerbatimChar"/>
              </w:rPr>
              <w:t xml:space="preserve">6c-ingress</w:t>
            </w:r>
            <w:r>
              <w:t xml:space="preserve">’s service attachment</w:t>
            </w:r>
          </w:p>
        </w:tc>
        <w:tc>
          <w:tcPr/>
          <w:p>
            <w:pPr>
              <w:pStyle w:val="Compact"/>
              <w:jc w:val="left"/>
            </w:pPr>
            <w:r>
              <w:rPr>
                <w:rStyle w:val="VerbatimChar"/>
              </w:rPr>
              <w:t xml:space="preserve">7-apigee-runtime</w:t>
            </w:r>
          </w:p>
        </w:tc>
        <w:tc>
          <w:tcPr/>
          <w:p>
            <w:pPr>
              <w:pStyle w:val="Compact"/>
              <w:jc w:val="left"/>
            </w:pPr>
            <w:r>
              <w:t xml:space="preserve">The variable is documented in code as sourced from stage</w:t>
            </w:r>
            <w:r>
              <w:t xml:space="preserve"> </w:t>
            </w:r>
            <w:r>
              <w:rPr>
                <w:rStyle w:val="VerbatimChar"/>
              </w:rPr>
              <w:t xml:space="preserve">6c-ingress</w:t>
            </w:r>
            <w:r>
              <w:t xml:space="preserve">, precisely because this is the ordering detail most likely to be read backwards</w:t>
            </w:r>
          </w:p>
        </w:tc>
      </w:tr>
    </w:tbl>
    <w:bookmarkEnd w:id="263"/>
    <w:bookmarkStart w:id="265" w:name="pipeline"/>
    <w:p>
      <w:pPr>
        <w:pStyle w:val="Heading2"/>
      </w:pPr>
      <w:r>
        <w:t xml:space="preserve">12.6 Pipeline</w:t>
      </w:r>
    </w:p>
    <w:p>
      <w:pPr>
        <w:pStyle w:val="FirstParagraph"/>
      </w:pPr>
      <w:r>
        <w:t xml:space="preserve">The pipeline runs three kinds of job: a Terraform stage job for each stage in</w:t>
      </w:r>
      <w:r>
        <w:t xml:space="preserve"> </w:t>
      </w:r>
      <w:r>
        <w:rPr>
          <w:b/>
          <w:bCs/>
        </w:rPr>
        <w:t xml:space="preserve">Terraform stage model</w:t>
      </w:r>
      <w:r>
        <w:t xml:space="preserve">; an application container build-and-deploy job for each Cloud Run service, governed by</w:t>
      </w:r>
      <w:r>
        <w:t xml:space="preserve"> </w:t>
      </w:r>
      <w:r>
        <w:rPr>
          <w:b/>
          <w:bCs/>
        </w:rPr>
        <w:t xml:space="preserve">Artifact Registry and Binary Authorization</w:t>
      </w:r>
      <w:r>
        <w:t xml:space="preserve"> </w:t>
      </w:r>
      <w:r>
        <w:t xml:space="preserve">and TR-16 (signed and verified container images); and the</w:t>
      </w:r>
      <w:r>
        <w:t xml:space="preserve"> </w:t>
      </w:r>
      <w:r>
        <w:rPr>
          <w:rStyle w:val="VerbatimChar"/>
        </w:rPr>
        <w:t xml:space="preserve">proxies</w:t>
      </w:r>
      <w:r>
        <w:t xml:space="preserve"> </w:t>
      </w:r>
      <w:r>
        <w:t xml:space="preserve">job, which deploys Apigee configuration through</w:t>
      </w:r>
      <w:r>
        <w:t xml:space="preserve"> </w:t>
      </w:r>
      <w:r>
        <w:rPr>
          <w:rStyle w:val="VerbatimChar"/>
        </w:rPr>
        <w:t xml:space="preserve">apigeecli</w:t>
      </w:r>
      <w:r>
        <w:t xml:space="preserve"> </w:t>
      </w:r>
      <w:r>
        <w:t xml:space="preserve">rather than Terraform.</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Stage</w:t>
            </w:r>
          </w:p>
        </w:tc>
        <w:tc>
          <w:tcPr>
            <w:shd w:val="clear" w:color="auto" w:fill="1F3864"/>
          </w:tcPr>
          <w:p>
            <w:pPr>
              <w:pStyle w:val="Compact"/>
              <w:jc w:val="left"/>
            </w:pPr>
            <w:r>
              <w:rPr>
                <w:b/>
                <w:color w:val="FFFFFF"/>
              </w:rPr>
              <w:t xml:space="preserve">Trigger</w:t>
            </w:r>
          </w:p>
        </w:tc>
        <w:tc>
          <w:tcPr>
            <w:shd w:val="clear" w:color="auto" w:fill="1F3864"/>
          </w:tcPr>
          <w:p>
            <w:pPr>
              <w:pStyle w:val="Compact"/>
              <w:jc w:val="left"/>
            </w:pPr>
            <w:r>
              <w:rPr>
                <w:b/>
                <w:color w:val="FFFFFF"/>
              </w:rPr>
              <w:t xml:space="preserve">Action</w:t>
            </w:r>
          </w:p>
        </w:tc>
      </w:tr>
      <w:tr>
        <w:tc>
          <w:tcPr/>
          <w:p>
            <w:pPr>
              <w:pStyle w:val="Compact"/>
              <w:jc w:val="left"/>
            </w:pPr>
            <w:r>
              <w:t xml:space="preserve">validate</w:t>
            </w:r>
          </w:p>
        </w:tc>
        <w:tc>
          <w:tcPr/>
          <w:p>
            <w:pPr>
              <w:pStyle w:val="Compact"/>
              <w:jc w:val="left"/>
            </w:pPr>
            <w:r>
              <w:t xml:space="preserve">Every merge request and every push to the default branch</w:t>
            </w:r>
          </w:p>
        </w:tc>
        <w:tc>
          <w:tcPr/>
          <w:p>
            <w:pPr>
              <w:pStyle w:val="Compact"/>
              <w:jc w:val="left"/>
            </w:pPr>
            <w:r>
              <w:rPr>
                <w:rStyle w:val="VerbatimChar"/>
              </w:rPr>
              <w:t xml:space="preserve">terraform fmt -check</w:t>
            </w:r>
            <w:r>
              <w:t xml:space="preserve">, plus a validation script across every stage</w:t>
            </w:r>
          </w:p>
        </w:tc>
      </w:tr>
      <w:tr>
        <w:tc>
          <w:tcPr/>
          <w:p>
            <w:pPr>
              <w:pStyle w:val="Compact"/>
              <w:jc w:val="left"/>
            </w:pPr>
            <w:r>
              <w:t xml:space="preserve">policy</w:t>
            </w:r>
          </w:p>
        </w:tc>
        <w:tc>
          <w:tcPr/>
          <w:p>
            <w:pPr>
              <w:pStyle w:val="Compact"/>
              <w:jc w:val="left"/>
            </w:pPr>
            <w:r>
              <w:t xml:space="preserve">Every merge request and every push to the default branch</w:t>
            </w:r>
          </w:p>
        </w:tc>
        <w:tc>
          <w:tcPr/>
          <w:p>
            <w:pPr>
              <w:pStyle w:val="Compact"/>
              <w:jc w:val="left"/>
            </w:pPr>
            <w:r>
              <w:rPr>
                <w:rStyle w:val="VerbatimChar"/>
              </w:rPr>
              <w:t xml:space="preserve">ci/policy-check.sh</w:t>
            </w:r>
            <w:r>
              <w:t xml:space="preserve"> </w:t>
            </w:r>
            <w:r>
              <w:t xml:space="preserve">— the checks in</w:t>
            </w:r>
            <w:r>
              <w:t xml:space="preserve"> </w:t>
            </w:r>
            <w:r>
              <w:rPr>
                <w:b/>
                <w:bCs/>
              </w:rPr>
              <w:t xml:space="preserve">Policy as code</w:t>
            </w:r>
            <w:r>
              <w:t xml:space="preserve">. Runs before any plan is produced</w:t>
            </w:r>
          </w:p>
        </w:tc>
      </w:tr>
      <w:tr>
        <w:tc>
          <w:tcPr/>
          <w:p>
            <w:pPr>
              <w:pStyle w:val="Compact"/>
              <w:jc w:val="left"/>
            </w:pPr>
            <w:r>
              <w:t xml:space="preserve">plan</w:t>
            </w:r>
          </w:p>
        </w:tc>
        <w:tc>
          <w:tcPr/>
          <w:p>
            <w:pPr>
              <w:pStyle w:val="Compact"/>
              <w:jc w:val="left"/>
            </w:pPr>
            <w:r>
              <w:t xml:space="preserve">Every merge request touching a stage,</w:t>
            </w:r>
            <w:r>
              <w:t xml:space="preserve"> </w:t>
            </w:r>
            <w:r>
              <w:rPr>
                <w:rStyle w:val="VerbatimChar"/>
              </w:rPr>
              <w:t xml:space="preserve">modules/</w:t>
            </w:r>
            <w:r>
              <w:t xml:space="preserve"> </w:t>
            </w:r>
            <w:r>
              <w:t xml:space="preserve">or</w:t>
            </w:r>
            <w:r>
              <w:t xml:space="preserve"> </w:t>
            </w:r>
            <w:r>
              <w:rPr>
                <w:rStyle w:val="VerbatimChar"/>
              </w:rPr>
              <w:t xml:space="preserve">envs/</w:t>
            </w:r>
          </w:p>
        </w:tc>
        <w:tc>
          <w:tcPr/>
          <w:p>
            <w:pPr>
              <w:pStyle w:val="Compact"/>
              <w:jc w:val="left"/>
            </w:pPr>
            <w:r>
              <w:rPr>
                <w:rStyle w:val="VerbatimChar"/>
              </w:rPr>
              <w:t xml:space="preserve">terraform plan</w:t>
            </w:r>
            <w:r>
              <w:t xml:space="preserve">, saved as an artifact. On a merge request, the job stops after the plan — it does not apply</w:t>
            </w:r>
          </w:p>
        </w:tc>
      </w:tr>
      <w:tr>
        <w:tc>
          <w:tcPr/>
          <w:p>
            <w:pPr>
              <w:pStyle w:val="Compact"/>
              <w:jc w:val="left"/>
            </w:pPr>
            <w:r>
              <w:t xml:space="preserve">apply</w:t>
            </w:r>
          </w:p>
        </w:tc>
        <w:tc>
          <w:tcPr/>
          <w:p>
            <w:pPr>
              <w:pStyle w:val="Compact"/>
              <w:jc w:val="left"/>
            </w:pPr>
            <w:r>
              <w:t xml:space="preserve">Push to the default branch, the same file-change rule as plan</w:t>
            </w:r>
          </w:p>
        </w:tc>
        <w:tc>
          <w:tcPr/>
          <w:p>
            <w:pPr>
              <w:pStyle w:val="Compact"/>
              <w:jc w:val="left"/>
            </w:pPr>
            <w:r>
              <w:rPr>
                <w:rStyle w:val="VerbatimChar"/>
              </w:rPr>
              <w:t xml:space="preserve">terraform apply</w:t>
            </w:r>
            <w:r>
              <w:t xml:space="preserve">, then the stage’s outputs are published as a</w:t>
            </w:r>
            <w:r>
              <w:t xml:space="preserve"> </w:t>
            </w:r>
            <w:r>
              <w:rPr>
                <w:rStyle w:val="VerbatimChar"/>
              </w:rPr>
              <w:t xml:space="preserve">.auto.tfvars.json</w:t>
            </w:r>
            <w:r>
              <w:t xml:space="preserve"> </w:t>
            </w:r>
            <w:r>
              <w:t xml:space="preserve">artifact for downstream stages</w:t>
            </w:r>
          </w:p>
        </w:tc>
      </w:tr>
      <w:tr>
        <w:tc>
          <w:tcPr/>
          <w:p>
            <w:pPr>
              <w:pStyle w:val="Compact"/>
              <w:jc w:val="left"/>
            </w:pPr>
            <w:r>
              <w:rPr>
                <w:rStyle w:val="VerbatimChar"/>
              </w:rPr>
              <w:t xml:space="preserve">4-apigee</w:t>
            </w:r>
          </w:p>
        </w:tc>
        <w:tc>
          <w:tcPr/>
          <w:p>
            <w:pPr>
              <w:pStyle w:val="Compact"/>
              <w:jc w:val="left"/>
            </w:pPr>
            <w:r>
              <w:t xml:space="preserve">Manual, even on the default branch</w:t>
            </w:r>
          </w:p>
        </w:tc>
        <w:tc>
          <w:tcPr/>
          <w:p>
            <w:pPr>
              <w:pStyle w:val="Compact"/>
              <w:jc w:val="left"/>
            </w:pPr>
            <w:r>
              <w:t xml:space="preserve">The organisation and instance apply is deliberately not automatic, given the 30 to 60 minute elapsed time and the immutable settings fixed at this stage</w:t>
            </w:r>
          </w:p>
        </w:tc>
      </w:tr>
      <w:tr>
        <w:tc>
          <w:tcPr/>
          <w:p>
            <w:pPr>
              <w:pStyle w:val="Compact"/>
              <w:jc w:val="left"/>
            </w:pPr>
            <w:r>
              <w:rPr>
                <w:rStyle w:val="VerbatimChar"/>
              </w:rPr>
              <w:t xml:space="preserve">proxies</w:t>
            </w:r>
          </w:p>
        </w:tc>
        <w:tc>
          <w:tcPr/>
          <w:p>
            <w:pPr>
              <w:pStyle w:val="Compact"/>
              <w:jc w:val="left"/>
            </w:pPr>
            <w:r>
              <w:t xml:space="preserve">Push to the default branch, only when the proxy source changed</w:t>
            </w:r>
          </w:p>
        </w:tc>
        <w:tc>
          <w:tcPr/>
          <w:p>
            <w:pPr>
              <w:pStyle w:val="Compact"/>
              <w:jc w:val="left"/>
            </w:pPr>
            <w:r>
              <w:rPr>
                <w:rStyle w:val="VerbatimChar"/>
              </w:rPr>
              <w:t xml:space="preserve">ci/deploy-apigee-config.sh</w:t>
            </w:r>
            <w:r>
              <w:t xml:space="preserve">, gated by the Apigee proxy bundle checks in</w:t>
            </w:r>
            <w:r>
              <w:t xml:space="preserve"> </w:t>
            </w:r>
            <w:r>
              <w:rPr>
                <w:b/>
                <w:bCs/>
              </w:rPr>
              <w:t xml:space="preserve">Scanner inventory by artefact</w:t>
            </w:r>
            <w:r>
              <w:t xml:space="preserve"> </w:t>
            </w:r>
            <w:r>
              <w:t xml:space="preserve">before</w:t>
            </w:r>
            <w:r>
              <w:t xml:space="preserve"> </w:t>
            </w:r>
            <w:r>
              <w:rPr>
                <w:rStyle w:val="VerbatimChar"/>
              </w:rPr>
              <w:t xml:space="preserve">apigeecli</w:t>
            </w:r>
            <w:r>
              <w:t xml:space="preserve"> </w:t>
            </w:r>
            <w:r>
              <w:t xml:space="preserve">runs</w:t>
            </w:r>
          </w:p>
        </w:tc>
      </w:tr>
    </w:tbl>
    <w:p>
      <w:pPr>
        <w:pStyle w:val="BodyText"/>
      </w:pPr>
      <w:r>
        <w:t xml:space="preserve">Ordering is enforced three ways rather than left to whoever runs the apply: the pipeline’s stage list matches the numbered directories; each job’s declared dependencies are the dependency graph in</w:t>
      </w:r>
      <w:r>
        <w:t xml:space="preserve"> </w:t>
      </w:r>
      <w:r>
        <w:rPr>
          <w:b/>
          <w:bCs/>
        </w:rPr>
        <w:t xml:space="preserve">Stage dependency graph and apply order</w:t>
      </w:r>
      <w:r>
        <w:t xml:space="preserve">; and a file-change rule means a stage with no relevant change simply does not run.</w:t>
      </w:r>
    </w:p>
    <w:p>
      <w:pPr>
        <w:pStyle w:val="BodyText"/>
      </w:pPr>
      <w:r>
        <w:t xml:space="preserve">Pipeline authentication is by Workload Identity Federation, per</w:t>
      </w:r>
      <w:r>
        <w:t xml:space="preserve"> </w:t>
      </w:r>
      <w:r>
        <w:rPr>
          <w:b/>
          <w:bCs/>
        </w:rPr>
        <w:t xml:space="preserve">Workload Identity Federation — GitLab CI</w:t>
      </w:r>
      <w:r>
        <w:t xml:space="preserve"> </w:t>
      </w:r>
      <w:r>
        <w:t xml:space="preserve">and TR-14 (pipeline authentication by Workload Identity Federation with an attribute condition) — not redefined here.</w:t>
      </w:r>
    </w:p>
    <w:bookmarkStart w:id="264" w:name="policy-as-code"/>
    <w:p>
      <w:pPr>
        <w:pStyle w:val="Heading3"/>
      </w:pPr>
      <w:r>
        <w:t xml:space="preserve">12.6.1 Policy as code</w:t>
      </w:r>
    </w:p>
    <w:p>
      <w:pPr>
        <w:pStyle w:val="FirstParagraph"/>
      </w:pPr>
      <w:r>
        <w:rPr>
          <w:rStyle w:val="VerbatimChar"/>
        </w:rPr>
        <w:t xml:space="preserve">ci/policy-check.sh</w:t>
      </w:r>
      <w:r>
        <w:t xml:space="preserve"> </w:t>
      </w:r>
      <w:r>
        <w:t xml:space="preserve">runs in the policy job and fails the merge request before a plan is produced if any of the following is true anywhere in the Terraform tree: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Check</w:t>
            </w:r>
          </w:p>
        </w:tc>
        <w:tc>
          <w:tcPr>
            <w:shd w:val="clear" w:color="auto" w:fill="1F3864"/>
          </w:tcPr>
          <w:p>
            <w:pPr>
              <w:pStyle w:val="Compact"/>
              <w:jc w:val="left"/>
            </w:pPr>
            <w:r>
              <w:rPr>
                <w:b/>
                <w:color w:val="FFFFFF"/>
              </w:rPr>
              <w:t xml:space="preserve">What it catches</w:t>
            </w:r>
          </w:p>
        </w:tc>
      </w:tr>
      <w:tr>
        <w:tc>
          <w:tcPr/>
          <w:p>
            <w:pPr>
              <w:pStyle w:val="Compact"/>
              <w:jc w:val="left"/>
            </w:pPr>
            <w:r>
              <w:t xml:space="preserve">1</w:t>
            </w:r>
          </w:p>
        </w:tc>
        <w:tc>
          <w:tcPr/>
          <w:p>
            <w:pPr>
              <w:pStyle w:val="Compact"/>
              <w:jc w:val="left"/>
            </w:pPr>
            <w:r>
              <w:t xml:space="preserve">No</w:t>
            </w:r>
            <w:r>
              <w:t xml:space="preserve"> </w:t>
            </w:r>
            <w:r>
              <w:rPr>
                <w:rStyle w:val="VerbatimChar"/>
              </w:rPr>
              <w:t xml:space="preserve">allUsers</w:t>
            </w:r>
            <w:r>
              <w:t xml:space="preserve"> </w:t>
            </w:r>
            <w:r>
              <w:t xml:space="preserve">or</w:t>
            </w:r>
            <w:r>
              <w:t xml:space="preserve"> </w:t>
            </w:r>
            <w:r>
              <w:rPr>
                <w:rStyle w:val="VerbatimChar"/>
              </w:rPr>
              <w:t xml:space="preserve">allAuthenticatedUsers</w:t>
            </w:r>
            <w:r>
              <w:t xml:space="preserve"> </w:t>
            </w:r>
            <w:r>
              <w:t xml:space="preserve">IAM member, anywhere</w:t>
            </w:r>
          </w:p>
        </w:tc>
        <w:tc>
          <w:tcPr/>
          <w:p>
            <w:pPr>
              <w:pStyle w:val="Compact"/>
              <w:jc w:val="left"/>
            </w:pPr>
            <w:r>
              <w:t xml:space="preserve">A public binding. This duplicates</w:t>
            </w:r>
            <w:r>
              <w:t xml:space="preserve"> </w:t>
            </w:r>
            <w:r>
              <w:rPr>
                <w:rStyle w:val="VerbatimChar"/>
              </w:rPr>
              <w:t xml:space="preserve">iam.allowedPolicyMemberDomains</w:t>
            </w:r>
            <w:r>
              <w:t xml:space="preserve">, the organisation policy applied at the</w:t>
            </w:r>
            <w:r>
              <w:t xml:space="preserve"> </w:t>
            </w:r>
            <w:r>
              <w:rPr>
                <w:rStyle w:val="VerbatimChar"/>
              </w:rPr>
              <w:t xml:space="preserve">AI COE</w:t>
            </w:r>
            <w:r>
              <w:t xml:space="preserve"> </w:t>
            </w:r>
            <w:r>
              <w:t xml:space="preserve">folder, but enforces the same position a second time, earlier, in code — the only place in this Terraform that would catch a violation, since that organisation policy is not itself represented as a resource here</w:t>
            </w:r>
          </w:p>
        </w:tc>
      </w:tr>
      <w:tr>
        <w:tc>
          <w:tcPr/>
          <w:p>
            <w:pPr>
              <w:pStyle w:val="Compact"/>
              <w:jc w:val="left"/>
            </w:pPr>
            <w:r>
              <w:t xml:space="preserve">2</w:t>
            </w:r>
          </w:p>
        </w:tc>
        <w:tc>
          <w:tcPr/>
          <w:p>
            <w:pPr>
              <w:pStyle w:val="Compact"/>
              <w:jc w:val="left"/>
            </w:pPr>
            <w:r>
              <w:t xml:space="preserve">No Cloud Run resource sets</w:t>
            </w:r>
            <w:r>
              <w:t xml:space="preserve"> </w:t>
            </w:r>
            <w:r>
              <w:rPr>
                <w:rStyle w:val="VerbatimChar"/>
              </w:rPr>
              <w:t xml:space="preserve">ingress = "INGRESS_TRAFFIC_ALL"</w:t>
            </w:r>
          </w:p>
        </w:tc>
        <w:tc>
          <w:tcPr/>
          <w:p>
            <w:pPr>
              <w:pStyle w:val="Compact"/>
              <w:jc w:val="left"/>
            </w:pPr>
            <w:r>
              <w:t xml:space="preserve">A service accidentally made internet-reachable</w:t>
            </w:r>
          </w:p>
        </w:tc>
      </w:tr>
      <w:tr>
        <w:tc>
          <w:tcPr/>
          <w:p>
            <w:pPr>
              <w:pStyle w:val="Compact"/>
              <w:jc w:val="left"/>
            </w:pPr>
            <w:r>
              <w:t xml:space="preserve">3</w:t>
            </w:r>
          </w:p>
        </w:tc>
        <w:tc>
          <w:tcPr/>
          <w:p>
            <w:pPr>
              <w:pStyle w:val="Compact"/>
              <w:jc w:val="left"/>
            </w:pPr>
            <w:r>
              <w:t xml:space="preserve">Every Cloud Storage bucket, BigQuery dataset and Artifact Registry repository sets a CMEK key reference</w:t>
            </w:r>
          </w:p>
        </w:tc>
        <w:tc>
          <w:tcPr/>
          <w:p>
            <w:pPr>
              <w:pStyle w:val="Compact"/>
              <w:jc w:val="left"/>
            </w:pPr>
            <w:r>
              <w:t xml:space="preserve">A resource created without CMEK</w:t>
            </w:r>
          </w:p>
        </w:tc>
      </w:tr>
      <w:tr>
        <w:tc>
          <w:tcPr/>
          <w:p>
            <w:pPr>
              <w:pStyle w:val="Compact"/>
              <w:jc w:val="left"/>
            </w:pPr>
            <w:r>
              <w:t xml:space="preserve">4</w:t>
            </w:r>
          </w:p>
        </w:tc>
        <w:tc>
          <w:tcPr/>
          <w:p>
            <w:pPr>
              <w:pStyle w:val="Compact"/>
              <w:jc w:val="left"/>
            </w:pPr>
            <w:r>
              <w:t xml:space="preserve">The state bucket, the Apigee organisation and the AI Hub reserved address all set</w:t>
            </w:r>
            <w:r>
              <w:t xml:space="preserve"> </w:t>
            </w:r>
            <w:r>
              <w:rPr>
                <w:rStyle w:val="VerbatimChar"/>
              </w:rPr>
              <w:t xml:space="preserve">prevent_destroy</w:t>
            </w:r>
          </w:p>
        </w:tc>
        <w:tc>
          <w:tcPr/>
          <w:p>
            <w:pPr>
              <w:pStyle w:val="Compact"/>
              <w:jc w:val="left"/>
            </w:pPr>
            <w:r>
              <w:t xml:space="preserve">An irreplaceable resource left deletable</w:t>
            </w:r>
          </w:p>
        </w:tc>
      </w:tr>
      <w:tr>
        <w:tc>
          <w:tcPr/>
          <w:p>
            <w:pPr>
              <w:pStyle w:val="Compact"/>
              <w:jc w:val="left"/>
            </w:pPr>
            <w:r>
              <w:t xml:space="preserve">5</w:t>
            </w:r>
          </w:p>
        </w:tc>
        <w:tc>
          <w:tcPr/>
          <w:p>
            <w:pPr>
              <w:pStyle w:val="Compact"/>
              <w:jc w:val="left"/>
            </w:pPr>
            <w:r>
              <w:t xml:space="preserve">No</w:t>
            </w:r>
            <w:r>
              <w:t xml:space="preserve"> </w:t>
            </w:r>
            <w:r>
              <w:rPr>
                <w:rStyle w:val="VerbatimChar"/>
              </w:rPr>
              <w:t xml:space="preserve">google_service_account_key</w:t>
            </w:r>
            <w:r>
              <w:t xml:space="preserve"> </w:t>
            </w:r>
            <w:r>
              <w:t xml:space="preserve">resource anywhere</w:t>
            </w:r>
          </w:p>
        </w:tc>
        <w:tc>
          <w:tcPr/>
          <w:p>
            <w:pPr>
              <w:pStyle w:val="Compact"/>
              <w:jc w:val="left"/>
            </w:pPr>
            <w:r>
              <w:t xml:space="preserve">A long-lived key created in code, which</w:t>
            </w:r>
            <w:r>
              <w:t xml:space="preserve"> </w:t>
            </w:r>
            <w:r>
              <w:rPr>
                <w:rStyle w:val="VerbatimChar"/>
              </w:rPr>
              <w:t xml:space="preserve">iam.disableServiceAccountKeyCreation</w:t>
            </w:r>
            <w:r>
              <w:t xml:space="preserve"> </w:t>
            </w:r>
            <w:r>
              <w:t xml:space="preserve">would reject at apply time regardless — caught here before the apply runs</w:t>
            </w:r>
          </w:p>
        </w:tc>
      </w:tr>
    </w:tbl>
    <w:p>
      <w:pPr>
        <w:pStyle w:val="BodyText"/>
      </w:pPr>
      <w:r>
        <w:t xml:space="preserve">A sixth check, requiring every project-factory input file to define cost-attribution labels, was removed when project creation moved outside this Terraform, per</w:t>
      </w:r>
      <w:r>
        <w:t xml:space="preserve"> </w:t>
      </w:r>
      <w:r>
        <w:rPr>
          <w:b/>
          <w:bCs/>
        </w:rPr>
        <w:t xml:space="preserve">Stage</w:t>
      </w:r>
      <w:r>
        <w:rPr>
          <w:b/>
          <w:bCs/>
        </w:rPr>
        <w:t xml:space="preserve"> </w:t>
      </w:r>
      <w:r>
        <w:rPr>
          <w:rStyle w:val="VerbatimChar"/>
          <w:b/>
          <w:bCs/>
        </w:rPr>
        <w:t xml:space="preserve">1-org</w:t>
      </w:r>
      <w:r>
        <w:rPr>
          <w:b/>
          <w:bCs/>
        </w:rPr>
        <w:t xml:space="preserve"> </w:t>
      </w:r>
      <w:r>
        <w:rPr>
          <w:b/>
          <w:bCs/>
        </w:rPr>
        <w:t xml:space="preserve">scope</w:t>
      </w:r>
      <w:r>
        <w:t xml:space="preserve"> </w:t>
      </w:r>
      <w:r>
        <w:t xml:space="preserve">— there is no longer a file for it to check.</w:t>
      </w:r>
    </w:p>
    <w:bookmarkEnd w:id="264"/>
    <w:bookmarkEnd w:id="265"/>
    <w:bookmarkStart w:id="270" w:name="pipeline-security-and-code-scanning"/>
    <w:p>
      <w:pPr>
        <w:pStyle w:val="Heading2"/>
      </w:pPr>
      <w:r>
        <w:t xml:space="preserve">12.7 Pipeline security and code scanning</w:t>
      </w:r>
    </w:p>
    <w:p>
      <w:pPr>
        <w:pStyle w:val="FirstParagraph"/>
      </w:pPr>
      <w:r>
        <w:t xml:space="preserve">Scanning is the control that catches what a design review does not: a vulnerable transitive dependency, a secret committed by mistake, an outdated base image. Every gate below is a control on the pipeline itself, per CR-18 (automated security scanning of application source, dependencies, container images and infrastructure-as-code, with defined severity thresholds and a bounded exception process).</w:t>
      </w:r>
    </w:p>
    <w:bookmarkStart w:id="266" w:name="scanner-inventory-by-artefact"/>
    <w:p>
      <w:pPr>
        <w:pStyle w:val="Heading3"/>
      </w:pPr>
      <w:r>
        <w:t xml:space="preserve">12.7.1 Scanner inventory by artefact</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Artefact</w:t>
            </w:r>
          </w:p>
        </w:tc>
        <w:tc>
          <w:tcPr>
            <w:shd w:val="clear" w:color="auto" w:fill="1F3864"/>
          </w:tcPr>
          <w:p>
            <w:pPr>
              <w:pStyle w:val="Compact"/>
              <w:jc w:val="left"/>
            </w:pPr>
            <w:r>
              <w:rPr>
                <w:b/>
                <w:color w:val="FFFFFF"/>
              </w:rPr>
              <w:t xml:space="preserve">Scanner</w:t>
            </w:r>
          </w:p>
        </w:tc>
        <w:tc>
          <w:tcPr>
            <w:shd w:val="clear" w:color="auto" w:fill="1F3864"/>
          </w:tcPr>
          <w:p>
            <w:pPr>
              <w:pStyle w:val="Compact"/>
              <w:jc w:val="left"/>
            </w:pPr>
            <w:r>
              <w:rPr>
                <w:b/>
                <w:color w:val="FFFFFF"/>
              </w:rPr>
              <w:t xml:space="preserve">Pipeline stage</w:t>
            </w:r>
          </w:p>
        </w:tc>
      </w:tr>
      <w:tr>
        <w:tc>
          <w:tcPr/>
          <w:p>
            <w:pPr>
              <w:pStyle w:val="Compact"/>
              <w:jc w:val="left"/>
            </w:pPr>
            <w:r>
              <w:t xml:space="preserve">Application source</w:t>
            </w:r>
          </w:p>
        </w:tc>
        <w:tc>
          <w:tcPr/>
          <w:p>
            <w:pPr>
              <w:pStyle w:val="Compact"/>
              <w:jc w:val="left"/>
            </w:pPr>
            <w:r>
              <w:t xml:space="preserve">SAST analysis plus a project-specific ruleset</w:t>
            </w:r>
          </w:p>
        </w:tc>
        <w:tc>
          <w:tcPr/>
          <w:p>
            <w:pPr>
              <w:pStyle w:val="Compact"/>
              <w:jc w:val="left"/>
            </w:pPr>
            <w:r>
              <w:t xml:space="preserve">lint / test</w:t>
            </w:r>
          </w:p>
        </w:tc>
      </w:tr>
      <w:tr>
        <w:tc>
          <w:tcPr/>
          <w:p>
            <w:pPr>
              <w:pStyle w:val="Compact"/>
              <w:jc w:val="left"/>
            </w:pPr>
            <w:r>
              <w:t xml:space="preserve">Secrets in source</w:t>
            </w:r>
          </w:p>
        </w:tc>
        <w:tc>
          <w:tcPr/>
          <w:p>
            <w:pPr>
              <w:pStyle w:val="Compact"/>
              <w:jc w:val="left"/>
            </w:pPr>
            <w:r>
              <w:t xml:space="preserve">Secret detection on the repository, and a pre-commit hook so a secret is caught before it reaches the remote at all</w:t>
            </w:r>
          </w:p>
        </w:tc>
        <w:tc>
          <w:tcPr/>
          <w:p>
            <w:pPr>
              <w:pStyle w:val="Compact"/>
              <w:jc w:val="left"/>
            </w:pPr>
            <w:r>
              <w:t xml:space="preserve">pre-commit and test</w:t>
            </w:r>
          </w:p>
        </w:tc>
      </w:tr>
      <w:tr>
        <w:tc>
          <w:tcPr/>
          <w:p>
            <w:pPr>
              <w:pStyle w:val="Compact"/>
              <w:jc w:val="left"/>
            </w:pPr>
            <w:r>
              <w:t xml:space="preserve">Application dependencies</w:t>
            </w:r>
          </w:p>
        </w:tc>
        <w:tc>
          <w:tcPr/>
          <w:p>
            <w:pPr>
              <w:pStyle w:val="Compact"/>
              <w:jc w:val="left"/>
            </w:pPr>
            <w:r>
              <w:t xml:space="preserve">Dependency scanning against the resolved lock file</w:t>
            </w:r>
          </w:p>
        </w:tc>
        <w:tc>
          <w:tcPr/>
          <w:p>
            <w:pPr>
              <w:pStyle w:val="Compact"/>
              <w:jc w:val="left"/>
            </w:pPr>
            <w:r>
              <w:t xml:space="preserve">test</w:t>
            </w:r>
          </w:p>
        </w:tc>
      </w:tr>
      <w:tr>
        <w:tc>
          <w:tcPr/>
          <w:p>
            <w:pPr>
              <w:pStyle w:val="Compact"/>
              <w:jc w:val="left"/>
            </w:pPr>
            <w:r>
              <w:t xml:space="preserve">Dependency integrity</w:t>
            </w:r>
          </w:p>
        </w:tc>
        <w:tc>
          <w:tcPr/>
          <w:p>
            <w:pPr>
              <w:pStyle w:val="Compact"/>
              <w:jc w:val="left"/>
            </w:pPr>
            <w:r>
              <w:t xml:space="preserve">Frozen-lock install with hash pinning in the lock file</w:t>
            </w:r>
          </w:p>
        </w:tc>
        <w:tc>
          <w:tcPr/>
          <w:p>
            <w:pPr>
              <w:pStyle w:val="Compact"/>
              <w:jc w:val="left"/>
            </w:pPr>
            <w:r>
              <w:t xml:space="preserve">build</w:t>
            </w:r>
          </w:p>
        </w:tc>
      </w:tr>
      <w:tr>
        <w:tc>
          <w:tcPr/>
          <w:p>
            <w:pPr>
              <w:pStyle w:val="Compact"/>
              <w:jc w:val="left"/>
            </w:pPr>
            <w:r>
              <w:t xml:space="preserve">Container images</w:t>
            </w:r>
          </w:p>
        </w:tc>
        <w:tc>
          <w:tcPr/>
          <w:p>
            <w:pPr>
              <w:pStyle w:val="Compact"/>
              <w:jc w:val="left"/>
            </w:pPr>
            <w:r>
              <w:t xml:space="preserve">Vulnerability scanning on push, per</w:t>
            </w:r>
            <w:r>
              <w:t xml:space="preserve"> </w:t>
            </w:r>
            <w:r>
              <w:rPr>
                <w:b/>
                <w:bCs/>
              </w:rPr>
              <w:t xml:space="preserve">Artifact Registry and Binary Authorization</w:t>
            </w:r>
          </w:p>
        </w:tc>
        <w:tc>
          <w:tcPr/>
          <w:p>
            <w:pPr>
              <w:pStyle w:val="Compact"/>
              <w:jc w:val="left"/>
            </w:pPr>
            <w:r>
              <w:t xml:space="preserve">Post-push, continuous</w:t>
            </w:r>
          </w:p>
        </w:tc>
      </w:tr>
      <w:tr>
        <w:tc>
          <w:tcPr/>
          <w:p>
            <w:pPr>
              <w:pStyle w:val="Compact"/>
              <w:jc w:val="left"/>
            </w:pPr>
            <w:r>
              <w:t xml:space="preserve">Container admission</w:t>
            </w:r>
          </w:p>
        </w:tc>
        <w:tc>
          <w:tcPr/>
          <w:p>
            <w:pPr>
              <w:pStyle w:val="Compact"/>
              <w:jc w:val="left"/>
            </w:pPr>
            <w:r>
              <w:t xml:space="preserve">Binary Authorization attestation check, per</w:t>
            </w:r>
            <w:r>
              <w:t xml:space="preserve"> </w:t>
            </w:r>
            <w:r>
              <w:rPr>
                <w:b/>
                <w:bCs/>
              </w:rPr>
              <w:t xml:space="preserve">Artifact Registry and Binary Authorization</w:t>
            </w:r>
          </w:p>
        </w:tc>
        <w:tc>
          <w:tcPr/>
          <w:p>
            <w:pPr>
              <w:pStyle w:val="Compact"/>
              <w:jc w:val="left"/>
            </w:pPr>
            <w:r>
              <w:t xml:space="preserve">deploy</w:t>
            </w:r>
          </w:p>
        </w:tc>
      </w:tr>
      <w:tr>
        <w:tc>
          <w:tcPr/>
          <w:p>
            <w:pPr>
              <w:pStyle w:val="Compact"/>
              <w:jc w:val="left"/>
            </w:pPr>
            <w:r>
              <w:t xml:space="preserve">Terraform and infrastructure-as-code</w:t>
            </w:r>
          </w:p>
        </w:tc>
        <w:tc>
          <w:tcPr/>
          <w:p>
            <w:pPr>
              <w:pStyle w:val="Compact"/>
              <w:jc w:val="left"/>
            </w:pPr>
            <w:r>
              <w:rPr>
                <w:rStyle w:val="VerbatimChar"/>
              </w:rPr>
              <w:t xml:space="preserve">tflint</w:t>
            </w:r>
            <w:r>
              <w:t xml:space="preserve">, plus IaC security scanning against the CIS GCP Foundation Benchmark ruleset, plus the checks in</w:t>
            </w:r>
            <w:r>
              <w:t xml:space="preserve"> </w:t>
            </w:r>
            <w:r>
              <w:rPr>
                <w:b/>
                <w:bCs/>
              </w:rPr>
              <w:t xml:space="preserve">Policy as code</w:t>
            </w:r>
          </w:p>
        </w:tc>
        <w:tc>
          <w:tcPr/>
          <w:p>
            <w:pPr>
              <w:pStyle w:val="Compact"/>
              <w:jc w:val="left"/>
            </w:pPr>
            <w:r>
              <w:t xml:space="preserve">validate</w:t>
            </w:r>
          </w:p>
        </w:tc>
      </w:tr>
      <w:tr>
        <w:tc>
          <w:tcPr/>
          <w:p>
            <w:pPr>
              <w:pStyle w:val="Compact"/>
              <w:jc w:val="left"/>
            </w:pPr>
            <w:r>
              <w:t xml:space="preserve">Apigee proxy bundles</w:t>
            </w:r>
          </w:p>
        </w:tc>
        <w:tc>
          <w:tcPr/>
          <w:p>
            <w:pPr>
              <w:pStyle w:val="Compact"/>
              <w:jc w:val="left"/>
            </w:pPr>
            <w:r>
              <w:t xml:space="preserve">A check that no Extensible policy appears in an</w:t>
            </w:r>
            <w:r>
              <w:t xml:space="preserve"> </w:t>
            </w:r>
            <w:r>
              <w:rPr>
                <w:rStyle w:val="VerbatimChar"/>
              </w:rPr>
              <w:t xml:space="preserve">int</w:t>
            </w:r>
            <w:r>
              <w:t xml:space="preserve">-targeted proxy, per TR-20 (the</w:t>
            </w:r>
            <w:r>
              <w:t xml:space="preserve"> </w:t>
            </w:r>
            <w:r>
              <w:rPr>
                <w:rStyle w:val="VerbatimChar"/>
              </w:rPr>
              <w:t xml:space="preserve">int</w:t>
            </w:r>
            <w:r>
              <w:t xml:space="preserve"> </w:t>
            </w:r>
            <w:r>
              <w:t xml:space="preserve">environment contains only Standard policies); a check that</w:t>
            </w:r>
            <w:r>
              <w:t xml:space="preserve"> </w:t>
            </w:r>
            <w:r>
              <w:rPr>
                <w:rStyle w:val="VerbatimChar"/>
              </w:rPr>
              <w:t xml:space="preserve">UseEffectiveCount</w:t>
            </w:r>
            <w:r>
              <w:t xml:space="preserve"> </w:t>
            </w:r>
            <w:r>
              <w:t xml:space="preserve">is present on every</w:t>
            </w:r>
            <w:r>
              <w:t xml:space="preserve"> </w:t>
            </w:r>
            <w:r>
              <w:rPr>
                <w:rStyle w:val="VerbatimChar"/>
              </w:rPr>
              <w:t xml:space="preserve">SpikeArrest</w:t>
            </w:r>
            <w:r>
              <w:t xml:space="preserve">; the negative test suite covering IAM, Backend-for-Frontend, Apigee and Vector Search</w:t>
            </w:r>
          </w:p>
        </w:tc>
        <w:tc>
          <w:tcPr/>
          <w:p>
            <w:pPr>
              <w:pStyle w:val="Compact"/>
              <w:jc w:val="left"/>
            </w:pPr>
            <w:r>
              <w:t xml:space="preserve">validate / test</w:t>
            </w:r>
          </w:p>
        </w:tc>
      </w:tr>
      <w:tr>
        <w:tc>
          <w:tcPr/>
          <w:p>
            <w:pPr>
              <w:pStyle w:val="Compact"/>
              <w:jc w:val="left"/>
            </w:pPr>
            <w:r>
              <w:t xml:space="preserve">AI guardrail and security regression</w:t>
            </w:r>
          </w:p>
        </w:tc>
        <w:tc>
          <w:tcPr/>
          <w:p>
            <w:pPr>
              <w:pStyle w:val="Compact"/>
              <w:jc w:val="left"/>
            </w:pPr>
            <w:r>
              <w:t xml:space="preserve">A regression suite covering guardrail, safety, PII and authentication paths, with a coverage floor</w:t>
            </w:r>
          </w:p>
        </w:tc>
        <w:tc>
          <w:tcPr/>
          <w:p>
            <w:pPr>
              <w:pStyle w:val="Compact"/>
              <w:jc w:val="left"/>
            </w:pPr>
            <w:r>
              <w:t xml:space="preserve">test</w:t>
            </w:r>
          </w:p>
        </w:tc>
      </w:tr>
      <w:tr>
        <w:tc>
          <w:tcPr/>
          <w:p>
            <w:pPr>
              <w:pStyle w:val="Compact"/>
              <w:jc w:val="left"/>
            </w:pPr>
            <w:r>
              <w:t xml:space="preserve">Running API</w:t>
            </w:r>
          </w:p>
        </w:tc>
        <w:tc>
          <w:tcPr/>
          <w:p>
            <w:pPr>
              <w:pStyle w:val="Compact"/>
              <w:jc w:val="left"/>
            </w:pPr>
            <w:r>
              <w:t xml:space="preserve">Dynamic Application Security Testing (DAST), already built into GitLab CI</w:t>
            </w:r>
          </w:p>
        </w:tc>
        <w:tc>
          <w:tcPr/>
          <w:p>
            <w:pPr>
              <w:pStyle w:val="Compact"/>
              <w:jc w:val="left"/>
            </w:pPr>
            <w:r>
              <w:t xml:space="preserve">test (post-deploy, non-production)</w:t>
            </w:r>
          </w:p>
        </w:tc>
      </w:tr>
    </w:tbl>
    <w:bookmarkEnd w:id="266"/>
    <w:bookmarkStart w:id="267" w:name="gate-policy-what-blocks-a-release"/>
    <w:p>
      <w:pPr>
        <w:pStyle w:val="Heading3"/>
      </w:pPr>
      <w:r>
        <w:t xml:space="preserve">12.7.2 Gate policy — what blocks a release</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Finding</w:t>
            </w:r>
          </w:p>
        </w:tc>
        <w:tc>
          <w:tcPr>
            <w:shd w:val="clear" w:color="auto" w:fill="1F3864"/>
          </w:tcPr>
          <w:p>
            <w:pPr>
              <w:pStyle w:val="Compact"/>
              <w:jc w:val="left"/>
            </w:pPr>
            <w:r>
              <w:rPr>
                <w:b/>
                <w:color w:val="FFFFFF"/>
              </w:rPr>
              <w:t xml:space="preserve">Build outcome</w:t>
            </w:r>
          </w:p>
        </w:tc>
        <w:tc>
          <w:tcPr>
            <w:shd w:val="clear" w:color="auto" w:fill="1F3864"/>
          </w:tcPr>
          <w:p>
            <w:pPr>
              <w:pStyle w:val="Compact"/>
              <w:jc w:val="left"/>
            </w:pPr>
            <w:r>
              <w:rPr>
                <w:b/>
                <w:color w:val="FFFFFF"/>
              </w:rPr>
              <w:t xml:space="preserve">Remediation</w:t>
            </w:r>
          </w:p>
        </w:tc>
        <w:tc>
          <w:tcPr>
            <w:shd w:val="clear" w:color="auto" w:fill="1F3864"/>
          </w:tcPr>
          <w:p>
            <w:pPr>
              <w:pStyle w:val="Compact"/>
              <w:jc w:val="left"/>
            </w:pPr>
            <w:r>
              <w:rPr>
                <w:b/>
                <w:color w:val="FFFFFF"/>
              </w:rPr>
              <w:t xml:space="preserve">Override</w:t>
            </w:r>
          </w:p>
        </w:tc>
      </w:tr>
      <w:tr>
        <w:tc>
          <w:tcPr/>
          <w:p>
            <w:pPr>
              <w:pStyle w:val="Compact"/>
              <w:jc w:val="left"/>
            </w:pPr>
            <w:r>
              <w:t xml:space="preserve">Verified secret in source</w:t>
            </w:r>
          </w:p>
        </w:tc>
        <w:tc>
          <w:tcPr/>
          <w:p>
            <w:pPr>
              <w:pStyle w:val="Compact"/>
              <w:jc w:val="left"/>
            </w:pPr>
            <w:r>
              <w:t xml:space="preserve">Block</w:t>
            </w:r>
          </w:p>
        </w:tc>
        <w:tc>
          <w:tcPr/>
          <w:p>
            <w:pPr>
              <w:pStyle w:val="Compact"/>
              <w:jc w:val="left"/>
            </w:pPr>
            <w:r>
              <w:t xml:space="preserve">The secret is rotated; the commit history does not remove the exposure</w:t>
            </w:r>
          </w:p>
        </w:tc>
        <w:tc>
          <w:tcPr/>
          <w:p>
            <w:pPr>
              <w:pStyle w:val="Compact"/>
              <w:jc w:val="left"/>
            </w:pPr>
            <w:r>
              <w:t xml:space="preserve">None. A secret that reached a remote is compromised regardless of later removal</w:t>
            </w:r>
          </w:p>
        </w:tc>
      </w:tr>
      <w:tr>
        <w:tc>
          <w:tcPr/>
          <w:p>
            <w:pPr>
              <w:pStyle w:val="Compact"/>
              <w:jc w:val="left"/>
            </w:pPr>
            <w:r>
              <w:t xml:space="preserve">Unsigned or non-attested image</w:t>
            </w:r>
          </w:p>
        </w:tc>
        <w:tc>
          <w:tcPr/>
          <w:p>
            <w:pPr>
              <w:pStyle w:val="Compact"/>
              <w:jc w:val="left"/>
            </w:pPr>
            <w:r>
              <w:t xml:space="preserve">Block at deploy, enforced by the platform, not the pipeline</w:t>
            </w:r>
          </w:p>
        </w:tc>
        <w:tc>
          <w:tcPr/>
          <w:p>
            <w:pPr>
              <w:pStyle w:val="Compact"/>
              <w:jc w:val="left"/>
            </w:pPr>
            <w:r>
              <w:t xml:space="preserve">Re-run the signing step</w:t>
            </w:r>
          </w:p>
        </w:tc>
        <w:tc>
          <w:tcPr/>
          <w:p>
            <w:pPr>
              <w:pStyle w:val="Compact"/>
              <w:jc w:val="left"/>
            </w:pPr>
            <w:r>
              <w:t xml:space="preserve">None. No exempt images</w:t>
            </w:r>
          </w:p>
        </w:tc>
      </w:tr>
      <w:tr>
        <w:tc>
          <w:tcPr/>
          <w:p>
            <w:pPr>
              <w:pStyle w:val="Compact"/>
              <w:jc w:val="left"/>
            </w:pPr>
            <w:r>
              <w:t xml:space="preserve">Critical severity finding, any scanner</w:t>
            </w:r>
          </w:p>
        </w:tc>
        <w:tc>
          <w:tcPr/>
          <w:p>
            <w:pPr>
              <w:pStyle w:val="Compact"/>
              <w:jc w:val="left"/>
            </w:pPr>
            <w:r>
              <w:t xml:space="preserve">Block</w:t>
            </w:r>
          </w:p>
        </w:tc>
        <w:tc>
          <w:tcPr/>
          <w:p>
            <w:pPr>
              <w:pStyle w:val="Compact"/>
              <w:jc w:val="left"/>
            </w:pPr>
            <w:r>
              <w:t xml:space="preserve">Remediate within 7 calendar days</w:t>
            </w:r>
          </w:p>
        </w:tc>
        <w:tc>
          <w:tcPr/>
          <w:p>
            <w:pPr>
              <w:pStyle w:val="Compact"/>
              <w:jc w:val="left"/>
            </w:pPr>
            <w:r>
              <w:t xml:space="preserve">None. The dependency is upgraded, replaced or removed</w:t>
            </w:r>
          </w:p>
        </w:tc>
      </w:tr>
      <w:tr>
        <w:tc>
          <w:tcPr/>
          <w:p>
            <w:pPr>
              <w:pStyle w:val="Compact"/>
              <w:jc w:val="left"/>
            </w:pPr>
            <w:r>
              <w:t xml:space="preserve">High severity, fix available</w:t>
            </w:r>
          </w:p>
        </w:tc>
        <w:tc>
          <w:tcPr/>
          <w:p>
            <w:pPr>
              <w:pStyle w:val="Compact"/>
              <w:jc w:val="left"/>
            </w:pPr>
            <w:r>
              <w:t xml:space="preserve">Block</w:t>
            </w:r>
          </w:p>
        </w:tc>
        <w:tc>
          <w:tcPr/>
          <w:p>
            <w:pPr>
              <w:pStyle w:val="Compact"/>
              <w:jc w:val="left"/>
            </w:pPr>
            <w:r>
              <w:t xml:space="preserve">Remediate within 30 calendar days</w:t>
            </w:r>
          </w:p>
        </w:tc>
        <w:tc>
          <w:tcPr/>
          <w:p>
            <w:pPr>
              <w:pStyle w:val="Compact"/>
              <w:jc w:val="left"/>
            </w:pPr>
            <w:r>
              <w:t xml:space="preserve">—</w:t>
            </w:r>
          </w:p>
        </w:tc>
      </w:tr>
      <w:tr>
        <w:tc>
          <w:tcPr/>
          <w:p>
            <w:pPr>
              <w:pStyle w:val="Compact"/>
              <w:jc w:val="left"/>
            </w:pPr>
            <w:r>
              <w:t xml:space="preserve">High severity, no fix available</w:t>
            </w:r>
          </w:p>
        </w:tc>
        <w:tc>
          <w:tcPr/>
          <w:p>
            <w:pPr>
              <w:pStyle w:val="Compact"/>
              <w:jc w:val="left"/>
            </w:pPr>
            <w:r>
              <w:t xml:space="preserve">Block, unless waived</w:t>
            </w:r>
          </w:p>
        </w:tc>
        <w:tc>
          <w:tcPr/>
          <w:p>
            <w:pPr>
              <w:pStyle w:val="Compact"/>
              <w:jc w:val="left"/>
            </w:pPr>
            <w:r>
              <w:t xml:space="preserve">30 days or until a fix publishes</w:t>
            </w:r>
          </w:p>
        </w:tc>
        <w:tc>
          <w:tcPr/>
          <w:p>
            <w:pPr>
              <w:pStyle w:val="Compact"/>
              <w:jc w:val="left"/>
            </w:pPr>
            <w:r>
              <w:t xml:space="preserve">A waiver naming a compensating control, per</w:t>
            </w:r>
            <w:r>
              <w:t xml:space="preserve"> </w:t>
            </w:r>
            <w:r>
              <w:rPr>
                <w:b/>
                <w:bCs/>
              </w:rPr>
              <w:t xml:space="preserve">Waiver and exception process</w:t>
            </w:r>
          </w:p>
        </w:tc>
      </w:tr>
      <w:tr>
        <w:tc>
          <w:tcPr/>
          <w:p>
            <w:pPr>
              <w:pStyle w:val="Compact"/>
              <w:jc w:val="left"/>
            </w:pPr>
            <w:r>
              <w:t xml:space="preserve">Medium severity</w:t>
            </w:r>
          </w:p>
        </w:tc>
        <w:tc>
          <w:tcPr/>
          <w:p>
            <w:pPr>
              <w:pStyle w:val="Compact"/>
              <w:jc w:val="left"/>
            </w:pPr>
            <w:r>
              <w:t xml:space="preserve">Pass; finding recorded and tracked</w:t>
            </w:r>
          </w:p>
        </w:tc>
        <w:tc>
          <w:tcPr/>
          <w:p>
            <w:pPr>
              <w:pStyle w:val="Compact"/>
              <w:jc w:val="left"/>
            </w:pPr>
            <w:r>
              <w:t xml:space="preserve">90 calendar days</w:t>
            </w:r>
          </w:p>
        </w:tc>
        <w:tc>
          <w:tcPr/>
          <w:p>
            <w:pPr>
              <w:pStyle w:val="Compact"/>
              <w:jc w:val="left"/>
            </w:pPr>
            <w:r>
              <w:t xml:space="preserve">Not required — reviewed at the periodic security review</w:t>
            </w:r>
          </w:p>
        </w:tc>
      </w:tr>
      <w:tr>
        <w:tc>
          <w:tcPr/>
          <w:p>
            <w:pPr>
              <w:pStyle w:val="Compact"/>
              <w:jc w:val="left"/>
            </w:pPr>
            <w:r>
              <w:t xml:space="preserve">Low or informational</w:t>
            </w:r>
          </w:p>
        </w:tc>
        <w:tc>
          <w:tcPr/>
          <w:p>
            <w:pPr>
              <w:pStyle w:val="Compact"/>
              <w:jc w:val="left"/>
            </w:pPr>
            <w:r>
              <w:t xml:space="preserve">Pass; finding recorded</w:t>
            </w:r>
          </w:p>
        </w:tc>
        <w:tc>
          <w:tcPr/>
          <w:p>
            <w:pPr>
              <w:pStyle w:val="Compact"/>
              <w:jc w:val="left"/>
            </w:pPr>
            <w:r>
              <w:t xml:space="preserve">Best effort</w:t>
            </w:r>
          </w:p>
        </w:tc>
        <w:tc>
          <w:tcPr/>
          <w:p>
            <w:pPr>
              <w:pStyle w:val="Compact"/>
              <w:jc w:val="left"/>
            </w:pPr>
            <w:r>
              <w:t xml:space="preserve">Not required</w:t>
            </w:r>
          </w:p>
        </w:tc>
      </w:tr>
      <w:tr>
        <w:tc>
          <w:tcPr/>
          <w:p>
            <w:pPr>
              <w:pStyle w:val="Compact"/>
              <w:jc w:val="left"/>
            </w:pPr>
            <w:r>
              <w:t xml:space="preserve">Extensible policy in an</w:t>
            </w:r>
            <w:r>
              <w:t xml:space="preserve"> </w:t>
            </w:r>
            <w:r>
              <w:rPr>
                <w:rStyle w:val="VerbatimChar"/>
              </w:rPr>
              <w:t xml:space="preserve">int</w:t>
            </w:r>
            <w:r>
              <w:t xml:space="preserve">-targeted proxy</w:t>
            </w:r>
          </w:p>
        </w:tc>
        <w:tc>
          <w:tcPr/>
          <w:p>
            <w:pPr>
              <w:pStyle w:val="Compact"/>
              <w:jc w:val="left"/>
            </w:pPr>
            <w:r>
              <w:t xml:space="preserve">Block</w:t>
            </w:r>
          </w:p>
        </w:tc>
        <w:tc>
          <w:tcPr/>
          <w:p>
            <w:pPr>
              <w:pStyle w:val="Compact"/>
              <w:jc w:val="left"/>
            </w:pPr>
            <w:r>
              <w:t xml:space="preserve">Rewrite with the Standard equivalent</w:t>
            </w:r>
          </w:p>
        </w:tc>
        <w:tc>
          <w:tcPr/>
          <w:p>
            <w:pPr>
              <w:pStyle w:val="Compact"/>
              <w:jc w:val="left"/>
            </w:pPr>
            <w:r>
              <w:t xml:space="preserve">A deliberate, approved tier change only</w:t>
            </w:r>
          </w:p>
        </w:tc>
      </w:tr>
      <w:tr>
        <w:tc>
          <w:tcPr/>
          <w:p>
            <w:pPr>
              <w:pStyle w:val="Compact"/>
              <w:jc w:val="left"/>
            </w:pPr>
            <w:r>
              <w:rPr>
                <w:rStyle w:val="VerbatimChar"/>
              </w:rPr>
              <w:t xml:space="preserve">SpikeArrest</w:t>
            </w:r>
            <w:r>
              <w:t xml:space="preserve"> </w:t>
            </w:r>
            <w:r>
              <w:t xml:space="preserve">without</w:t>
            </w:r>
            <w:r>
              <w:t xml:space="preserve"> </w:t>
            </w:r>
            <w:r>
              <w:rPr>
                <w:rStyle w:val="VerbatimChar"/>
              </w:rPr>
              <w:t xml:space="preserve">UseEffectiveCount</w:t>
            </w:r>
          </w:p>
        </w:tc>
        <w:tc>
          <w:tcPr/>
          <w:p>
            <w:pPr>
              <w:pStyle w:val="Compact"/>
              <w:jc w:val="left"/>
            </w:pPr>
            <w:r>
              <w:t xml:space="preserve">Block</w:t>
            </w:r>
          </w:p>
        </w:tc>
        <w:tc>
          <w:tcPr/>
          <w:p>
            <w:pPr>
              <w:pStyle w:val="Compact"/>
              <w:jc w:val="left"/>
            </w:pPr>
            <w:r>
              <w:t xml:space="preserve">Add the element</w:t>
            </w:r>
          </w:p>
        </w:tc>
        <w:tc>
          <w:tcPr/>
          <w:p>
            <w:pPr>
              <w:pStyle w:val="Compact"/>
              <w:jc w:val="left"/>
            </w:pPr>
            <w:r>
              <w:t xml:space="preserve">None</w:t>
            </w:r>
          </w:p>
        </w:tc>
      </w:tr>
      <w:tr>
        <w:tc>
          <w:tcPr/>
          <w:p>
            <w:pPr>
              <w:pStyle w:val="Compact"/>
              <w:jc w:val="left"/>
            </w:pPr>
            <w:r>
              <w:t xml:space="preserve">Terraform policy check failure</w:t>
            </w:r>
          </w:p>
        </w:tc>
        <w:tc>
          <w:tcPr/>
          <w:p>
            <w:pPr>
              <w:pStyle w:val="Compact"/>
              <w:jc w:val="left"/>
            </w:pPr>
            <w:r>
              <w:t xml:space="preserve">Block</w:t>
            </w:r>
          </w:p>
        </w:tc>
        <w:tc>
          <w:tcPr/>
          <w:p>
            <w:pPr>
              <w:pStyle w:val="Compact"/>
              <w:jc w:val="left"/>
            </w:pPr>
            <w:r>
              <w:t xml:space="preserve">Fix the resource</w:t>
            </w:r>
          </w:p>
        </w:tc>
        <w:tc>
          <w:tcPr/>
          <w:p>
            <w:pPr>
              <w:pStyle w:val="Compact"/>
              <w:jc w:val="left"/>
            </w:pPr>
            <w:r>
              <w:t xml:space="preserve">Documented waiver</w:t>
            </w:r>
          </w:p>
        </w:tc>
      </w:tr>
      <w:tr>
        <w:tc>
          <w:tcPr/>
          <w:p>
            <w:pPr>
              <w:pStyle w:val="Compact"/>
              <w:jc w:val="left"/>
            </w:pPr>
            <w:r>
              <w:t xml:space="preserve">IaC scan, medium finding</w:t>
            </w:r>
          </w:p>
        </w:tc>
        <w:tc>
          <w:tcPr/>
          <w:p>
            <w:pPr>
              <w:pStyle w:val="Compact"/>
              <w:jc w:val="left"/>
            </w:pPr>
            <w:r>
              <w:t xml:space="preserve">Warn</w:t>
            </w:r>
          </w:p>
        </w:tc>
        <w:tc>
          <w:tcPr/>
          <w:p>
            <w:pPr>
              <w:pStyle w:val="Compact"/>
              <w:jc w:val="left"/>
            </w:pPr>
            <w:r>
              <w:t xml:space="preserve">Backlog item</w:t>
            </w:r>
          </w:p>
        </w:tc>
        <w:tc>
          <w:tcPr/>
          <w:p>
            <w:pPr>
              <w:pStyle w:val="Compact"/>
              <w:jc w:val="left"/>
            </w:pPr>
            <w:r>
              <w:t xml:space="preserve">—</w:t>
            </w:r>
          </w:p>
        </w:tc>
      </w:tr>
      <w:tr>
        <w:tc>
          <w:tcPr/>
          <w:p>
            <w:pPr>
              <w:pStyle w:val="Compact"/>
              <w:jc w:val="left"/>
            </w:pPr>
            <w:r>
              <w:t xml:space="preserve">Any negative security test failing (IAM, Backend-for-Frontend, Apigee, Vector Search)</w:t>
            </w:r>
          </w:p>
        </w:tc>
        <w:tc>
          <w:tcPr/>
          <w:p>
            <w:pPr>
              <w:pStyle w:val="Compact"/>
              <w:jc w:val="left"/>
            </w:pPr>
            <w:r>
              <w:t xml:space="preserve">Block</w:t>
            </w:r>
          </w:p>
        </w:tc>
        <w:tc>
          <w:tcPr/>
          <w:p>
            <w:pPr>
              <w:pStyle w:val="Compact"/>
              <w:jc w:val="left"/>
            </w:pPr>
            <w:r>
              <w:t xml:space="preserve">Fix the control</w:t>
            </w:r>
          </w:p>
        </w:tc>
        <w:tc>
          <w:tcPr/>
          <w:p>
            <w:pPr>
              <w:pStyle w:val="Compact"/>
              <w:jc w:val="left"/>
            </w:pPr>
            <w:r>
              <w:t xml:space="preserve">None. These are the controls the design rests on</w:t>
            </w:r>
          </w:p>
        </w:tc>
      </w:tr>
    </w:tbl>
    <w:bookmarkEnd w:id="267"/>
    <w:bookmarkStart w:id="268" w:name="waiver-and-exception-process"/>
    <w:p>
      <w:pPr>
        <w:pStyle w:val="Heading3"/>
      </w:pPr>
      <w:r>
        <w:t xml:space="preserve">12.7.3 Waiver and exception process</w:t>
      </w:r>
    </w:p>
    <w:p>
      <w:pPr>
        <w:pStyle w:val="FirstParagraph"/>
      </w:pPr>
      <w:r>
        <w:t xml:space="preserve">A blocking gate with no exception route gets disabled the first time it stops an urgent release. The process is therefore available, but bounded and attributable:</w:t>
      </w:r>
    </w:p>
    <w:p>
      <w:pPr>
        <w:pStyle w:val="Compact"/>
        <w:numPr>
          <w:ilvl w:val="0"/>
          <w:numId w:val="1024"/>
        </w:numPr>
      </w:pPr>
      <w:r>
        <w:t xml:space="preserve">Raised by the AICOE Developer Team or the AICOE Platform Team, stating the finding, the technical reason it cannot be remediated now, and the compensating control that reduces the residual risk in the meantime.</w:t>
      </w:r>
    </w:p>
    <w:p>
      <w:pPr>
        <w:pStyle w:val="Compact"/>
        <w:numPr>
          <w:ilvl w:val="0"/>
          <w:numId w:val="1024"/>
        </w:numPr>
      </w:pPr>
      <w:r>
        <w:t xml:space="preserve">Approved by the Colt Cloud CoE, and additionally by Colt CSOC where the finding is Critical or affects an internet-reachable path. The requester is never the approver.</w:t>
      </w:r>
    </w:p>
    <w:p>
      <w:pPr>
        <w:pStyle w:val="Compact"/>
        <w:numPr>
          <w:ilvl w:val="0"/>
          <w:numId w:val="1024"/>
        </w:numPr>
      </w:pPr>
      <w:r>
        <w:t xml:space="preserve">Recorded against a named individual with a mandatory expiry — 30 days for High severity, 90 days for Medium.</w:t>
      </w:r>
    </w:p>
    <w:p>
      <w:pPr>
        <w:pStyle w:val="Compact"/>
        <w:numPr>
          <w:ilvl w:val="0"/>
          <w:numId w:val="1024"/>
        </w:numPr>
      </w:pPr>
      <w:r>
        <w:t xml:space="preserve">An expired waiver reverts to blocking automatically; the build fails again rather than the waiver persisting silently.</w:t>
      </w:r>
    </w:p>
    <w:bookmarkEnd w:id="268"/>
    <w:bookmarkStart w:id="269" w:name="security-testing-and-threat-modelling"/>
    <w:p>
      <w:pPr>
        <w:pStyle w:val="Heading3"/>
      </w:pPr>
      <w:r>
        <w:t xml:space="preserve">12.7.4 Security testing and threat modelling</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Activity</w:t>
            </w:r>
          </w:p>
        </w:tc>
        <w:tc>
          <w:tcPr>
            <w:shd w:val="clear" w:color="auto" w:fill="1F3864"/>
          </w:tcPr>
          <w:p>
            <w:pPr>
              <w:pStyle w:val="Compact"/>
              <w:jc w:val="left"/>
            </w:pPr>
            <w:r>
              <w:rPr>
                <w:b/>
                <w:color w:val="FFFFFF"/>
              </w:rPr>
              <w:t xml:space="preserve">Scope</w:t>
            </w:r>
          </w:p>
        </w:tc>
        <w:tc>
          <w:tcPr>
            <w:shd w:val="clear" w:color="auto" w:fill="1F3864"/>
          </w:tcPr>
          <w:p>
            <w:pPr>
              <w:pStyle w:val="Compact"/>
              <w:jc w:val="left"/>
            </w:pPr>
            <w:r>
              <w:rPr>
                <w:b/>
                <w:color w:val="FFFFFF"/>
              </w:rPr>
              <w:t xml:space="preserve">Cadence</w:t>
            </w:r>
          </w:p>
        </w:tc>
        <w:tc>
          <w:tcPr>
            <w:shd w:val="clear" w:color="auto" w:fill="1F3864"/>
          </w:tcPr>
          <w:p>
            <w:pPr>
              <w:pStyle w:val="Compact"/>
              <w:jc w:val="left"/>
            </w:pPr>
            <w:r>
              <w:rPr>
                <w:b/>
                <w:color w:val="FFFFFF"/>
              </w:rPr>
              <w:t xml:space="preserve">Owner</w:t>
            </w:r>
          </w:p>
        </w:tc>
      </w:tr>
      <w:tr>
        <w:tc>
          <w:tcPr/>
          <w:p>
            <w:pPr>
              <w:pStyle w:val="Compact"/>
              <w:jc w:val="left"/>
            </w:pPr>
            <w:r>
              <w:t xml:space="preserve">Negative test suite</w:t>
            </w:r>
          </w:p>
        </w:tc>
        <w:tc>
          <w:tcPr/>
          <w:p>
            <w:pPr>
              <w:pStyle w:val="Compact"/>
              <w:jc w:val="left"/>
            </w:pPr>
            <w:r>
              <w:t xml:space="preserve">IAM, Backend-for-Frontend, Apigee, Vector Search</w:t>
            </w:r>
          </w:p>
        </w:tc>
        <w:tc>
          <w:tcPr/>
          <w:p>
            <w:pPr>
              <w:pStyle w:val="Compact"/>
              <w:jc w:val="left"/>
            </w:pPr>
            <w:r>
              <w:t xml:space="preserve">Every pipeline run</w:t>
            </w:r>
          </w:p>
        </w:tc>
        <w:tc>
          <w:tcPr/>
          <w:p>
            <w:pPr>
              <w:pStyle w:val="Compact"/>
              <w:jc w:val="left"/>
            </w:pPr>
            <w:r>
              <w:t xml:space="preserve">AICOE Platform Team</w:t>
            </w:r>
          </w:p>
        </w:tc>
      </w:tr>
      <w:tr>
        <w:tc>
          <w:tcPr/>
          <w:p>
            <w:pPr>
              <w:pStyle w:val="Compact"/>
              <w:jc w:val="left"/>
            </w:pPr>
            <w:r>
              <w:t xml:space="preserve">Penetration test or security assessment</w:t>
            </w:r>
          </w:p>
        </w:tc>
        <w:tc>
          <w:tcPr/>
          <w:p>
            <w:pPr>
              <w:pStyle w:val="Compact"/>
              <w:jc w:val="left"/>
            </w:pPr>
            <w:r>
              <w:t xml:space="preserve">The full platform</w:t>
            </w:r>
          </w:p>
        </w:tc>
        <w:tc>
          <w:tcPr/>
          <w:p>
            <w:pPr>
              <w:pStyle w:val="Compact"/>
              <w:jc w:val="left"/>
            </w:pPr>
            <w:r>
              <w:t xml:space="preserve">Before go-live, per CR-28 (penetration test completed before go-live), then annually and after any change to the authorisation model</w:t>
            </w:r>
          </w:p>
        </w:tc>
        <w:tc>
          <w:tcPr/>
          <w:p>
            <w:pPr>
              <w:pStyle w:val="Compact"/>
              <w:jc w:val="left"/>
            </w:pPr>
            <w:r>
              <w:t xml:space="preserve">Colt CSOC commissions; AICOE Platform Team supports</w:t>
            </w:r>
          </w:p>
        </w:tc>
      </w:tr>
      <w:tr>
        <w:tc>
          <w:tcPr/>
          <w:p>
            <w:pPr>
              <w:pStyle w:val="Compact"/>
              <w:jc w:val="left"/>
            </w:pPr>
            <w:r>
              <w:t xml:space="preserve">Threat model review</w:t>
            </w:r>
          </w:p>
        </w:tc>
        <w:tc>
          <w:tcPr/>
          <w:p>
            <w:pPr>
              <w:pStyle w:val="Compact"/>
              <w:jc w:val="left"/>
            </w:pPr>
            <w:r>
              <w:t xml:space="preserve">The platform as a whole. Must cover at minimum: compromise of the delivery pipeline and the Terraform identity; a malicious or compromised insider with Workbench access; lateral movement between environments; abuse of the Backend-for-Frontend as a confused deputy, per</w:t>
            </w:r>
            <w:r>
              <w:t xml:space="preserve"> </w:t>
            </w:r>
            <w:r>
              <w:rPr>
                <w:b/>
                <w:bCs/>
              </w:rPr>
              <w:t xml:space="preserve">Cross-Site Request Forgery</w:t>
            </w:r>
            <w:r>
              <w:t xml:space="preserve">; and prompt injection reaching a tool call</w:t>
            </w:r>
          </w:p>
        </w:tc>
        <w:tc>
          <w:tcPr/>
          <w:p>
            <w:pPr>
              <w:pStyle w:val="Compact"/>
              <w:jc w:val="left"/>
            </w:pPr>
            <w:r>
              <w:t xml:space="preserve">Before go-live; revisited when a new component or trust boundary is introduced</w:t>
            </w:r>
          </w:p>
        </w:tc>
        <w:tc>
          <w:tcPr/>
          <w:p>
            <w:pPr>
              <w:pStyle w:val="Compact"/>
              <w:jc w:val="left"/>
            </w:pPr>
            <w:r>
              <w:t xml:space="preserve">AICOE Platform Team with Colt CSOC</w:t>
            </w:r>
          </w:p>
        </w:tc>
      </w:tr>
      <w:tr>
        <w:tc>
          <w:tcPr/>
          <w:p>
            <w:pPr>
              <w:pStyle w:val="Compact"/>
              <w:jc w:val="left"/>
            </w:pPr>
            <w:r>
              <w:t xml:space="preserve">AI red-teaming and prompt injection testing</w:t>
            </w:r>
          </w:p>
        </w:tc>
        <w:tc>
          <w:tcPr/>
          <w:p>
            <w:pPr>
              <w:pStyle w:val="Compact"/>
              <w:jc w:val="left"/>
            </w:pPr>
            <w:r>
              <w:t xml:space="preserve">The AI gateway and both usecases</w:t>
            </w:r>
          </w:p>
        </w:tc>
        <w:tc>
          <w:tcPr/>
          <w:p>
            <w:pPr>
              <w:pStyle w:val="Compact"/>
              <w:jc w:val="left"/>
            </w:pPr>
            <w:r>
              <w:t xml:space="preserve">Before go-live, then on model or template change</w:t>
            </w:r>
          </w:p>
        </w:tc>
        <w:tc>
          <w:tcPr/>
          <w:p>
            <w:pPr>
              <w:pStyle w:val="Compact"/>
              <w:jc w:val="left"/>
            </w:pPr>
            <w:r>
              <w:t xml:space="preserve">AICOE Platform Team with Colt CSOC</w:t>
            </w:r>
          </w:p>
        </w:tc>
      </w:tr>
      <w:tr>
        <w:tc>
          <w:tcPr/>
          <w:p>
            <w:pPr>
              <w:pStyle w:val="Compact"/>
              <w:jc w:val="left"/>
            </w:pPr>
            <w:r>
              <w:t xml:space="preserve">Access recertification</w:t>
            </w:r>
          </w:p>
        </w:tc>
        <w:tc>
          <w:tcPr/>
          <w:p>
            <w:pPr>
              <w:pStyle w:val="Compact"/>
              <w:jc w:val="left"/>
            </w:pPr>
            <w:r>
              <w:t xml:space="preserve">Entra security groups and IAM</w:t>
            </w:r>
          </w:p>
        </w:tc>
        <w:tc>
          <w:tcPr/>
          <w:p>
            <w:pPr>
              <w:pStyle w:val="Compact"/>
              <w:jc w:val="left"/>
            </w:pPr>
            <w:r>
              <w:t xml:space="preserve">Per</w:t>
            </w:r>
            <w:r>
              <w:t xml:space="preserve"> </w:t>
            </w:r>
            <w:r>
              <w:rPr>
                <w:b/>
                <w:bCs/>
              </w:rPr>
              <w:t xml:space="preserve">Access review and recertification</w:t>
            </w:r>
          </w:p>
        </w:tc>
        <w:tc>
          <w:tcPr/>
          <w:p>
            <w:pPr>
              <w:pStyle w:val="Compact"/>
              <w:jc w:val="left"/>
            </w:pPr>
            <w:r>
              <w:t xml:space="preserve">Identity Team with AICOE Platform Team</w:t>
            </w:r>
          </w:p>
        </w:tc>
      </w:tr>
    </w:tbl>
    <w:bookmarkEnd w:id="269"/>
    <w:bookmarkEnd w:id="270"/>
    <w:bookmarkStart w:id="271" w:name="software-bill-of-materials"/>
    <w:p>
      <w:pPr>
        <w:pStyle w:val="Heading2"/>
      </w:pPr>
      <w:r>
        <w:t xml:space="preserve">12.8 Software Bill of Materials</w:t>
      </w:r>
    </w:p>
    <w:p>
      <w:pPr>
        <w:pStyle w:val="FirstParagraph"/>
      </w:pPr>
      <w:r>
        <w:t xml:space="preserve">An SBOM records the resolved dependency set for a deliverable at a point in time, so that when a vulnerability is disclosed, whether the platform is affected is answered from a held inventory rather than by re-running a scan against code that has since moved on.</w:t>
      </w:r>
    </w:p>
    <w:tbl>
      <w:tblPr>
        <w:tblStyle w:val="TableGrid"/>
        <w:tblW w:type="pct" w:w="5000"/>
        <w:jc w:val="start"/>
        <w:tblLook w:firstRow="1" w:lastRow="0" w:firstColumn="0" w:lastColumn="0" w:noHBand="0" w:noVBand="0" w:val="0020"/>
      </w:tblPr>
      <w:tblGrid>
        <w:gridCol w:w="3960"/>
        <w:gridCol w:w="3960"/>
      </w:tblGrid>
      <w:tr>
        <w:trPr>
          <w:tblHeader w:val="true"/>
        </w:trPr>
        <w:tc>
          <w:tcPr>
            <w:shd w:val="clear" w:color="auto" w:fill="1F3864"/>
          </w:tcPr>
          <w:p>
            <w:pPr>
              <w:pStyle w:val="Compact"/>
              <w:jc w:val="left"/>
            </w:pPr>
            <w:r>
              <w:rPr>
                <w:b/>
                <w:color w:val="FFFFFF"/>
              </w:rPr>
              <w:t xml:space="preserve">Deliverable</w:t>
            </w:r>
          </w:p>
        </w:tc>
        <w:tc>
          <w:tcPr>
            <w:shd w:val="clear" w:color="auto" w:fill="1F3864"/>
          </w:tcPr>
          <w:p>
            <w:pPr>
              <w:pStyle w:val="Compact"/>
              <w:jc w:val="left"/>
            </w:pPr>
            <w:r>
              <w:rPr>
                <w:b/>
                <w:color w:val="FFFFFF"/>
              </w:rPr>
              <w:t xml:space="preserve">SBOM scope</w:t>
            </w:r>
          </w:p>
        </w:tc>
      </w:tr>
      <w:tr>
        <w:tc>
          <w:tcPr/>
          <w:p>
            <w:pPr>
              <w:pStyle w:val="Compact"/>
              <w:jc w:val="left"/>
            </w:pPr>
            <w:r>
              <w:t xml:space="preserve">Terraform</w:t>
            </w:r>
          </w:p>
        </w:tc>
        <w:tc>
          <w:tcPr/>
          <w:p>
            <w:pPr>
              <w:pStyle w:val="Compact"/>
              <w:jc w:val="left"/>
            </w:pPr>
            <w:r>
              <w:t xml:space="preserve">Provider and module versions as resolved in the dependency lock file, across all ten stages, per environment</w:t>
            </w:r>
          </w:p>
        </w:tc>
      </w:tr>
      <w:tr>
        <w:tc>
          <w:tcPr/>
          <w:p>
            <w:pPr>
              <w:pStyle w:val="Compact"/>
              <w:jc w:val="left"/>
            </w:pPr>
            <w:r>
              <w:t xml:space="preserve">Each container image — Backend-for-Frontend, translation API, translation worker, Sales Agent</w:t>
            </w:r>
          </w:p>
        </w:tc>
        <w:tc>
          <w:tcPr/>
          <w:p>
            <w:pPr>
              <w:pStyle w:val="Compact"/>
              <w:jc w:val="left"/>
            </w:pPr>
            <w:r>
              <w:t xml:space="preserve">Full dependency tree resolved from the application lock file, together with the container base image and its operating-system packages</w:t>
            </w:r>
          </w:p>
        </w:tc>
      </w:tr>
      <w:tr>
        <w:tc>
          <w:tcPr/>
          <w:p>
            <w:pPr>
              <w:pStyle w:val="Compact"/>
              <w:jc w:val="left"/>
            </w:pPr>
            <w:r>
              <w:t xml:space="preserve">Apigee proxy bundles</w:t>
            </w:r>
          </w:p>
        </w:tc>
        <w:tc>
          <w:tcPr/>
          <w:p>
            <w:pPr>
              <w:pStyle w:val="Compact"/>
              <w:jc w:val="left"/>
            </w:pPr>
            <w:r>
              <w:t xml:space="preserve">Policy inventory — which policies, which are Extensible, and which are Pre-GA, per</w:t>
            </w:r>
            <w:r>
              <w:t xml:space="preserve"> </w:t>
            </w:r>
            <w:r>
              <w:rPr>
                <w:b/>
                <w:bCs/>
              </w:rPr>
              <w:t xml:space="preserve">Model Armor policy commitment, split by GA status</w:t>
            </w:r>
          </w:p>
        </w:tc>
      </w:tr>
    </w:tbl>
    <w:p>
      <w:pPr>
        <w:pStyle w:val="BodyText"/>
      </w:pPr>
      <w:r>
        <w:t xml:space="preserve">Storage location:</w:t>
      </w:r>
      <w:r>
        <w:t xml:space="preserve"> </w:t>
      </w:r>
      <w:r>
        <w:rPr>
          <w:rStyle w:val="VerbatimChar"/>
        </w:rPr>
        <w:t xml:space="preserve">[SharePoint link — to be added]</w:t>
      </w:r>
      <w:r>
        <w:t xml:space="preserve">. Findings raised against an SBOM entry are handled under the severity model, remediation timescales and waiver process in</w:t>
      </w:r>
      <w:r>
        <w:t xml:space="preserve"> </w:t>
      </w:r>
      <w:r>
        <w:rPr>
          <w:b/>
          <w:bCs/>
        </w:rPr>
        <w:t xml:space="preserve">Gate policy — what blocks a release</w:t>
      </w:r>
      <w:r>
        <w:t xml:space="preserve"> </w:t>
      </w:r>
      <w:r>
        <w:t xml:space="preserve">and</w:t>
      </w:r>
      <w:r>
        <w:t xml:space="preserve"> </w:t>
      </w:r>
      <w:r>
        <w:rPr>
          <w:b/>
          <w:bCs/>
        </w:rPr>
        <w:t xml:space="preserve">Waiver and exception process</w:t>
      </w:r>
      <w:r>
        <w:t xml:space="preserve">, exactly as a scanner-reported finding would be.</w:t>
      </w:r>
    </w:p>
    <w:p>
      <w:r>
        <w:pict>
          <v:rect style="width:0;height:1.5pt" o:hralign="center" o:hrstd="t" o:hr="t"/>
        </w:pict>
      </w:r>
    </w:p>
    <w:bookmarkEnd w:id="271"/>
    <w:bookmarkEnd w:id="272"/>
    <w:bookmarkStart w:id="276" w:name="backup-and-restore"/>
    <w:p>
      <w:pPr>
        <w:pStyle w:val="Heading1"/>
      </w:pPr>
      <w:r>
        <w:t xml:space="preserve">13. Backup and Restore</w:t>
      </w:r>
    </w:p>
    <w:p>
      <w:pPr>
        <w:pStyle w:val="FirstParagraph"/>
      </w:pPr>
      <w:r>
        <w:t xml:space="preserve">PR-20 (recovery time and recovery point objectives) sets the platform-level target of a 4-hour recovery time and a 24-hour recovery point, met by rebuilding from Terraform and Git. The sections below refine that target per asset class: several components recover faster than the objective because their backup mechanism is continuous or near-instantaneous, and a small number are explicitly slower or out of scope, stated as such rather than left unaddressed.</w:t>
      </w:r>
    </w:p>
    <w:bookmarkStart w:id="273" w:name="backup-strategy"/>
    <w:p>
      <w:pPr>
        <w:pStyle w:val="Heading2"/>
      </w:pPr>
      <w:r>
        <w:t xml:space="preserve">13.1 Backup strategy</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Asset</w:t>
            </w:r>
          </w:p>
        </w:tc>
        <w:tc>
          <w:tcPr>
            <w:shd w:val="clear" w:color="auto" w:fill="1F3864"/>
          </w:tcPr>
          <w:p>
            <w:pPr>
              <w:pStyle w:val="Compact"/>
              <w:jc w:val="left"/>
            </w:pPr>
            <w:r>
              <w:rPr>
                <w:b/>
                <w:color w:val="FFFFFF"/>
              </w:rPr>
              <w:t xml:space="preserve">Method</w:t>
            </w:r>
          </w:p>
        </w:tc>
        <w:tc>
          <w:tcPr>
            <w:shd w:val="clear" w:color="auto" w:fill="1F3864"/>
          </w:tcPr>
          <w:p>
            <w:pPr>
              <w:pStyle w:val="Compact"/>
              <w:jc w:val="left"/>
            </w:pPr>
            <w:r>
              <w:rPr>
                <w:b/>
                <w:color w:val="FFFFFF"/>
              </w:rPr>
              <w:t xml:space="preserve">Frequency</w:t>
            </w:r>
          </w:p>
        </w:tc>
        <w:tc>
          <w:tcPr>
            <w:shd w:val="clear" w:color="auto" w:fill="1F3864"/>
          </w:tcPr>
          <w:p>
            <w:pPr>
              <w:pStyle w:val="Compact"/>
              <w:jc w:val="left"/>
            </w:pPr>
            <w:r>
              <w:rPr>
                <w:b/>
                <w:color w:val="FFFFFF"/>
              </w:rPr>
              <w:t xml:space="preserve">Rationale</w:t>
            </w:r>
          </w:p>
        </w:tc>
      </w:tr>
      <w:tr>
        <w:tc>
          <w:tcPr/>
          <w:p>
            <w:pPr>
              <w:pStyle w:val="Compact"/>
              <w:jc w:val="left"/>
            </w:pPr>
            <w:r>
              <w:t xml:space="preserve">Terraform state</w:t>
            </w:r>
          </w:p>
        </w:tc>
        <w:tc>
          <w:tcPr/>
          <w:p>
            <w:pPr>
              <w:pStyle w:val="Compact"/>
              <w:jc w:val="left"/>
            </w:pPr>
            <w:r>
              <w:t xml:space="preserve">GCS bucket versioning, CMEK, per</w:t>
            </w:r>
            <w:r>
              <w:t xml:space="preserve"> </w:t>
            </w:r>
            <w:r>
              <w:rPr>
                <w:b/>
                <w:bCs/>
              </w:rPr>
              <w:t xml:space="preserve">Terraform state management</w:t>
            </w:r>
          </w:p>
        </w:tc>
        <w:tc>
          <w:tcPr/>
          <w:p>
            <w:pPr>
              <w:pStyle w:val="Compact"/>
              <w:jc w:val="left"/>
            </w:pPr>
            <w:r>
              <w:t xml:space="preserve">Continuous — one object version per apply</w:t>
            </w:r>
          </w:p>
        </w:tc>
        <w:tc>
          <w:tcPr/>
          <w:p>
            <w:pPr>
              <w:pStyle w:val="Compact"/>
              <w:jc w:val="left"/>
            </w:pPr>
            <w:r>
              <w:t xml:space="preserve">Every infrastructure object is reconstructible from code plus state</w:t>
            </w:r>
          </w:p>
        </w:tc>
      </w:tr>
      <w:tr>
        <w:tc>
          <w:tcPr/>
          <w:p>
            <w:pPr>
              <w:pStyle w:val="Compact"/>
              <w:jc w:val="left"/>
            </w:pPr>
            <w:r>
              <w:t xml:space="preserve">Infrastructure and application source</w:t>
            </w:r>
          </w:p>
        </w:tc>
        <w:tc>
          <w:tcPr/>
          <w:p>
            <w:pPr>
              <w:pStyle w:val="Compact"/>
              <w:jc w:val="left"/>
            </w:pPr>
            <w:r>
              <w:t xml:space="preserve">Git</w:t>
            </w:r>
          </w:p>
        </w:tc>
        <w:tc>
          <w:tcPr/>
          <w:p>
            <w:pPr>
              <w:pStyle w:val="Compact"/>
              <w:jc w:val="left"/>
            </w:pPr>
            <w:r>
              <w:t xml:space="preserve">Every merge</w:t>
            </w:r>
          </w:p>
        </w:tc>
        <w:tc>
          <w:tcPr/>
          <w:p>
            <w:pPr>
              <w:pStyle w:val="Compact"/>
              <w:jc w:val="left"/>
            </w:pPr>
            <w:r>
              <w:t xml:space="preserve">The infrastructure and the applications are the code</w:t>
            </w:r>
          </w:p>
        </w:tc>
      </w:tr>
      <w:tr>
        <w:tc>
          <w:tcPr/>
          <w:p>
            <w:pPr>
              <w:pStyle w:val="Compact"/>
              <w:jc w:val="left"/>
            </w:pPr>
            <w:r>
              <w:t xml:space="preserve">Apigee runtime configuration</w:t>
            </w:r>
          </w:p>
        </w:tc>
        <w:tc>
          <w:tcPr/>
          <w:p>
            <w:pPr>
              <w:pStyle w:val="Compact"/>
              <w:jc w:val="left"/>
            </w:pPr>
            <w:r>
              <w:t xml:space="preserve">Declarative export to Git, per</w:t>
            </w:r>
            <w:r>
              <w:t xml:space="preserve"> </w:t>
            </w:r>
            <w:r>
              <w:rPr>
                <w:b/>
                <w:bCs/>
              </w:rPr>
              <w:t xml:space="preserve">Apigee configuration in Git</w:t>
            </w:r>
            <w:r>
              <w:t xml:space="preserve"> </w:t>
            </w:r>
            <w:r>
              <w:t xml:space="preserve">below</w:t>
            </w:r>
          </w:p>
        </w:tc>
        <w:tc>
          <w:tcPr/>
          <w:p>
            <w:pPr>
              <w:pStyle w:val="Compact"/>
              <w:jc w:val="left"/>
            </w:pPr>
            <w:r>
              <w:t xml:space="preserve">Scheduled, including when nothing has changed, so drift surfaces</w:t>
            </w:r>
          </w:p>
        </w:tc>
        <w:tc>
          <w:tcPr/>
          <w:p>
            <w:pPr>
              <w:pStyle w:val="Compact"/>
              <w:jc w:val="left"/>
            </w:pPr>
            <w:r>
              <w:t xml:space="preserve">Proxy bundles have no Binary Authorization equivalent; Git is the control, per</w:t>
            </w:r>
            <w:r>
              <w:t xml:space="preserve"> </w:t>
            </w:r>
            <w:r>
              <w:rPr>
                <w:b/>
                <w:bCs/>
              </w:rPr>
              <w:t xml:space="preserve">Apigee deployment governance</w:t>
            </w:r>
          </w:p>
        </w:tc>
      </w:tr>
      <w:tr>
        <w:tc>
          <w:tcPr/>
          <w:p>
            <w:pPr>
              <w:pStyle w:val="Compact"/>
              <w:jc w:val="left"/>
            </w:pPr>
            <w:r>
              <w:t xml:space="preserve">Container images</w:t>
            </w:r>
          </w:p>
        </w:tc>
        <w:tc>
          <w:tcPr/>
          <w:p>
            <w:pPr>
              <w:pStyle w:val="Compact"/>
              <w:jc w:val="left"/>
            </w:pPr>
            <w:r>
              <w:t xml:space="preserve">Artifact Registry, immutable tags, per</w:t>
            </w:r>
            <w:r>
              <w:t xml:space="preserve"> </w:t>
            </w:r>
            <w:r>
              <w:rPr>
                <w:b/>
                <w:bCs/>
              </w:rPr>
              <w:t xml:space="preserve">Artifact Registry and Binary Authorization</w:t>
            </w:r>
          </w:p>
        </w:tc>
        <w:tc>
          <w:tcPr/>
          <w:p>
            <w:pPr>
              <w:pStyle w:val="Compact"/>
              <w:jc w:val="left"/>
            </w:pPr>
            <w:r>
              <w:t xml:space="preserve">Every build</w:t>
            </w:r>
          </w:p>
        </w:tc>
        <w:tc>
          <w:tcPr/>
          <w:p>
            <w:pPr>
              <w:pStyle w:val="Compact"/>
              <w:jc w:val="left"/>
            </w:pPr>
            <w:r>
              <w:t xml:space="preserve">An attestation is meaningless without immutability</w:t>
            </w:r>
          </w:p>
        </w:tc>
      </w:tr>
      <w:tr>
        <w:tc>
          <w:tcPr/>
          <w:p>
            <w:pPr>
              <w:pStyle w:val="Compact"/>
              <w:jc w:val="left"/>
            </w:pPr>
            <w:r>
              <w:t xml:space="preserve">Firestore</w:t>
            </w:r>
            <w:r>
              <w:t xml:space="preserve"> </w:t>
            </w:r>
            <w:r>
              <w:rPr>
                <w:rStyle w:val="VerbatimChar"/>
              </w:rPr>
              <w:t xml:space="preserve">sessions</w:t>
            </w:r>
          </w:p>
        </w:tc>
        <w:tc>
          <w:tcPr/>
          <w:p>
            <w:pPr>
              <w:pStyle w:val="Compact"/>
              <w:jc w:val="left"/>
            </w:pPr>
            <w:r>
              <w:t xml:space="preserve">Not backed up, deliberately</w:t>
            </w:r>
          </w:p>
        </w:tc>
        <w:tc>
          <w:tcPr/>
          <w:p>
            <w:pPr>
              <w:pStyle w:val="Compact"/>
              <w:jc w:val="left"/>
            </w:pPr>
            <w:r>
              <w:t xml:space="preserve">—</w:t>
            </w:r>
          </w:p>
        </w:tc>
        <w:tc>
          <w:tcPr/>
          <w:p>
            <w:pPr>
              <w:pStyle w:val="Compact"/>
              <w:jc w:val="left"/>
            </w:pPr>
            <w:r>
              <w:t xml:space="preserve">Session loss signs every affected user out, which is recoverable by re-authentication. Restoring a stale session would reintroduce a session that should already have expired</w:t>
            </w:r>
          </w:p>
        </w:tc>
      </w:tr>
      <w:tr>
        <w:tc>
          <w:tcPr/>
          <w:p>
            <w:pPr>
              <w:pStyle w:val="Compact"/>
              <w:jc w:val="left"/>
            </w:pPr>
            <w:r>
              <w:t xml:space="preserve">Firestore</w:t>
            </w:r>
            <w:r>
              <w:t xml:space="preserve"> </w:t>
            </w:r>
            <w:r>
              <w:rPr>
                <w:rStyle w:val="VerbatimChar"/>
              </w:rPr>
              <w:t xml:space="preserve">jobs</w:t>
            </w:r>
            <w:r>
              <w:t xml:space="preserve"> </w:t>
            </w:r>
            <w:r>
              <w:t xml:space="preserve">and</w:t>
            </w:r>
            <w:r>
              <w:t xml:space="preserve"> </w:t>
            </w:r>
            <w:r>
              <w:rPr>
                <w:rStyle w:val="VerbatimChar"/>
              </w:rPr>
              <w:t xml:space="preserve">idempotency</w:t>
            </w:r>
          </w:p>
        </w:tc>
        <w:tc>
          <w:tcPr/>
          <w:p>
            <w:pPr>
              <w:pStyle w:val="Compact"/>
              <w:jc w:val="left"/>
            </w:pPr>
            <w:r>
              <w:t xml:space="preserve">Export to Cloud Storage — method and schedule not yet defined</w:t>
            </w:r>
          </w:p>
        </w:tc>
        <w:tc>
          <w:tcPr/>
          <w:p>
            <w:pPr>
              <w:pStyle w:val="Compact"/>
              <w:jc w:val="left"/>
            </w:pPr>
            <w:r>
              <w:t xml:space="preserve">Not yet defined</w:t>
            </w:r>
          </w:p>
        </w:tc>
        <w:tc>
          <w:tcPr/>
          <w:p>
            <w:pPr>
              <w:pStyle w:val="Compact"/>
              <w:jc w:val="left"/>
            </w:pPr>
            <w:r>
              <w:t xml:space="preserve">Job-record loss breaks an in-flight translation, which is not recoverable by re-authentication</w:t>
            </w:r>
          </w:p>
        </w:tc>
      </w:tr>
      <w:tr>
        <w:tc>
          <w:tcPr/>
          <w:p>
            <w:pPr>
              <w:pStyle w:val="Compact"/>
              <w:jc w:val="left"/>
            </w:pPr>
            <w:r>
              <w:t xml:space="preserve">Cloud Storage — documents and Vector Search source</w:t>
            </w:r>
          </w:p>
        </w:tc>
        <w:tc>
          <w:tcPr/>
          <w:p>
            <w:pPr>
              <w:pStyle w:val="Compact"/>
              <w:jc w:val="left"/>
            </w:pPr>
            <w:r>
              <w:t xml:space="preserve">Object versioning, per</w:t>
            </w:r>
            <w:r>
              <w:t xml:space="preserve"> </w:t>
            </w:r>
            <w:r>
              <w:rPr>
                <w:b/>
                <w:bCs/>
              </w:rPr>
              <w:t xml:space="preserve">Cloud Storage</w:t>
            </w:r>
          </w:p>
        </w:tc>
        <w:tc>
          <w:tcPr/>
          <w:p>
            <w:pPr>
              <w:pStyle w:val="Compact"/>
              <w:jc w:val="left"/>
            </w:pPr>
            <w:r>
              <w:t xml:space="preserve">Continuous — one object version per write</w:t>
            </w:r>
          </w:p>
        </w:tc>
        <w:tc>
          <w:tcPr/>
          <w:p>
            <w:pPr>
              <w:pStyle w:val="Compact"/>
              <w:jc w:val="left"/>
            </w:pPr>
            <w:r>
              <w:t xml:space="preserve">User-uploaded content and the embedding source corpus</w:t>
            </w:r>
          </w:p>
        </w:tc>
      </w:tr>
      <w:tr>
        <w:tc>
          <w:tcPr/>
          <w:p>
            <w:pPr>
              <w:pStyle w:val="Compact"/>
              <w:jc w:val="left"/>
            </w:pPr>
            <w:r>
              <w:t xml:space="preserve">BigQuery</w:t>
            </w:r>
            <w:r>
              <w:t xml:space="preserve"> </w:t>
            </w:r>
            <w:r>
              <w:rPr>
                <w:rStyle w:val="VerbatimChar"/>
              </w:rPr>
              <w:t xml:space="preserve">aicoe_usage</w:t>
            </w:r>
          </w:p>
        </w:tc>
        <w:tc>
          <w:tcPr/>
          <w:p>
            <w:pPr>
              <w:pStyle w:val="Compact"/>
              <w:jc w:val="left"/>
            </w:pPr>
            <w:r>
              <w:t xml:space="preserve">Time travel, the seven-day default</w:t>
            </w:r>
          </w:p>
        </w:tc>
        <w:tc>
          <w:tcPr/>
          <w:p>
            <w:pPr>
              <w:pStyle w:val="Compact"/>
              <w:jc w:val="left"/>
            </w:pPr>
            <w:r>
              <w:t xml:space="preserve">Continuous, seven-day window</w:t>
            </w:r>
          </w:p>
        </w:tc>
        <w:tc>
          <w:tcPr/>
          <w:p>
            <w:pPr>
              <w:pStyle w:val="Compact"/>
              <w:jc w:val="left"/>
            </w:pPr>
            <w:r>
              <w:t xml:space="preserve">Covers accidental row or table deletion inside the window. Dataset deletion protection is not yet configured; without it, a dropped dataset is not covered by time travel at all</w:t>
            </w:r>
          </w:p>
        </w:tc>
      </w:tr>
      <w:tr>
        <w:tc>
          <w:tcPr/>
          <w:p>
            <w:pPr>
              <w:pStyle w:val="Compact"/>
              <w:jc w:val="left"/>
            </w:pPr>
            <w:r>
              <w:t xml:space="preserve">The 400-day log bucket</w:t>
            </w:r>
          </w:p>
        </w:tc>
        <w:tc>
          <w:tcPr/>
          <w:p>
            <w:pPr>
              <w:pStyle w:val="Compact"/>
              <w:jc w:val="left"/>
            </w:pPr>
            <w:r>
              <w:t xml:space="preserve">No backup</w:t>
            </w:r>
          </w:p>
        </w:tc>
        <w:tc>
          <w:tcPr/>
          <w:p>
            <w:pPr>
              <w:pStyle w:val="Compact"/>
              <w:jc w:val="left"/>
            </w:pPr>
            <w:r>
              <w:t xml:space="preserve">—</w:t>
            </w:r>
          </w:p>
        </w:tc>
        <w:tc>
          <w:tcPr/>
          <w:p>
            <w:pPr>
              <w:pStyle w:val="Compact"/>
              <w:jc w:val="left"/>
            </w:pPr>
            <w:r>
              <w:t xml:space="preserve">Retention is the durability guarantee, per</w:t>
            </w:r>
            <w:r>
              <w:t xml:space="preserve"> </w:t>
            </w:r>
            <w:r>
              <w:rPr>
                <w:b/>
                <w:bCs/>
              </w:rPr>
              <w:t xml:space="preserve">The log bucket</w:t>
            </w:r>
            <w:r>
              <w:t xml:space="preserve">. Retention lock is a Production decision, per I11 (log bucket retention lock)</w:t>
            </w:r>
          </w:p>
        </w:tc>
      </w:tr>
      <w:tr>
        <w:tc>
          <w:tcPr/>
          <w:p>
            <w:pPr>
              <w:pStyle w:val="Compact"/>
              <w:jc w:val="left"/>
            </w:pPr>
            <w:r>
              <w:t xml:space="preserve">Cloud KMS keys</w:t>
            </w:r>
          </w:p>
        </w:tc>
        <w:tc>
          <w:tcPr/>
          <w:p>
            <w:pPr>
              <w:pStyle w:val="Compact"/>
              <w:jc w:val="left"/>
            </w:pPr>
            <w:r>
              <w:t xml:space="preserve">Not exportable, by design</w:t>
            </w:r>
          </w:p>
        </w:tc>
        <w:tc>
          <w:tcPr/>
          <w:p>
            <w:pPr>
              <w:pStyle w:val="Compact"/>
              <w:jc w:val="left"/>
            </w:pPr>
            <w:r>
              <w:t xml:space="preserve">—</w:t>
            </w:r>
          </w:p>
        </w:tc>
        <w:tc>
          <w:tcPr/>
          <w:p>
            <w:pPr>
              <w:pStyle w:val="Compact"/>
              <w:jc w:val="left"/>
            </w:pPr>
            <w:r>
              <w:t xml:space="preserve">Key deletion carries a mandatory waiting period, per I12 (KMS key deletion). A key must never be deleted while any resource still uses it</w:t>
            </w:r>
          </w:p>
        </w:tc>
      </w:tr>
      <w:tr>
        <w:tc>
          <w:tcPr/>
          <w:p>
            <w:pPr>
              <w:pStyle w:val="Compact"/>
              <w:jc w:val="left"/>
            </w:pPr>
            <w:r>
              <w:t xml:space="preserve">Secret Manager</w:t>
            </w:r>
          </w:p>
        </w:tc>
        <w:tc>
          <w:tcPr/>
          <w:p>
            <w:pPr>
              <w:pStyle w:val="Compact"/>
              <w:jc w:val="left"/>
            </w:pPr>
            <w:r>
              <w:t xml:space="preserve">Version history retained until explicitly destroyed</w:t>
            </w:r>
          </w:p>
        </w:tc>
        <w:tc>
          <w:tcPr/>
          <w:p>
            <w:pPr>
              <w:pStyle w:val="Compact"/>
              <w:jc w:val="left"/>
            </w:pPr>
            <w:r>
              <w:t xml:space="preserve">Per rotation, per</w:t>
            </w:r>
            <w:r>
              <w:t xml:space="preserve"> </w:t>
            </w:r>
            <w:r>
              <w:rPr>
                <w:b/>
                <w:bCs/>
              </w:rPr>
              <w:t xml:space="preserve">Secrets management and rotation</w:t>
            </w:r>
          </w:p>
        </w:tc>
        <w:tc>
          <w:tcPr/>
          <w:p>
            <w:pPr>
              <w:pStyle w:val="Compact"/>
              <w:jc w:val="left"/>
            </w:pPr>
            <w:r>
              <w:t xml:space="preserve">A prior version remains available for fast rollback if a rotation introduces a bad credential</w:t>
            </w:r>
          </w:p>
        </w:tc>
      </w:tr>
      <w:tr>
        <w:tc>
          <w:tcPr/>
          <w:p>
            <w:pPr>
              <w:pStyle w:val="Compact"/>
              <w:jc w:val="left"/>
            </w:pPr>
            <w:r>
              <w:t xml:space="preserve">Vertex AI Vector Search index</w:t>
            </w:r>
          </w:p>
        </w:tc>
        <w:tc>
          <w:tcPr/>
          <w:p>
            <w:pPr>
              <w:pStyle w:val="Compact"/>
              <w:jc w:val="left"/>
            </w:pPr>
            <w:r>
              <w:t xml:space="preserve">Rebuilt from the embedding source data bucket, per</w:t>
            </w:r>
            <w:r>
              <w:t xml:space="preserve"> </w:t>
            </w:r>
            <w:r>
              <w:rPr>
                <w:b/>
                <w:bCs/>
              </w:rPr>
              <w:t xml:space="preserve">Vector Search and retrieval-time isolation</w:t>
            </w:r>
          </w:p>
        </w:tc>
        <w:tc>
          <w:tcPr/>
          <w:p>
            <w:pPr>
              <w:pStyle w:val="Compact"/>
              <w:jc w:val="left"/>
            </w:pPr>
            <w:r>
              <w:t xml:space="preserve">On demand or scheduled batch</w:t>
            </w:r>
          </w:p>
        </w:tc>
        <w:tc>
          <w:tcPr/>
          <w:p>
            <w:pPr>
              <w:pStyle w:val="Compact"/>
              <w:jc w:val="left"/>
            </w:pPr>
            <w:r>
              <w:t xml:space="preserve">The index is reproducible from its source data, which removes it as a single point of unrecoverable loss</w:t>
            </w:r>
          </w:p>
        </w:tc>
      </w:tr>
    </w:tbl>
    <w:bookmarkEnd w:id="273"/>
    <w:bookmarkStart w:id="274" w:name="apigee-configuration-in-git"/>
    <w:p>
      <w:pPr>
        <w:pStyle w:val="Heading2"/>
      </w:pPr>
      <w:r>
        <w:t xml:space="preserve">13.2 Apigee configuration in Git</w:t>
      </w:r>
    </w:p>
    <w:p>
      <w:pPr>
        <w:pStyle w:val="FirstParagraph"/>
      </w:pPr>
      <w:r>
        <w:t xml:space="preserve">Apigee runtime configuration belongs in Git for reasons that are not primarily about disaster recovery — Apigee is a managed service, and provider-side loss of the organisation is not the risk being addressed:</w:t>
      </w:r>
    </w:p>
    <w:p>
      <w:pPr>
        <w:pStyle w:val="Compact"/>
        <w:numPr>
          <w:ilvl w:val="0"/>
          <w:numId w:val="1025"/>
        </w:numPr>
      </w:pPr>
      <w:r>
        <w:rPr>
          <w:b/>
          <w:bCs/>
        </w:rPr>
        <w:t xml:space="preserve">Proxy bundles have no Binary Authorization equivalent.</w:t>
      </w:r>
      <w:r>
        <w:t xml:space="preserve"> </w:t>
      </w:r>
      <w:r>
        <w:t xml:space="preserve">Container images are cryptographically attested; proxy bundles are not. Git is the control that provides review, history and attribution in place of attestation, per</w:t>
      </w:r>
      <w:r>
        <w:t xml:space="preserve"> </w:t>
      </w:r>
      <w:r>
        <w:rPr>
          <w:b/>
          <w:bCs/>
        </w:rPr>
        <w:t xml:space="preserve">Apigee deployment governance</w:t>
      </w:r>
      <w:r>
        <w:t xml:space="preserve">.</w:t>
      </w:r>
    </w:p>
    <w:p>
      <w:pPr>
        <w:pStyle w:val="Compact"/>
        <w:numPr>
          <w:ilvl w:val="0"/>
          <w:numId w:val="1025"/>
        </w:numPr>
      </w:pPr>
      <w:r>
        <w:rPr>
          <w:b/>
          <w:bCs/>
        </w:rPr>
        <w:t xml:space="preserve">A quota is a financial and safety control.</w:t>
      </w:r>
      <w:r>
        <w:t xml:space="preserve"> </w:t>
      </w:r>
      <w:r>
        <w:t xml:space="preserve">Raising a token quota by an order of magnitude in the console is a cost and abuse-control decision; TR-18 (per-user rate limiting) and TR-20 (the</w:t>
      </w:r>
      <w:r>
        <w:t xml:space="preserve"> </w:t>
      </w:r>
      <w:r>
        <w:rPr>
          <w:rStyle w:val="VerbatimChar"/>
        </w:rPr>
        <w:t xml:space="preserve">int</w:t>
      </w:r>
      <w:r>
        <w:t xml:space="preserve"> </w:t>
      </w:r>
      <w:r>
        <w:t xml:space="preserve">environment contains only Standard policies) depend on the product and policy definitions being reviewable, which requires them to be in version control.</w:t>
      </w:r>
    </w:p>
    <w:p>
      <w:pPr>
        <w:pStyle w:val="Compact"/>
        <w:numPr>
          <w:ilvl w:val="0"/>
          <w:numId w:val="1025"/>
        </w:numPr>
      </w:pPr>
      <w:r>
        <w:rPr>
          <w:b/>
          <w:bCs/>
        </w:rPr>
        <w:t xml:space="preserve">Reconstruction from memory is unreliable.</w:t>
      </w:r>
      <w:r>
        <w:t xml:space="preserve"> </w:t>
      </w:r>
      <w:r>
        <w:t xml:space="preserve">Key value maps, target servers, product attributes and app-to-product bindings are individually simple and collectively difficult to reproduce accurately without a held definition.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Artefact</w:t>
            </w:r>
          </w:p>
        </w:tc>
        <w:tc>
          <w:tcPr>
            <w:shd w:val="clear" w:color="auto" w:fill="1F3864"/>
          </w:tcPr>
          <w:p>
            <w:pPr>
              <w:pStyle w:val="Compact"/>
              <w:jc w:val="left"/>
            </w:pPr>
            <w:r>
              <w:rPr>
                <w:b/>
                <w:color w:val="FFFFFF"/>
              </w:rPr>
              <w:t xml:space="preserve">In Git</w:t>
            </w:r>
          </w:p>
        </w:tc>
        <w:tc>
          <w:tcPr>
            <w:shd w:val="clear" w:color="auto" w:fill="1F3864"/>
          </w:tcPr>
          <w:p>
            <w:pPr>
              <w:pStyle w:val="Compact"/>
              <w:jc w:val="left"/>
            </w:pPr>
            <w:r>
              <w:rPr>
                <w:b/>
                <w:color w:val="FFFFFF"/>
              </w:rPr>
              <w:t xml:space="preserve">Notes</w:t>
            </w:r>
          </w:p>
        </w:tc>
      </w:tr>
      <w:tr>
        <w:tc>
          <w:tcPr/>
          <w:p>
            <w:pPr>
              <w:pStyle w:val="Compact"/>
              <w:jc w:val="left"/>
            </w:pPr>
            <w:r>
              <w:t xml:space="preserve">Proxy bundles</w:t>
            </w:r>
          </w:p>
        </w:tc>
        <w:tc>
          <w:tcPr/>
          <w:p>
            <w:pPr>
              <w:pStyle w:val="Compact"/>
              <w:jc w:val="left"/>
            </w:pPr>
            <w:r>
              <w:t xml:space="preserve">Yes</w:t>
            </w:r>
          </w:p>
        </w:tc>
        <w:tc>
          <w:tcPr/>
          <w:p>
            <w:pPr>
              <w:pStyle w:val="Compact"/>
              <w:jc w:val="left"/>
            </w:pPr>
            <w:r>
              <w:t xml:space="preserve">Code. Console editing is disabled for human operators</w:t>
            </w:r>
          </w:p>
        </w:tc>
      </w:tr>
      <w:tr>
        <w:tc>
          <w:tcPr/>
          <w:p>
            <w:pPr>
              <w:pStyle w:val="Compact"/>
              <w:jc w:val="left"/>
            </w:pPr>
            <w:r>
              <w:t xml:space="preserve">API Products, including quota attributes</w:t>
            </w:r>
          </w:p>
        </w:tc>
        <w:tc>
          <w:tcPr/>
          <w:p>
            <w:pPr>
              <w:pStyle w:val="Compact"/>
              <w:jc w:val="left"/>
            </w:pPr>
            <w:r>
              <w:t xml:space="preserve">Yes</w:t>
            </w:r>
          </w:p>
        </w:tc>
        <w:tc>
          <w:tcPr/>
          <w:p>
            <w:pPr>
              <w:pStyle w:val="Compact"/>
              <w:jc w:val="left"/>
            </w:pPr>
            <w:r>
              <w:t xml:space="preserve">Where the tier definitions live</w:t>
            </w:r>
          </w:p>
        </w:tc>
      </w:tr>
      <w:tr>
        <w:tc>
          <w:tcPr/>
          <w:p>
            <w:pPr>
              <w:pStyle w:val="Compact"/>
              <w:jc w:val="left"/>
            </w:pPr>
            <w:r>
              <w:t xml:space="preserve">Developer app definitions</w:t>
            </w:r>
          </w:p>
        </w:tc>
        <w:tc>
          <w:tcPr/>
          <w:p>
            <w:pPr>
              <w:pStyle w:val="Compact"/>
              <w:jc w:val="left"/>
            </w:pPr>
            <w:r>
              <w:t xml:space="preserve">Yes</w:t>
            </w:r>
          </w:p>
        </w:tc>
        <w:tc>
          <w:tcPr/>
          <w:p>
            <w:pPr>
              <w:pStyle w:val="Compact"/>
              <w:jc w:val="left"/>
            </w:pPr>
            <w:r>
              <w:t xml:space="preserve">The app-to-product bindings</w:t>
            </w:r>
          </w:p>
        </w:tc>
      </w:tr>
      <w:tr>
        <w:tc>
          <w:tcPr/>
          <w:p>
            <w:pPr>
              <w:pStyle w:val="Compact"/>
              <w:jc w:val="left"/>
            </w:pPr>
            <w:r>
              <w:t xml:space="preserve">Key value maps — structure and non-secret values</w:t>
            </w:r>
          </w:p>
        </w:tc>
        <w:tc>
          <w:tcPr/>
          <w:p>
            <w:pPr>
              <w:pStyle w:val="Compact"/>
              <w:jc w:val="left"/>
            </w:pPr>
            <w:r>
              <w:t xml:space="preserve">Yes</w:t>
            </w:r>
          </w:p>
        </w:tc>
        <w:tc>
          <w:tcPr/>
          <w:p>
            <w:pPr>
              <w:pStyle w:val="Compact"/>
            </w:pPr>
          </w:p>
        </w:tc>
      </w:tr>
      <w:tr>
        <w:tc>
          <w:tcPr/>
          <w:p>
            <w:pPr>
              <w:pStyle w:val="Compact"/>
              <w:jc w:val="left"/>
            </w:pPr>
            <w:r>
              <w:t xml:space="preserve">Target servers</w:t>
            </w:r>
          </w:p>
        </w:tc>
        <w:tc>
          <w:tcPr/>
          <w:p>
            <w:pPr>
              <w:pStyle w:val="Compact"/>
              <w:jc w:val="left"/>
            </w:pPr>
            <w:r>
              <w:t xml:space="preserve">Yes</w:t>
            </w:r>
          </w:p>
        </w:tc>
        <w:tc>
          <w:tcPr/>
          <w:p>
            <w:pPr>
              <w:pStyle w:val="Compact"/>
            </w:pPr>
          </w:p>
        </w:tc>
      </w:tr>
      <w:tr>
        <w:tc>
          <w:tcPr/>
          <w:p>
            <w:pPr>
              <w:pStyle w:val="Compact"/>
              <w:jc w:val="left"/>
            </w:pPr>
            <w:r>
              <w:t xml:space="preserve">Environment and environment group configuration</w:t>
            </w:r>
          </w:p>
        </w:tc>
        <w:tc>
          <w:tcPr/>
          <w:p>
            <w:pPr>
              <w:pStyle w:val="Compact"/>
              <w:jc w:val="left"/>
            </w:pPr>
            <w:r>
              <w:t xml:space="preserve">Yes</w:t>
            </w:r>
          </w:p>
        </w:tc>
        <w:tc>
          <w:tcPr/>
          <w:p>
            <w:pPr>
              <w:pStyle w:val="Compact"/>
            </w:pPr>
          </w:p>
        </w:tc>
      </w:tr>
      <w:tr>
        <w:tc>
          <w:tcPr/>
          <w:p>
            <w:pPr>
              <w:pStyle w:val="Compact"/>
              <w:jc w:val="left"/>
            </w:pPr>
            <w:r>
              <w:t xml:space="preserve">Keystore and truststore configuration</w:t>
            </w:r>
          </w:p>
        </w:tc>
        <w:tc>
          <w:tcPr/>
          <w:p>
            <w:pPr>
              <w:pStyle w:val="Compact"/>
              <w:jc w:val="left"/>
            </w:pPr>
            <w:r>
              <w:t xml:space="preserve">Yes</w:t>
            </w:r>
          </w:p>
        </w:tc>
        <w:tc>
          <w:tcPr/>
          <w:p>
            <w:pPr>
              <w:pStyle w:val="Compact"/>
              <w:jc w:val="left"/>
            </w:pPr>
            <w:r>
              <w:t xml:space="preserve">The shape, not the contents</w:t>
            </w:r>
          </w:p>
        </w:tc>
      </w:tr>
      <w:tr>
        <w:tc>
          <w:tcPr/>
          <w:p>
            <w:pPr>
              <w:pStyle w:val="Compact"/>
              <w:jc w:val="left"/>
            </w:pPr>
            <w:r>
              <w:t xml:space="preserve">App credentials — keys and secrets</w:t>
            </w:r>
          </w:p>
        </w:tc>
        <w:tc>
          <w:tcPr/>
          <w:p>
            <w:pPr>
              <w:pStyle w:val="Compact"/>
              <w:jc w:val="left"/>
            </w:pPr>
            <w:r>
              <w:t xml:space="preserve">No</w:t>
            </w:r>
          </w:p>
        </w:tc>
        <w:tc>
          <w:tcPr/>
          <w:p>
            <w:pPr>
              <w:pStyle w:val="Compact"/>
              <w:jc w:val="left"/>
            </w:pPr>
            <w:r>
              <w:t xml:space="preserve">Held in Secret Manager. Git holds a reference, never a value</w:t>
            </w:r>
          </w:p>
        </w:tc>
      </w:tr>
      <w:tr>
        <w:tc>
          <w:tcPr/>
          <w:p>
            <w:pPr>
              <w:pStyle w:val="Compact"/>
              <w:jc w:val="left"/>
            </w:pPr>
            <w:r>
              <w:t xml:space="preserve">Encrypted key value map values</w:t>
            </w:r>
          </w:p>
        </w:tc>
        <w:tc>
          <w:tcPr/>
          <w:p>
            <w:pPr>
              <w:pStyle w:val="Compact"/>
              <w:jc w:val="left"/>
            </w:pPr>
            <w:r>
              <w:t xml:space="preserve">No</w:t>
            </w:r>
          </w:p>
        </w:tc>
        <w:tc>
          <w:tcPr/>
          <w:p>
            <w:pPr>
              <w:pStyle w:val="Compact"/>
              <w:jc w:val="left"/>
            </w:pPr>
            <w:r>
              <w:t xml:space="preserve">Same</w:t>
            </w:r>
          </w:p>
        </w:tc>
      </w:tr>
      <w:tr>
        <w:tc>
          <w:tcPr/>
          <w:p>
            <w:pPr>
              <w:pStyle w:val="Compact"/>
              <w:jc w:val="left"/>
            </w:pPr>
            <w:r>
              <w:t xml:space="preserve">Private key material in keystores</w:t>
            </w:r>
          </w:p>
        </w:tc>
        <w:tc>
          <w:tcPr/>
          <w:p>
            <w:pPr>
              <w:pStyle w:val="Compact"/>
              <w:jc w:val="left"/>
            </w:pPr>
            <w:r>
              <w:t xml:space="preserve">No</w:t>
            </w:r>
          </w:p>
        </w:tc>
        <w:tc>
          <w:tcPr/>
          <w:p>
            <w:pPr>
              <w:pStyle w:val="Compact"/>
              <w:jc w:val="left"/>
            </w:pPr>
            <w:r>
              <w:t xml:space="preserve">Same</w:t>
            </w:r>
          </w:p>
        </w:tc>
      </w:tr>
    </w:tbl>
    <w:p>
      <w:pPr>
        <w:pStyle w:val="BodyText"/>
      </w:pPr>
      <w:r>
        <w:t xml:space="preserve">Export is declarative, through</w:t>
      </w:r>
      <w:r>
        <w:t xml:space="preserve"> </w:t>
      </w:r>
      <w:r>
        <w:rPr>
          <w:rStyle w:val="VerbatimChar"/>
        </w:rPr>
        <w:t xml:space="preserve">apigeecli</w:t>
      </w:r>
      <w:r>
        <w:t xml:space="preserve">, committed to the repository, and applied by the same pipeline identity that deploys proxies, per</w:t>
      </w:r>
      <w:r>
        <w:t xml:space="preserve"> </w:t>
      </w:r>
      <w:r>
        <w:rPr>
          <w:b/>
          <w:bCs/>
        </w:rPr>
        <w:t xml:space="preserve">DevOps — Infrastructure as Code and CI/CD</w:t>
      </w:r>
      <w:r>
        <w:t xml:space="preserve">. A configuration change made directly in the console is treated as drift to be detected and reconciled, not as a legitimate deployment path, consistent with</w:t>
      </w:r>
      <w:r>
        <w:t xml:space="preserve"> </w:t>
      </w:r>
      <w:r>
        <w:rPr>
          <w:b/>
          <w:bCs/>
        </w:rPr>
        <w:t xml:space="preserve">Apigee deployment governance</w:t>
      </w:r>
      <w:r>
        <w:t xml:space="preserve">.</w:t>
      </w:r>
    </w:p>
    <w:p>
      <w:pPr>
        <w:pStyle w:val="BodyText"/>
      </w:pPr>
      <w:r>
        <w:t xml:space="preserve">A restore rehearsal into a scratch Apigee organisation, proving the export can actually be re-applied, has not yet been scheduled.</w:t>
      </w:r>
    </w:p>
    <w:bookmarkEnd w:id="274"/>
    <w:bookmarkStart w:id="275" w:name="recovery-approach"/>
    <w:p>
      <w:pPr>
        <w:pStyle w:val="Heading2"/>
      </w:pPr>
      <w:r>
        <w:t xml:space="preserve">13.3 Recovery approach</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Scenario</w:t>
            </w:r>
          </w:p>
        </w:tc>
        <w:tc>
          <w:tcPr>
            <w:shd w:val="clear" w:color="auto" w:fill="1F3864"/>
          </w:tcPr>
          <w:p>
            <w:pPr>
              <w:pStyle w:val="Compact"/>
              <w:jc w:val="left"/>
            </w:pPr>
            <w:r>
              <w:rPr>
                <w:b/>
                <w:color w:val="FFFFFF"/>
              </w:rPr>
              <w:t xml:space="preserve">RTO target</w:t>
            </w:r>
          </w:p>
        </w:tc>
        <w:tc>
          <w:tcPr>
            <w:shd w:val="clear" w:color="auto" w:fill="1F3864"/>
          </w:tcPr>
          <w:p>
            <w:pPr>
              <w:pStyle w:val="Compact"/>
              <w:jc w:val="left"/>
            </w:pPr>
            <w:r>
              <w:rPr>
                <w:b/>
                <w:color w:val="FFFFFF"/>
              </w:rPr>
              <w:t xml:space="preserve">Approach</w:t>
            </w:r>
          </w:p>
        </w:tc>
        <w:tc>
          <w:tcPr>
            <w:shd w:val="clear" w:color="auto" w:fill="1F3864"/>
          </w:tcPr>
          <w:p>
            <w:pPr>
              <w:pStyle w:val="Compact"/>
              <w:jc w:val="left"/>
            </w:pPr>
            <w:r>
              <w:rPr>
                <w:b/>
                <w:color w:val="FFFFFF"/>
              </w:rPr>
              <w:t xml:space="preserve">Rationale</w:t>
            </w:r>
          </w:p>
        </w:tc>
      </w:tr>
      <w:tr>
        <w:tc>
          <w:tcPr/>
          <w:p>
            <w:pPr>
              <w:pStyle w:val="Compact"/>
              <w:jc w:val="left"/>
            </w:pPr>
            <w:r>
              <w:t xml:space="preserve">A single Cloud Run revision is bad</w:t>
            </w:r>
          </w:p>
        </w:tc>
        <w:tc>
          <w:tcPr/>
          <w:p>
            <w:pPr>
              <w:pStyle w:val="Compact"/>
              <w:jc w:val="left"/>
            </w:pPr>
            <w:r>
              <w:t xml:space="preserve">Minutes</w:t>
            </w:r>
          </w:p>
        </w:tc>
        <w:tc>
          <w:tcPr/>
          <w:p>
            <w:pPr>
              <w:pStyle w:val="Compact"/>
              <w:jc w:val="left"/>
            </w:pPr>
            <w:r>
              <w:t xml:space="preserve">Roll back traffic to the previous revision</w:t>
            </w:r>
          </w:p>
        </w:tc>
        <w:tc>
          <w:tcPr/>
          <w:p>
            <w:pPr>
              <w:pStyle w:val="Compact"/>
              <w:jc w:val="left"/>
            </w:pPr>
            <w:r>
              <w:t xml:space="preserve">Cloud Run retains prior revisions</w:t>
            </w:r>
          </w:p>
        </w:tc>
      </w:tr>
      <w:tr>
        <w:tc>
          <w:tcPr/>
          <w:p>
            <w:pPr>
              <w:pStyle w:val="Compact"/>
              <w:jc w:val="left"/>
            </w:pPr>
            <w:r>
              <w:t xml:space="preserve">A bad Apigee proxy, API Product or quota change</w:t>
            </w:r>
          </w:p>
        </w:tc>
        <w:tc>
          <w:tcPr/>
          <w:p>
            <w:pPr>
              <w:pStyle w:val="Compact"/>
              <w:jc w:val="left"/>
            </w:pPr>
            <w:r>
              <w:t xml:space="preserve">Minutes</w:t>
            </w:r>
          </w:p>
        </w:tc>
        <w:tc>
          <w:tcPr/>
          <w:p>
            <w:pPr>
              <w:pStyle w:val="Compact"/>
              <w:jc w:val="left"/>
            </w:pPr>
            <w:r>
              <w:t xml:space="preserve">Redeploy the previous revision from Git through the pipeline</w:t>
            </w:r>
          </w:p>
        </w:tc>
        <w:tc>
          <w:tcPr/>
          <w:p>
            <w:pPr>
              <w:pStyle w:val="Compact"/>
              <w:jc w:val="left"/>
            </w:pPr>
            <w:r>
              <w:t xml:space="preserve">Console rollback is possible but bypasses the control in</w:t>
            </w:r>
            <w:r>
              <w:t xml:space="preserve"> </w:t>
            </w:r>
            <w:r>
              <w:rPr>
                <w:b/>
                <w:bCs/>
              </w:rPr>
              <w:t xml:space="preserve">Apigee configuration in Git</w:t>
            </w:r>
          </w:p>
        </w:tc>
      </w:tr>
      <w:tr>
        <w:tc>
          <w:tcPr/>
          <w:p>
            <w:pPr>
              <w:pStyle w:val="Compact"/>
              <w:jc w:val="left"/>
            </w:pPr>
            <w:r>
              <w:t xml:space="preserve">A Cloud Storage object is lost or overwritten</w:t>
            </w:r>
          </w:p>
        </w:tc>
        <w:tc>
          <w:tcPr/>
          <w:p>
            <w:pPr>
              <w:pStyle w:val="Compact"/>
              <w:jc w:val="left"/>
            </w:pPr>
            <w:r>
              <w:t xml:space="preserve">Minutes to hours</w:t>
            </w:r>
          </w:p>
        </w:tc>
        <w:tc>
          <w:tcPr/>
          <w:p>
            <w:pPr>
              <w:pStyle w:val="Compact"/>
              <w:jc w:val="left"/>
            </w:pPr>
            <w:r>
              <w:t xml:space="preserve">Restore from object versioning</w:t>
            </w:r>
          </w:p>
        </w:tc>
        <w:tc>
          <w:tcPr/>
          <w:p>
            <w:pPr>
              <w:pStyle w:val="Compact"/>
              <w:jc w:val="left"/>
            </w:pPr>
            <w:r>
              <w:t xml:space="preserve">Self-service restore within the RTO, with no external dependency</w:t>
            </w:r>
          </w:p>
        </w:tc>
      </w:tr>
      <w:tr>
        <w:tc>
          <w:tcPr/>
          <w:p>
            <w:pPr>
              <w:pStyle w:val="Compact"/>
              <w:jc w:val="left"/>
            </w:pPr>
            <w:r>
              <w:t xml:space="preserve">An infrastructure object is deleted in error</w:t>
            </w:r>
          </w:p>
        </w:tc>
        <w:tc>
          <w:tcPr/>
          <w:p>
            <w:pPr>
              <w:pStyle w:val="Compact"/>
              <w:jc w:val="left"/>
            </w:pPr>
            <w:r>
              <w:t xml:space="preserve">Hours</w:t>
            </w:r>
          </w:p>
        </w:tc>
        <w:tc>
          <w:tcPr/>
          <w:p>
            <w:pPr>
              <w:pStyle w:val="Compact"/>
              <w:jc w:val="left"/>
            </w:pPr>
            <w:r>
              <w:rPr>
                <w:rStyle w:val="VerbatimChar"/>
              </w:rPr>
              <w:t xml:space="preserve">terraform apply</w:t>
            </w:r>
            <w:r>
              <w:t xml:space="preserve"> </w:t>
            </w:r>
            <w:r>
              <w:t xml:space="preserve">from the relevant stage</w:t>
            </w:r>
          </w:p>
        </w:tc>
        <w:tc>
          <w:tcPr/>
          <w:p>
            <w:pPr>
              <w:pStyle w:val="Compact"/>
              <w:jc w:val="left"/>
            </w:pPr>
            <w:r>
              <w:t xml:space="preserve">Provided the stage’s state is intact, per</w:t>
            </w:r>
            <w:r>
              <w:t xml:space="preserve"> </w:t>
            </w:r>
            <w:r>
              <w:rPr>
                <w:b/>
                <w:bCs/>
              </w:rPr>
              <w:t xml:space="preserve">Terraform state management</w:t>
            </w:r>
          </w:p>
        </w:tc>
      </w:tr>
      <w:tr>
        <w:tc>
          <w:tcPr/>
          <w:p>
            <w:pPr>
              <w:pStyle w:val="Compact"/>
              <w:jc w:val="left"/>
            </w:pPr>
            <w:r>
              <w:t xml:space="preserve">Terraform state is lost or corrupted</w:t>
            </w:r>
          </w:p>
        </w:tc>
        <w:tc>
          <w:tcPr/>
          <w:p>
            <w:pPr>
              <w:pStyle w:val="Compact"/>
              <w:jc w:val="left"/>
            </w:pPr>
            <w:r>
              <w:t xml:space="preserve">Hours</w:t>
            </w:r>
          </w:p>
        </w:tc>
        <w:tc>
          <w:tcPr/>
          <w:p>
            <w:pPr>
              <w:pStyle w:val="Compact"/>
              <w:jc w:val="left"/>
            </w:pPr>
            <w:r>
              <w:t xml:space="preserve">Restore the prior object version from the state bucket</w:t>
            </w:r>
          </w:p>
        </w:tc>
        <w:tc>
          <w:tcPr/>
          <w:p>
            <w:pPr>
              <w:pStyle w:val="Compact"/>
              <w:jc w:val="left"/>
            </w:pPr>
            <w:r>
              <w:t xml:space="preserve">Bucket versioning is the entire recovery mechanism</w:t>
            </w:r>
          </w:p>
        </w:tc>
      </w:tr>
      <w:tr>
        <w:tc>
          <w:tcPr/>
          <w:p>
            <w:pPr>
              <w:pStyle w:val="Compact"/>
              <w:jc w:val="left"/>
            </w:pPr>
            <w:r>
              <w:t xml:space="preserve">A container image is withdrawn or corrupted</w:t>
            </w:r>
          </w:p>
        </w:tc>
        <w:tc>
          <w:tcPr/>
          <w:p>
            <w:pPr>
              <w:pStyle w:val="Compact"/>
              <w:jc w:val="left"/>
            </w:pPr>
            <w:r>
              <w:t xml:space="preserve">Hours</w:t>
            </w:r>
          </w:p>
        </w:tc>
        <w:tc>
          <w:tcPr/>
          <w:p>
            <w:pPr>
              <w:pStyle w:val="Compact"/>
              <w:jc w:val="left"/>
            </w:pPr>
            <w:r>
              <w:t xml:space="preserve">Rebuild from source and re-sign</w:t>
            </w:r>
          </w:p>
        </w:tc>
        <w:tc>
          <w:tcPr/>
          <w:p>
            <w:pPr>
              <w:pStyle w:val="Compact"/>
              <w:jc w:val="left"/>
            </w:pPr>
            <w:r>
              <w:t xml:space="preserve">Immutable tags mean the digest is unambiguous</w:t>
            </w:r>
          </w:p>
        </w:tc>
      </w:tr>
      <w:tr>
        <w:tc>
          <w:tcPr/>
          <w:p>
            <w:pPr>
              <w:pStyle w:val="Compact"/>
              <w:jc w:val="left"/>
            </w:pPr>
            <w:r>
              <w:t xml:space="preserve">A BigQuery dataset or table is lost</w:t>
            </w:r>
          </w:p>
        </w:tc>
        <w:tc>
          <w:tcPr/>
          <w:p>
            <w:pPr>
              <w:pStyle w:val="Compact"/>
              <w:jc w:val="left"/>
            </w:pPr>
            <w:r>
              <w:t xml:space="preserve">Hours, within the seven-day time-travel window</w:t>
            </w:r>
          </w:p>
        </w:tc>
        <w:tc>
          <w:tcPr/>
          <w:p>
            <w:pPr>
              <w:pStyle w:val="Compact"/>
              <w:jc w:val="left"/>
            </w:pPr>
            <w:r>
              <w:t xml:space="preserve">Restore using BigQuery time travel</w:t>
            </w:r>
          </w:p>
        </w:tc>
        <w:tc>
          <w:tcPr/>
          <w:p>
            <w:pPr>
              <w:pStyle w:val="Compact"/>
              <w:jc w:val="left"/>
            </w:pPr>
            <w:r>
              <w:t xml:space="preserve">Does not survive dataset deletion — see the deletion-protection gap in</w:t>
            </w:r>
            <w:r>
              <w:t xml:space="preserve"> </w:t>
            </w:r>
            <w:r>
              <w:rPr>
                <w:b/>
                <w:bCs/>
              </w:rPr>
              <w:t xml:space="preserve">Backup strategy</w:t>
            </w:r>
            <w:r>
              <w:t xml:space="preserve"> </w:t>
            </w:r>
            <w:r>
              <w:t xml:space="preserve">above</w:t>
            </w:r>
          </w:p>
        </w:tc>
      </w:tr>
      <w:tr>
        <w:tc>
          <w:tcPr/>
          <w:p>
            <w:pPr>
              <w:pStyle w:val="Compact"/>
              <w:jc w:val="left"/>
            </w:pPr>
            <w:r>
              <w:t xml:space="preserve">The Vector Search index is lost</w:t>
            </w:r>
          </w:p>
        </w:tc>
        <w:tc>
          <w:tcPr/>
          <w:p>
            <w:pPr>
              <w:pStyle w:val="Compact"/>
              <w:jc w:val="left"/>
            </w:pPr>
            <w:r>
              <w:t xml:space="preserve">Hours — longer than PR-20’s general objective, because a rebuild is a batch operation</w:t>
            </w:r>
          </w:p>
        </w:tc>
        <w:tc>
          <w:tcPr/>
          <w:p>
            <w:pPr>
              <w:pStyle w:val="Compact"/>
              <w:jc w:val="left"/>
            </w:pPr>
            <w:r>
              <w:t xml:space="preserve">Rebuild from the embedding source data bucket</w:t>
            </w:r>
          </w:p>
        </w:tc>
        <w:tc>
          <w:tcPr/>
          <w:p>
            <w:pPr>
              <w:pStyle w:val="Compact"/>
              <w:jc w:val="left"/>
            </w:pPr>
            <w:r>
              <w:t xml:space="preserve">PR-20 is therefore read as excluding index rebuild time</w:t>
            </w:r>
          </w:p>
        </w:tc>
      </w:tr>
      <w:tr>
        <w:tc>
          <w:tcPr/>
          <w:p>
            <w:pPr>
              <w:pStyle w:val="Compact"/>
              <w:jc w:val="left"/>
            </w:pPr>
            <w:r>
              <w:t xml:space="preserve">Firestore</w:t>
            </w:r>
            <w:r>
              <w:t xml:space="preserve"> </w:t>
            </w:r>
            <w:r>
              <w:rPr>
                <w:rStyle w:val="VerbatimChar"/>
              </w:rPr>
              <w:t xml:space="preserve">sessions</w:t>
            </w:r>
            <w:r>
              <w:t xml:space="preserve"> </w:t>
            </w:r>
            <w:r>
              <w:t xml:space="preserve">is unavailable</w:t>
            </w:r>
          </w:p>
        </w:tc>
        <w:tc>
          <w:tcPr/>
          <w:p>
            <w:pPr>
              <w:pStyle w:val="Compact"/>
              <w:jc w:val="left"/>
            </w:pPr>
            <w:r>
              <w:t xml:space="preserve">Not applicable — fail closed</w:t>
            </w:r>
          </w:p>
        </w:tc>
        <w:tc>
          <w:tcPr/>
          <w:p>
            <w:pPr>
              <w:pStyle w:val="Compact"/>
              <w:jc w:val="left"/>
            </w:pPr>
            <w:r>
              <w:t xml:space="preserve">Return 503; users re-authenticate once it recovers</w:t>
            </w:r>
          </w:p>
        </w:tc>
        <w:tc>
          <w:tcPr/>
          <w:p>
            <w:pPr>
              <w:pStyle w:val="Compact"/>
              <w:jc w:val="left"/>
            </w:pPr>
            <w:r>
              <w:t xml:space="preserve">There is no degraded mode, per</w:t>
            </w:r>
            <w:r>
              <w:t xml:space="preserve"> </w:t>
            </w:r>
            <w:r>
              <w:rPr>
                <w:b/>
                <w:bCs/>
              </w:rPr>
              <w:t xml:space="preserve">Session read latency and Firestore failure</w:t>
            </w:r>
          </w:p>
        </w:tc>
      </w:tr>
      <w:tr>
        <w:tc>
          <w:tcPr/>
          <w:p>
            <w:pPr>
              <w:pStyle w:val="Compact"/>
              <w:jc w:val="left"/>
            </w:pPr>
            <w:r>
              <w:t xml:space="preserve">Firestore</w:t>
            </w:r>
            <w:r>
              <w:t xml:space="preserve"> </w:t>
            </w:r>
            <w:r>
              <w:rPr>
                <w:rStyle w:val="VerbatimChar"/>
              </w:rPr>
              <w:t xml:space="preserve">jobs</w:t>
            </w:r>
            <w:r>
              <w:t xml:space="preserve"> </w:t>
            </w:r>
            <w:r>
              <w:t xml:space="preserve">or</w:t>
            </w:r>
            <w:r>
              <w:t xml:space="preserve"> </w:t>
            </w:r>
            <w:r>
              <w:rPr>
                <w:rStyle w:val="VerbatimChar"/>
              </w:rPr>
              <w:t xml:space="preserve">idempotency</w:t>
            </w:r>
            <w:r>
              <w:t xml:space="preserve"> </w:t>
            </w:r>
            <w:r>
              <w:t xml:space="preserve">is corrupted or lost</w:t>
            </w:r>
          </w:p>
        </w:tc>
        <w:tc>
          <w:tcPr/>
          <w:p>
            <w:pPr>
              <w:pStyle w:val="Compact"/>
              <w:jc w:val="left"/>
            </w:pPr>
            <w:r>
              <w:t xml:space="preserve">Not yet defined</w:t>
            </w:r>
          </w:p>
        </w:tc>
        <w:tc>
          <w:tcPr/>
          <w:p>
            <w:pPr>
              <w:pStyle w:val="Compact"/>
              <w:jc w:val="left"/>
            </w:pPr>
            <w:r>
              <w:t xml:space="preserve">Restore from export once the export mechanism is defined; in-flight jobs are lost and must be resubmitted</w:t>
            </w:r>
          </w:p>
        </w:tc>
        <w:tc>
          <w:tcPr/>
          <w:p>
            <w:pPr>
              <w:pStyle w:val="Compact"/>
              <w:jc w:val="left"/>
            </w:pPr>
            <w:r>
              <w:t xml:space="preserve">The backup gap that carries the greater operational consequence, per</w:t>
            </w:r>
            <w:r>
              <w:t xml:space="preserve"> </w:t>
            </w:r>
            <w:r>
              <w:rPr>
                <w:b/>
                <w:bCs/>
              </w:rPr>
              <w:t xml:space="preserve">Backup strategy</w:t>
            </w:r>
            <w:r>
              <w:t xml:space="preserve"> </w:t>
            </w:r>
            <w:r>
              <w:t xml:space="preserve">above</w:t>
            </w:r>
          </w:p>
        </w:tc>
      </w:tr>
      <w:tr>
        <w:tc>
          <w:tcPr/>
          <w:p>
            <w:pPr>
              <w:pStyle w:val="Compact"/>
              <w:jc w:val="left"/>
            </w:pPr>
            <w:r>
              <w:t xml:space="preserve">The Apigee organisation is lost</w:t>
            </w:r>
          </w:p>
        </w:tc>
        <w:tc>
          <w:tcPr/>
          <w:p>
            <w:pPr>
              <w:pStyle w:val="Compact"/>
              <w:jc w:val="left"/>
            </w:pPr>
            <w:r>
              <w:t xml:space="preserve">Days</w:t>
            </w:r>
          </w:p>
        </w:tc>
        <w:tc>
          <w:tcPr/>
          <w:p>
            <w:pPr>
              <w:pStyle w:val="Compact"/>
              <w:jc w:val="left"/>
            </w:pPr>
            <w:r>
              <w:t xml:space="preserve">Rebuild from Git</w:t>
            </w:r>
          </w:p>
        </w:tc>
        <w:tc>
          <w:tcPr/>
          <w:p>
            <w:pPr>
              <w:pStyle w:val="Compact"/>
              <w:jc w:val="left"/>
            </w:pPr>
            <w:r>
              <w:t xml:space="preserve">The immutable settings in</w:t>
            </w:r>
            <w:r>
              <w:t xml:space="preserve"> </w:t>
            </w:r>
            <w:r>
              <w:rPr>
                <w:b/>
                <w:bCs/>
              </w:rPr>
              <w:t xml:space="preserve">Immutable and expensive-to-reverse decisions</w:t>
            </w:r>
            <w:r>
              <w:t xml:space="preserve"> </w:t>
            </w:r>
            <w:r>
              <w:t xml:space="preserve">must be re-chosen identically, and organisation provisioning alone takes 30 to 60 minutes</w:t>
            </w:r>
          </w:p>
        </w:tc>
      </w:tr>
      <w:tr>
        <w:tc>
          <w:tcPr/>
          <w:p>
            <w:pPr>
              <w:pStyle w:val="Compact"/>
              <w:jc w:val="left"/>
            </w:pPr>
            <w:r>
              <w:t xml:space="preserve">A certificate expires</w:t>
            </w:r>
          </w:p>
        </w:tc>
        <w:tc>
          <w:tcPr/>
          <w:p>
            <w:pPr>
              <w:pStyle w:val="Compact"/>
              <w:jc w:val="left"/>
            </w:pPr>
            <w:r>
              <w:t xml:space="preserve">Outage until reissued</w:t>
            </w:r>
          </w:p>
        </w:tc>
        <w:tc>
          <w:tcPr/>
          <w:p>
            <w:pPr>
              <w:pStyle w:val="Compact"/>
              <w:jc w:val="left"/>
            </w:pPr>
            <w:r>
              <w:t xml:space="preserve">Reissue and redeploy</w:t>
            </w:r>
          </w:p>
        </w:tc>
        <w:tc>
          <w:tcPr/>
          <w:p>
            <w:pPr>
              <w:pStyle w:val="Compact"/>
              <w:jc w:val="left"/>
            </w:pPr>
            <w:r>
              <w:t xml:space="preserve">The reason the 30-day expiry alert and named secret ownership exist, per</w:t>
            </w:r>
            <w:r>
              <w:t xml:space="preserve"> </w:t>
            </w:r>
            <w:r>
              <w:rPr>
                <w:b/>
                <w:bCs/>
              </w:rPr>
              <w:t xml:space="preserve">Secrets management and rotation</w:t>
            </w:r>
          </w:p>
        </w:tc>
      </w:tr>
      <w:tr>
        <w:tc>
          <w:tcPr/>
          <w:p>
            <w:pPr>
              <w:pStyle w:val="Compact"/>
              <w:jc w:val="left"/>
            </w:pPr>
            <w:r>
              <w:t xml:space="preserve">A Cloud KMS key is destroyed</w:t>
            </w:r>
          </w:p>
        </w:tc>
        <w:tc>
          <w:tcPr/>
          <w:p>
            <w:pPr>
              <w:pStyle w:val="Compact"/>
              <w:jc w:val="left"/>
            </w:pPr>
            <w:r>
              <w:t xml:space="preserve">Not recoverable</w:t>
            </w:r>
          </w:p>
        </w:tc>
        <w:tc>
          <w:tcPr/>
          <w:p>
            <w:pPr>
              <w:pStyle w:val="Compact"/>
              <w:jc w:val="left"/>
            </w:pPr>
            <w:r>
              <w:t xml:space="preserve">None</w:t>
            </w:r>
          </w:p>
        </w:tc>
        <w:tc>
          <w:tcPr/>
          <w:p>
            <w:pPr>
              <w:pStyle w:val="Compact"/>
              <w:jc w:val="left"/>
            </w:pPr>
            <w:r>
              <w:t xml:space="preserve">The mandatory waiting period on deletion exists precisely to prevent this, per I12 (KMS key deletion)</w:t>
            </w:r>
          </w:p>
        </w:tc>
      </w:tr>
      <w:tr>
        <w:tc>
          <w:tcPr/>
          <w:p>
            <w:pPr>
              <w:pStyle w:val="Compact"/>
              <w:jc w:val="left"/>
            </w:pPr>
            <w:r>
              <w:t xml:space="preserve">A Secret Manager version is destroyed</w:t>
            </w:r>
          </w:p>
        </w:tc>
        <w:tc>
          <w:tcPr/>
          <w:p>
            <w:pPr>
              <w:pStyle w:val="Compact"/>
              <w:jc w:val="left"/>
            </w:pPr>
            <w:r>
              <w:t xml:space="preserve">Not recoverable</w:t>
            </w:r>
          </w:p>
        </w:tc>
        <w:tc>
          <w:tcPr/>
          <w:p>
            <w:pPr>
              <w:pStyle w:val="Compact"/>
              <w:jc w:val="left"/>
            </w:pPr>
            <w:r>
              <w:t xml:space="preserve">None</w:t>
            </w:r>
          </w:p>
        </w:tc>
        <w:tc>
          <w:tcPr/>
          <w:p>
            <w:pPr>
              <w:pStyle w:val="Compact"/>
              <w:jc w:val="left"/>
            </w:pPr>
            <w:r>
              <w:t xml:space="preserve">Prior versions exist for rollback; a destroyed version is gone</w:t>
            </w:r>
          </w:p>
        </w:tc>
      </w:tr>
      <w:tr>
        <w:tc>
          <w:tcPr/>
          <w:p>
            <w:pPr>
              <w:pStyle w:val="Compact"/>
              <w:jc w:val="left"/>
            </w:pPr>
            <w:r>
              <w:t xml:space="preserve">Full region loss</w:t>
            </w:r>
          </w:p>
        </w:tc>
        <w:tc>
          <w:tcPr/>
          <w:p>
            <w:pPr>
              <w:pStyle w:val="Compact"/>
              <w:jc w:val="left"/>
            </w:pPr>
            <w:r>
              <w:t xml:space="preserve">Out of scope for this phase</w:t>
            </w:r>
          </w:p>
        </w:tc>
        <w:tc>
          <w:tcPr/>
          <w:p>
            <w:pPr>
              <w:pStyle w:val="Compact"/>
              <w:jc w:val="left"/>
            </w:pPr>
            <w:r>
              <w:t xml:space="preserve">Multi-region disaster recovery is not built</w:t>
            </w:r>
          </w:p>
        </w:tc>
        <w:tc>
          <w:tcPr/>
          <w:p>
            <w:pPr>
              <w:pStyle w:val="Compact"/>
              <w:jc w:val="left"/>
            </w:pPr>
            <w:r>
              <w:t xml:space="preserve">Stated explicitly so the residual risk is visible rather than assumed covered. Recorded in</w:t>
            </w:r>
            <w:r>
              <w:t xml:space="preserve"> </w:t>
            </w:r>
            <w:r>
              <w:rPr>
                <w:b/>
                <w:bCs/>
              </w:rPr>
              <w:t xml:space="preserve">Risk Register</w:t>
            </w:r>
          </w:p>
        </w:tc>
      </w:tr>
      <w:tr>
        <w:tc>
          <w:tcPr/>
          <w:p>
            <w:pPr>
              <w:pStyle w:val="Compact"/>
              <w:jc w:val="left"/>
            </w:pPr>
            <w:r>
              <w:t xml:space="preserve">Recovery from a security compromise, as distinct from a failure</w:t>
            </w:r>
          </w:p>
        </w:tc>
        <w:tc>
          <w:tcPr/>
          <w:p>
            <w:pPr>
              <w:pStyle w:val="Compact"/>
              <w:jc w:val="left"/>
            </w:pPr>
            <w:r>
              <w:t xml:space="preserve">Longer than PR-20 — a target to be set separately</w:t>
            </w:r>
          </w:p>
        </w:tc>
        <w:tc>
          <w:tcPr/>
          <w:p>
            <w:pPr>
              <w:pStyle w:val="Compact"/>
              <w:jc w:val="left"/>
            </w:pPr>
            <w:r>
              <w:t xml:space="preserve">Rebuild to a known-good state rather than restore</w:t>
            </w:r>
          </w:p>
        </w:tc>
        <w:tc>
          <w:tcPr/>
          <w:p>
            <w:pPr>
              <w:pStyle w:val="Compact"/>
              <w:jc w:val="left"/>
            </w:pPr>
            <w:r>
              <w:t xml:space="preserve">The pre-incident state cannot be trusted as a restore point, which is why this is a rebuild objective and not a restore objective. Follows the containment tiers in</w:t>
            </w:r>
            <w:r>
              <w:t xml:space="preserve"> </w:t>
            </w:r>
            <w:r>
              <w:rPr>
                <w:b/>
                <w:bCs/>
              </w:rPr>
              <w:t xml:space="preserve">Emergency termination — kill switch</w:t>
            </w:r>
          </w:p>
        </w:tc>
      </w:tr>
    </w:tbl>
    <w:p>
      <w:r>
        <w:pict>
          <v:rect style="width:0;height:1.5pt" o:hralign="center" o:hrstd="t" o:hr="t"/>
        </w:pict>
      </w:r>
    </w:p>
    <w:bookmarkEnd w:id="275"/>
    <w:bookmarkEnd w:id="276"/>
    <w:bookmarkStart w:id="277" w:name="risk-register"/>
    <w:p>
      <w:pPr>
        <w:pStyle w:val="Heading1"/>
      </w:pPr>
      <w:r>
        <w:t xml:space="preserve">14. Risk Register</w:t>
      </w:r>
    </w:p>
    <w:p>
      <w:pPr>
        <w:pStyle w:val="FirstParagraph"/>
      </w:pPr>
      <w:r>
        <w:t xml:space="preserve">A living record, reviewed as the design and threat landscape evolve. Likelihood and impact:</w:t>
      </w:r>
      <w:r>
        <w:t xml:space="preserve"> </w:t>
      </w:r>
      <w:r>
        <w:rPr>
          <w:b/>
          <w:bCs/>
        </w:rPr>
        <w:t xml:space="preserve">H</w:t>
      </w:r>
      <w:r>
        <w:t xml:space="preserve"> </w:t>
      </w:r>
      <w:r>
        <w:t xml:space="preserve">high,</w:t>
      </w:r>
      <w:r>
        <w:t xml:space="preserve"> </w:t>
      </w:r>
      <w:r>
        <w:rPr>
          <w:b/>
          <w:bCs/>
        </w:rPr>
        <w:t xml:space="preserve">M</w:t>
      </w:r>
      <w:r>
        <w:t xml:space="preserve"> </w:t>
      </w:r>
      <w:r>
        <w:t xml:space="preserve">medium,</w:t>
      </w:r>
      <w:r>
        <w:t xml:space="preserve"> </w:t>
      </w:r>
      <w:r>
        <w:rPr>
          <w:b/>
          <w:bCs/>
        </w:rPr>
        <w:t xml:space="preserve">L</w:t>
      </w:r>
      <w:r>
        <w:t xml:space="preserve"> </w:t>
      </w:r>
      <w:r>
        <w:t xml:space="preserve">low.</w:t>
      </w:r>
    </w:p>
    <w:tbl>
      <w:tblPr>
        <w:tblStyle w:val="TableGrid"/>
        <w:tblW w:type="pct" w:w="5000"/>
        <w:jc w:val="start"/>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1F3864"/>
          </w:tcPr>
          <w:p>
            <w:pPr>
              <w:pStyle w:val="Compact"/>
              <w:jc w:val="left"/>
            </w:pPr>
            <w:r>
              <w:rPr>
                <w:b/>
                <w:color w:val="FFFFFF"/>
              </w:rPr>
              <w:t xml:space="preserve">ID</w:t>
            </w:r>
          </w:p>
        </w:tc>
        <w:tc>
          <w:tcPr>
            <w:shd w:val="clear" w:color="auto" w:fill="1F3864"/>
          </w:tcPr>
          <w:p>
            <w:pPr>
              <w:pStyle w:val="Compact"/>
              <w:jc w:val="left"/>
            </w:pPr>
            <w:r>
              <w:rPr>
                <w:b/>
                <w:color w:val="FFFFFF"/>
              </w:rPr>
              <w:t xml:space="preserve">Risk</w:t>
            </w:r>
          </w:p>
        </w:tc>
        <w:tc>
          <w:tcPr>
            <w:shd w:val="clear" w:color="auto" w:fill="1F3864"/>
          </w:tcPr>
          <w:p>
            <w:pPr>
              <w:pStyle w:val="Compact"/>
              <w:jc w:val="left"/>
            </w:pPr>
            <w:r>
              <w:rPr>
                <w:b/>
                <w:color w:val="FFFFFF"/>
              </w:rPr>
              <w:t xml:space="preserve">L</w:t>
            </w:r>
          </w:p>
        </w:tc>
        <w:tc>
          <w:tcPr>
            <w:shd w:val="clear" w:color="auto" w:fill="1F3864"/>
          </w:tcPr>
          <w:p>
            <w:pPr>
              <w:pStyle w:val="Compact"/>
              <w:jc w:val="left"/>
            </w:pPr>
            <w:r>
              <w:rPr>
                <w:b/>
                <w:color w:val="FFFFFF"/>
              </w:rPr>
              <w:t xml:space="preserve">I</w:t>
            </w:r>
          </w:p>
        </w:tc>
        <w:tc>
          <w:tcPr>
            <w:shd w:val="clear" w:color="auto" w:fill="1F3864"/>
          </w:tcPr>
          <w:p>
            <w:pPr>
              <w:pStyle w:val="Compact"/>
              <w:jc w:val="left"/>
            </w:pPr>
            <w:r>
              <w:rPr>
                <w:b/>
                <w:color w:val="FFFFFF"/>
              </w:rPr>
              <w:t xml:space="preserve">Mitigation</w:t>
            </w:r>
          </w:p>
        </w:tc>
        <w:tc>
          <w:tcPr>
            <w:shd w:val="clear" w:color="auto" w:fill="1F3864"/>
          </w:tcPr>
          <w:p>
            <w:pPr>
              <w:pStyle w:val="Compact"/>
              <w:jc w:val="left"/>
            </w:pPr>
            <w:r>
              <w:rPr>
                <w:b/>
                <w:color w:val="FFFFFF"/>
              </w:rPr>
              <w:t xml:space="preserve">Owner</w:t>
            </w:r>
          </w:p>
        </w:tc>
      </w:tr>
      <w:tr>
        <w:tc>
          <w:tcPr/>
          <w:p>
            <w:pPr>
              <w:pStyle w:val="Compact"/>
              <w:jc w:val="left"/>
            </w:pPr>
            <w:r>
              <w:t xml:space="preserve">R-03</w:t>
            </w:r>
          </w:p>
        </w:tc>
        <w:tc>
          <w:tcPr/>
          <w:p>
            <w:pPr>
              <w:pStyle w:val="Compact"/>
              <w:jc w:val="left"/>
            </w:pPr>
            <w:r>
              <w:t xml:space="preserve">Certificate expiry on the AI Hub load balancer or an Apigee environment group — a total outage</w:t>
            </w:r>
          </w:p>
        </w:tc>
        <w:tc>
          <w:tcPr/>
          <w:p>
            <w:pPr>
              <w:pStyle w:val="Compact"/>
              <w:jc w:val="left"/>
            </w:pPr>
            <w:r>
              <w:t xml:space="preserve">M</w:t>
            </w:r>
          </w:p>
        </w:tc>
        <w:tc>
          <w:tcPr/>
          <w:p>
            <w:pPr>
              <w:pStyle w:val="Compact"/>
              <w:jc w:val="left"/>
            </w:pPr>
            <w:r>
              <w:t xml:space="preserve">H</w:t>
            </w:r>
          </w:p>
        </w:tc>
        <w:tc>
          <w:tcPr/>
          <w:p>
            <w:pPr>
              <w:pStyle w:val="Compact"/>
              <w:jc w:val="left"/>
            </w:pPr>
            <w:r>
              <w:t xml:space="preserve">Named secret ownership, automated DNS-01 renewal per gate P4 (public DNS zone control and named certificate owner), and a 30-day expiry alert, per</w:t>
            </w:r>
            <w:r>
              <w:t xml:space="preserve"> </w:t>
            </w:r>
            <w:r>
              <w:rPr>
                <w:b/>
                <w:bCs/>
              </w:rPr>
              <w:t xml:space="preserve">Secrets management and rotation</w:t>
            </w:r>
          </w:p>
        </w:tc>
        <w:tc>
          <w:tcPr/>
          <w:p>
            <w:pPr>
              <w:pStyle w:val="Compact"/>
              <w:jc w:val="left"/>
            </w:pPr>
            <w:r>
              <w:t xml:space="preserve">AICOE Platform Team</w:t>
            </w:r>
          </w:p>
        </w:tc>
      </w:tr>
      <w:tr>
        <w:tc>
          <w:tcPr/>
          <w:p>
            <w:pPr>
              <w:pStyle w:val="Compact"/>
              <w:jc w:val="left"/>
            </w:pPr>
            <w:r>
              <w:t xml:space="preserve">R-04</w:t>
            </w:r>
          </w:p>
        </w:tc>
        <w:tc>
          <w:tcPr/>
          <w:p>
            <w:pPr>
              <w:pStyle w:val="Compact"/>
              <w:jc w:val="left"/>
            </w:pPr>
            <w:r>
              <w:t xml:space="preserve">Apigee licence entitlement and cost model prove unaffordable against expected AI-gateway volume</w:t>
            </w:r>
          </w:p>
        </w:tc>
        <w:tc>
          <w:tcPr/>
          <w:p>
            <w:pPr>
              <w:pStyle w:val="Compact"/>
              <w:jc w:val="left"/>
            </w:pPr>
            <w:r>
              <w:t xml:space="preserve">M</w:t>
            </w:r>
          </w:p>
        </w:tc>
        <w:tc>
          <w:tcPr/>
          <w:p>
            <w:pPr>
              <w:pStyle w:val="Compact"/>
              <w:jc w:val="left"/>
            </w:pPr>
            <w:r>
              <w:t xml:space="preserve">H</w:t>
            </w:r>
          </w:p>
        </w:tc>
        <w:tc>
          <w:tcPr/>
          <w:p>
            <w:pPr>
              <w:pStyle w:val="Compact"/>
              <w:jc w:val="left"/>
            </w:pPr>
            <w:r>
              <w:t xml:space="preserve">Confirmation is gate P13; the fallback is to move screening and metering into the application, keeping Apigee for the user API only, per</w:t>
            </w:r>
            <w:r>
              <w:t xml:space="preserve"> </w:t>
            </w:r>
            <w:r>
              <w:rPr>
                <w:b/>
                <w:bCs/>
              </w:rPr>
              <w:t xml:space="preserve">Decision Log</w:t>
            </w:r>
          </w:p>
        </w:tc>
        <w:tc>
          <w:tcPr/>
          <w:p>
            <w:pPr>
              <w:pStyle w:val="Compact"/>
              <w:jc w:val="left"/>
            </w:pPr>
            <w:r>
              <w:t xml:space="preserve">AICOE Platform Team / Commercial</w:t>
            </w:r>
          </w:p>
        </w:tc>
      </w:tr>
      <w:tr>
        <w:tc>
          <w:tcPr/>
          <w:p>
            <w:pPr>
              <w:pStyle w:val="Compact"/>
              <w:jc w:val="left"/>
            </w:pPr>
            <w:r>
              <w:t xml:space="preserve">R-07</w:t>
            </w:r>
          </w:p>
        </w:tc>
        <w:tc>
          <w:tcPr/>
          <w:p>
            <w:pPr>
              <w:pStyle w:val="Compact"/>
              <w:jc w:val="left"/>
            </w:pPr>
            <w:r>
              <w:t xml:space="preserve">Firestore is a hard request-path dependency introduced by the Backend-for-Frontend — an outage signs every user out</w:t>
            </w:r>
          </w:p>
        </w:tc>
        <w:tc>
          <w:tcPr/>
          <w:p>
            <w:pPr>
              <w:pStyle w:val="Compact"/>
              <w:jc w:val="left"/>
            </w:pPr>
            <w:r>
              <w:t xml:space="preserve">M</w:t>
            </w:r>
          </w:p>
        </w:tc>
        <w:tc>
          <w:tcPr/>
          <w:p>
            <w:pPr>
              <w:pStyle w:val="Compact"/>
              <w:jc w:val="left"/>
            </w:pPr>
            <w:r>
              <w:t xml:space="preserve">M</w:t>
            </w:r>
          </w:p>
        </w:tc>
        <w:tc>
          <w:tcPr/>
          <w:p>
            <w:pPr>
              <w:pStyle w:val="Compact"/>
              <w:jc w:val="left"/>
            </w:pPr>
            <w:r>
              <w:t xml:space="preserve">Fail closed with a 503, a 2-second call timeout, circuit-breaking, an instance-level cache and an error-rate alert, per</w:t>
            </w:r>
            <w:r>
              <w:t xml:space="preserve"> </w:t>
            </w:r>
            <w:r>
              <w:rPr>
                <w:b/>
                <w:bCs/>
              </w:rPr>
              <w:t xml:space="preserve">Session read latency and Firestore failure</w:t>
            </w:r>
          </w:p>
        </w:tc>
        <w:tc>
          <w:tcPr/>
          <w:p>
            <w:pPr>
              <w:pStyle w:val="Compact"/>
              <w:jc w:val="left"/>
            </w:pPr>
            <w:r>
              <w:t xml:space="preserve">AICOE Platform Team</w:t>
            </w:r>
          </w:p>
        </w:tc>
      </w:tr>
      <w:tr>
        <w:tc>
          <w:tcPr/>
          <w:p>
            <w:pPr>
              <w:pStyle w:val="Compact"/>
              <w:jc w:val="left"/>
            </w:pPr>
            <w:r>
              <w:t xml:space="preserve">R-08</w:t>
            </w:r>
          </w:p>
        </w:tc>
        <w:tc>
          <w:tcPr/>
          <w:p>
            <w:pPr>
              <w:pStyle w:val="Compact"/>
              <w:jc w:val="left"/>
            </w:pPr>
            <w:r>
              <w:t xml:space="preserve">Indirect prompt injection through documents retrieved by the Sales Agent, which Model Armor’s prompt filter does not screen</w:t>
            </w:r>
          </w:p>
        </w:tc>
        <w:tc>
          <w:tcPr/>
          <w:p>
            <w:pPr>
              <w:pStyle w:val="Compact"/>
              <w:jc w:val="left"/>
            </w:pPr>
            <w:r>
              <w:t xml:space="preserve">M</w:t>
            </w:r>
          </w:p>
        </w:tc>
        <w:tc>
          <w:tcPr/>
          <w:p>
            <w:pPr>
              <w:pStyle w:val="Compact"/>
              <w:jc w:val="left"/>
            </w:pPr>
            <w:r>
              <w:t xml:space="preserve">M</w:t>
            </w:r>
          </w:p>
        </w:tc>
        <w:tc>
          <w:tcPr/>
          <w:p>
            <w:pPr>
              <w:pStyle w:val="Compact"/>
              <w:jc w:val="left"/>
            </w:pPr>
            <w:r>
              <w:t xml:space="preserve">Four application-side controls — structural delimiting, selective chunk screening, constrained output shape, and per-user tool authorisation — per</w:t>
            </w:r>
            <w:r>
              <w:t xml:space="preserve"> </w:t>
            </w:r>
            <w:r>
              <w:rPr>
                <w:b/>
                <w:bCs/>
              </w:rPr>
              <w:t xml:space="preserve">Application-level controls</w:t>
            </w:r>
          </w:p>
        </w:tc>
        <w:tc>
          <w:tcPr/>
          <w:p>
            <w:pPr>
              <w:pStyle w:val="Compact"/>
              <w:jc w:val="left"/>
            </w:pPr>
            <w:r>
              <w:t xml:space="preserve">AICOE Developer Team</w:t>
            </w:r>
          </w:p>
        </w:tc>
      </w:tr>
      <w:tr>
        <w:tc>
          <w:tcPr/>
          <w:p>
            <w:pPr>
              <w:pStyle w:val="Compact"/>
              <w:jc w:val="left"/>
            </w:pPr>
            <w:r>
              <w:t xml:space="preserve">R-09</w:t>
            </w:r>
          </w:p>
        </w:tc>
        <w:tc>
          <w:tcPr/>
          <w:p>
            <w:pPr>
              <w:pStyle w:val="Compact"/>
              <w:jc w:val="left"/>
            </w:pPr>
            <w:r>
              <w:t xml:space="preserve">A document is mislabelled with the wrong business unit at Vector Search ingestion, producing a cross-business-unit disclosure that query-time filtering cannot catch</w:t>
            </w:r>
          </w:p>
        </w:tc>
        <w:tc>
          <w:tcPr/>
          <w:p>
            <w:pPr>
              <w:pStyle w:val="Compact"/>
              <w:jc w:val="left"/>
            </w:pPr>
            <w:r>
              <w:t xml:space="preserve">M</w:t>
            </w:r>
          </w:p>
        </w:tc>
        <w:tc>
          <w:tcPr/>
          <w:p>
            <w:pPr>
              <w:pStyle w:val="Compact"/>
              <w:jc w:val="left"/>
            </w:pPr>
            <w:r>
              <w:t xml:space="preserve">H</w:t>
            </w:r>
          </w:p>
        </w:tc>
        <w:tc>
          <w:tcPr/>
          <w:p>
            <w:pPr>
              <w:pStyle w:val="Compact"/>
              <w:jc w:val="left"/>
            </w:pPr>
            <w:r>
              <w:t xml:space="preserve">The label is taken from the verified Entra claim, never the request body, per</w:t>
            </w:r>
            <w:r>
              <w:t xml:space="preserve"> </w:t>
            </w:r>
            <w:r>
              <w:rPr>
                <w:b/>
                <w:bCs/>
              </w:rPr>
              <w:t xml:space="preserve">Ingestion handover contract</w:t>
            </w:r>
          </w:p>
        </w:tc>
        <w:tc>
          <w:tcPr/>
          <w:p>
            <w:pPr>
              <w:pStyle w:val="Compact"/>
              <w:jc w:val="left"/>
            </w:pPr>
            <w:r>
              <w:t xml:space="preserve">AICOE Developer Team</w:t>
            </w:r>
          </w:p>
        </w:tc>
      </w:tr>
      <w:tr>
        <w:tc>
          <w:tcPr/>
          <w:p>
            <w:pPr>
              <w:pStyle w:val="Compact"/>
              <w:jc w:val="left"/>
            </w:pPr>
            <w:r>
              <w:t xml:space="preserve">R-10</w:t>
            </w:r>
          </w:p>
        </w:tc>
        <w:tc>
          <w:tcPr/>
          <w:p>
            <w:pPr>
              <w:pStyle w:val="Compact"/>
              <w:jc w:val="left"/>
            </w:pPr>
            <w:r>
              <w:t xml:space="preserve">The Cloud Run instance-budget allocation across services is exceeded, and a rollout cannot obtain addresses</w:t>
            </w:r>
          </w:p>
        </w:tc>
        <w:tc>
          <w:tcPr/>
          <w:p>
            <w:pPr>
              <w:pStyle w:val="Compact"/>
              <w:jc w:val="left"/>
            </w:pPr>
            <w:r>
              <w:t xml:space="preserve">M</w:t>
            </w:r>
          </w:p>
        </w:tc>
        <w:tc>
          <w:tcPr/>
          <w:p>
            <w:pPr>
              <w:pStyle w:val="Compact"/>
              <w:jc w:val="left"/>
            </w:pPr>
            <w:r>
              <w:t xml:space="preserve">M</w:t>
            </w:r>
          </w:p>
        </w:tc>
        <w:tc>
          <w:tcPr/>
          <w:p>
            <w:pPr>
              <w:pStyle w:val="Compact"/>
              <w:jc w:val="left"/>
            </w:pPr>
            <w:r>
              <w:t xml:space="preserve">The 127-instance ceiling and the PR-19 alert bound this</w:t>
            </w:r>
          </w:p>
        </w:tc>
        <w:tc>
          <w:tcPr/>
          <w:p>
            <w:pPr>
              <w:pStyle w:val="Compact"/>
              <w:jc w:val="left"/>
            </w:pPr>
            <w:r>
              <w:t xml:space="preserve">AICOE Platform Team / AICOE Developer Team</w:t>
            </w:r>
          </w:p>
        </w:tc>
      </w:tr>
      <w:tr>
        <w:tc>
          <w:tcPr/>
          <w:p>
            <w:pPr>
              <w:pStyle w:val="Compact"/>
              <w:jc w:val="left"/>
            </w:pPr>
            <w:r>
              <w:t xml:space="preserve">R-11</w:t>
            </w:r>
          </w:p>
        </w:tc>
        <w:tc>
          <w:tcPr/>
          <w:p>
            <w:pPr>
              <w:pStyle w:val="Compact"/>
              <w:jc w:val="left"/>
            </w:pPr>
            <w:r>
              <w:t xml:space="preserve">The GDPR erasure position is invalidated if prompt-content logging is ever switched on beyond metadata</w:t>
            </w:r>
          </w:p>
        </w:tc>
        <w:tc>
          <w:tcPr/>
          <w:p>
            <w:pPr>
              <w:pStyle w:val="Compact"/>
              <w:jc w:val="left"/>
            </w:pPr>
            <w:r>
              <w:t xml:space="preserve">L</w:t>
            </w:r>
          </w:p>
        </w:tc>
        <w:tc>
          <w:tcPr/>
          <w:p>
            <w:pPr>
              <w:pStyle w:val="Compact"/>
              <w:jc w:val="left"/>
            </w:pPr>
            <w:r>
              <w:t xml:space="preserve">H</w:t>
            </w:r>
          </w:p>
        </w:tc>
        <w:tc>
          <w:tcPr/>
          <w:p>
            <w:pPr>
              <w:pStyle w:val="Compact"/>
              <w:jc w:val="left"/>
            </w:pPr>
            <w:r>
              <w:t xml:space="preserve">The acceptance is explicitly conditional on CR-19 (prompt content not logged by default) continuing to hold; any change requires Colt Data Protection sign-off first</w:t>
            </w:r>
          </w:p>
        </w:tc>
        <w:tc>
          <w:tcPr/>
          <w:p>
            <w:pPr>
              <w:pStyle w:val="Compact"/>
              <w:jc w:val="left"/>
            </w:pPr>
            <w:r>
              <w:t xml:space="preserve">Colt Data Protection</w:t>
            </w:r>
          </w:p>
        </w:tc>
      </w:tr>
      <w:tr>
        <w:tc>
          <w:tcPr/>
          <w:p>
            <w:pPr>
              <w:pStyle w:val="Compact"/>
              <w:jc w:val="left"/>
            </w:pPr>
            <w:r>
              <w:t xml:space="preserve">R-12</w:t>
            </w:r>
          </w:p>
        </w:tc>
        <w:tc>
          <w:tcPr/>
          <w:p>
            <w:pPr>
              <w:pStyle w:val="Compact"/>
              <w:jc w:val="left"/>
            </w:pPr>
            <w:r>
              <w:t xml:space="preserve">Apigee configuration — a proxy, an API Product, or a key value map value such as the model allow-list — is changed outside the pipeline</w:t>
            </w:r>
          </w:p>
        </w:tc>
        <w:tc>
          <w:tcPr/>
          <w:p>
            <w:pPr>
              <w:pStyle w:val="Compact"/>
              <w:jc w:val="left"/>
            </w:pPr>
            <w:r>
              <w:t xml:space="preserve">M</w:t>
            </w:r>
          </w:p>
        </w:tc>
        <w:tc>
          <w:tcPr/>
          <w:p>
            <w:pPr>
              <w:pStyle w:val="Compact"/>
              <w:jc w:val="left"/>
            </w:pPr>
            <w:r>
              <w:t xml:space="preserve">M</w:t>
            </w:r>
          </w:p>
        </w:tc>
        <w:tc>
          <w:tcPr/>
          <w:p>
            <w:pPr>
              <w:pStyle w:val="Compact"/>
              <w:jc w:val="left"/>
            </w:pPr>
            <w:r>
              <w:t xml:space="preserve">Console read-only for human operators, deploy role held only by the pipeline service account, an alert on any deployment by another principal, per</w:t>
            </w:r>
            <w:r>
              <w:t xml:space="preserve"> </w:t>
            </w:r>
            <w:r>
              <w:rPr>
                <w:b/>
                <w:bCs/>
              </w:rPr>
              <w:t xml:space="preserve">Apigee deployment governance</w:t>
            </w:r>
          </w:p>
        </w:tc>
        <w:tc>
          <w:tcPr/>
          <w:p>
            <w:pPr>
              <w:pStyle w:val="Compact"/>
              <w:jc w:val="left"/>
            </w:pPr>
            <w:r>
              <w:t xml:space="preserve">AICOE Platform Team</w:t>
            </w:r>
          </w:p>
        </w:tc>
      </w:tr>
      <w:tr>
        <w:tc>
          <w:tcPr/>
          <w:p>
            <w:pPr>
              <w:pStyle w:val="Compact"/>
              <w:jc w:val="left"/>
            </w:pPr>
            <w:r>
              <w:t xml:space="preserve">R-13</w:t>
            </w:r>
          </w:p>
        </w:tc>
        <w:tc>
          <w:tcPr/>
          <w:p>
            <w:pPr>
              <w:pStyle w:val="Compact"/>
              <w:jc w:val="left"/>
            </w:pPr>
            <w:r>
              <w:t xml:space="preserve">The Apigee accept list gives false confidence — removing a project from it does not sever an already-established connection</w:t>
            </w:r>
          </w:p>
        </w:tc>
        <w:tc>
          <w:tcPr/>
          <w:p>
            <w:pPr>
              <w:pStyle w:val="Compact"/>
              <w:jc w:val="left"/>
            </w:pPr>
            <w:r>
              <w:t xml:space="preserve">L</w:t>
            </w:r>
          </w:p>
        </w:tc>
        <w:tc>
          <w:tcPr/>
          <w:p>
            <w:pPr>
              <w:pStyle w:val="Compact"/>
              <w:jc w:val="left"/>
            </w:pPr>
            <w:r>
              <w:t xml:space="preserve">M</w:t>
            </w:r>
          </w:p>
        </w:tc>
        <w:tc>
          <w:tcPr/>
          <w:p>
            <w:pPr>
              <w:pStyle w:val="Compact"/>
              <w:jc w:val="left"/>
            </w:pPr>
            <w:r>
              <w:t xml:space="preserve">Documented as admission control, not revocation, per</w:t>
            </w:r>
            <w:r>
              <w:t xml:space="preserve"> </w:t>
            </w:r>
            <w:r>
              <w:rPr>
                <w:b/>
                <w:bCs/>
              </w:rPr>
              <w:t xml:space="preserve">Pre-provisioned controls enabling fast containment</w:t>
            </w:r>
            <w:r>
              <w:t xml:space="preserve">; revocation requires deleting the connection directly</w:t>
            </w:r>
          </w:p>
        </w:tc>
        <w:tc>
          <w:tcPr/>
          <w:p>
            <w:pPr>
              <w:pStyle w:val="Compact"/>
              <w:jc w:val="left"/>
            </w:pPr>
            <w:r>
              <w:t xml:space="preserve">AICOE Platform Team</w:t>
            </w:r>
          </w:p>
        </w:tc>
      </w:tr>
      <w:tr>
        <w:tc>
          <w:tcPr/>
          <w:p>
            <w:pPr>
              <w:pStyle w:val="Compact"/>
              <w:jc w:val="left"/>
            </w:pPr>
            <w:r>
              <w:t xml:space="preserve">R-14</w:t>
            </w:r>
          </w:p>
        </w:tc>
        <w:tc>
          <w:tcPr/>
          <w:p>
            <w:pPr>
              <w:pStyle w:val="Compact"/>
              <w:jc w:val="left"/>
            </w:pPr>
            <w:r>
              <w:t xml:space="preserve">The Model Armor screened-call ceiling, approximately 600 per minute across the platform, is exceeded by combined usecase volume</w:t>
            </w:r>
          </w:p>
        </w:tc>
        <w:tc>
          <w:tcPr/>
          <w:p>
            <w:pPr>
              <w:pStyle w:val="Compact"/>
              <w:jc w:val="left"/>
            </w:pPr>
            <w:r>
              <w:t xml:space="preserve">M</w:t>
            </w:r>
          </w:p>
        </w:tc>
        <w:tc>
          <w:tcPr/>
          <w:p>
            <w:pPr>
              <w:pStyle w:val="Compact"/>
              <w:jc w:val="left"/>
            </w:pPr>
            <w:r>
              <w:t xml:space="preserve">M</w:t>
            </w:r>
          </w:p>
        </w:tc>
        <w:tc>
          <w:tcPr/>
          <w:p>
            <w:pPr>
              <w:pStyle w:val="Compact"/>
              <w:jc w:val="left"/>
            </w:pPr>
            <w:r>
              <w:t xml:space="preserve">PR-17 sets the ceiling explicitly; compare against expected peak before go-live and request an increase early, since increases are not instant</w:t>
            </w:r>
          </w:p>
        </w:tc>
        <w:tc>
          <w:tcPr/>
          <w:p>
            <w:pPr>
              <w:pStyle w:val="Compact"/>
              <w:jc w:val="left"/>
            </w:pPr>
            <w:r>
              <w:t xml:space="preserve">AICOE Platform Team</w:t>
            </w:r>
          </w:p>
        </w:tc>
      </w:tr>
      <w:tr>
        <w:tc>
          <w:tcPr/>
          <w:p>
            <w:pPr>
              <w:pStyle w:val="Compact"/>
              <w:jc w:val="left"/>
            </w:pPr>
            <w:r>
              <w:t xml:space="preserve">R-15</w:t>
            </w:r>
          </w:p>
        </w:tc>
        <w:tc>
          <w:tcPr/>
          <w:p>
            <w:pPr>
              <w:pStyle w:val="Compact"/>
              <w:jc w:val="left"/>
            </w:pPr>
            <w:r>
              <w:t xml:space="preserve">Runaway consumption against the pooled Vertex AI quota in</w:t>
            </w:r>
            <w:r>
              <w:t xml:space="preserve"> </w:t>
            </w:r>
            <w:r>
              <w:rPr>
                <w:rStyle w:val="VerbatimChar"/>
              </w:rPr>
              <w:t xml:space="preserve">gclt-aicoe-dev-llm</w:t>
            </w:r>
            <w:r>
              <w:t xml:space="preserve"> </w:t>
            </w:r>
            <w:r>
              <w:t xml:space="preserve">by one usecase starves the other</w:t>
            </w:r>
          </w:p>
        </w:tc>
        <w:tc>
          <w:tcPr/>
          <w:p>
            <w:pPr>
              <w:pStyle w:val="Compact"/>
              <w:jc w:val="left"/>
            </w:pPr>
            <w:r>
              <w:t xml:space="preserve">M</w:t>
            </w:r>
          </w:p>
        </w:tc>
        <w:tc>
          <w:tcPr/>
          <w:p>
            <w:pPr>
              <w:pStyle w:val="Compact"/>
              <w:jc w:val="left"/>
            </w:pPr>
            <w:r>
              <w:t xml:space="preserve">M</w:t>
            </w:r>
          </w:p>
        </w:tc>
        <w:tc>
          <w:tcPr/>
          <w:p>
            <w:pPr>
              <w:pStyle w:val="Compact"/>
              <w:jc w:val="left"/>
            </w:pPr>
            <w:r>
              <w:t xml:space="preserve">The gateway’s per-user quota bounds an individual; sustained pooled-quota consumption is a kill-switch trigger condition, per</w:t>
            </w:r>
            <w:r>
              <w:t xml:space="preserve"> </w:t>
            </w:r>
            <w:r>
              <w:rPr>
                <w:b/>
                <w:bCs/>
              </w:rPr>
              <w:t xml:space="preserve">Emergency termination — kill switch</w:t>
            </w:r>
          </w:p>
        </w:tc>
        <w:tc>
          <w:tcPr/>
          <w:p>
            <w:pPr>
              <w:pStyle w:val="Compact"/>
              <w:jc w:val="left"/>
            </w:pPr>
            <w:r>
              <w:t xml:space="preserve">AICOE Platform Team</w:t>
            </w:r>
          </w:p>
        </w:tc>
      </w:tr>
      <w:tr>
        <w:tc>
          <w:tcPr/>
          <w:p>
            <w:pPr>
              <w:pStyle w:val="Compact"/>
              <w:jc w:val="left"/>
            </w:pPr>
            <w:r>
              <w:t xml:space="preserve">R-16</w:t>
            </w:r>
          </w:p>
        </w:tc>
        <w:tc>
          <w:tcPr/>
          <w:p>
            <w:pPr>
              <w:pStyle w:val="Compact"/>
              <w:jc w:val="left"/>
            </w:pPr>
            <w:r>
              <w:t xml:space="preserve">The Apigee-native Model Armor policies are Pre-GA, provided as-is with limited support</w:t>
            </w:r>
          </w:p>
        </w:tc>
        <w:tc>
          <w:tcPr/>
          <w:p>
            <w:pPr>
              <w:pStyle w:val="Compact"/>
              <w:jc w:val="left"/>
            </w:pPr>
            <w:r>
              <w:t xml:space="preserve">M</w:t>
            </w:r>
          </w:p>
        </w:tc>
        <w:tc>
          <w:tcPr/>
          <w:p>
            <w:pPr>
              <w:pStyle w:val="Compact"/>
              <w:jc w:val="left"/>
            </w:pPr>
            <w:r>
              <w:t xml:space="preserve">M</w:t>
            </w:r>
          </w:p>
        </w:tc>
        <w:tc>
          <w:tcPr/>
          <w:p>
            <w:pPr>
              <w:pStyle w:val="Compact"/>
              <w:jc w:val="left"/>
            </w:pPr>
            <w:r>
              <w:t xml:space="preserve">Only the General Availability token-quota policies are committed as controls; the Pre-GA policies are tracked in the SBOM so the position stays visible, per</w:t>
            </w:r>
            <w:r>
              <w:t xml:space="preserve"> </w:t>
            </w:r>
            <w:r>
              <w:rPr>
                <w:b/>
                <w:bCs/>
              </w:rPr>
              <w:t xml:space="preserve">Model Armor policy commitment, split by GA status</w:t>
            </w:r>
          </w:p>
        </w:tc>
        <w:tc>
          <w:tcPr/>
          <w:p>
            <w:pPr>
              <w:pStyle w:val="Compact"/>
              <w:jc w:val="left"/>
            </w:pPr>
            <w:r>
              <w:t xml:space="preserve">AICOE Platform Team</w:t>
            </w:r>
          </w:p>
        </w:tc>
      </w:tr>
      <w:tr>
        <w:tc>
          <w:tcPr/>
          <w:p>
            <w:pPr>
              <w:pStyle w:val="Compact"/>
              <w:jc w:val="left"/>
            </w:pPr>
            <w:r>
              <w:t xml:space="preserve">R-17</w:t>
            </w:r>
          </w:p>
        </w:tc>
        <w:tc>
          <w:tcPr/>
          <w:p>
            <w:pPr>
              <w:pStyle w:val="Compact"/>
              <w:jc w:val="left"/>
            </w:pPr>
            <w:r>
              <w:t xml:space="preserve">IPAM rejects</w:t>
            </w:r>
            <w:r>
              <w:t xml:space="preserve"> </w:t>
            </w:r>
            <w:r>
              <w:rPr>
                <w:rStyle w:val="VerbatimChar"/>
              </w:rPr>
              <w:t xml:space="preserve">192.168.4.0/22</w:t>
            </w:r>
            <w:r>
              <w:t xml:space="preserve">, or a future Colt network change creates a route overlap</w:t>
            </w:r>
          </w:p>
        </w:tc>
        <w:tc>
          <w:tcPr/>
          <w:p>
            <w:pPr>
              <w:pStyle w:val="Compact"/>
              <w:jc w:val="left"/>
            </w:pPr>
            <w:r>
              <w:t xml:space="preserve">L</w:t>
            </w:r>
          </w:p>
        </w:tc>
        <w:tc>
          <w:tcPr/>
          <w:p>
            <w:pPr>
              <w:pStyle w:val="Compact"/>
              <w:jc w:val="left"/>
            </w:pPr>
            <w:r>
              <w:t xml:space="preserve">H</w:t>
            </w:r>
          </w:p>
        </w:tc>
        <w:tc>
          <w:tcPr/>
          <w:p>
            <w:pPr>
              <w:pStyle w:val="Compact"/>
              <w:jc w:val="left"/>
            </w:pPr>
            <w:r>
              <w:t xml:space="preserve">Confirmation is gate P1; every subnet, firewall destination, DNS record and target server carries the range, so a rejection is a rebuild rather than an edit</w:t>
            </w:r>
          </w:p>
        </w:tc>
        <w:tc>
          <w:tcPr/>
          <w:p>
            <w:pPr>
              <w:pStyle w:val="Compact"/>
              <w:jc w:val="left"/>
            </w:pPr>
            <w:r>
              <w:t xml:space="preserve">Colt Cloud CoE</w:t>
            </w:r>
          </w:p>
        </w:tc>
      </w:tr>
      <w:tr>
        <w:tc>
          <w:tcPr/>
          <w:p>
            <w:pPr>
              <w:pStyle w:val="Compact"/>
              <w:jc w:val="left"/>
            </w:pPr>
            <w:r>
              <w:t xml:space="preserve">R-18</w:t>
            </w:r>
          </w:p>
        </w:tc>
        <w:tc>
          <w:tcPr/>
          <w:p>
            <w:pPr>
              <w:pStyle w:val="Compact"/>
              <w:jc w:val="left"/>
            </w:pPr>
            <w:r>
              <w:t xml:space="preserve">An immutable Apigee provisioning-time setting — networking model, runtime database key, analytics region or routing option — is chosen incorrectly at organisation creation</w:t>
            </w:r>
          </w:p>
        </w:tc>
        <w:tc>
          <w:tcPr/>
          <w:p>
            <w:pPr>
              <w:pStyle w:val="Compact"/>
              <w:jc w:val="left"/>
            </w:pPr>
            <w:r>
              <w:t xml:space="preserve">L</w:t>
            </w:r>
          </w:p>
        </w:tc>
        <w:tc>
          <w:tcPr/>
          <w:p>
            <w:pPr>
              <w:pStyle w:val="Compact"/>
              <w:jc w:val="left"/>
            </w:pPr>
            <w:r>
              <w:t xml:space="preserve">H</w:t>
            </w:r>
          </w:p>
        </w:tc>
        <w:tc>
          <w:tcPr/>
          <w:p>
            <w:pPr>
              <w:pStyle w:val="Compact"/>
              <w:jc w:val="left"/>
            </w:pPr>
            <w:r>
              <w:t xml:space="preserve">All five settings are listed in</w:t>
            </w:r>
            <w:r>
              <w:t xml:space="preserve"> </w:t>
            </w:r>
            <w:r>
              <w:rPr>
                <w:b/>
                <w:bCs/>
              </w:rPr>
              <w:t xml:space="preserve">Immutable and expensive-to-reverse decisions</w:t>
            </w:r>
            <w:r>
              <w:t xml:space="preserve">; each is verified before the organisation is created. Deletion of a paid organisation carries a waiting period</w:t>
            </w:r>
          </w:p>
        </w:tc>
        <w:tc>
          <w:tcPr/>
          <w:p>
            <w:pPr>
              <w:pStyle w:val="Compact"/>
              <w:jc w:val="left"/>
            </w:pPr>
            <w:r>
              <w:t xml:space="preserve">AICOE Platform Team</w:t>
            </w:r>
          </w:p>
        </w:tc>
      </w:tr>
      <w:tr>
        <w:tc>
          <w:tcPr/>
          <w:p>
            <w:pPr>
              <w:pStyle w:val="Compact"/>
              <w:jc w:val="left"/>
            </w:pPr>
            <w:r>
              <w:t xml:space="preserve">R-19</w:t>
            </w:r>
          </w:p>
        </w:tc>
        <w:tc>
          <w:tcPr/>
          <w:p>
            <w:pPr>
              <w:pStyle w:val="Compact"/>
              <w:jc w:val="left"/>
            </w:pPr>
            <w:r>
              <w:t xml:space="preserve">A Cloud KMS key is destroyed or disabled while a resource still depends on it</w:t>
            </w:r>
          </w:p>
        </w:tc>
        <w:tc>
          <w:tcPr/>
          <w:p>
            <w:pPr>
              <w:pStyle w:val="Compact"/>
              <w:jc w:val="left"/>
            </w:pPr>
            <w:r>
              <w:t xml:space="preserve">L</w:t>
            </w:r>
          </w:p>
        </w:tc>
        <w:tc>
          <w:tcPr/>
          <w:p>
            <w:pPr>
              <w:pStyle w:val="Compact"/>
              <w:jc w:val="left"/>
            </w:pPr>
            <w:r>
              <w:t xml:space="preserve">H</w:t>
            </w:r>
          </w:p>
        </w:tc>
        <w:tc>
          <w:tcPr/>
          <w:p>
            <w:pPr>
              <w:pStyle w:val="Compact"/>
              <w:jc w:val="left"/>
            </w:pPr>
            <w:r>
              <w:t xml:space="preserve">The mandatory waiting period on deletion, per I12 (KMS key deletion); a key must never be deleted while in use</w:t>
            </w:r>
          </w:p>
        </w:tc>
        <w:tc>
          <w:tcPr/>
          <w:p>
            <w:pPr>
              <w:pStyle w:val="Compact"/>
              <w:jc w:val="left"/>
            </w:pPr>
            <w:r>
              <w:t xml:space="preserve">AICOE Platform Team</w:t>
            </w:r>
          </w:p>
        </w:tc>
      </w:tr>
      <w:tr>
        <w:tc>
          <w:tcPr/>
          <w:p>
            <w:pPr>
              <w:pStyle w:val="Compact"/>
              <w:jc w:val="left"/>
            </w:pPr>
            <w:r>
              <w:t xml:space="preserve">R-20</w:t>
            </w:r>
          </w:p>
        </w:tc>
        <w:tc>
          <w:tcPr/>
          <w:p>
            <w:pPr>
              <w:pStyle w:val="Compact"/>
              <w:jc w:val="left"/>
            </w:pPr>
            <w:r>
              <w:t xml:space="preserve">A Google service agent is not forced into existence before the KMS or IAM binding that depends on it</w:t>
            </w:r>
          </w:p>
        </w:tc>
        <w:tc>
          <w:tcPr/>
          <w:p>
            <w:pPr>
              <w:pStyle w:val="Compact"/>
              <w:jc w:val="left"/>
            </w:pPr>
            <w:r>
              <w:t xml:space="preserve">M</w:t>
            </w:r>
          </w:p>
        </w:tc>
        <w:tc>
          <w:tcPr/>
          <w:p>
            <w:pPr>
              <w:pStyle w:val="Compact"/>
              <w:jc w:val="left"/>
            </w:pPr>
            <w:r>
              <w:t xml:space="preserve">L</w:t>
            </w:r>
          </w:p>
        </w:tc>
        <w:tc>
          <w:tcPr/>
          <w:p>
            <w:pPr>
              <w:pStyle w:val="Compact"/>
              <w:jc w:val="left"/>
            </w:pPr>
            <w:r>
              <w:t xml:space="preserve">An explicit forced-creation step, encoded as a Terraform dependency rather than left to a second apply, per</w:t>
            </w:r>
            <w:r>
              <w:t xml:space="preserve"> </w:t>
            </w:r>
            <w:r>
              <w:rPr>
                <w:b/>
                <w:bCs/>
              </w:rPr>
              <w:t xml:space="preserve">Service agent creation order</w:t>
            </w:r>
          </w:p>
        </w:tc>
        <w:tc>
          <w:tcPr/>
          <w:p>
            <w:pPr>
              <w:pStyle w:val="Compact"/>
              <w:jc w:val="left"/>
            </w:pPr>
            <w:r>
              <w:t xml:space="preserve">AICOE Platform Team</w:t>
            </w:r>
          </w:p>
        </w:tc>
      </w:tr>
      <w:tr>
        <w:tc>
          <w:tcPr/>
          <w:p>
            <w:pPr>
              <w:pStyle w:val="Compact"/>
              <w:jc w:val="left"/>
            </w:pPr>
            <w:r>
              <w:t xml:space="preserve">R-21</w:t>
            </w:r>
          </w:p>
        </w:tc>
        <w:tc>
          <w:tcPr/>
          <w:p>
            <w:pPr>
              <w:pStyle w:val="Compact"/>
              <w:jc w:val="left"/>
            </w:pPr>
            <w:r>
              <w:t xml:space="preserve">Log double-billing —</w:t>
            </w:r>
            <w:r>
              <w:t xml:space="preserve"> </w:t>
            </w:r>
            <w:r>
              <w:rPr>
                <w:rStyle w:val="VerbatimChar"/>
              </w:rPr>
              <w:t xml:space="preserve">_Default</w:t>
            </w:r>
            <w:r>
              <w:t xml:space="preserve"> </w:t>
            </w:r>
            <w:r>
              <w:t xml:space="preserve">retention is raised alongside the 400-day user-defined bucket for the same entries</w:t>
            </w:r>
          </w:p>
        </w:tc>
        <w:tc>
          <w:tcPr/>
          <w:p>
            <w:pPr>
              <w:pStyle w:val="Compact"/>
              <w:jc w:val="left"/>
            </w:pPr>
            <w:r>
              <w:t xml:space="preserve">M</w:t>
            </w:r>
          </w:p>
        </w:tc>
        <w:tc>
          <w:tcPr/>
          <w:p>
            <w:pPr>
              <w:pStyle w:val="Compact"/>
              <w:jc w:val="left"/>
            </w:pPr>
            <w:r>
              <w:t xml:space="preserve">M</w:t>
            </w:r>
          </w:p>
        </w:tc>
        <w:tc>
          <w:tcPr/>
          <w:p>
            <w:pPr>
              <w:pStyle w:val="Compact"/>
              <w:jc w:val="left"/>
            </w:pPr>
            <w:r>
              <w:rPr>
                <w:rStyle w:val="VerbatimChar"/>
              </w:rPr>
              <w:t xml:space="preserve">_Default</w:t>
            </w:r>
            <w:r>
              <w:t xml:space="preserve"> </w:t>
            </w:r>
            <w:r>
              <w:t xml:space="preserve">is held at 30 days with exclusion filters in every project, per</w:t>
            </w:r>
            <w:r>
              <w:t xml:space="preserve"> </w:t>
            </w:r>
            <w:r>
              <w:rPr>
                <w:b/>
                <w:bCs/>
              </w:rPr>
              <w:t xml:space="preserve">Duplicate routing and log storage cost</w:t>
            </w:r>
          </w:p>
        </w:tc>
        <w:tc>
          <w:tcPr/>
          <w:p>
            <w:pPr>
              <w:pStyle w:val="Compact"/>
              <w:jc w:val="left"/>
            </w:pPr>
            <w:r>
              <w:t xml:space="preserve">AICOE Platform Team</w:t>
            </w:r>
          </w:p>
        </w:tc>
      </w:tr>
      <w:tr>
        <w:tc>
          <w:tcPr/>
          <w:p>
            <w:pPr>
              <w:pStyle w:val="Compact"/>
              <w:jc w:val="left"/>
            </w:pPr>
            <w:r>
              <w:t xml:space="preserve">R-22</w:t>
            </w:r>
          </w:p>
        </w:tc>
        <w:tc>
          <w:tcPr/>
          <w:p>
            <w:pPr>
              <w:pStyle w:val="Compact"/>
              <w:jc w:val="left"/>
            </w:pPr>
            <w:r>
              <w:t xml:space="preserve">Attribution of a request is attempted from the source IP address, which is uniform across every Apigee-originated call</w:t>
            </w:r>
          </w:p>
        </w:tc>
        <w:tc>
          <w:tcPr/>
          <w:p>
            <w:pPr>
              <w:pStyle w:val="Compact"/>
              <w:jc w:val="left"/>
            </w:pPr>
            <w:r>
              <w:t xml:space="preserve">M</w:t>
            </w:r>
          </w:p>
        </w:tc>
        <w:tc>
          <w:tcPr/>
          <w:p>
            <w:pPr>
              <w:pStyle w:val="Compact"/>
              <w:jc w:val="left"/>
            </w:pPr>
            <w:r>
              <w:t xml:space="preserve">M</w:t>
            </w:r>
          </w:p>
        </w:tc>
        <w:tc>
          <w:tcPr/>
          <w:p>
            <w:pPr>
              <w:pStyle w:val="Compact"/>
              <w:jc w:val="left"/>
            </w:pPr>
            <w:r>
              <w:t xml:space="preserve">Correlate on the forwarded user context and the Apigee message identifier instead, per</w:t>
            </w:r>
            <w:r>
              <w:t xml:space="preserve"> </w:t>
            </w:r>
            <w:r>
              <w:rPr>
                <w:b/>
                <w:bCs/>
              </w:rPr>
              <w:t xml:space="preserve">Evidence retrieval</w:t>
            </w:r>
          </w:p>
        </w:tc>
        <w:tc>
          <w:tcPr/>
          <w:p>
            <w:pPr>
              <w:pStyle w:val="Compact"/>
              <w:jc w:val="left"/>
            </w:pPr>
            <w:r>
              <w:t xml:space="preserve">AICOE Platform Team / Colt CSOC</w:t>
            </w:r>
          </w:p>
        </w:tc>
      </w:tr>
      <w:tr>
        <w:tc>
          <w:tcPr/>
          <w:p>
            <w:pPr>
              <w:pStyle w:val="Compact"/>
              <w:jc w:val="left"/>
            </w:pPr>
            <w:r>
              <w:t xml:space="preserve">R-23</w:t>
            </w:r>
          </w:p>
        </w:tc>
        <w:tc>
          <w:tcPr/>
          <w:p>
            <w:pPr>
              <w:pStyle w:val="Compact"/>
              <w:jc w:val="left"/>
            </w:pPr>
            <w:r>
              <w:t xml:space="preserve">The Workload Identity Federation attribute condition on the</w:t>
            </w:r>
            <w:r>
              <w:t xml:space="preserve"> </w:t>
            </w:r>
            <w:r>
              <w:rPr>
                <w:rStyle w:val="VerbatimChar"/>
              </w:rPr>
              <w:t xml:space="preserve">aicoe-sharedwif</w:t>
            </w:r>
            <w:r>
              <w:t xml:space="preserve"> </w:t>
            </w:r>
            <w:r>
              <w:t xml:space="preserve">provider is loosened over time, letting an unprotected branch or the wrong repository impersonate a production deployer</w:t>
            </w:r>
          </w:p>
        </w:tc>
        <w:tc>
          <w:tcPr/>
          <w:p>
            <w:pPr>
              <w:pStyle w:val="Compact"/>
              <w:jc w:val="left"/>
            </w:pPr>
            <w:r>
              <w:t xml:space="preserve">L</w:t>
            </w:r>
          </w:p>
        </w:tc>
        <w:tc>
          <w:tcPr/>
          <w:p>
            <w:pPr>
              <w:pStyle w:val="Compact"/>
              <w:jc w:val="left"/>
            </w:pPr>
            <w:r>
              <w:t xml:space="preserve">H</w:t>
            </w:r>
          </w:p>
        </w:tc>
        <w:tc>
          <w:tcPr/>
          <w:p>
            <w:pPr>
              <w:pStyle w:val="Compact"/>
              <w:jc w:val="left"/>
            </w:pPr>
            <w:r>
              <w:t xml:space="preserve">The condition binds</w:t>
            </w:r>
            <w:r>
              <w:t xml:space="preserve"> </w:t>
            </w:r>
            <w:r>
              <w:rPr>
                <w:rStyle w:val="VerbatimChar"/>
              </w:rPr>
              <w:t xml:space="preserve">project_path</w:t>
            </w:r>
            <w:r>
              <w:t xml:space="preserve"> </w:t>
            </w:r>
            <w:r>
              <w:t xml:space="preserve">and</w:t>
            </w:r>
            <w:r>
              <w:t xml:space="preserve"> </w:t>
            </w:r>
            <w:r>
              <w:rPr>
                <w:rStyle w:val="VerbatimChar"/>
              </w:rPr>
              <w:t xml:space="preserve">ref_protected</w:t>
            </w:r>
            <w:r>
              <w:t xml:space="preserve">, per TR-14 (pipeline authentication with an attribute condition); reviewed on a semi-annual cadence, per</w:t>
            </w:r>
            <w:r>
              <w:t xml:space="preserve"> </w:t>
            </w:r>
            <w:r>
              <w:rPr>
                <w:b/>
                <w:bCs/>
              </w:rPr>
              <w:t xml:space="preserve">Access review and recertification</w:t>
            </w:r>
          </w:p>
        </w:tc>
        <w:tc>
          <w:tcPr/>
          <w:p>
            <w:pPr>
              <w:pStyle w:val="Compact"/>
              <w:jc w:val="left"/>
            </w:pPr>
            <w:r>
              <w:t xml:space="preserve">AICOE Platform Team</w:t>
            </w:r>
          </w:p>
        </w:tc>
      </w:tr>
      <w:tr>
        <w:tc>
          <w:tcPr/>
          <w:p>
            <w:pPr>
              <w:pStyle w:val="Compact"/>
              <w:jc w:val="left"/>
            </w:pPr>
            <w:r>
              <w:t xml:space="preserve">R-24</w:t>
            </w:r>
          </w:p>
        </w:tc>
        <w:tc>
          <w:tcPr/>
          <w:p>
            <w:pPr>
              <w:pStyle w:val="Compact"/>
              <w:jc w:val="left"/>
            </w:pPr>
            <w:r>
              <w:t xml:space="preserve">The Backend-for-Frontend is a privileged intermediary holding</w:t>
            </w:r>
            <w:r>
              <w:t xml:space="preserve"> </w:t>
            </w:r>
            <w:r>
              <w:rPr>
                <w:rStyle w:val="VerbatimChar"/>
              </w:rPr>
              <w:t xml:space="preserve">run.invoker</w:t>
            </w:r>
            <w:r>
              <w:t xml:space="preserve"> </w:t>
            </w:r>
            <w:r>
              <w:t xml:space="preserve">on every backend Cloud Run service — a defect or compromise in it reaches both usecases</w:t>
            </w:r>
          </w:p>
        </w:tc>
        <w:tc>
          <w:tcPr/>
          <w:p>
            <w:pPr>
              <w:pStyle w:val="Compact"/>
              <w:jc w:val="left"/>
            </w:pPr>
            <w:r>
              <w:t xml:space="preserve">L</w:t>
            </w:r>
          </w:p>
        </w:tc>
        <w:tc>
          <w:tcPr/>
          <w:p>
            <w:pPr>
              <w:pStyle w:val="Compact"/>
              <w:jc w:val="left"/>
            </w:pPr>
            <w:r>
              <w:t xml:space="preserve">H</w:t>
            </w:r>
          </w:p>
        </w:tc>
        <w:tc>
          <w:tcPr/>
          <w:p>
            <w:pPr>
              <w:pStyle w:val="Compact"/>
              <w:jc w:val="left"/>
            </w:pPr>
            <w:r>
              <w:t xml:space="preserve">A single, minimal-surface component, consistent with G17 (one authentication mechanism per boundary); reducing this further would mean duplicating the front door</w:t>
            </w:r>
          </w:p>
        </w:tc>
        <w:tc>
          <w:tcPr/>
          <w:p>
            <w:pPr>
              <w:pStyle w:val="Compact"/>
              <w:jc w:val="left"/>
            </w:pPr>
            <w:r>
              <w:t xml:space="preserve">AICOE Platform Team</w:t>
            </w:r>
          </w:p>
        </w:tc>
      </w:tr>
      <w:tr>
        <w:tc>
          <w:tcPr/>
          <w:p>
            <w:pPr>
              <w:pStyle w:val="Compact"/>
              <w:jc w:val="left"/>
            </w:pPr>
            <w:r>
              <w:t xml:space="preserve">R-25</w:t>
            </w:r>
          </w:p>
        </w:tc>
        <w:tc>
          <w:tcPr/>
          <w:p>
            <w:pPr>
              <w:pStyle w:val="Compact"/>
              <w:jc w:val="left"/>
            </w:pPr>
            <w:r>
              <w:t xml:space="preserve">A future change to the AI Hub load balancer’s URL map adds a second routing rule, silently opening a same-origin route that bypasses the Backend-for-Frontend’s entitlement and anti-forgery checks</w:t>
            </w:r>
          </w:p>
        </w:tc>
        <w:tc>
          <w:tcPr/>
          <w:p>
            <w:pPr>
              <w:pStyle w:val="Compact"/>
              <w:jc w:val="left"/>
            </w:pPr>
            <w:r>
              <w:t xml:space="preserve">L</w:t>
            </w:r>
          </w:p>
        </w:tc>
        <w:tc>
          <w:tcPr/>
          <w:p>
            <w:pPr>
              <w:pStyle w:val="Compact"/>
              <w:jc w:val="left"/>
            </w:pPr>
            <w:r>
              <w:t xml:space="preserve">H</w:t>
            </w:r>
          </w:p>
        </w:tc>
        <w:tc>
          <w:tcPr/>
          <w:p>
            <w:pPr>
              <w:pStyle w:val="Compact"/>
              <w:jc w:val="left"/>
            </w:pPr>
            <w:r>
              <w:t xml:space="preserve">The single routing rule is a deliberate design constraint, per</w:t>
            </w:r>
            <w:r>
              <w:t xml:space="preserve"> </w:t>
            </w:r>
            <w:r>
              <w:rPr>
                <w:b/>
                <w:bCs/>
              </w:rPr>
              <w:t xml:space="preserve">Dev — AI Hub ILB, the front door</w:t>
            </w:r>
            <w:r>
              <w:t xml:space="preserve">; any change to the URL map requires the same review as any other ingress change</w:t>
            </w:r>
          </w:p>
        </w:tc>
        <w:tc>
          <w:tcPr/>
          <w:p>
            <w:pPr>
              <w:pStyle w:val="Compact"/>
              <w:jc w:val="left"/>
            </w:pPr>
            <w:r>
              <w:t xml:space="preserve">AICOE Platform Team</w:t>
            </w:r>
          </w:p>
        </w:tc>
      </w:tr>
      <w:tr>
        <w:tc>
          <w:tcPr/>
          <w:p>
            <w:pPr>
              <w:pStyle w:val="Compact"/>
              <w:jc w:val="left"/>
            </w:pPr>
            <w:r>
              <w:t xml:space="preserve">R-26</w:t>
            </w:r>
          </w:p>
        </w:tc>
        <w:tc>
          <w:tcPr/>
          <w:p>
            <w:pPr>
              <w:pStyle w:val="Compact"/>
              <w:jc w:val="left"/>
            </w:pPr>
            <w:r>
              <w:t xml:space="preserve">Private Google Access is enabled on a workload subnet, giving a second route to Google APIs that bypasses the controlled Private Service Connect endpoint</w:t>
            </w:r>
          </w:p>
        </w:tc>
        <w:tc>
          <w:tcPr/>
          <w:p>
            <w:pPr>
              <w:pStyle w:val="Compact"/>
              <w:jc w:val="left"/>
            </w:pPr>
            <w:r>
              <w:t xml:space="preserve">L</w:t>
            </w:r>
          </w:p>
        </w:tc>
        <w:tc>
          <w:tcPr/>
          <w:p>
            <w:pPr>
              <w:pStyle w:val="Compact"/>
              <w:jc w:val="left"/>
            </w:pPr>
            <w:r>
              <w:t xml:space="preserve">M</w:t>
            </w:r>
          </w:p>
        </w:tc>
        <w:tc>
          <w:tcPr/>
          <w:p>
            <w:pPr>
              <w:pStyle w:val="Compact"/>
              <w:jc w:val="left"/>
            </w:pPr>
            <w:r>
              <w:t xml:space="preserve">Off by design, per TR-08 (private Google access through one PSC endpoint); no automated pipeline check currently asserts this</w:t>
            </w:r>
          </w:p>
        </w:tc>
        <w:tc>
          <w:tcPr/>
          <w:p>
            <w:pPr>
              <w:pStyle w:val="Compact"/>
              <w:jc w:val="left"/>
            </w:pPr>
            <w:r>
              <w:t xml:space="preserve">AICOE Platform Team</w:t>
            </w:r>
          </w:p>
        </w:tc>
      </w:tr>
      <w:tr>
        <w:tc>
          <w:tcPr/>
          <w:p>
            <w:pPr>
              <w:pStyle w:val="Compact"/>
              <w:jc w:val="left"/>
            </w:pPr>
            <w:r>
              <w:t xml:space="preserve">R-27</w:t>
            </w:r>
          </w:p>
        </w:tc>
        <w:tc>
          <w:tcPr/>
          <w:p>
            <w:pPr>
              <w:pStyle w:val="Compact"/>
              <w:jc w:val="left"/>
            </w:pPr>
            <w:r>
              <w:t xml:space="preserve">Organisation policy and the</w:t>
            </w:r>
            <w:r>
              <w:t xml:space="preserve"> </w:t>
            </w:r>
            <w:r>
              <w:rPr>
                <w:rStyle w:val="VerbatimChar"/>
              </w:rPr>
              <w:t xml:space="preserve">AI COE</w:t>
            </w:r>
            <w:r>
              <w:t xml:space="preserve"> </w:t>
            </w:r>
            <w:r>
              <w:t xml:space="preserve">folder’s hierarchical firewall policy are provisioned outside Terraform, so a Terraform plan will never show drift in either</w:t>
            </w:r>
          </w:p>
        </w:tc>
        <w:tc>
          <w:tcPr/>
          <w:p>
            <w:pPr>
              <w:pStyle w:val="Compact"/>
              <w:jc w:val="left"/>
            </w:pPr>
            <w:r>
              <w:t xml:space="preserve">M</w:t>
            </w:r>
          </w:p>
        </w:tc>
        <w:tc>
          <w:tcPr/>
          <w:p>
            <w:pPr>
              <w:pStyle w:val="Compact"/>
              <w:jc w:val="left"/>
            </w:pPr>
            <w:r>
              <w:t xml:space="preserve">H</w:t>
            </w:r>
          </w:p>
        </w:tc>
        <w:tc>
          <w:tcPr/>
          <w:p>
            <w:pPr>
              <w:pStyle w:val="Compact"/>
              <w:jc w:val="left"/>
            </w:pPr>
            <w:r>
              <w:t xml:space="preserve">A legitimate operating model, since the Colt Cloud CoE owns both directly, per</w:t>
            </w:r>
            <w:r>
              <w:t xml:space="preserve"> </w:t>
            </w:r>
            <w:r>
              <w:rPr>
                <w:b/>
                <w:bCs/>
              </w:rPr>
              <w:t xml:space="preserve">Stage</w:t>
            </w:r>
            <w:r>
              <w:rPr>
                <w:b/>
                <w:bCs/>
              </w:rPr>
              <w:t xml:space="preserve"> </w:t>
            </w:r>
            <w:r>
              <w:rPr>
                <w:rStyle w:val="VerbatimChar"/>
                <w:b/>
                <w:bCs/>
              </w:rPr>
              <w:t xml:space="preserve">1-org</w:t>
            </w:r>
            <w:r>
              <w:rPr>
                <w:b/>
                <w:bCs/>
              </w:rPr>
              <w:t xml:space="preserve"> </w:t>
            </w:r>
            <w:r>
              <w:rPr>
                <w:b/>
                <w:bCs/>
              </w:rPr>
              <w:t xml:space="preserve">scope</w:t>
            </w:r>
            <w:r>
              <w:t xml:space="preserve">; a drift-detection or review process outside Terraform is not yet defined</w:t>
            </w:r>
          </w:p>
        </w:tc>
        <w:tc>
          <w:tcPr/>
          <w:p>
            <w:pPr>
              <w:pStyle w:val="Compact"/>
              <w:jc w:val="left"/>
            </w:pPr>
            <w:r>
              <w:t xml:space="preserve">AICOE Platform Team / Colt Cloud CoE</w:t>
            </w:r>
          </w:p>
        </w:tc>
      </w:tr>
      <w:tr>
        <w:tc>
          <w:tcPr/>
          <w:p>
            <w:pPr>
              <w:pStyle w:val="Compact"/>
              <w:jc w:val="left"/>
            </w:pPr>
            <w:r>
              <w:t xml:space="preserve">R-28</w:t>
            </w:r>
          </w:p>
        </w:tc>
        <w:tc>
          <w:tcPr/>
          <w:p>
            <w:pPr>
              <w:pStyle w:val="Compact"/>
              <w:jc w:val="left"/>
            </w:pPr>
            <w:r>
              <w:t xml:space="preserve">The observability and storage surface — log formatter output, and the write path to BigQuery and Cloud Storage — is not redacted</w:t>
            </w:r>
          </w:p>
        </w:tc>
        <w:tc>
          <w:tcPr/>
          <w:p>
            <w:pPr>
              <w:pStyle w:val="Compact"/>
              <w:jc w:val="left"/>
            </w:pPr>
            <w:r>
              <w:t xml:space="preserve">M</w:t>
            </w:r>
          </w:p>
        </w:tc>
        <w:tc>
          <w:tcPr/>
          <w:p>
            <w:pPr>
              <w:pStyle w:val="Compact"/>
              <w:jc w:val="left"/>
            </w:pPr>
            <w:r>
              <w:t xml:space="preserve">H</w:t>
            </w:r>
          </w:p>
        </w:tc>
        <w:tc>
          <w:tcPr/>
          <w:p>
            <w:pPr>
              <w:pStyle w:val="Compact"/>
              <w:jc w:val="left"/>
            </w:pPr>
            <w:r>
              <w:t xml:space="preserve">Remediation is a redaction stage reusing the existing pattern set, applied in the log formatter and immediately before persistence, per</w:t>
            </w:r>
            <w:r>
              <w:t xml:space="preserve"> </w:t>
            </w:r>
            <w:r>
              <w:rPr>
                <w:b/>
                <w:bCs/>
              </w:rPr>
              <w:t xml:space="preserve">Residual data-protection exposure</w:t>
            </w:r>
            <w:r>
              <w:t xml:space="preserve">. Not yet built</w:t>
            </w:r>
          </w:p>
        </w:tc>
        <w:tc>
          <w:tcPr/>
          <w:p>
            <w:pPr>
              <w:pStyle w:val="Compact"/>
              <w:jc w:val="left"/>
            </w:pPr>
            <w:r>
              <w:t xml:space="preserve">AICOE Developer Team</w:t>
            </w:r>
          </w:p>
        </w:tc>
      </w:tr>
      <w:tr>
        <w:tc>
          <w:tcPr/>
          <w:p>
            <w:pPr>
              <w:pStyle w:val="Compact"/>
              <w:jc w:val="left"/>
            </w:pPr>
            <w:r>
              <w:t xml:space="preserve">R-29</w:t>
            </w:r>
          </w:p>
        </w:tc>
        <w:tc>
          <w:tcPr/>
          <w:p>
            <w:pPr>
              <w:pStyle w:val="Compact"/>
              <w:jc w:val="left"/>
            </w:pPr>
            <w:r>
              <w:t xml:space="preserve">Application-level personal-data pattern coverage is narrower than managed Sensitive Data Protection detection — personal names, postal addresses, dates of birth, IBAN and non-UK national identifiers are not detected on the application path</w:t>
            </w:r>
          </w:p>
        </w:tc>
        <w:tc>
          <w:tcPr/>
          <w:p>
            <w:pPr>
              <w:pStyle w:val="Compact"/>
              <w:jc w:val="left"/>
            </w:pPr>
            <w:r>
              <w:t xml:space="preserve">M</w:t>
            </w:r>
          </w:p>
        </w:tc>
        <w:tc>
          <w:tcPr/>
          <w:p>
            <w:pPr>
              <w:pStyle w:val="Compact"/>
              <w:jc w:val="left"/>
            </w:pPr>
            <w:r>
              <w:t xml:space="preserve">M</w:t>
            </w:r>
          </w:p>
        </w:tc>
        <w:tc>
          <w:tcPr/>
          <w:p>
            <w:pPr>
              <w:pStyle w:val="Compact"/>
              <w:jc w:val="left"/>
            </w:pPr>
            <w:r>
              <w:t xml:space="preserve">Managed detection at the gateway covers these on the model path; the application path relies on the schema allow-list, per</w:t>
            </w:r>
            <w:r>
              <w:t xml:space="preserve"> </w:t>
            </w:r>
            <w:r>
              <w:rPr>
                <w:b/>
                <w:bCs/>
              </w:rPr>
              <w:t xml:space="preserve">Residual data-protection exposure</w:t>
            </w:r>
          </w:p>
        </w:tc>
        <w:tc>
          <w:tcPr/>
          <w:p>
            <w:pPr>
              <w:pStyle w:val="Compact"/>
              <w:jc w:val="left"/>
            </w:pPr>
            <w:r>
              <w:t xml:space="preserve">AICOE Developer Team</w:t>
            </w:r>
          </w:p>
        </w:tc>
      </w:tr>
      <w:tr>
        <w:tc>
          <w:tcPr/>
          <w:p>
            <w:pPr>
              <w:pStyle w:val="Compact"/>
              <w:jc w:val="left"/>
            </w:pPr>
            <w:r>
              <w:t xml:space="preserve">R-30</w:t>
            </w:r>
          </w:p>
        </w:tc>
        <w:tc>
          <w:tcPr/>
          <w:p>
            <w:pPr>
              <w:pStyle w:val="Compact"/>
              <w:jc w:val="left"/>
            </w:pPr>
            <w:r>
              <w:t xml:space="preserve">Full region loss is out of scope for this phase — no multi-region disaster recovery capability exists</w:t>
            </w:r>
          </w:p>
        </w:tc>
        <w:tc>
          <w:tcPr/>
          <w:p>
            <w:pPr>
              <w:pStyle w:val="Compact"/>
              <w:jc w:val="left"/>
            </w:pPr>
            <w:r>
              <w:t xml:space="preserve">L</w:t>
            </w:r>
          </w:p>
        </w:tc>
        <w:tc>
          <w:tcPr/>
          <w:p>
            <w:pPr>
              <w:pStyle w:val="Compact"/>
              <w:jc w:val="left"/>
            </w:pPr>
            <w:r>
              <w:t xml:space="preserve">H</w:t>
            </w:r>
          </w:p>
        </w:tc>
        <w:tc>
          <w:tcPr/>
          <w:p>
            <w:pPr>
              <w:pStyle w:val="Compact"/>
              <w:jc w:val="left"/>
            </w:pPr>
            <w:r>
              <w:t xml:space="preserve">None in this phase. Stated explicitly so the residual risk is visible rather than assumed covered, per</w:t>
            </w:r>
            <w:r>
              <w:t xml:space="preserve"> </w:t>
            </w:r>
            <w:r>
              <w:rPr>
                <w:b/>
                <w:bCs/>
              </w:rPr>
              <w:t xml:space="preserve">Backup and Restore</w:t>
            </w:r>
          </w:p>
        </w:tc>
        <w:tc>
          <w:tcPr/>
          <w:p>
            <w:pPr>
              <w:pStyle w:val="Compact"/>
              <w:jc w:val="left"/>
            </w:pPr>
            <w:r>
              <w:t xml:space="preserve">AICOE Platform Team</w:t>
            </w:r>
          </w:p>
        </w:tc>
      </w:tr>
      <w:tr>
        <w:tc>
          <w:tcPr/>
          <w:p>
            <w:pPr>
              <w:pStyle w:val="Compact"/>
              <w:jc w:val="left"/>
            </w:pPr>
            <w:r>
              <w:t xml:space="preserve">R-31</w:t>
            </w:r>
          </w:p>
        </w:tc>
        <w:tc>
          <w:tcPr/>
          <w:p>
            <w:pPr>
              <w:pStyle w:val="Compact"/>
              <w:jc w:val="left"/>
            </w:pPr>
            <w:r>
              <w:t xml:space="preserve">A translation download link is forwarded before it expires, and access is not bound to the caller’s identity</w:t>
            </w:r>
          </w:p>
        </w:tc>
        <w:tc>
          <w:tcPr/>
          <w:p>
            <w:pPr>
              <w:pStyle w:val="Compact"/>
              <w:jc w:val="left"/>
            </w:pPr>
            <w:r>
              <w:t xml:space="preserve">M</w:t>
            </w:r>
          </w:p>
        </w:tc>
        <w:tc>
          <w:tcPr/>
          <w:p>
            <w:pPr>
              <w:pStyle w:val="Compact"/>
              <w:jc w:val="left"/>
            </w:pPr>
            <w:r>
              <w:t xml:space="preserve">M</w:t>
            </w:r>
          </w:p>
        </w:tc>
        <w:tc>
          <w:tcPr/>
          <w:p>
            <w:pPr>
              <w:pStyle w:val="Compact"/>
              <w:jc w:val="left"/>
            </w:pPr>
            <w:r>
              <w:t xml:space="preserve">Not yet specified, pending a signed-URL expiry and identity-binding design</w:t>
            </w:r>
          </w:p>
        </w:tc>
        <w:tc>
          <w:tcPr/>
          <w:p>
            <w:pPr>
              <w:pStyle w:val="Compact"/>
              <w:jc w:val="left"/>
            </w:pPr>
            <w:r>
              <w:t xml:space="preserve">AICOE Developer Team</w:t>
            </w:r>
          </w:p>
        </w:tc>
      </w:tr>
      <w:tr>
        <w:tc>
          <w:tcPr/>
          <w:p>
            <w:pPr>
              <w:pStyle w:val="Compact"/>
              <w:jc w:val="left"/>
            </w:pPr>
            <w:r>
              <w:t xml:space="preserve">R-32</w:t>
            </w:r>
          </w:p>
        </w:tc>
        <w:tc>
          <w:tcPr/>
          <w:p>
            <w:pPr>
              <w:pStyle w:val="Compact"/>
              <w:jc w:val="left"/>
            </w:pPr>
            <w:r>
              <w:t xml:space="preserve">Sandbox holds data outside its intended classification, because it is the only environment that reaches Vertex AI without gateway screening or per-user metering</w:t>
            </w:r>
          </w:p>
        </w:tc>
        <w:tc>
          <w:tcPr/>
          <w:p>
            <w:pPr>
              <w:pStyle w:val="Compact"/>
              <w:jc w:val="left"/>
            </w:pPr>
            <w:r>
              <w:t xml:space="preserve">M</w:t>
            </w:r>
          </w:p>
        </w:tc>
        <w:tc>
          <w:tcPr/>
          <w:p>
            <w:pPr>
              <w:pStyle w:val="Compact"/>
              <w:jc w:val="left"/>
            </w:pPr>
            <w:r>
              <w:t xml:space="preserve">H</w:t>
            </w:r>
          </w:p>
        </w:tc>
        <w:tc>
          <w:tcPr/>
          <w:p>
            <w:pPr>
              <w:pStyle w:val="Compact"/>
              <w:jc w:val="left"/>
            </w:pPr>
            <w:r>
              <w:t xml:space="preserve">By design, per</w:t>
            </w:r>
            <w:r>
              <w:t xml:space="preserve"> </w:t>
            </w:r>
            <w:r>
              <w:rPr>
                <w:b/>
                <w:bCs/>
              </w:rPr>
              <w:t xml:space="preserve">Sandbox — standalone VPC</w:t>
            </w:r>
            <w:r>
              <w:t xml:space="preserve">; the compensating controls are project-level Vertex AI quota and budget alerting. No data-classification control beyond IAM exists in Sandbox today</w:t>
            </w:r>
          </w:p>
        </w:tc>
        <w:tc>
          <w:tcPr/>
          <w:p>
            <w:pPr>
              <w:pStyle w:val="Compact"/>
              <w:jc w:val="left"/>
            </w:pPr>
            <w:r>
              <w:t xml:space="preserve">AICOE Developer Team</w:t>
            </w:r>
          </w:p>
        </w:tc>
      </w:tr>
      <w:tr>
        <w:tc>
          <w:tcPr/>
          <w:p>
            <w:pPr>
              <w:pStyle w:val="Compact"/>
              <w:jc w:val="left"/>
            </w:pPr>
            <w:r>
              <w:t xml:space="preserve">R-33</w:t>
            </w:r>
          </w:p>
        </w:tc>
        <w:tc>
          <w:tcPr/>
          <w:p>
            <w:pPr>
              <w:pStyle w:val="Compact"/>
              <w:jc w:val="left"/>
            </w:pPr>
            <w:r>
              <w:t xml:space="preserve">Penetration test or security assessment findings land on the critical path before go-live</w:t>
            </w:r>
          </w:p>
        </w:tc>
        <w:tc>
          <w:tcPr/>
          <w:p>
            <w:pPr>
              <w:pStyle w:val="Compact"/>
              <w:jc w:val="left"/>
            </w:pPr>
            <w:r>
              <w:t xml:space="preserve">M</w:t>
            </w:r>
          </w:p>
        </w:tc>
        <w:tc>
          <w:tcPr/>
          <w:p>
            <w:pPr>
              <w:pStyle w:val="Compact"/>
              <w:jc w:val="left"/>
            </w:pPr>
            <w:r>
              <w:t xml:space="preserve">M</w:t>
            </w:r>
          </w:p>
        </w:tc>
        <w:tc>
          <w:tcPr/>
          <w:p>
            <w:pPr>
              <w:pStyle w:val="Compact"/>
              <w:jc w:val="left"/>
            </w:pPr>
            <w:r>
              <w:t xml:space="preserve">Booked early, per gate P9; the lead time is typically measured in weeks</w:t>
            </w:r>
          </w:p>
        </w:tc>
        <w:tc>
          <w:tcPr/>
          <w:p>
            <w:pPr>
              <w:pStyle w:val="Compact"/>
              <w:jc w:val="left"/>
            </w:pPr>
            <w:r>
              <w:t xml:space="preserve">Colt CSOC</w:t>
            </w:r>
          </w:p>
        </w:tc>
      </w:tr>
      <w:tr>
        <w:tc>
          <w:tcPr/>
          <w:p>
            <w:pPr>
              <w:pStyle w:val="Compact"/>
              <w:jc w:val="left"/>
            </w:pPr>
            <w:r>
              <w:t xml:space="preserve">R-34</w:t>
            </w:r>
          </w:p>
        </w:tc>
        <w:tc>
          <w:tcPr/>
          <w:p>
            <w:pPr>
              <w:pStyle w:val="Compact"/>
              <w:jc w:val="left"/>
            </w:pPr>
            <w:r>
              <w:t xml:space="preserve">No runbook exists for onboarding a usecase beyond the two built here</w:t>
            </w:r>
          </w:p>
        </w:tc>
        <w:tc>
          <w:tcPr/>
          <w:p>
            <w:pPr>
              <w:pStyle w:val="Compact"/>
              <w:jc w:val="left"/>
            </w:pPr>
            <w:r>
              <w:t xml:space="preserve">M</w:t>
            </w:r>
          </w:p>
        </w:tc>
        <w:tc>
          <w:tcPr/>
          <w:p>
            <w:pPr>
              <w:pStyle w:val="Compact"/>
              <w:jc w:val="left"/>
            </w:pPr>
            <w:r>
              <w:t xml:space="preserve">M</w:t>
            </w:r>
          </w:p>
        </w:tc>
        <w:tc>
          <w:tcPr/>
          <w:p>
            <w:pPr>
              <w:pStyle w:val="Compact"/>
              <w:jc w:val="left"/>
            </w:pPr>
            <w:r>
              <w:t xml:space="preserve">Not yet written. Relevant to BR-17 (platform extensible to further usecases without architecture change)</w:t>
            </w:r>
          </w:p>
        </w:tc>
        <w:tc>
          <w:tcPr/>
          <w:p>
            <w:pPr>
              <w:pStyle w:val="Compact"/>
              <w:jc w:val="left"/>
            </w:pPr>
            <w:r>
              <w:t xml:space="preserve">AICOE Platform Team</w:t>
            </w:r>
          </w:p>
        </w:tc>
      </w:tr>
      <w:tr>
        <w:tc>
          <w:tcPr/>
          <w:p>
            <w:pPr>
              <w:pStyle w:val="Compact"/>
              <w:jc w:val="left"/>
            </w:pPr>
            <w:r>
              <w:t xml:space="preserve">R-35</w:t>
            </w:r>
          </w:p>
        </w:tc>
        <w:tc>
          <w:tcPr/>
          <w:p>
            <w:pPr>
              <w:pStyle w:val="Compact"/>
              <w:jc w:val="left"/>
            </w:pPr>
            <w:r>
              <w:t xml:space="preserve">The end-to-end latency budget (PR-08) is not yet set or measured across the full request chain</w:t>
            </w:r>
          </w:p>
        </w:tc>
        <w:tc>
          <w:tcPr/>
          <w:p>
            <w:pPr>
              <w:pStyle w:val="Compact"/>
              <w:jc w:val="left"/>
            </w:pPr>
            <w:r>
              <w:t xml:space="preserve">M</w:t>
            </w:r>
          </w:p>
        </w:tc>
        <w:tc>
          <w:tcPr/>
          <w:p>
            <w:pPr>
              <w:pStyle w:val="Compact"/>
              <w:jc w:val="left"/>
            </w:pPr>
            <w:r>
              <w:t xml:space="preserve">M</w:t>
            </w:r>
          </w:p>
        </w:tc>
        <w:tc>
          <w:tcPr/>
          <w:p>
            <w:pPr>
              <w:pStyle w:val="Compact"/>
              <w:jc w:val="left"/>
            </w:pPr>
            <w:r>
              <w:t xml:space="preserve">PR-08 records this as not yet set; must be measured before go-live rather than discovered during acceptance testing</w:t>
            </w:r>
          </w:p>
        </w:tc>
        <w:tc>
          <w:tcPr/>
          <w:p>
            <w:pPr>
              <w:pStyle w:val="Compact"/>
              <w:jc w:val="left"/>
            </w:pPr>
            <w:r>
              <w:t xml:space="preserve">AICOE Platform Team</w:t>
            </w:r>
          </w:p>
        </w:tc>
      </w:tr>
    </w:tbl>
    <w:p>
      <w:r>
        <w:pict>
          <v:rect style="width:0;height:1.5pt" o:hralign="center" o:hrstd="t" o:hr="t"/>
        </w:pict>
      </w:r>
    </w:p>
    <w:bookmarkEnd w:id="277"/>
    <w:bookmarkStart w:id="278" w:name="decision-log"/>
    <w:p>
      <w:pPr>
        <w:pStyle w:val="Heading1"/>
      </w:pPr>
      <w:r>
        <w:t xml:space="preserve">15. Decision Log</w:t>
      </w:r>
    </w:p>
    <w:p>
      <w:pPr>
        <w:pStyle w:val="FirstParagraph"/>
      </w:pPr>
      <w:r>
        <w:t xml:space="preserve">An auditable trail of the significant design decisions taken, and the alternative each rejected, for the benefit of a maintainer who was not in the room.</w:t>
      </w:r>
    </w:p>
    <w:tbl>
      <w:tblPr>
        <w:tblStyle w:val="TableGrid"/>
        <w:tblW w:type="pct" w:w="5000"/>
        <w:jc w:val="start"/>
        <w:tblLook w:firstRow="1" w:lastRow="0" w:firstColumn="0" w:lastColumn="0" w:noHBand="0" w:noVBand="0" w:val="0020"/>
      </w:tblPr>
      <w:tblGrid>
        <w:gridCol w:w="1980"/>
        <w:gridCol w:w="1980"/>
        <w:gridCol w:w="1980"/>
        <w:gridCol w:w="1980"/>
      </w:tblGrid>
      <w:tr>
        <w:trPr>
          <w:tblHeader w:val="true"/>
        </w:trPr>
        <w:tc>
          <w:tcPr>
            <w:shd w:val="clear" w:color="auto" w:fill="1F3864"/>
          </w:tcPr>
          <w:p>
            <w:pPr>
              <w:pStyle w:val="Compact"/>
              <w:jc w:val="left"/>
            </w:pPr>
            <w:r>
              <w:rPr>
                <w:b/>
                <w:color w:val="FFFFFF"/>
              </w:rPr>
              <w:t xml:space="preserve">ID</w:t>
            </w:r>
          </w:p>
        </w:tc>
        <w:tc>
          <w:tcPr>
            <w:shd w:val="clear" w:color="auto" w:fill="1F3864"/>
          </w:tcPr>
          <w:p>
            <w:pPr>
              <w:pStyle w:val="Compact"/>
              <w:jc w:val="left"/>
            </w:pPr>
            <w:r>
              <w:rPr>
                <w:b/>
                <w:color w:val="FFFFFF"/>
              </w:rPr>
              <w:t xml:space="preserve">Decision</w:t>
            </w:r>
          </w:p>
        </w:tc>
        <w:tc>
          <w:tcPr>
            <w:shd w:val="clear" w:color="auto" w:fill="1F3864"/>
          </w:tcPr>
          <w:p>
            <w:pPr>
              <w:pStyle w:val="Compact"/>
              <w:jc w:val="left"/>
            </w:pPr>
            <w:r>
              <w:rPr>
                <w:b/>
                <w:color w:val="FFFFFF"/>
              </w:rPr>
              <w:t xml:space="preserve">Rationale</w:t>
            </w:r>
          </w:p>
        </w:tc>
        <w:tc>
          <w:tcPr>
            <w:shd w:val="clear" w:color="auto" w:fill="1F3864"/>
          </w:tcPr>
          <w:p>
            <w:pPr>
              <w:pStyle w:val="Compact"/>
              <w:jc w:val="left"/>
            </w:pPr>
            <w:r>
              <w:rPr>
                <w:b/>
                <w:color w:val="FFFFFF"/>
              </w:rPr>
              <w:t xml:space="preserve">Reversible?</w:t>
            </w:r>
          </w:p>
        </w:tc>
      </w:tr>
      <w:tr>
        <w:tc>
          <w:tcPr/>
          <w:p>
            <w:pPr>
              <w:pStyle w:val="Compact"/>
              <w:jc w:val="left"/>
            </w:pPr>
            <w:r>
              <w:t xml:space="preserve">D-01</w:t>
            </w:r>
          </w:p>
        </w:tc>
        <w:tc>
          <w:tcPr/>
          <w:p>
            <w:pPr>
              <w:pStyle w:val="Compact"/>
              <w:jc w:val="left"/>
            </w:pPr>
            <w:r>
              <w:t xml:space="preserve">Apigee provisioned non-peered, Private Service Connect throughout</w:t>
            </w:r>
          </w:p>
        </w:tc>
        <w:tc>
          <w:tcPr/>
          <w:p>
            <w:pPr>
              <w:pStyle w:val="Compact"/>
              <w:jc w:val="left"/>
            </w:pPr>
            <w:r>
              <w:t xml:space="preserve">Peering is non-transitive, so a peered gateway could never be consumed by other usecase VPCs</w:t>
            </w:r>
          </w:p>
        </w:tc>
        <w:tc>
          <w:tcPr/>
          <w:p>
            <w:pPr>
              <w:pStyle w:val="Compact"/>
              <w:jc w:val="left"/>
            </w:pPr>
            <w:r>
              <w:t xml:space="preserve">No — fixed at organisation creation, per I1</w:t>
            </w:r>
          </w:p>
        </w:tc>
      </w:tr>
      <w:tr>
        <w:tc>
          <w:tcPr/>
          <w:p>
            <w:pPr>
              <w:pStyle w:val="Compact"/>
              <w:jc w:val="left"/>
            </w:pPr>
            <w:r>
              <w:t xml:space="preserve">D-02</w:t>
            </w:r>
          </w:p>
        </w:tc>
        <w:tc>
          <w:tcPr/>
          <w:p>
            <w:pPr>
              <w:pStyle w:val="Compact"/>
              <w:jc w:val="left"/>
            </w:pPr>
            <w:r>
              <w:t xml:space="preserve">Two Apigee organisations, one per environment, not one shared organisation</w:t>
            </w:r>
          </w:p>
        </w:tc>
        <w:tc>
          <w:tcPr/>
          <w:p>
            <w:pPr>
              <w:pStyle w:val="Compact"/>
              <w:jc w:val="left"/>
            </w:pPr>
            <w:r>
              <w:t xml:space="preserve">An Apigee organisation is fixed to one Google Cloud project and cannot be moved</w:t>
            </w:r>
          </w:p>
        </w:tc>
        <w:tc>
          <w:tcPr/>
          <w:p>
            <w:pPr>
              <w:pStyle w:val="Compact"/>
              <w:jc w:val="left"/>
            </w:pPr>
            <w:r>
              <w:t xml:space="preserve">No</w:t>
            </w:r>
          </w:p>
        </w:tc>
      </w:tr>
      <w:tr>
        <w:tc>
          <w:tcPr/>
          <w:p>
            <w:pPr>
              <w:pStyle w:val="Compact"/>
              <w:jc w:val="left"/>
            </w:pPr>
            <w:r>
              <w:t xml:space="preserve">D-03</w:t>
            </w:r>
          </w:p>
        </w:tc>
        <w:tc>
          <w:tcPr/>
          <w:p>
            <w:pPr>
              <w:pStyle w:val="Compact"/>
              <w:jc w:val="left"/>
            </w:pPr>
            <w:r>
              <w:t xml:space="preserve">Development and Production share one Shared VPC; Sandbox remains a standalone VPC</w:t>
            </w:r>
          </w:p>
        </w:tc>
        <w:tc>
          <w:tcPr/>
          <w:p>
            <w:pPr>
              <w:pStyle w:val="Compact"/>
              <w:jc w:val="left"/>
            </w:pPr>
            <w:r>
              <w:t xml:space="preserve">Sandbox pre-dates the platform and is already in developer use; rebuilding it onto a Shared VPC is not justified by any current requirement</w:t>
            </w:r>
          </w:p>
        </w:tc>
        <w:tc>
          <w:tcPr/>
          <w:p>
            <w:pPr>
              <w:pStyle w:val="Compact"/>
              <w:jc w:val="left"/>
            </w:pPr>
            <w:r>
              <w:t xml:space="preserve">Only by rebuilding Sandbox</w:t>
            </w:r>
          </w:p>
        </w:tc>
      </w:tr>
      <w:tr>
        <w:tc>
          <w:tcPr/>
          <w:p>
            <w:pPr>
              <w:pStyle w:val="Compact"/>
              <w:jc w:val="left"/>
            </w:pPr>
            <w:r>
              <w:t xml:space="preserve">D-04</w:t>
            </w:r>
          </w:p>
        </w:tc>
        <w:tc>
          <w:tcPr/>
          <w:p>
            <w:pPr>
              <w:pStyle w:val="Compact"/>
              <w:jc w:val="left"/>
            </w:pPr>
            <w:r>
              <w:t xml:space="preserve">Project namespace</w:t>
            </w:r>
            <w:r>
              <w:t xml:space="preserve"> </w:t>
            </w:r>
            <w:r>
              <w:rPr>
                <w:rStyle w:val="VerbatimChar"/>
              </w:rPr>
              <w:t xml:space="preserve">gclt-aicoe-{env}-{function}</w:t>
            </w:r>
            <w:r>
              <w:t xml:space="preserve">, with</w:t>
            </w:r>
            <w:r>
              <w:t xml:space="preserve"> </w:t>
            </w:r>
            <w:r>
              <w:rPr>
                <w:rStyle w:val="VerbatimChar"/>
              </w:rPr>
              <w:t xml:space="preserve">aicoe-sharedwif</w:t>
            </w:r>
            <w:r>
              <w:t xml:space="preserve"> </w:t>
            </w:r>
            <w:r>
              <w:t xml:space="preserve">and</w:t>
            </w:r>
            <w:r>
              <w:t xml:space="preserve"> </w:t>
            </w:r>
            <w:r>
              <w:rPr>
                <w:rStyle w:val="VerbatimChar"/>
              </w:rPr>
              <w:t xml:space="preserve">aicoesandox</w:t>
            </w:r>
            <w:r>
              <w:t xml:space="preserve"> </w:t>
            </w:r>
            <w:r>
              <w:t xml:space="preserve">retained as pre-existing exceptions</w:t>
            </w:r>
          </w:p>
        </w:tc>
        <w:tc>
          <w:tcPr/>
          <w:p>
            <w:pPr>
              <w:pStyle w:val="Compact"/>
              <w:jc w:val="left"/>
            </w:pPr>
            <w:r>
              <w:t xml:space="preserve">A Google Cloud project identifier is immutable after creation; renaming means rebuilding</w:t>
            </w:r>
          </w:p>
        </w:tc>
        <w:tc>
          <w:tcPr/>
          <w:p>
            <w:pPr>
              <w:pStyle w:val="Compact"/>
              <w:jc w:val="left"/>
            </w:pPr>
            <w:r>
              <w:t xml:space="preserve">No</w:t>
            </w:r>
          </w:p>
        </w:tc>
      </w:tr>
      <w:tr>
        <w:tc>
          <w:tcPr/>
          <w:p>
            <w:pPr>
              <w:pStyle w:val="Compact"/>
              <w:jc w:val="left"/>
            </w:pPr>
            <w:r>
              <w:t xml:space="preserve">D-05</w:t>
            </w:r>
          </w:p>
        </w:tc>
        <w:tc>
          <w:tcPr/>
          <w:p>
            <w:pPr>
              <w:pStyle w:val="Compact"/>
              <w:jc w:val="left"/>
            </w:pPr>
            <w:r>
              <w:t xml:space="preserve">Project creation and organisation policy are not Terraform-managed</w:t>
            </w:r>
          </w:p>
        </w:tc>
        <w:tc>
          <w:tcPr/>
          <w:p>
            <w:pPr>
              <w:pStyle w:val="Compact"/>
              <w:jc w:val="left"/>
            </w:pPr>
            <w:r>
              <w:t xml:space="preserve">The Colt Cloud CoE already owns and maintains both directly in the console;</w:t>
            </w:r>
            <w:r>
              <w:t xml:space="preserve"> </w:t>
            </w:r>
            <w:r>
              <w:rPr>
                <w:rStyle w:val="VerbatimChar"/>
              </w:rPr>
              <w:t xml:space="preserve">1-org</w:t>
            </w:r>
            <w:r>
              <w:t xml:space="preserve"> </w:t>
            </w:r>
            <w:r>
              <w:t xml:space="preserve">is reduced to a read-only lookup, per</w:t>
            </w:r>
            <w:r>
              <w:t xml:space="preserve"> </w:t>
            </w:r>
            <w:r>
              <w:rPr>
                <w:b/>
                <w:bCs/>
              </w:rPr>
              <w:t xml:space="preserve">Stage</w:t>
            </w:r>
            <w:r>
              <w:rPr>
                <w:b/>
                <w:bCs/>
              </w:rPr>
              <w:t xml:space="preserve"> </w:t>
            </w:r>
            <w:r>
              <w:rPr>
                <w:rStyle w:val="VerbatimChar"/>
                <w:b/>
                <w:bCs/>
              </w:rPr>
              <w:t xml:space="preserve">1-org</w:t>
            </w:r>
            <w:r>
              <w:rPr>
                <w:b/>
                <w:bCs/>
              </w:rPr>
              <w:t xml:space="preserve"> </w:t>
            </w:r>
            <w:r>
              <w:rPr>
                <w:b/>
                <w:bCs/>
              </w:rPr>
              <w:t xml:space="preserve">scope</w:t>
            </w:r>
          </w:p>
        </w:tc>
        <w:tc>
          <w:tcPr/>
          <w:p>
            <w:pPr>
              <w:pStyle w:val="Compact"/>
              <w:jc w:val="left"/>
            </w:pPr>
            <w:r>
              <w:t xml:space="preserve">Yes, at the cost of rebuilding a project factory</w:t>
            </w:r>
          </w:p>
        </w:tc>
      </w:tr>
      <w:tr>
        <w:tc>
          <w:tcPr/>
          <w:p>
            <w:pPr>
              <w:pStyle w:val="Compact"/>
              <w:jc w:val="left"/>
            </w:pPr>
            <w:r>
              <w:t xml:space="preserve">D-06</w:t>
            </w:r>
          </w:p>
        </w:tc>
        <w:tc>
          <w:tcPr/>
          <w:p>
            <w:pPr>
              <w:pStyle w:val="Compact"/>
              <w:jc w:val="left"/>
            </w:pPr>
            <w:r>
              <w:t xml:space="preserve">Two address ranges split by Colt corporate reachability, with exactly one address reachable from the corporate network</w:t>
            </w:r>
          </w:p>
        </w:tc>
        <w:tc>
          <w:tcPr/>
          <w:p>
            <w:pPr>
              <w:pStyle w:val="Compact"/>
              <w:jc w:val="left"/>
            </w:pPr>
            <w:r>
              <w:t xml:space="preserve">An address in an unrouted range cannot be reached even if a firewall rule is opened by mistake, per G15</w:t>
            </w:r>
          </w:p>
        </w:tc>
        <w:tc>
          <w:tcPr/>
          <w:p>
            <w:pPr>
              <w:pStyle w:val="Compact"/>
              <w:jc w:val="left"/>
            </w:pPr>
            <w:r>
              <w:t xml:space="preserve">Ranges are expandable, never movable, per I7</w:t>
            </w:r>
          </w:p>
        </w:tc>
      </w:tr>
      <w:tr>
        <w:tc>
          <w:tcPr/>
          <w:p>
            <w:pPr>
              <w:pStyle w:val="Compact"/>
              <w:jc w:val="left"/>
            </w:pPr>
            <w:r>
              <w:t xml:space="preserve">D-07</w:t>
            </w:r>
          </w:p>
        </w:tc>
        <w:tc>
          <w:tcPr/>
          <w:p>
            <w:pPr>
              <w:pStyle w:val="Compact"/>
              <w:jc w:val="left"/>
            </w:pPr>
            <w:r>
              <w:t xml:space="preserve">Private Google Access off; all Google API traffic through one Private Service Connect endpoint</w:t>
            </w:r>
          </w:p>
        </w:tc>
        <w:tc>
          <w:tcPr/>
          <w:p>
            <w:pPr>
              <w:pStyle w:val="Compact"/>
              <w:jc w:val="left"/>
            </w:pPr>
            <w:r>
              <w:t xml:space="preserve">One controlled, logged path. Private Google Access would give workloads a second, invisible route, per TR-08</w:t>
            </w:r>
          </w:p>
        </w:tc>
        <w:tc>
          <w:tcPr/>
          <w:p>
            <w:pPr>
              <w:pStyle w:val="Compact"/>
              <w:jc w:val="left"/>
            </w:pPr>
            <w:r>
              <w:t xml:space="preserve">Yes</w:t>
            </w:r>
          </w:p>
        </w:tc>
      </w:tr>
      <w:tr>
        <w:tc>
          <w:tcPr/>
          <w:p>
            <w:pPr>
              <w:pStyle w:val="Compact"/>
              <w:jc w:val="left"/>
            </w:pPr>
            <w:r>
              <w:t xml:space="preserve">D-08</w:t>
            </w:r>
          </w:p>
        </w:tc>
        <w:tc>
          <w:tcPr/>
          <w:p>
            <w:pPr>
              <w:pStyle w:val="Compact"/>
              <w:jc w:val="left"/>
            </w:pPr>
            <w:r>
              <w:t xml:space="preserve">The</w:t>
            </w:r>
            <w:r>
              <w:t xml:space="preserve"> </w:t>
            </w:r>
            <w:r>
              <w:rPr>
                <w:rStyle w:val="VerbatimChar"/>
              </w:rPr>
              <w:t xml:space="preserve">vpc-sc</w:t>
            </w:r>
            <w:r>
              <w:t xml:space="preserve"> </w:t>
            </w:r>
            <w:r>
              <w:t xml:space="preserve">Private Service Connect bundle chosen over</w:t>
            </w:r>
            <w:r>
              <w:t xml:space="preserve"> </w:t>
            </w:r>
            <w:r>
              <w:rPr>
                <w:rStyle w:val="VerbatimChar"/>
              </w:rPr>
              <w:t xml:space="preserve">all-apis</w:t>
            </w:r>
          </w:p>
        </w:tc>
        <w:tc>
          <w:tcPr/>
          <w:p>
            <w:pPr>
              <w:pStyle w:val="Compact"/>
              <w:jc w:val="left"/>
            </w:pPr>
            <w:r>
              <w:t xml:space="preserve">Keeps a future VPC Service Controls perimeter a configuration change rather than a migration</w:t>
            </w:r>
          </w:p>
        </w:tc>
        <w:tc>
          <w:tcPr/>
          <w:p>
            <w:pPr>
              <w:pStyle w:val="Compact"/>
              <w:jc w:val="left"/>
            </w:pPr>
            <w:r>
              <w:t xml:space="preserve">Yes</w:t>
            </w:r>
          </w:p>
        </w:tc>
      </w:tr>
      <w:tr>
        <w:tc>
          <w:tcPr/>
          <w:p>
            <w:pPr>
              <w:pStyle w:val="Compact"/>
              <w:jc w:val="left"/>
            </w:pPr>
            <w:r>
              <w:t xml:space="preserve">D-09</w:t>
            </w:r>
          </w:p>
        </w:tc>
        <w:tc>
          <w:tcPr/>
          <w:p>
            <w:pPr>
              <w:pStyle w:val="Compact"/>
              <w:jc w:val="left"/>
            </w:pPr>
            <w:r>
              <w:t xml:space="preserve">Vector Search connected in automatic mode, via a service connection policy, not manual mode</w:t>
            </w:r>
          </w:p>
        </w:tc>
        <w:tc>
          <w:tcPr/>
          <w:p>
            <w:pPr>
              <w:pStyle w:val="Compact"/>
              <w:jc w:val="left"/>
            </w:pPr>
            <w:r>
              <w:t xml:space="preserve">Manual mode requires a hand-made address and forwarding rule on every index redeployment — a recurring task certain to be forgotten once</w:t>
            </w:r>
          </w:p>
        </w:tc>
        <w:tc>
          <w:tcPr/>
          <w:p>
            <w:pPr>
              <w:pStyle w:val="Compact"/>
              <w:jc w:val="left"/>
            </w:pPr>
            <w:r>
              <w:t xml:space="preserve">Yes</w:t>
            </w:r>
          </w:p>
        </w:tc>
      </w:tr>
      <w:tr>
        <w:tc>
          <w:tcPr/>
          <w:p>
            <w:pPr>
              <w:pStyle w:val="Compact"/>
              <w:jc w:val="left"/>
            </w:pPr>
            <w:r>
              <w:t xml:space="preserve">D-10</w:t>
            </w:r>
          </w:p>
        </w:tc>
        <w:tc>
          <w:tcPr/>
          <w:p>
            <w:pPr>
              <w:pStyle w:val="Compact"/>
              <w:jc w:val="left"/>
            </w:pPr>
            <w:r>
              <w:t xml:space="preserve">Health-check source ranges deliberately excluded from the firewall rule set</w:t>
            </w:r>
          </w:p>
        </w:tc>
        <w:tc>
          <w:tcPr/>
          <w:p>
            <w:pPr>
              <w:pStyle w:val="Compact"/>
              <w:jc w:val="left"/>
            </w:pPr>
            <w:r>
              <w:t xml:space="preserve">Every load balancer backend on this platform is Cloud Run, which sits outside VPC firewall governance; the ranges would answer a question nothing in the design asks</w:t>
            </w:r>
          </w:p>
        </w:tc>
        <w:tc>
          <w:tcPr/>
          <w:p>
            <w:pPr>
              <w:pStyle w:val="Compact"/>
              <w:jc w:val="left"/>
            </w:pPr>
            <w:r>
              <w:t xml:space="preserve">Yes</w:t>
            </w:r>
          </w:p>
        </w:tc>
      </w:tr>
      <w:tr>
        <w:tc>
          <w:tcPr/>
          <w:p>
            <w:pPr>
              <w:pStyle w:val="Compact"/>
              <w:jc w:val="left"/>
            </w:pPr>
            <w:r>
              <w:t xml:space="preserve">D-11</w:t>
            </w:r>
          </w:p>
        </w:tc>
        <w:tc>
          <w:tcPr/>
          <w:p>
            <w:pPr>
              <w:pStyle w:val="Compact"/>
              <w:jc w:val="left"/>
            </w:pPr>
            <w:r>
              <w:t xml:space="preserve">Callers reach Apigee’s service endpoint by hostname, never by address</w:t>
            </w:r>
          </w:p>
        </w:tc>
        <w:tc>
          <w:tcPr/>
          <w:p>
            <w:pPr>
              <w:pStyle w:val="Compact"/>
              <w:jc w:val="left"/>
            </w:pPr>
            <w:r>
              <w:t xml:space="preserve">The certificate is issued for the hostname. Reaching the endpoint by address only works with certificate verification disabled, which must never be built into a service</w:t>
            </w:r>
          </w:p>
        </w:tc>
        <w:tc>
          <w:tcPr/>
          <w:p>
            <w:pPr>
              <w:pStyle w:val="Compact"/>
              <w:jc w:val="left"/>
            </w:pPr>
            <w:r>
              <w:t xml:space="preserve">Yes</w:t>
            </w:r>
          </w:p>
        </w:tc>
      </w:tr>
      <w:tr>
        <w:tc>
          <w:tcPr/>
          <w:p>
            <w:pPr>
              <w:pStyle w:val="Compact"/>
              <w:jc w:val="left"/>
            </w:pPr>
            <w:r>
              <w:t xml:space="preserve">D-12</w:t>
            </w:r>
          </w:p>
        </w:tc>
        <w:tc>
          <w:tcPr/>
          <w:p>
            <w:pPr>
              <w:pStyle w:val="Compact"/>
              <w:jc w:val="left"/>
            </w:pPr>
            <w:r>
              <w:t xml:space="preserve">Attribution comes from the forwarded user context and the Apigee message identifier, never from source IP</w:t>
            </w:r>
          </w:p>
        </w:tc>
        <w:tc>
          <w:tcPr/>
          <w:p>
            <w:pPr>
              <w:pStyle w:val="Compact"/>
              <w:jc w:val="left"/>
            </w:pPr>
            <w:r>
              <w:t xml:space="preserve">Every Apigee-originated request arrives at the Backend ILB from the same NAT subnet, per</w:t>
            </w:r>
            <w:r>
              <w:t xml:space="preserve"> </w:t>
            </w:r>
            <w:r>
              <w:rPr>
                <w:b/>
                <w:bCs/>
              </w:rPr>
              <w:t xml:space="preserve">Evidence retrieval</w:t>
            </w:r>
          </w:p>
        </w:tc>
        <w:tc>
          <w:tcPr/>
          <w:p>
            <w:pPr>
              <w:pStyle w:val="Compact"/>
              <w:jc w:val="left"/>
            </w:pPr>
            <w:r>
              <w:t xml:space="preserve">No — platform behaviour</w:t>
            </w:r>
          </w:p>
        </w:tc>
      </w:tr>
      <w:tr>
        <w:tc>
          <w:tcPr/>
          <w:p>
            <w:pPr>
              <w:pStyle w:val="Compact"/>
              <w:jc w:val="left"/>
            </w:pPr>
            <w:r>
              <w:t xml:space="preserve">D-13</w:t>
            </w:r>
          </w:p>
        </w:tc>
        <w:tc>
          <w:tcPr/>
          <w:p>
            <w:pPr>
              <w:pStyle w:val="Compact"/>
              <w:jc w:val="left"/>
            </w:pPr>
            <w:r>
              <w:t xml:space="preserve">Backend-for-Frontend rather than a browser-side token</w:t>
            </w:r>
          </w:p>
        </w:tc>
        <w:tc>
          <w:tcPr/>
          <w:p>
            <w:pPr>
              <w:pStyle w:val="Compact"/>
              <w:jc w:val="left"/>
            </w:pPr>
            <w:r>
              <w:t xml:space="preserve">Makes single sign-on independent of browser cookie policy and removes Apigee from the browser’s reach entirely, per G12</w:t>
            </w:r>
          </w:p>
        </w:tc>
        <w:tc>
          <w:tcPr/>
          <w:p>
            <w:pPr>
              <w:pStyle w:val="Compact"/>
              <w:jc w:val="left"/>
            </w:pPr>
            <w:r>
              <w:t xml:space="preserve">Yes, expensively</w:t>
            </w:r>
          </w:p>
        </w:tc>
      </w:tr>
      <w:tr>
        <w:tc>
          <w:tcPr/>
          <w:p>
            <w:pPr>
              <w:pStyle w:val="Compact"/>
              <w:jc w:val="left"/>
            </w:pPr>
            <w:r>
              <w:t xml:space="preserve">D-14</w:t>
            </w:r>
          </w:p>
        </w:tc>
        <w:tc>
          <w:tcPr/>
          <w:p>
            <w:pPr>
              <w:pStyle w:val="Compact"/>
              <w:jc w:val="left"/>
            </w:pPr>
            <w:r>
              <w:t xml:space="preserve">Session cookie</w:t>
            </w:r>
            <w:r>
              <w:t xml:space="preserve"> </w:t>
            </w:r>
            <w:r>
              <w:rPr>
                <w:rStyle w:val="VerbatimChar"/>
              </w:rPr>
              <w:t xml:space="preserve">SameSite=Lax</w:t>
            </w:r>
            <w:r>
              <w:t xml:space="preserve">, not</w:t>
            </w:r>
            <w:r>
              <w:t xml:space="preserve"> </w:t>
            </w:r>
            <w:r>
              <w:rPr>
                <w:rStyle w:val="VerbatimChar"/>
              </w:rPr>
              <w:t xml:space="preserve">Strict</w:t>
            </w:r>
          </w:p>
        </w:tc>
        <w:tc>
          <w:tcPr/>
          <w:p>
            <w:pPr>
              <w:pStyle w:val="Compact"/>
              <w:jc w:val="left"/>
            </w:pPr>
            <w:r>
              <w:rPr>
                <w:rStyle w:val="VerbatimChar"/>
              </w:rPr>
              <w:t xml:space="preserve">Strict</w:t>
            </w:r>
            <w:r>
              <w:t xml:space="preserve"> </w:t>
            </w:r>
            <w:r>
              <w:t xml:space="preserve">drops the cookie on the return leg of the Entra redirect, which loops the login, per</w:t>
            </w:r>
            <w:r>
              <w:t xml:space="preserve"> </w:t>
            </w:r>
            <w:r>
              <w:rPr>
                <w:b/>
                <w:bCs/>
              </w:rPr>
              <w:t xml:space="preserve">Cookie design</w:t>
            </w:r>
          </w:p>
        </w:tc>
        <w:tc>
          <w:tcPr/>
          <w:p>
            <w:pPr>
              <w:pStyle w:val="Compact"/>
              <w:jc w:val="left"/>
            </w:pPr>
            <w:r>
              <w:t xml:space="preserve">Yes</w:t>
            </w:r>
          </w:p>
        </w:tc>
      </w:tr>
      <w:tr>
        <w:tc>
          <w:tcPr/>
          <w:p>
            <w:pPr>
              <w:pStyle w:val="Compact"/>
              <w:jc w:val="left"/>
            </w:pPr>
            <w:r>
              <w:t xml:space="preserve">D-15</w:t>
            </w:r>
          </w:p>
        </w:tc>
        <w:tc>
          <w:tcPr/>
          <w:p>
            <w:pPr>
              <w:pStyle w:val="Compact"/>
              <w:jc w:val="left"/>
            </w:pPr>
            <w:r>
              <w:t xml:space="preserve">Firestore TTL treated as housekeeping, not enforcement</w:t>
            </w:r>
          </w:p>
        </w:tc>
        <w:tc>
          <w:tcPr/>
          <w:p>
            <w:pPr>
              <w:pStyle w:val="Compact"/>
              <w:jc w:val="left"/>
            </w:pPr>
            <w:r>
              <w:t xml:space="preserve">TTL deletion lags by up to 24 hours; the Backend-for-Frontend checks expiry on every read instead, per</w:t>
            </w:r>
            <w:r>
              <w:t xml:space="preserve"> </w:t>
            </w:r>
            <w:r>
              <w:rPr>
                <w:b/>
                <w:bCs/>
              </w:rPr>
              <w:t xml:space="preserve">The two Firestore limits that shape this design</w:t>
            </w:r>
          </w:p>
        </w:tc>
        <w:tc>
          <w:tcPr/>
          <w:p>
            <w:pPr>
              <w:pStyle w:val="Compact"/>
              <w:jc w:val="left"/>
            </w:pPr>
            <w:r>
              <w:t xml:space="preserve">Yes</w:t>
            </w:r>
          </w:p>
        </w:tc>
      </w:tr>
      <w:tr>
        <w:tc>
          <w:tcPr/>
          <w:p>
            <w:pPr>
              <w:pStyle w:val="Compact"/>
              <w:jc w:val="left"/>
            </w:pPr>
            <w:r>
              <w:t xml:space="preserve">D-16</w:t>
            </w:r>
          </w:p>
        </w:tc>
        <w:tc>
          <w:tcPr/>
          <w:p>
            <w:pPr>
              <w:pStyle w:val="Compact"/>
              <w:jc w:val="left"/>
            </w:pPr>
            <w:r>
              <w:rPr>
                <w:rStyle w:val="VerbatimChar"/>
              </w:rPr>
              <w:t xml:space="preserve">last_seen_at</w:t>
            </w:r>
            <w:r>
              <w:t xml:space="preserve"> </w:t>
            </w:r>
            <w:r>
              <w:t xml:space="preserve">writes throttled to once per minute</w:t>
            </w:r>
          </w:p>
        </w:tc>
        <w:tc>
          <w:tcPr/>
          <w:p>
            <w:pPr>
              <w:pStyle w:val="Compact"/>
              <w:jc w:val="left"/>
            </w:pPr>
            <w:r>
              <w:t xml:space="preserve">Firestore sustains roughly one write per second to a single document, and the session document is written on every refresh, per TR-22</w:t>
            </w:r>
          </w:p>
        </w:tc>
        <w:tc>
          <w:tcPr/>
          <w:p>
            <w:pPr>
              <w:pStyle w:val="Compact"/>
              <w:jc w:val="left"/>
            </w:pPr>
            <w:r>
              <w:t xml:space="preserve">Yes</w:t>
            </w:r>
          </w:p>
        </w:tc>
      </w:tr>
      <w:tr>
        <w:tc>
          <w:tcPr/>
          <w:p>
            <w:pPr>
              <w:pStyle w:val="Compact"/>
              <w:jc w:val="left"/>
            </w:pPr>
            <w:r>
              <w:t xml:space="preserve">D-17</w:t>
            </w:r>
          </w:p>
        </w:tc>
        <w:tc>
          <w:tcPr/>
          <w:p>
            <w:pPr>
              <w:pStyle w:val="Compact"/>
              <w:jc w:val="left"/>
            </w:pPr>
            <w:r>
              <w:t xml:space="preserve">Envelope encryption via a cached, KMS-wrapped data encryption key, not a KMS call on every read</w:t>
            </w:r>
          </w:p>
        </w:tc>
        <w:tc>
          <w:tcPr/>
          <w:p>
            <w:pPr>
              <w:pStyle w:val="Compact"/>
              <w:jc w:val="left"/>
            </w:pPr>
            <w:r>
              <w:t xml:space="preserve">A KMS round trip per request adds 10 to 30 ms to every call and consumes KMS quota at the platform’s full request rate, per TR-23</w:t>
            </w:r>
          </w:p>
        </w:tc>
        <w:tc>
          <w:tcPr/>
          <w:p>
            <w:pPr>
              <w:pStyle w:val="Compact"/>
              <w:jc w:val="left"/>
            </w:pPr>
            <w:r>
              <w:t xml:space="preserve">Yes</w:t>
            </w:r>
          </w:p>
        </w:tc>
      </w:tr>
      <w:tr>
        <w:tc>
          <w:tcPr/>
          <w:p>
            <w:pPr>
              <w:pStyle w:val="Compact"/>
              <w:jc w:val="left"/>
            </w:pPr>
            <w:r>
              <w:t xml:space="preserve">D-18</w:t>
            </w:r>
          </w:p>
        </w:tc>
        <w:tc>
          <w:tcPr/>
          <w:p>
            <w:pPr>
              <w:pStyle w:val="Compact"/>
              <w:jc w:val="left"/>
            </w:pPr>
            <w:r>
              <w:t xml:space="preserve">Refresh proactive at 80% of token lifetime with jitter, serialised by a Firestore lease</w:t>
            </w:r>
          </w:p>
        </w:tc>
        <w:tc>
          <w:tcPr/>
          <w:p>
            <w:pPr>
              <w:pStyle w:val="Compact"/>
              <w:jc w:val="left"/>
            </w:pPr>
            <w:r>
              <w:t xml:space="preserve">Under refresh-token rotation, the losers of a concurrent refresh receive</w:t>
            </w:r>
            <w:r>
              <w:t xml:space="preserve"> </w:t>
            </w:r>
            <w:r>
              <w:rPr>
                <w:rStyle w:val="VerbatimChar"/>
              </w:rPr>
              <w:t xml:space="preserve">invalid_grant</w:t>
            </w:r>
            <w:r>
              <w:t xml:space="preserve"> </w:t>
            </w:r>
            <w:r>
              <w:t xml:space="preserve">and would otherwise be signed out at random, per</w:t>
            </w:r>
            <w:r>
              <w:t xml:space="preserve"> </w:t>
            </w:r>
            <w:r>
              <w:rPr>
                <w:b/>
                <w:bCs/>
              </w:rPr>
              <w:t xml:space="preserve">Refresh stampede</w:t>
            </w:r>
          </w:p>
        </w:tc>
        <w:tc>
          <w:tcPr/>
          <w:p>
            <w:pPr>
              <w:pStyle w:val="Compact"/>
              <w:jc w:val="left"/>
            </w:pPr>
            <w:r>
              <w:t xml:space="preserve">Yes</w:t>
            </w:r>
          </w:p>
        </w:tc>
      </w:tr>
      <w:tr>
        <w:tc>
          <w:tcPr/>
          <w:p>
            <w:pPr>
              <w:pStyle w:val="Compact"/>
              <w:jc w:val="left"/>
            </w:pPr>
            <w:r>
              <w:t xml:space="preserve">D-19</w:t>
            </w:r>
          </w:p>
        </w:tc>
        <w:tc>
          <w:tcPr/>
          <w:p>
            <w:pPr>
              <w:pStyle w:val="Compact"/>
              <w:jc w:val="left"/>
            </w:pPr>
            <w:r>
              <w:t xml:space="preserve">Fail closed on session-store failure — a 503, never a fallback</w:t>
            </w:r>
          </w:p>
        </w:tc>
        <w:tc>
          <w:tcPr/>
          <w:p>
            <w:pPr>
              <w:pStyle w:val="Compact"/>
              <w:jc w:val="left"/>
            </w:pPr>
            <w:r>
              <w:t xml:space="preserve">There is no degraded mode; any fallback that lets a request through unauthenticated is worse than an outage, per TR-24</w:t>
            </w:r>
          </w:p>
        </w:tc>
        <w:tc>
          <w:tcPr/>
          <w:p>
            <w:pPr>
              <w:pStyle w:val="Compact"/>
              <w:jc w:val="left"/>
            </w:pPr>
            <w:r>
              <w:t xml:space="preserve">Yes</w:t>
            </w:r>
          </w:p>
        </w:tc>
      </w:tr>
      <w:tr>
        <w:tc>
          <w:tcPr/>
          <w:p>
            <w:pPr>
              <w:pStyle w:val="Compact"/>
              <w:jc w:val="left"/>
            </w:pPr>
            <w:r>
              <w:t xml:space="preserve">D-20</w:t>
            </w:r>
          </w:p>
        </w:tc>
        <w:tc>
          <w:tcPr/>
          <w:p>
            <w:pPr>
              <w:pStyle w:val="Compact"/>
              <w:jc w:val="left"/>
            </w:pPr>
            <w:r>
              <w:t xml:space="preserve">Logout clears the application session, refresh token and IAP session by default; Entra sign-out is a separate action</w:t>
            </w:r>
          </w:p>
        </w:tc>
        <w:tc>
          <w:tcPr/>
          <w:p>
            <w:pPr>
              <w:pStyle w:val="Compact"/>
              <w:jc w:val="left"/>
            </w:pPr>
            <w:r>
              <w:t xml:space="preserve">Signing out of Entra signs the user out of every Microsoft application in that browser session — appropriate on a shared machine, disruptive on a personal one, per</w:t>
            </w:r>
            <w:r>
              <w:t xml:space="preserve"> </w:t>
            </w:r>
            <w:r>
              <w:rPr>
                <w:b/>
                <w:bCs/>
              </w:rPr>
              <w:t xml:space="preserve">Logout across three sessions</w:t>
            </w:r>
          </w:p>
        </w:tc>
        <w:tc>
          <w:tcPr/>
          <w:p>
            <w:pPr>
              <w:pStyle w:val="Compact"/>
              <w:jc w:val="left"/>
            </w:pPr>
            <w:r>
              <w:t xml:space="preserve">Yes</w:t>
            </w:r>
          </w:p>
        </w:tc>
      </w:tr>
      <w:tr>
        <w:tc>
          <w:tcPr/>
          <w:p>
            <w:pPr>
              <w:pStyle w:val="Compact"/>
              <w:jc w:val="left"/>
            </w:pPr>
            <w:r>
              <w:t xml:space="preserve">D-21</w:t>
            </w:r>
          </w:p>
        </w:tc>
        <w:tc>
          <w:tcPr/>
          <w:p>
            <w:pPr>
              <w:pStyle w:val="Compact"/>
              <w:jc w:val="left"/>
            </w:pPr>
            <w:r>
              <w:t xml:space="preserve">Synchroniser token for Cross-Site Request Forgery protection, not double-submit cookie</w:t>
            </w:r>
          </w:p>
        </w:tc>
        <w:tc>
          <w:tcPr/>
          <w:p>
            <w:pPr>
              <w:pStyle w:val="Compact"/>
              <w:jc w:val="left"/>
            </w:pPr>
            <w:r>
              <w:t xml:space="preserve">The Backend-for-Frontend already holds server-side session state, so a second, deliberately stateless mechanism buys nothing</w:t>
            </w:r>
          </w:p>
        </w:tc>
        <w:tc>
          <w:tcPr/>
          <w:p>
            <w:pPr>
              <w:pStyle w:val="Compact"/>
              <w:jc w:val="left"/>
            </w:pPr>
            <w:r>
              <w:t xml:space="preserve">Yes</w:t>
            </w:r>
          </w:p>
        </w:tc>
      </w:tr>
      <w:tr>
        <w:tc>
          <w:tcPr/>
          <w:p>
            <w:pPr>
              <w:pStyle w:val="Compact"/>
              <w:jc w:val="left"/>
            </w:pPr>
            <w:r>
              <w:t xml:space="preserve">D-22</w:t>
            </w:r>
          </w:p>
        </w:tc>
        <w:tc>
          <w:tcPr/>
          <w:p>
            <w:pPr>
              <w:pStyle w:val="Compact"/>
              <w:jc w:val="left"/>
            </w:pPr>
            <w:r>
              <w:t xml:space="preserve">Southbound authentication from Apigee to backend Cloud Run is Cloud Run IAM, not IAP</w:t>
            </w:r>
          </w:p>
        </w:tc>
        <w:tc>
          <w:tcPr/>
          <w:p>
            <w:pPr>
              <w:pStyle w:val="Compact"/>
              <w:jc w:val="left"/>
            </w:pPr>
            <w:r>
              <w:t xml:space="preserve">Removes one component, together with the per-service OAuth client and the IAP latency the alternative would add on a hop executed on every API call</w:t>
            </w:r>
          </w:p>
        </w:tc>
        <w:tc>
          <w:tcPr/>
          <w:p>
            <w:pPr>
              <w:pStyle w:val="Compact"/>
              <w:jc w:val="left"/>
            </w:pPr>
            <w:r>
              <w:t xml:space="preserve">Yes — IAP on the backend services is a viable alternative shape</w:t>
            </w:r>
          </w:p>
        </w:tc>
      </w:tr>
      <w:tr>
        <w:tc>
          <w:tcPr/>
          <w:p>
            <w:pPr>
              <w:pStyle w:val="Compact"/>
              <w:jc w:val="left"/>
            </w:pPr>
            <w:r>
              <w:t xml:space="preserve">D-23</w:t>
            </w:r>
          </w:p>
        </w:tc>
        <w:tc>
          <w:tcPr/>
          <w:p>
            <w:pPr>
              <w:pStyle w:val="Compact"/>
              <w:jc w:val="left"/>
            </w:pPr>
            <w:r>
              <w:rPr>
                <w:rStyle w:val="VerbatimChar"/>
              </w:rPr>
              <w:t xml:space="preserve">int</w:t>
            </w:r>
            <w:r>
              <w:t xml:space="preserve"> </w:t>
            </w:r>
            <w:r>
              <w:t xml:space="preserve">environment type Base,</w:t>
            </w:r>
            <w:r>
              <w:t xml:space="preserve"> </w:t>
            </w:r>
            <w:r>
              <w:rPr>
                <w:rStyle w:val="VerbatimChar"/>
              </w:rPr>
              <w:t xml:space="preserve">llm</w:t>
            </w:r>
            <w:r>
              <w:t xml:space="preserve"> </w:t>
            </w:r>
            <w:r>
              <w:t xml:space="preserve">environment type Intermediate</w:t>
            </w:r>
          </w:p>
        </w:tc>
        <w:tc>
          <w:tcPr/>
          <w:p>
            <w:pPr>
              <w:pStyle w:val="Compact"/>
              <w:jc w:val="left"/>
            </w:pPr>
            <w:r>
              <w:t xml:space="preserve">Both LLM token policies are Extensible and deploy only to Intermediate or Comprehensive environment types</w:t>
            </w:r>
          </w:p>
        </w:tc>
        <w:tc>
          <w:tcPr/>
          <w:p>
            <w:pPr>
              <w:pStyle w:val="Compact"/>
              <w:jc w:val="left"/>
            </w:pPr>
            <w:r>
              <w:t xml:space="preserve">Environment type is fixed at creation</w:t>
            </w:r>
          </w:p>
        </w:tc>
      </w:tr>
      <w:tr>
        <w:tc>
          <w:tcPr/>
          <w:p>
            <w:pPr>
              <w:pStyle w:val="Compact"/>
              <w:jc w:val="left"/>
            </w:pPr>
            <w:r>
              <w:t xml:space="preserve">D-24</w:t>
            </w:r>
          </w:p>
        </w:tc>
        <w:tc>
          <w:tcPr/>
          <w:p>
            <w:pPr>
              <w:pStyle w:val="Compact"/>
              <w:jc w:val="left"/>
            </w:pPr>
            <w:r>
              <w:rPr>
                <w:rStyle w:val="VerbatimChar"/>
              </w:rPr>
              <w:t xml:space="preserve">ext</w:t>
            </w:r>
            <w:r>
              <w:t xml:space="preserve"> </w:t>
            </w:r>
            <w:r>
              <w:t xml:space="preserve">Apigee environment not created</w:t>
            </w:r>
          </w:p>
        </w:tc>
        <w:tc>
          <w:tcPr/>
          <w:p>
            <w:pPr>
              <w:pStyle w:val="Compact"/>
              <w:jc w:val="left"/>
            </w:pPr>
            <w:r>
              <w:t xml:space="preserve">Every environment bills hourly whether it carries traffic or not, and the external API is a later phase</w:t>
            </w:r>
          </w:p>
        </w:tc>
        <w:tc>
          <w:tcPr/>
          <w:p>
            <w:pPr>
              <w:pStyle w:val="Compact"/>
              <w:jc w:val="left"/>
            </w:pPr>
            <w:r>
              <w:t xml:space="preserve">Yes</w:t>
            </w:r>
          </w:p>
        </w:tc>
      </w:tr>
      <w:tr>
        <w:tc>
          <w:tcPr/>
          <w:p>
            <w:pPr>
              <w:pStyle w:val="Compact"/>
              <w:jc w:val="left"/>
            </w:pPr>
            <w:r>
              <w:t xml:space="preserve">D-25</w:t>
            </w:r>
          </w:p>
        </w:tc>
        <w:tc>
          <w:tcPr/>
          <w:p>
            <w:pPr>
              <w:pStyle w:val="Compact"/>
              <w:jc w:val="left"/>
            </w:pPr>
            <w:r>
              <w:t xml:space="preserve">The user API stays as one proxy with conditional flows per path, not one proxy per usecase</w:t>
            </w:r>
          </w:p>
        </w:tc>
        <w:tc>
          <w:tcPr/>
          <w:p>
            <w:pPr>
              <w:pStyle w:val="Compact"/>
              <w:jc w:val="left"/>
            </w:pPr>
            <w:r>
              <w:t xml:space="preserve">Quota counters are per proxy, not per product; one proxy per usecase would silently multiply each user’s daily budget</w:t>
            </w:r>
          </w:p>
        </w:tc>
        <w:tc>
          <w:tcPr/>
          <w:p>
            <w:pPr>
              <w:pStyle w:val="Compact"/>
              <w:jc w:val="left"/>
            </w:pPr>
            <w:r>
              <w:t xml:space="preserve">Yes</w:t>
            </w:r>
          </w:p>
        </w:tc>
      </w:tr>
      <w:tr>
        <w:tc>
          <w:tcPr/>
          <w:p>
            <w:pPr>
              <w:pStyle w:val="Compact"/>
              <w:jc w:val="left"/>
            </w:pPr>
            <w:r>
              <w:t xml:space="preserve">D-26</w:t>
            </w:r>
          </w:p>
        </w:tc>
        <w:tc>
          <w:tcPr/>
          <w:p>
            <w:pPr>
              <w:pStyle w:val="Compact"/>
              <w:jc w:val="left"/>
            </w:pPr>
            <w:r>
              <w:t xml:space="preserve">API Product per tier, with a developer app per calling service</w:t>
            </w:r>
          </w:p>
        </w:tc>
        <w:tc>
          <w:tcPr/>
          <w:p>
            <w:pPr>
              <w:pStyle w:val="Compact"/>
              <w:jc w:val="left"/>
            </w:pPr>
            <w:r>
              <w:rPr>
                <w:rStyle w:val="VerbatimChar"/>
              </w:rPr>
              <w:t xml:space="preserve">LLMTokenQuota</w:t>
            </w:r>
            <w:r>
              <w:t xml:space="preserve"> </w:t>
            </w:r>
            <w:r>
              <w:t xml:space="preserve">keys off API Products, so Apigee must resolve a consumer; this also buys product tiering and built-in consumption reporting</w:t>
            </w:r>
          </w:p>
        </w:tc>
        <w:tc>
          <w:tcPr/>
          <w:p>
            <w:pPr>
              <w:pStyle w:val="Compact"/>
              <w:jc w:val="left"/>
            </w:pPr>
            <w:r>
              <w:t xml:space="preserve">Yes</w:t>
            </w:r>
          </w:p>
        </w:tc>
      </w:tr>
      <w:tr>
        <w:tc>
          <w:tcPr/>
          <w:p>
            <w:pPr>
              <w:pStyle w:val="Compact"/>
              <w:jc w:val="left"/>
            </w:pPr>
            <w:r>
              <w:t xml:space="preserve">D-27</w:t>
            </w:r>
          </w:p>
        </w:tc>
        <w:tc>
          <w:tcPr/>
          <w:p>
            <w:pPr>
              <w:pStyle w:val="Compact"/>
              <w:jc w:val="left"/>
            </w:pPr>
            <w:r>
              <w:t xml:space="preserve">Rate-limit faults converted to 429 with</w:t>
            </w:r>
            <w:r>
              <w:t xml:space="preserve"> </w:t>
            </w:r>
            <w:r>
              <w:rPr>
                <w:rStyle w:val="VerbatimChar"/>
              </w:rPr>
              <w:t xml:space="preserve">Retry-After</w:t>
            </w:r>
            <w:r>
              <w:t xml:space="preserve"> </w:t>
            </w:r>
            <w:r>
              <w:t xml:space="preserve">by a</w:t>
            </w:r>
            <w:r>
              <w:t xml:space="preserve"> </w:t>
            </w:r>
            <w:r>
              <w:rPr>
                <w:rStyle w:val="VerbatimChar"/>
              </w:rPr>
              <w:t xml:space="preserve">FaultRule</w:t>
            </w:r>
          </w:p>
        </w:tc>
        <w:tc>
          <w:tcPr/>
          <w:p>
            <w:pPr>
              <w:pStyle w:val="Compact"/>
              <w:jc w:val="left"/>
            </w:pPr>
            <w:r>
              <w:rPr>
                <w:rStyle w:val="VerbatimChar"/>
              </w:rPr>
              <w:t xml:space="preserve">Quota</w:t>
            </w:r>
            <w:r>
              <w:t xml:space="preserve"> </w:t>
            </w:r>
            <w:r>
              <w:t xml:space="preserve">and</w:t>
            </w:r>
            <w:r>
              <w:t xml:space="preserve"> </w:t>
            </w:r>
            <w:r>
              <w:rPr>
                <w:rStyle w:val="VerbatimChar"/>
              </w:rPr>
              <w:t xml:space="preserve">SpikeArrest</w:t>
            </w:r>
            <w:r>
              <w:t xml:space="preserve"> </w:t>
            </w:r>
            <w:r>
              <w:t xml:space="preserve">return 500 by default, which makes a well-behaved client retry immediately rather than back off</w:t>
            </w:r>
          </w:p>
        </w:tc>
        <w:tc>
          <w:tcPr/>
          <w:p>
            <w:pPr>
              <w:pStyle w:val="Compact"/>
              <w:jc w:val="left"/>
            </w:pPr>
            <w:r>
              <w:t xml:space="preserve">Yes</w:t>
            </w:r>
          </w:p>
        </w:tc>
      </w:tr>
      <w:tr>
        <w:tc>
          <w:tcPr/>
          <w:p>
            <w:pPr>
              <w:pStyle w:val="Compact"/>
              <w:jc w:val="left"/>
            </w:pPr>
            <w:r>
              <w:t xml:space="preserve">D-28</w:t>
            </w:r>
          </w:p>
        </w:tc>
        <w:tc>
          <w:tcPr/>
          <w:p>
            <w:pPr>
              <w:pStyle w:val="Compact"/>
              <w:jc w:val="left"/>
            </w:pPr>
            <w:r>
              <w:t xml:space="preserve">Quota keyed on the verified</w:t>
            </w:r>
            <w:r>
              <w:t xml:space="preserve"> </w:t>
            </w:r>
            <w:r>
              <w:rPr>
                <w:rStyle w:val="VerbatimChar"/>
              </w:rPr>
              <w:t xml:space="preserve">oid</w:t>
            </w:r>
            <w:r>
              <w:t xml:space="preserve">, never on department</w:t>
            </w:r>
          </w:p>
        </w:tc>
        <w:tc>
          <w:tcPr/>
          <w:p>
            <w:pPr>
              <w:pStyle w:val="Compact"/>
              <w:jc w:val="left"/>
            </w:pPr>
            <w:r>
              <w:t xml:space="preserve">The consumption budget is per individual; keying on department would let one user exhaust a colleague’s allowance, per G13</w:t>
            </w:r>
          </w:p>
        </w:tc>
        <w:tc>
          <w:tcPr/>
          <w:p>
            <w:pPr>
              <w:pStyle w:val="Compact"/>
              <w:jc w:val="left"/>
            </w:pPr>
            <w:r>
              <w:t xml:space="preserve">Yes</w:t>
            </w:r>
          </w:p>
        </w:tc>
      </w:tr>
      <w:tr>
        <w:tc>
          <w:tcPr/>
          <w:p>
            <w:pPr>
              <w:pStyle w:val="Compact"/>
              <w:jc w:val="left"/>
            </w:pPr>
            <w:r>
              <w:t xml:space="preserve">D-29</w:t>
            </w:r>
          </w:p>
        </w:tc>
        <w:tc>
          <w:tcPr/>
          <w:p>
            <w:pPr>
              <w:pStyle w:val="Compact"/>
              <w:jc w:val="left"/>
            </w:pPr>
            <w:r>
              <w:t xml:space="preserve">Model Armor used through the explicit Apigee-proxy pattern, not the built-in Vertex AI integration</w:t>
            </w:r>
          </w:p>
        </w:tc>
        <w:tc>
          <w:tcPr/>
          <w:p>
            <w:pPr>
              <w:pStyle w:val="Compact"/>
              <w:jc w:val="left"/>
            </w:pPr>
            <w:r>
              <w:t xml:space="preserve">The built-in pattern requires a template region the pinned residency policy does not permit</w:t>
            </w:r>
          </w:p>
        </w:tc>
        <w:tc>
          <w:tcPr/>
          <w:p>
            <w:pPr>
              <w:pStyle w:val="Compact"/>
              <w:jc w:val="left"/>
            </w:pPr>
            <w:r>
              <w:t xml:space="preserve">Only if the resource-location policy changes</w:t>
            </w:r>
          </w:p>
        </w:tc>
      </w:tr>
      <w:tr>
        <w:tc>
          <w:tcPr/>
          <w:p>
            <w:pPr>
              <w:pStyle w:val="Compact"/>
              <w:jc w:val="left"/>
            </w:pPr>
            <w:r>
              <w:t xml:space="preserve">D-30</w:t>
            </w:r>
          </w:p>
        </w:tc>
        <w:tc>
          <w:tcPr/>
          <w:p>
            <w:pPr>
              <w:pStyle w:val="Compact"/>
              <w:jc w:val="left"/>
            </w:pPr>
            <w:r>
              <w:rPr>
                <w:rStyle w:val="VerbatimChar"/>
              </w:rPr>
              <w:t xml:space="preserve">roles/aiplatform.user</w:t>
            </w:r>
            <w:r>
              <w:t xml:space="preserve"> </w:t>
            </w:r>
            <w:r>
              <w:t xml:space="preserve">held by exactly one service account,</w:t>
            </w:r>
            <w:r>
              <w:t xml:space="preserve"> </w:t>
            </w:r>
            <w:r>
              <w:rPr>
                <w:rStyle w:val="VerbatimChar"/>
              </w:rPr>
              <w:t xml:space="preserve">apigee-llm-runtime</w:t>
            </w:r>
            <w:r>
              <w:t xml:space="preserve">, and no workload service account</w:t>
            </w:r>
          </w:p>
        </w:tc>
        <w:tc>
          <w:tcPr/>
          <w:p>
            <w:pPr>
              <w:pStyle w:val="Compact"/>
              <w:jc w:val="left"/>
            </w:pPr>
            <w:r>
              <w:t xml:space="preserve">The single IAM decision that makes the gateway mandatory rather than advisory, per G14</w:t>
            </w:r>
          </w:p>
        </w:tc>
        <w:tc>
          <w:tcPr/>
          <w:p>
            <w:pPr>
              <w:pStyle w:val="Compact"/>
              <w:jc w:val="left"/>
            </w:pPr>
            <w:r>
              <w:t xml:space="preserve">Yes — and doing so removes the control that makes the gateway mandatory</w:t>
            </w:r>
          </w:p>
        </w:tc>
      </w:tr>
      <w:tr>
        <w:tc>
          <w:tcPr/>
          <w:p>
            <w:pPr>
              <w:pStyle w:val="Compact"/>
              <w:jc w:val="left"/>
            </w:pPr>
            <w:r>
              <w:t xml:space="preserve">D-31</w:t>
            </w:r>
          </w:p>
        </w:tc>
        <w:tc>
          <w:tcPr/>
          <w:p>
            <w:pPr>
              <w:pStyle w:val="Compact"/>
              <w:jc w:val="left"/>
            </w:pPr>
            <w:r>
              <w:t xml:space="preserve">If the</w:t>
            </w:r>
            <w:r>
              <w:t xml:space="preserve"> </w:t>
            </w:r>
            <w:r>
              <w:rPr>
                <w:rStyle w:val="VerbatimChar"/>
              </w:rPr>
              <w:t xml:space="preserve">llm</w:t>
            </w:r>
            <w:r>
              <w:t xml:space="preserve"> </w:t>
            </w:r>
            <w:r>
              <w:t xml:space="preserve">environment’s modelled cost proves unacceptable, screening and metering move into the application instead of the gateway</w:t>
            </w:r>
          </w:p>
        </w:tc>
        <w:tc>
          <w:tcPr/>
          <w:p>
            <w:pPr>
              <w:pStyle w:val="Compact"/>
              <w:jc w:val="left"/>
            </w:pPr>
            <w:r>
              <w:t xml:space="preserve">The only lever available against an Intermediate-environment and Extensible-policy cost that exceeds the governance value</w:t>
            </w:r>
          </w:p>
        </w:tc>
        <w:tc>
          <w:tcPr/>
          <w:p>
            <w:pPr>
              <w:pStyle w:val="Compact"/>
              <w:jc w:val="left"/>
            </w:pPr>
            <w:r>
              <w:t xml:space="preserve">Yes — this is itself the fallback, per</w:t>
            </w:r>
            <w:r>
              <w:t xml:space="preserve"> </w:t>
            </w:r>
            <w:r>
              <w:rPr>
                <w:b/>
                <w:bCs/>
              </w:rPr>
              <w:t xml:space="preserve">AI Gateway and Vertex AI — Apigee</w:t>
            </w:r>
            <w:r>
              <w:rPr>
                <w:b/>
                <w:bCs/>
              </w:rPr>
              <w:t xml:space="preserve"> </w:t>
            </w:r>
            <w:r>
              <w:rPr>
                <w:rStyle w:val="VerbatimChar"/>
                <w:b/>
                <w:bCs/>
              </w:rPr>
              <w:t xml:space="preserve">llm</w:t>
            </w:r>
            <w:r>
              <w:rPr>
                <w:b/>
                <w:bCs/>
              </w:rPr>
              <w:t xml:space="preserve"> </w:t>
            </w:r>
            <w:r>
              <w:rPr>
                <w:b/>
                <w:bCs/>
              </w:rPr>
              <w:t xml:space="preserve">Environment</w:t>
            </w:r>
            <w:r>
              <w:t xml:space="preserve"> </w:t>
            </w:r>
            <w:r>
              <w:t xml:space="preserve">and</w:t>
            </w:r>
            <w:r>
              <w:t xml:space="preserve"> </w:t>
            </w:r>
            <w:r>
              <w:rPr>
                <w:b/>
                <w:bCs/>
              </w:rPr>
              <w:t xml:space="preserve">Model Armor policy commitment, split by GA status</w:t>
            </w:r>
          </w:p>
        </w:tc>
      </w:tr>
      <w:tr>
        <w:tc>
          <w:tcPr/>
          <w:p>
            <w:pPr>
              <w:pStyle w:val="Compact"/>
              <w:jc w:val="left"/>
            </w:pPr>
            <w:r>
              <w:t xml:space="preserve">D-32</w:t>
            </w:r>
          </w:p>
        </w:tc>
        <w:tc>
          <w:tcPr/>
          <w:p>
            <w:pPr>
              <w:pStyle w:val="Compact"/>
              <w:jc w:val="left"/>
            </w:pPr>
            <w:r>
              <w:t xml:space="preserve">Semantic caching deferred entirely for the first build</w:t>
            </w:r>
          </w:p>
        </w:tc>
        <w:tc>
          <w:tcPr/>
          <w:p>
            <w:pPr>
              <w:pStyle w:val="Compact"/>
              <w:jc w:val="left"/>
            </w:pPr>
            <w:r>
              <w:t xml:space="preserve">Semantic caching matches on meaning, so an unscoped cache would return one business unit’s answer to another</w:t>
            </w:r>
          </w:p>
        </w:tc>
        <w:tc>
          <w:tcPr/>
          <w:p>
            <w:pPr>
              <w:pStyle w:val="Compact"/>
              <w:jc w:val="left"/>
            </w:pPr>
            <w:r>
              <w:t xml:space="preserve">Yes, once four conditions are met, per</w:t>
            </w:r>
            <w:r>
              <w:t xml:space="preserve"> </w:t>
            </w:r>
            <w:r>
              <w:rPr>
                <w:b/>
                <w:bCs/>
              </w:rPr>
              <w:t xml:space="preserve">Semantic caching — deferred</w:t>
            </w:r>
          </w:p>
        </w:tc>
      </w:tr>
      <w:tr>
        <w:tc>
          <w:tcPr/>
          <w:p>
            <w:pPr>
              <w:pStyle w:val="Compact"/>
              <w:jc w:val="left"/>
            </w:pPr>
            <w:r>
              <w:t xml:space="preserve">D-33</w:t>
            </w:r>
          </w:p>
        </w:tc>
        <w:tc>
          <w:tcPr/>
          <w:p>
            <w:pPr>
              <w:pStyle w:val="Compact"/>
              <w:jc w:val="left"/>
            </w:pPr>
            <w:r>
              <w:t xml:space="preserve">Business unit at Vector Search ingestion comes from the verified Entra claim, never a request body field</w:t>
            </w:r>
          </w:p>
        </w:tc>
        <w:tc>
          <w:tcPr/>
          <w:p>
            <w:pPr>
              <w:pStyle w:val="Compact"/>
              <w:jc w:val="left"/>
            </w:pPr>
            <w:r>
              <w:t xml:space="preserve">A body field can be set to anything by the caller; a token claim is signed and verified</w:t>
            </w:r>
          </w:p>
        </w:tc>
        <w:tc>
          <w:tcPr/>
          <w:p>
            <w:pPr>
              <w:pStyle w:val="Compact"/>
              <w:jc w:val="left"/>
            </w:pPr>
            <w:r>
              <w:t xml:space="preserve">Yes</w:t>
            </w:r>
          </w:p>
        </w:tc>
      </w:tr>
      <w:tr>
        <w:tc>
          <w:tcPr/>
          <w:p>
            <w:pPr>
              <w:pStyle w:val="Compact"/>
              <w:jc w:val="left"/>
            </w:pPr>
            <w:r>
              <w:t xml:space="preserve">D-34</w:t>
            </w:r>
          </w:p>
        </w:tc>
        <w:tc>
          <w:tcPr/>
          <w:p>
            <w:pPr>
              <w:pStyle w:val="Compact"/>
              <w:jc w:val="left"/>
            </w:pPr>
            <w:r>
              <w:t xml:space="preserve">Indirect prompt injection handled application-side, not by Model Armor</w:t>
            </w:r>
          </w:p>
        </w:tc>
        <w:tc>
          <w:tcPr/>
          <w:p>
            <w:pPr>
              <w:pStyle w:val="Compact"/>
              <w:jc w:val="left"/>
            </w:pPr>
            <w:r>
              <w:t xml:space="preserve">Model Armor screens the user’s prompt; it does not screen an instruction planted inside a retrieved document</w:t>
            </w:r>
          </w:p>
        </w:tc>
        <w:tc>
          <w:tcPr/>
          <w:p>
            <w:pPr>
              <w:pStyle w:val="Compact"/>
              <w:jc w:val="left"/>
            </w:pPr>
            <w:r>
              <w:t xml:space="preserve">Yes</w:t>
            </w:r>
          </w:p>
        </w:tc>
      </w:tr>
      <w:tr>
        <w:tc>
          <w:tcPr/>
          <w:p>
            <w:pPr>
              <w:pStyle w:val="Compact"/>
              <w:jc w:val="left"/>
            </w:pPr>
            <w:r>
              <w:t xml:space="preserve">D-35</w:t>
            </w:r>
          </w:p>
        </w:tc>
        <w:tc>
          <w:tcPr/>
          <w:p>
            <w:pPr>
              <w:pStyle w:val="Compact"/>
              <w:jc w:val="left"/>
            </w:pPr>
            <w:r>
              <w:t xml:space="preserve">Cloud Run instance ceiling of 127 across the workload subnet, of which 90 are allocated to the Day-1 services</w:t>
            </w:r>
          </w:p>
        </w:tc>
        <w:tc>
          <w:tcPr/>
          <w:p>
            <w:pPr>
              <w:pStyle w:val="Compact"/>
              <w:jc w:val="left"/>
            </w:pPr>
            <w:r>
              <w:t xml:space="preserve">508 usable addresses in</w:t>
            </w:r>
            <w:r>
              <w:t xml:space="preserve"> </w:t>
            </w:r>
            <w:r>
              <w:rPr>
                <w:rStyle w:val="VerbatimChar"/>
              </w:rPr>
              <w:t xml:space="preserve">192.168.4.0/23</w:t>
            </w:r>
            <w:r>
              <w:t xml:space="preserve">, divided by a 4× rollout-peak multiplier — a hard consequence of the address plan, not a policy choice</w:t>
            </w:r>
          </w:p>
        </w:tc>
        <w:tc>
          <w:tcPr/>
          <w:p>
            <w:pPr>
              <w:pStyle w:val="Compact"/>
              <w:jc w:val="left"/>
            </w:pPr>
            <w:r>
              <w:t xml:space="preserve">Only by adding a separate workload subnet —</w:t>
            </w:r>
            <w:r>
              <w:t xml:space="preserve"> </w:t>
            </w:r>
            <w:r>
              <w:rPr>
                <w:rStyle w:val="VerbatimChar"/>
              </w:rPr>
              <w:t xml:space="preserve">gclt-aicoe-dev-cloudrun-ew1</w:t>
            </w:r>
            <w:r>
              <w:t xml:space="preserve"> </w:t>
            </w:r>
            <w:r>
              <w:t xml:space="preserve">cannot be expanded in place — for which</w:t>
            </w:r>
            <w:r>
              <w:t xml:space="preserve"> </w:t>
            </w:r>
            <w:r>
              <w:rPr>
                <w:rStyle w:val="VerbatimChar"/>
              </w:rPr>
              <w:t xml:space="preserve">192.168.7.0/24</w:t>
            </w:r>
            <w:r>
              <w:t xml:space="preserve"> </w:t>
            </w:r>
            <w:r>
              <w:t xml:space="preserve">is held</w:t>
            </w:r>
          </w:p>
        </w:tc>
      </w:tr>
      <w:tr>
        <w:tc>
          <w:tcPr/>
          <w:p>
            <w:pPr>
              <w:pStyle w:val="Compact"/>
              <w:jc w:val="left"/>
            </w:pPr>
            <w:r>
              <w:t xml:space="preserve">D-36</w:t>
            </w:r>
          </w:p>
        </w:tc>
        <w:tc>
          <w:tcPr/>
          <w:p>
            <w:pPr>
              <w:pStyle w:val="Compact"/>
              <w:jc w:val="left"/>
            </w:pPr>
            <w:r>
              <w:t xml:space="preserve">Backend services live with their Cloud Run service, in the workload project, not in the ingress project</w:t>
            </w:r>
          </w:p>
        </w:tc>
        <w:tc>
          <w:tcPr/>
          <w:p>
            <w:pPr>
              <w:pStyle w:val="Compact"/>
              <w:jc w:val="left"/>
            </w:pPr>
            <w:r>
              <w:t xml:space="preserve">A serverless NEG must be in the same project as the Cloud Run service it points at; this is what forces cross-project service referencing</w:t>
            </w:r>
          </w:p>
        </w:tc>
        <w:tc>
          <w:tcPr/>
          <w:p>
            <w:pPr>
              <w:pStyle w:val="Compact"/>
              <w:jc w:val="left"/>
            </w:pPr>
            <w:r>
              <w:t xml:space="preserve">No — platform constraint</w:t>
            </w:r>
          </w:p>
        </w:tc>
      </w:tr>
      <w:tr>
        <w:tc>
          <w:tcPr/>
          <w:p>
            <w:pPr>
              <w:pStyle w:val="Compact"/>
              <w:jc w:val="left"/>
            </w:pPr>
            <w:r>
              <w:t xml:space="preserve">D-37</w:t>
            </w:r>
          </w:p>
        </w:tc>
        <w:tc>
          <w:tcPr/>
          <w:p>
            <w:pPr>
              <w:pStyle w:val="Compact"/>
              <w:jc w:val="left"/>
            </w:pPr>
            <w:r>
              <w:t xml:space="preserve">Binary Authorization enforced with no exempt images, and the signing identity differs from the deploying identity</w:t>
            </w:r>
          </w:p>
        </w:tc>
        <w:tc>
          <w:tcPr/>
          <w:p>
            <w:pPr>
              <w:pStyle w:val="Compact"/>
              <w:jc w:val="left"/>
            </w:pPr>
            <w:r>
              <w:t xml:space="preserve">If the same identity signs and deploys, the control proves nothing</w:t>
            </w:r>
          </w:p>
        </w:tc>
        <w:tc>
          <w:tcPr/>
          <w:p>
            <w:pPr>
              <w:pStyle w:val="Compact"/>
              <w:jc w:val="left"/>
            </w:pPr>
            <w:r>
              <w:t xml:space="preserve">Yes</w:t>
            </w:r>
          </w:p>
        </w:tc>
      </w:tr>
      <w:tr>
        <w:tc>
          <w:tcPr/>
          <w:p>
            <w:pPr>
              <w:pStyle w:val="Compact"/>
              <w:jc w:val="left"/>
            </w:pPr>
            <w:r>
              <w:t xml:space="preserve">D-38</w:t>
            </w:r>
          </w:p>
        </w:tc>
        <w:tc>
          <w:tcPr/>
          <w:p>
            <w:pPr>
              <w:pStyle w:val="Compact"/>
              <w:jc w:val="left"/>
            </w:pPr>
            <w:r>
              <w:t xml:space="preserve">Immutable Artifact Registry tags</w:t>
            </w:r>
          </w:p>
        </w:tc>
        <w:tc>
          <w:tcPr/>
          <w:p>
            <w:pPr>
              <w:pStyle w:val="Compact"/>
              <w:jc w:val="left"/>
            </w:pPr>
            <w:r>
              <w:t xml:space="preserve">Without them, a tag could be repointed at different content after signing, so one image is signed and a different image deployed under the same tag</w:t>
            </w:r>
          </w:p>
        </w:tc>
        <w:tc>
          <w:tcPr/>
          <w:p>
            <w:pPr>
              <w:pStyle w:val="Compact"/>
              <w:jc w:val="left"/>
            </w:pPr>
            <w:r>
              <w:t xml:space="preserve">Set at repository creation</w:t>
            </w:r>
          </w:p>
        </w:tc>
      </w:tr>
      <w:tr>
        <w:tc>
          <w:tcPr/>
          <w:p>
            <w:pPr>
              <w:pStyle w:val="Compact"/>
              <w:jc w:val="left"/>
            </w:pPr>
            <w:r>
              <w:t xml:space="preserve">D-39</w:t>
            </w:r>
          </w:p>
        </w:tc>
        <w:tc>
          <w:tcPr/>
          <w:p>
            <w:pPr>
              <w:pStyle w:val="Compact"/>
              <w:jc w:val="left"/>
            </w:pPr>
            <w:r>
              <w:t xml:space="preserve">Workload Identity Federation binding uses</w:t>
            </w:r>
            <w:r>
              <w:t xml:space="preserve"> </w:t>
            </w:r>
            <w:r>
              <w:rPr>
                <w:rStyle w:val="VerbatimChar"/>
              </w:rPr>
              <w:t xml:space="preserve">principal://</w:t>
            </w:r>
            <w:r>
              <w:t xml:space="preserve">, naming one subject, not</w:t>
            </w:r>
            <w:r>
              <w:t xml:space="preserve"> </w:t>
            </w:r>
            <w:r>
              <w:rPr>
                <w:rStyle w:val="VerbatimChar"/>
              </w:rPr>
              <w:t xml:space="preserve">principalSet://</w:t>
            </w:r>
          </w:p>
        </w:tc>
        <w:tc>
          <w:tcPr/>
          <w:p>
            <w:pPr>
              <w:pStyle w:val="Compact"/>
              <w:jc w:val="left"/>
            </w:pPr>
            <w:r>
              <w:rPr>
                <w:rStyle w:val="VerbatimChar"/>
              </w:rPr>
              <w:t xml:space="preserve">principalSet://</w:t>
            </w:r>
            <w:r>
              <w:t xml:space="preserve"> </w:t>
            </w:r>
            <w:r>
              <w:t xml:space="preserve">widens who may impersonate the account</w:t>
            </w:r>
          </w:p>
        </w:tc>
        <w:tc>
          <w:tcPr/>
          <w:p>
            <w:pPr>
              <w:pStyle w:val="Compact"/>
              <w:jc w:val="left"/>
            </w:pPr>
            <w:r>
              <w:t xml:space="preserve">Yes</w:t>
            </w:r>
          </w:p>
        </w:tc>
      </w:tr>
      <w:tr>
        <w:tc>
          <w:tcPr/>
          <w:p>
            <w:pPr>
              <w:pStyle w:val="Compact"/>
              <w:jc w:val="left"/>
            </w:pPr>
            <w:r>
              <w:t xml:space="preserve">D-40</w:t>
            </w:r>
          </w:p>
        </w:tc>
        <w:tc>
          <w:tcPr/>
          <w:p>
            <w:pPr>
              <w:pStyle w:val="Compact"/>
              <w:jc w:val="left"/>
            </w:pPr>
            <w:r>
              <w:t xml:space="preserve">The GitLab Workload Identity Federation provider carries an attribute condition on</w:t>
            </w:r>
            <w:r>
              <w:t xml:space="preserve"> </w:t>
            </w:r>
            <w:r>
              <w:rPr>
                <w:rStyle w:val="VerbatimChar"/>
              </w:rPr>
              <w:t xml:space="preserve">project_path</w:t>
            </w:r>
            <w:r>
              <w:t xml:space="preserve"> </w:t>
            </w:r>
            <w:r>
              <w:t xml:space="preserve">and</w:t>
            </w:r>
            <w:r>
              <w:t xml:space="preserve"> </w:t>
            </w:r>
            <w:r>
              <w:rPr>
                <w:rStyle w:val="VerbatimChar"/>
              </w:rPr>
              <w:t xml:space="preserve">ref_protected</w:t>
            </w:r>
          </w:p>
        </w:tc>
        <w:tc>
          <w:tcPr/>
          <w:p>
            <w:pPr>
              <w:pStyle w:val="Compact"/>
              <w:jc w:val="left"/>
            </w:pPr>
            <w:r>
              <w:t xml:space="preserve">The pool serves both Development and Production; the condition is the only separation between them, per TR-14</w:t>
            </w:r>
          </w:p>
        </w:tc>
        <w:tc>
          <w:tcPr/>
          <w:p>
            <w:pPr>
              <w:pStyle w:val="Compact"/>
              <w:jc w:val="left"/>
            </w:pPr>
            <w:r>
              <w:t xml:space="preserve">Yes</w:t>
            </w:r>
          </w:p>
        </w:tc>
      </w:tr>
      <w:tr>
        <w:tc>
          <w:tcPr/>
          <w:p>
            <w:pPr>
              <w:pStyle w:val="Compact"/>
              <w:jc w:val="left"/>
            </w:pPr>
            <w:r>
              <w:t xml:space="preserve">D-41</w:t>
            </w:r>
          </w:p>
        </w:tc>
        <w:tc>
          <w:tcPr/>
          <w:p>
            <w:pPr>
              <w:pStyle w:val="Compact"/>
              <w:jc w:val="left"/>
            </w:pPr>
            <w:r>
              <w:rPr>
                <w:rStyle w:val="VerbatimChar"/>
              </w:rPr>
              <w:t xml:space="preserve">aicoe-sharedwif</w:t>
            </w:r>
            <w:r>
              <w:t xml:space="preserve"> </w:t>
            </w:r>
            <w:r>
              <w:t xml:space="preserve">spans Development and Production deliberately, rather than one pool per environment</w:t>
            </w:r>
          </w:p>
        </w:tc>
        <w:tc>
          <w:tcPr/>
          <w:p>
            <w:pPr>
              <w:pStyle w:val="Compact"/>
              <w:jc w:val="left"/>
            </w:pPr>
            <w:r>
              <w:t xml:space="preserve">One shared component to get right, rather than duplicated pools with duplicated drift</w:t>
            </w:r>
          </w:p>
        </w:tc>
        <w:tc>
          <w:tcPr/>
          <w:p>
            <w:pPr>
              <w:pStyle w:val="Compact"/>
              <w:jc w:val="left"/>
            </w:pPr>
            <w:r>
              <w:t xml:space="preserve">Yes, at the cost of rebuilding federation</w:t>
            </w:r>
          </w:p>
        </w:tc>
      </w:tr>
      <w:tr>
        <w:tc>
          <w:tcPr/>
          <w:p>
            <w:pPr>
              <w:pStyle w:val="Compact"/>
              <w:jc w:val="left"/>
            </w:pPr>
            <w:r>
              <w:t xml:space="preserve">D-42</w:t>
            </w:r>
          </w:p>
        </w:tc>
        <w:tc>
          <w:tcPr/>
          <w:p>
            <w:pPr>
              <w:pStyle w:val="Compact"/>
              <w:jc w:val="left"/>
            </w:pPr>
            <w:r>
              <w:t xml:space="preserve">Break-glass model access exists, with no default impersonation rights and an alert on every use</w:t>
            </w:r>
          </w:p>
        </w:tc>
        <w:tc>
          <w:tcPr/>
          <w:p>
            <w:pPr>
              <w:pStyle w:val="Compact"/>
              <w:jc w:val="left"/>
            </w:pPr>
            <w:r>
              <w:t xml:space="preserve">An emergency route nobody notices being used is not a control; making the gateway the only path with none at all is itself the anti-pattern, per BR-19</w:t>
            </w:r>
          </w:p>
        </w:tc>
        <w:tc>
          <w:tcPr/>
          <w:p>
            <w:pPr>
              <w:pStyle w:val="Compact"/>
              <w:jc w:val="left"/>
            </w:pPr>
            <w:r>
              <w:t xml:space="preserve">Yes</w:t>
            </w:r>
          </w:p>
        </w:tc>
      </w:tr>
      <w:tr>
        <w:tc>
          <w:tcPr/>
          <w:p>
            <w:pPr>
              <w:pStyle w:val="Compact"/>
              <w:jc w:val="left"/>
            </w:pPr>
            <w:r>
              <w:t xml:space="preserve">D-43</w:t>
            </w:r>
          </w:p>
        </w:tc>
        <w:tc>
          <w:tcPr/>
          <w:p>
            <w:pPr>
              <w:pStyle w:val="Compact"/>
              <w:jc w:val="left"/>
            </w:pPr>
            <w:r>
              <w:t xml:space="preserve">Terraform restructured into ten numbered stages, replacing an earlier three-layer model</w:t>
            </w:r>
          </w:p>
        </w:tc>
        <w:tc>
          <w:tcPr/>
          <w:p>
            <w:pPr>
              <w:pStyle w:val="Compact"/>
              <w:jc w:val="left"/>
            </w:pPr>
            <w:r>
              <w:t xml:space="preserve">A numbered stage encodes its own apply order; a named layer required the reader to already know the dependency graph, per</w:t>
            </w:r>
            <w:r>
              <w:t xml:space="preserve"> </w:t>
            </w:r>
            <w:r>
              <w:rPr>
                <w:b/>
                <w:bCs/>
              </w:rPr>
              <w:t xml:space="preserve">Rationale for the numbered-stage model</w:t>
            </w:r>
          </w:p>
        </w:tc>
        <w:tc>
          <w:tcPr/>
          <w:p>
            <w:pPr>
              <w:pStyle w:val="Compact"/>
              <w:jc w:val="left"/>
            </w:pPr>
            <w:r>
              <w:t xml:space="preserve">Yes, in principle — expensive once further usecase projects exist</w:t>
            </w:r>
          </w:p>
        </w:tc>
      </w:tr>
      <w:tr>
        <w:tc>
          <w:tcPr/>
          <w:p>
            <w:pPr>
              <w:pStyle w:val="Compact"/>
              <w:jc w:val="left"/>
            </w:pPr>
            <w:r>
              <w:t xml:space="preserve">D-44</w:t>
            </w:r>
          </w:p>
        </w:tc>
        <w:tc>
          <w:tcPr/>
          <w:p>
            <w:pPr>
              <w:pStyle w:val="Compact"/>
              <w:jc w:val="left"/>
            </w:pPr>
            <w:r>
              <w:t xml:space="preserve">Cross-stage handoff by</w:t>
            </w:r>
            <w:r>
              <w:t xml:space="preserve"> </w:t>
            </w:r>
            <w:r>
              <w:rPr>
                <w:rStyle w:val="VerbatimChar"/>
              </w:rPr>
              <w:t xml:space="preserve">.auto.tfvars.json</w:t>
            </w:r>
            <w:r>
              <w:t xml:space="preserve"> </w:t>
            </w:r>
            <w:r>
              <w:t xml:space="preserve">pipeline artifact, not</w:t>
            </w:r>
            <w:r>
              <w:t xml:space="preserve"> </w:t>
            </w:r>
            <w:r>
              <w:rPr>
                <w:rStyle w:val="VerbatimChar"/>
              </w:rPr>
              <w:t xml:space="preserve">terraform_remote_state</w:t>
            </w:r>
          </w:p>
        </w:tc>
        <w:tc>
          <w:tcPr/>
          <w:p>
            <w:pPr>
              <w:pStyle w:val="Compact"/>
              <w:jc w:val="left"/>
            </w:pPr>
            <w:r>
              <w:t xml:space="preserve">A stage’s identity previously needed read access to whichever other stage’s full state it consumed; the artifact handoff means a stage’s identity sees only its own state</w:t>
            </w:r>
          </w:p>
        </w:tc>
        <w:tc>
          <w:tcPr/>
          <w:p>
            <w:pPr>
              <w:pStyle w:val="Compact"/>
              <w:jc w:val="left"/>
            </w:pPr>
            <w:r>
              <w:t xml:space="preserve">Yes</w:t>
            </w:r>
          </w:p>
        </w:tc>
      </w:tr>
      <w:tr>
        <w:tc>
          <w:tcPr/>
          <w:p>
            <w:pPr>
              <w:pStyle w:val="Compact"/>
              <w:jc w:val="left"/>
            </w:pPr>
            <w:r>
              <w:t xml:space="preserve">D-45</w:t>
            </w:r>
          </w:p>
        </w:tc>
        <w:tc>
          <w:tcPr/>
          <w:p>
            <w:pPr>
              <w:pStyle w:val="Compact"/>
              <w:jc w:val="left"/>
            </w:pPr>
            <w:r>
              <w:t xml:space="preserve">Terragrunt, the Fabric FAST framework adopted wholesale, and Terraform Stacks were each considered and not adopted</w:t>
            </w:r>
          </w:p>
        </w:tc>
        <w:tc>
          <w:tcPr/>
          <w:p>
            <w:pPr>
              <w:pStyle w:val="Compact"/>
              <w:jc w:val="left"/>
            </w:pPr>
            <w:r>
              <w:t xml:space="preserve">Terragrunt is an extra dependency and DSL a ten-stage estate does not need. Colt already has its own folder and policy conventions, so only Fabric FAST’s numbering-and-stage-per-state pattern was borrowed, not the framework. Terraform Stacks is native only to HCP Terraform, and Colt runs GitLab CI against Cloud Storage state</w:t>
            </w:r>
          </w:p>
        </w:tc>
        <w:tc>
          <w:tcPr/>
          <w:p>
            <w:pPr>
              <w:pStyle w:val="Compact"/>
              <w:jc w:val="left"/>
            </w:pPr>
            <w:r>
              <w:t xml:space="preserve">Not applicable — a comparison of alternatives, not an in-place setting</w:t>
            </w:r>
          </w:p>
        </w:tc>
      </w:tr>
      <w:tr>
        <w:tc>
          <w:tcPr/>
          <w:p>
            <w:pPr>
              <w:pStyle w:val="Compact"/>
              <w:jc w:val="left"/>
            </w:pPr>
            <w:r>
              <w:t xml:space="preserve">D-46</w:t>
            </w:r>
          </w:p>
        </w:tc>
        <w:tc>
          <w:tcPr/>
          <w:p>
            <w:pPr>
              <w:pStyle w:val="Compact"/>
              <w:jc w:val="left"/>
            </w:pPr>
            <w:r>
              <w:t xml:space="preserve">Bootstrap identity separated into its own manual, one-time stage, against</w:t>
            </w:r>
            <w:r>
              <w:t xml:space="preserve"> </w:t>
            </w:r>
            <w:r>
              <w:rPr>
                <w:rStyle w:val="VerbatimChar"/>
              </w:rPr>
              <w:t xml:space="preserve">aicoe-sharedwif</w:t>
            </w:r>
            <w:r>
              <w:t xml:space="preserve"> </w:t>
            </w:r>
            <w:r>
              <w:t xml:space="preserve">as the seed project</w:t>
            </w:r>
          </w:p>
        </w:tc>
        <w:tc>
          <w:tcPr/>
          <w:p>
            <w:pPr>
              <w:pStyle w:val="Compact"/>
              <w:jc w:val="left"/>
            </w:pPr>
            <w:r>
              <w:t xml:space="preserve">The pipeline cannot create the state bucket and CI identity it needs in order to run; this circularity is why bootstrap cannot be an ordinary pipeline stage</w:t>
            </w:r>
          </w:p>
        </w:tc>
        <w:tc>
          <w:tcPr/>
          <w:p>
            <w:pPr>
              <w:pStyle w:val="Compact"/>
              <w:jc w:val="left"/>
            </w:pPr>
            <w:r>
              <w:t xml:space="preserve">No — foundational to everything else</w:t>
            </w:r>
          </w:p>
        </w:tc>
      </w:tr>
      <w:tr>
        <w:tc>
          <w:tcPr/>
          <w:p>
            <w:pPr>
              <w:pStyle w:val="Compact"/>
              <w:jc w:val="left"/>
            </w:pPr>
            <w:r>
              <w:t xml:space="preserve">D-47</w:t>
            </w:r>
          </w:p>
        </w:tc>
        <w:tc>
          <w:tcPr/>
          <w:p>
            <w:pPr>
              <w:pStyle w:val="Compact"/>
              <w:jc w:val="left"/>
            </w:pPr>
            <w:r>
              <w:t xml:space="preserve">One 400-day user-defined log bucket per environment, fed by folder-level aggregated sinks, with</w:t>
            </w:r>
            <w:r>
              <w:t xml:space="preserve"> </w:t>
            </w:r>
            <w:r>
              <w:rPr>
                <w:rStyle w:val="VerbatimChar"/>
              </w:rPr>
              <w:t xml:space="preserve">_Default</w:t>
            </w:r>
            <w:r>
              <w:t xml:space="preserve"> </w:t>
            </w:r>
            <w:r>
              <w:t xml:space="preserve">left short</w:t>
            </w:r>
          </w:p>
        </w:tc>
        <w:tc>
          <w:tcPr/>
          <w:p>
            <w:pPr>
              <w:pStyle w:val="Compact"/>
              <w:jc w:val="left"/>
            </w:pPr>
            <w:r>
              <w:rPr>
                <w:rStyle w:val="VerbatimChar"/>
              </w:rPr>
              <w:t xml:space="preserve">_Required</w:t>
            </w:r>
            <w:r>
              <w:t xml:space="preserve"> </w:t>
            </w:r>
            <w:r>
              <w:t xml:space="preserve">is fixed and local;</w:t>
            </w:r>
            <w:r>
              <w:t xml:space="preserve"> </w:t>
            </w:r>
            <w:r>
              <w:rPr>
                <w:rStyle w:val="VerbatimChar"/>
              </w:rPr>
              <w:t xml:space="preserve">_Default</w:t>
            </w:r>
            <w:r>
              <w:t xml:space="preserve"> </w:t>
            </w:r>
            <w:r>
              <w:t xml:space="preserve">is per-project and short. Routing to both with long retention bills twice, per</w:t>
            </w:r>
            <w:r>
              <w:t xml:space="preserve"> </w:t>
            </w:r>
            <w:r>
              <w:rPr>
                <w:b/>
                <w:bCs/>
              </w:rPr>
              <w:t xml:space="preserve">Duplicate routing and log storage cost</w:t>
            </w:r>
          </w:p>
        </w:tc>
        <w:tc>
          <w:tcPr/>
          <w:p>
            <w:pPr>
              <w:pStyle w:val="Compact"/>
              <w:jc w:val="left"/>
            </w:pPr>
            <w:r>
              <w:t xml:space="preserve">Yes</w:t>
            </w:r>
          </w:p>
        </w:tc>
      </w:tr>
      <w:tr>
        <w:tc>
          <w:tcPr/>
          <w:p>
            <w:pPr>
              <w:pStyle w:val="Compact"/>
              <w:jc w:val="left"/>
            </w:pPr>
            <w:r>
              <w:t xml:space="preserve">D-48</w:t>
            </w:r>
          </w:p>
        </w:tc>
        <w:tc>
          <w:tcPr/>
          <w:p>
            <w:pPr>
              <w:pStyle w:val="Compact"/>
              <w:jc w:val="left"/>
            </w:pPr>
            <w:r>
              <w:t xml:space="preserve">Log bucket retention lock not applied in Development</w:t>
            </w:r>
          </w:p>
        </w:tc>
        <w:tc>
          <w:tcPr/>
          <w:p>
            <w:pPr>
              <w:pStyle w:val="Compact"/>
              <w:jc w:val="left"/>
            </w:pPr>
            <w:r>
              <w:t xml:space="preserve">Locking is irreversible — a bucket that cannot be deleted for 400 days. Lock in Production, where evidence tampering is the greater risk, per I11</w:t>
            </w:r>
          </w:p>
        </w:tc>
        <w:tc>
          <w:tcPr/>
          <w:p>
            <w:pPr>
              <w:pStyle w:val="Compact"/>
              <w:jc w:val="left"/>
            </w:pPr>
            <w:r>
              <w:t xml:space="preserve">No, once locked. The decision itself is revisited for Production separately</w:t>
            </w:r>
          </w:p>
        </w:tc>
      </w:tr>
      <w:tr>
        <w:tc>
          <w:tcPr/>
          <w:p>
            <w:pPr>
              <w:pStyle w:val="Compact"/>
              <w:jc w:val="left"/>
            </w:pPr>
            <w:r>
              <w:t xml:space="preserve">D-49</w:t>
            </w:r>
          </w:p>
        </w:tc>
        <w:tc>
          <w:tcPr/>
          <w:p>
            <w:pPr>
              <w:pStyle w:val="Compact"/>
              <w:jc w:val="left"/>
            </w:pPr>
            <w:r>
              <w:t xml:space="preserve">The Log Analytics linked dataset used in place of a second BigQuery sink</w:t>
            </w:r>
          </w:p>
        </w:tc>
        <w:tc>
          <w:tcPr/>
          <w:p>
            <w:pPr>
              <w:pStyle w:val="Compact"/>
              <w:jc w:val="left"/>
            </w:pPr>
            <w:r>
              <w:t xml:space="preserve">The linked dataset queries the log bucket in place; a separate sink would be a second stored copy at a second cost</w:t>
            </w:r>
          </w:p>
        </w:tc>
        <w:tc>
          <w:tcPr/>
          <w:p>
            <w:pPr>
              <w:pStyle w:val="Compact"/>
              <w:jc w:val="left"/>
            </w:pPr>
            <w:r>
              <w:t xml:space="preserve">Yes</w:t>
            </w:r>
          </w:p>
        </w:tc>
      </w:tr>
      <w:tr>
        <w:tc>
          <w:tcPr/>
          <w:p>
            <w:pPr>
              <w:pStyle w:val="Compact"/>
              <w:jc w:val="left"/>
            </w:pPr>
            <w:r>
              <w:t xml:space="preserve">D-50</w:t>
            </w:r>
          </w:p>
        </w:tc>
        <w:tc>
          <w:tcPr/>
          <w:p>
            <w:pPr>
              <w:pStyle w:val="Compact"/>
              <w:jc w:val="left"/>
            </w:pPr>
            <w:r>
              <w:t xml:space="preserve">Apigee configuration held in Git; credentials in Secret Manager</w:t>
            </w:r>
          </w:p>
        </w:tc>
        <w:tc>
          <w:tcPr/>
          <w:p>
            <w:pPr>
              <w:pStyle w:val="Compact"/>
              <w:jc w:val="left"/>
            </w:pPr>
            <w:r>
              <w:t xml:space="preserve">Proxy bundles have no Binary Authorization equivalent, so Git is the control. A quota is a financial control and needs a review trail, per</w:t>
            </w:r>
            <w:r>
              <w:t xml:space="preserve"> </w:t>
            </w:r>
            <w:r>
              <w:rPr>
                <w:b/>
                <w:bCs/>
              </w:rPr>
              <w:t xml:space="preserve">Apigee configuration in Git</w:t>
            </w:r>
          </w:p>
        </w:tc>
        <w:tc>
          <w:tcPr/>
          <w:p>
            <w:pPr>
              <w:pStyle w:val="Compact"/>
              <w:jc w:val="left"/>
            </w:pPr>
            <w:r>
              <w:t xml:space="preserve">Yes</w:t>
            </w:r>
          </w:p>
        </w:tc>
      </w:tr>
      <w:tr>
        <w:tc>
          <w:tcPr/>
          <w:p>
            <w:pPr>
              <w:pStyle w:val="Compact"/>
              <w:jc w:val="left"/>
            </w:pPr>
            <w:r>
              <w:t xml:space="preserve">D-51</w:t>
            </w:r>
          </w:p>
        </w:tc>
        <w:tc>
          <w:tcPr/>
          <w:p>
            <w:pPr>
              <w:pStyle w:val="Compact"/>
              <w:jc w:val="left"/>
            </w:pPr>
            <w:r>
              <w:t xml:space="preserve">Cloud NAT and general internet egress not provisioned in Development or Production</w:t>
            </w:r>
          </w:p>
        </w:tc>
        <w:tc>
          <w:tcPr/>
          <w:p>
            <w:pPr>
              <w:pStyle w:val="Compact"/>
              <w:jc w:val="left"/>
            </w:pPr>
            <w:r>
              <w:t xml:space="preserve">Default-deny egress stands; no workload in these environments requires outbound internet access</w:t>
            </w:r>
          </w:p>
        </w:tc>
        <w:tc>
          <w:tcPr/>
          <w:p>
            <w:pPr>
              <w:pStyle w:val="Compact"/>
              <w:jc w:val="left"/>
            </w:pPr>
            <w:r>
              <w:t xml:space="preserve">Yes</w:t>
            </w:r>
          </w:p>
        </w:tc>
      </w:tr>
    </w:tbl>
    <w:p>
      <w:r>
        <w:pict>
          <v:rect style="width:0;height:1.5pt" o:hralign="center" o:hrstd="t" o:hr="t"/>
        </w:pict>
      </w:r>
    </w:p>
    <w:bookmarkEnd w:id="278"/>
    <w:bookmarkStart w:id="281" w:name="naming-standard-and-tagging"/>
    <w:p>
      <w:pPr>
        <w:pStyle w:val="Heading1"/>
      </w:pPr>
      <w:r>
        <w:t xml:space="preserve">16. Naming Standard and Tagging</w:t>
      </w:r>
    </w:p>
    <w:bookmarkStart w:id="279" w:name="naming-convention"/>
    <w:p>
      <w:pPr>
        <w:pStyle w:val="Heading2"/>
      </w:pPr>
      <w:r>
        <w:t xml:space="preserve">16.1 Naming convention</w:t>
      </w:r>
    </w:p>
    <w:p>
      <w:pPr>
        <w:pStyle w:val="FirstParagraph"/>
      </w:pPr>
      <w:r>
        <w:t xml:space="preserve">The prefix</w:t>
      </w:r>
      <w:r>
        <w:t xml:space="preserve"> </w:t>
      </w:r>
      <w:r>
        <w:rPr>
          <w:rStyle w:val="VerbatimChar"/>
        </w:rPr>
        <w:t xml:space="preserve">gclt-aicoe-&lt;env&gt;</w:t>
      </w:r>
      <w:r>
        <w:t xml:space="preserve"> </w:t>
      </w:r>
      <w:r>
        <w:t xml:space="preserve">identifies the organisation, the programme and the environment, where</w:t>
      </w:r>
      <w:r>
        <w:t xml:space="preserve"> </w:t>
      </w:r>
      <w:r>
        <w:rPr>
          <w:rStyle w:val="VerbatimChar"/>
        </w:rPr>
        <w:t xml:space="preserve">&lt;env&gt;</w:t>
      </w:r>
      <w:r>
        <w:t xml:space="preserve"> </w:t>
      </w:r>
      <w:r>
        <w:t xml:space="preserve">is</w:t>
      </w:r>
      <w:r>
        <w:t xml:space="preserve"> </w:t>
      </w:r>
      <w:r>
        <w:rPr>
          <w:rStyle w:val="VerbatimChar"/>
        </w:rPr>
        <w:t xml:space="preserve">dev</w:t>
      </w:r>
      <w:r>
        <w:t xml:space="preserve"> </w:t>
      </w:r>
      <w:r>
        <w:t xml:space="preserve">or</w:t>
      </w:r>
      <w:r>
        <w:t xml:space="preserve"> </w:t>
      </w:r>
      <w:r>
        <w:rPr>
          <w:rStyle w:val="VerbatimChar"/>
        </w:rPr>
        <w:t xml:space="preserve">prod</w:t>
      </w:r>
      <w:r>
        <w:t xml:space="preserve">. Sandbox pre-dates this convention and keeps its own prefix,</w:t>
      </w:r>
      <w:r>
        <w:t xml:space="preserve"> </w:t>
      </w:r>
      <w:r>
        <w:rPr>
          <w:rStyle w:val="VerbatimChar"/>
        </w:rPr>
        <w:t xml:space="preserve">aicoesandox</w:t>
      </w:r>
      <w:r>
        <w:t xml:space="preserve">, per</w:t>
      </w:r>
      <w:r>
        <w:t xml:space="preserve"> </w:t>
      </w:r>
      <w:r>
        <w:rPr>
          <w:b/>
          <w:bCs/>
        </w:rPr>
        <w:t xml:space="preserve">Project namespace</w:t>
      </w:r>
      <w:r>
        <w:t xml:space="preserve">; every Sandbox resource is named</w:t>
      </w:r>
      <w:r>
        <w:t xml:space="preserve"> </w:t>
      </w:r>
      <w:r>
        <w:rPr>
          <w:rStyle w:val="VerbatimChar"/>
        </w:rPr>
        <w:t xml:space="preserve">aicoesandox-&lt;purpose&gt;-&lt;region-short&gt;</w:t>
      </w:r>
      <w:r>
        <w:t xml:space="preserve"> </w:t>
      </w:r>
      <w:r>
        <w:t xml:space="preserve">rather than following the pattern below.</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Resource</w:t>
            </w:r>
          </w:p>
        </w:tc>
        <w:tc>
          <w:tcPr>
            <w:shd w:val="clear" w:color="auto" w:fill="1F3864"/>
          </w:tcPr>
          <w:p>
            <w:pPr>
              <w:pStyle w:val="Compact"/>
              <w:jc w:val="left"/>
            </w:pPr>
            <w:r>
              <w:rPr>
                <w:b/>
                <w:color w:val="FFFFFF"/>
              </w:rPr>
              <w:t xml:space="preserve">Pattern</w:t>
            </w:r>
          </w:p>
        </w:tc>
        <w:tc>
          <w:tcPr>
            <w:shd w:val="clear" w:color="auto" w:fill="1F3864"/>
          </w:tcPr>
          <w:p>
            <w:pPr>
              <w:pStyle w:val="Compact"/>
              <w:jc w:val="left"/>
            </w:pPr>
            <w:r>
              <w:rPr>
                <w:b/>
                <w:color w:val="FFFFFF"/>
              </w:rPr>
              <w:t xml:space="preserve">Development example</w:t>
            </w:r>
          </w:p>
        </w:tc>
      </w:tr>
      <w:tr>
        <w:tc>
          <w:tcPr/>
          <w:p>
            <w:pPr>
              <w:pStyle w:val="Compact"/>
              <w:jc w:val="left"/>
            </w:pPr>
            <w:r>
              <w:t xml:space="preserve">Project</w:t>
            </w:r>
          </w:p>
        </w:tc>
        <w:tc>
          <w:tcPr/>
          <w:p>
            <w:pPr>
              <w:pStyle w:val="Compact"/>
              <w:jc w:val="left"/>
            </w:pPr>
            <w:r>
              <w:rPr>
                <w:rStyle w:val="VerbatimChar"/>
              </w:rPr>
              <w:t xml:space="preserve">gclt-aicoe-&lt;env&gt;-&lt;function&gt;</w:t>
            </w:r>
          </w:p>
        </w:tc>
        <w:tc>
          <w:tcPr/>
          <w:p>
            <w:pPr>
              <w:pStyle w:val="Compact"/>
              <w:jc w:val="left"/>
            </w:pPr>
            <w:r>
              <w:rPr>
                <w:rStyle w:val="VerbatimChar"/>
              </w:rPr>
              <w:t xml:space="preserve">gclt-aicoe-dev-st</w:t>
            </w:r>
          </w:p>
        </w:tc>
      </w:tr>
      <w:tr>
        <w:tc>
          <w:tcPr/>
          <w:p>
            <w:pPr>
              <w:pStyle w:val="Compact"/>
              <w:jc w:val="left"/>
            </w:pPr>
            <w:r>
              <w:t xml:space="preserve">VPC</w:t>
            </w:r>
          </w:p>
        </w:tc>
        <w:tc>
          <w:tcPr/>
          <w:p>
            <w:pPr>
              <w:pStyle w:val="Compact"/>
              <w:jc w:val="left"/>
            </w:pPr>
            <w:r>
              <w:rPr>
                <w:rStyle w:val="VerbatimChar"/>
              </w:rPr>
              <w:t xml:space="preserve">gclt-aicoe-&lt;env&gt;-vpc</w:t>
            </w:r>
          </w:p>
        </w:tc>
        <w:tc>
          <w:tcPr/>
          <w:p>
            <w:pPr>
              <w:pStyle w:val="Compact"/>
              <w:jc w:val="left"/>
            </w:pPr>
            <w:r>
              <w:rPr>
                <w:rStyle w:val="VerbatimChar"/>
              </w:rPr>
              <w:t xml:space="preserve">gclt-aicoe-dev-vpc</w:t>
            </w:r>
          </w:p>
        </w:tc>
      </w:tr>
      <w:tr>
        <w:tc>
          <w:tcPr/>
          <w:p>
            <w:pPr>
              <w:pStyle w:val="Compact"/>
              <w:jc w:val="left"/>
            </w:pPr>
            <w:r>
              <w:t xml:space="preserve">Subnet</w:t>
            </w:r>
          </w:p>
        </w:tc>
        <w:tc>
          <w:tcPr/>
          <w:p>
            <w:pPr>
              <w:pStyle w:val="Compact"/>
              <w:jc w:val="left"/>
            </w:pPr>
            <w:r>
              <w:rPr>
                <w:rStyle w:val="VerbatimChar"/>
              </w:rPr>
              <w:t xml:space="preserve">gclt-aicoe-&lt;env&gt;-&lt;purpose&gt;-&lt;region-short&gt;</w:t>
            </w:r>
          </w:p>
        </w:tc>
        <w:tc>
          <w:tcPr/>
          <w:p>
            <w:pPr>
              <w:pStyle w:val="Compact"/>
              <w:jc w:val="left"/>
            </w:pPr>
            <w:r>
              <w:rPr>
                <w:rStyle w:val="VerbatimChar"/>
              </w:rPr>
              <w:t xml:space="preserve">gclt-aicoe-dev-cloudrun-ew1</w:t>
            </w:r>
          </w:p>
        </w:tc>
      </w:tr>
      <w:tr>
        <w:tc>
          <w:tcPr/>
          <w:p>
            <w:pPr>
              <w:pStyle w:val="Compact"/>
              <w:jc w:val="left"/>
            </w:pPr>
            <w:r>
              <w:t xml:space="preserve">Reserved address</w:t>
            </w:r>
          </w:p>
        </w:tc>
        <w:tc>
          <w:tcPr/>
          <w:p>
            <w:pPr>
              <w:pStyle w:val="Compact"/>
              <w:jc w:val="left"/>
            </w:pPr>
            <w:r>
              <w:rPr>
                <w:rStyle w:val="VerbatimChar"/>
              </w:rPr>
              <w:t xml:space="preserve">&lt;purpose&gt;-&lt;type&gt;</w:t>
            </w:r>
          </w:p>
        </w:tc>
        <w:tc>
          <w:tcPr/>
          <w:p>
            <w:pPr>
              <w:pStyle w:val="Compact"/>
              <w:jc w:val="left"/>
            </w:pPr>
            <w:r>
              <w:rPr>
                <w:rStyle w:val="VerbatimChar"/>
              </w:rPr>
              <w:t xml:space="preserve">aihub-ilb-vip</w:t>
            </w:r>
            <w:r>
              <w:t xml:space="preserve">,</w:t>
            </w:r>
            <w:r>
              <w:t xml:space="preserve"> </w:t>
            </w:r>
            <w:r>
              <w:rPr>
                <w:rStyle w:val="VerbatimChar"/>
              </w:rPr>
              <w:t xml:space="preserve">backend-ilb-vip</w:t>
            </w:r>
          </w:p>
        </w:tc>
      </w:tr>
      <w:tr>
        <w:tc>
          <w:tcPr/>
          <w:p>
            <w:pPr>
              <w:pStyle w:val="Compact"/>
              <w:jc w:val="left"/>
            </w:pPr>
            <w:r>
              <w:t xml:space="preserve">Firewall rule</w:t>
            </w:r>
          </w:p>
        </w:tc>
        <w:tc>
          <w:tcPr/>
          <w:p>
            <w:pPr>
              <w:pStyle w:val="Compact"/>
              <w:jc w:val="left"/>
            </w:pPr>
            <w:r>
              <w:rPr>
                <w:rStyle w:val="VerbatimChar"/>
              </w:rPr>
              <w:t xml:space="preserve">&lt;direction&gt;-&lt;action&gt;-&lt;scope&gt;</w:t>
            </w:r>
          </w:p>
        </w:tc>
        <w:tc>
          <w:tcPr/>
          <w:p>
            <w:pPr>
              <w:pStyle w:val="Compact"/>
              <w:jc w:val="left"/>
            </w:pPr>
            <w:r>
              <w:rPr>
                <w:rStyle w:val="VerbatimChar"/>
              </w:rPr>
              <w:t xml:space="preserve">egress-deny-all</w:t>
            </w:r>
            <w:r>
              <w:t xml:space="preserve">,</w:t>
            </w:r>
            <w:r>
              <w:t xml:space="preserve"> </w:t>
            </w:r>
            <w:r>
              <w:rPr>
                <w:rStyle w:val="VerbatimChar"/>
              </w:rPr>
              <w:t xml:space="preserve">egress-allow-psc</w:t>
            </w:r>
          </w:p>
        </w:tc>
      </w:tr>
      <w:tr>
        <w:tc>
          <w:tcPr/>
          <w:p>
            <w:pPr>
              <w:pStyle w:val="Compact"/>
              <w:jc w:val="left"/>
            </w:pPr>
            <w:r>
              <w:t xml:space="preserve">Private DNS zone</w:t>
            </w:r>
          </w:p>
        </w:tc>
        <w:tc>
          <w:tcPr/>
          <w:p>
            <w:pPr>
              <w:pStyle w:val="Compact"/>
              <w:jc w:val="left"/>
            </w:pPr>
            <w:r>
              <w:rPr>
                <w:rStyle w:val="VerbatimChar"/>
              </w:rPr>
              <w:t xml:space="preserve">&lt;purpose&gt;</w:t>
            </w:r>
          </w:p>
        </w:tc>
        <w:tc>
          <w:tcPr/>
          <w:p>
            <w:pPr>
              <w:pStyle w:val="Compact"/>
              <w:jc w:val="left"/>
            </w:pPr>
            <w:r>
              <w:rPr>
                <w:rStyle w:val="VerbatimChar"/>
              </w:rPr>
              <w:t xml:space="preserve">aicoe-dev-int</w:t>
            </w:r>
            <w:r>
              <w:t xml:space="preserve">,</w:t>
            </w:r>
            <w:r>
              <w:t xml:space="preserve"> </w:t>
            </w:r>
            <w:r>
              <w:rPr>
                <w:rStyle w:val="VerbatimChar"/>
              </w:rPr>
              <w:t xml:space="preserve">googleapis-private</w:t>
            </w:r>
            <w:r>
              <w:t xml:space="preserve">,</w:t>
            </w:r>
            <w:r>
              <w:t xml:space="preserve"> </w:t>
            </w:r>
            <w:r>
              <w:rPr>
                <w:rStyle w:val="VerbatimChar"/>
              </w:rPr>
              <w:t xml:space="preserve">run-app-private</w:t>
            </w:r>
          </w:p>
        </w:tc>
      </w:tr>
      <w:tr>
        <w:tc>
          <w:tcPr/>
          <w:p>
            <w:pPr>
              <w:pStyle w:val="Compact"/>
              <w:jc w:val="left"/>
            </w:pPr>
            <w:r>
              <w:t xml:space="preserve">Backend service</w:t>
            </w:r>
          </w:p>
        </w:tc>
        <w:tc>
          <w:tcPr/>
          <w:p>
            <w:pPr>
              <w:pStyle w:val="Compact"/>
              <w:jc w:val="left"/>
            </w:pPr>
            <w:r>
              <w:rPr>
                <w:rStyle w:val="VerbatimChar"/>
              </w:rPr>
              <w:t xml:space="preserve">bs-&lt;service&gt;</w:t>
            </w:r>
          </w:p>
        </w:tc>
        <w:tc>
          <w:tcPr/>
          <w:p>
            <w:pPr>
              <w:pStyle w:val="Compact"/>
              <w:jc w:val="left"/>
            </w:pPr>
            <w:r>
              <w:rPr>
                <w:rStyle w:val="VerbatimChar"/>
              </w:rPr>
              <w:t xml:space="preserve">bs-aihub-bff</w:t>
            </w:r>
            <w:r>
              <w:t xml:space="preserve">,</w:t>
            </w:r>
            <w:r>
              <w:t xml:space="preserve"> </w:t>
            </w:r>
            <w:r>
              <w:rPr>
                <w:rStyle w:val="VerbatimChar"/>
              </w:rPr>
              <w:t xml:space="preserve">bs-translation</w:t>
            </w:r>
            <w:r>
              <w:t xml:space="preserve">,</w:t>
            </w:r>
            <w:r>
              <w:t xml:space="preserve"> </w:t>
            </w:r>
            <w:r>
              <w:rPr>
                <w:rStyle w:val="VerbatimChar"/>
              </w:rPr>
              <w:t xml:space="preserve">bs-sales</w:t>
            </w:r>
          </w:p>
        </w:tc>
      </w:tr>
      <w:tr>
        <w:tc>
          <w:tcPr/>
          <w:p>
            <w:pPr>
              <w:pStyle w:val="Compact"/>
              <w:jc w:val="left"/>
            </w:pPr>
            <w:r>
              <w:t xml:space="preserve">Serverless NEG</w:t>
            </w:r>
          </w:p>
        </w:tc>
        <w:tc>
          <w:tcPr/>
          <w:p>
            <w:pPr>
              <w:pStyle w:val="Compact"/>
              <w:jc w:val="left"/>
            </w:pPr>
            <w:r>
              <w:rPr>
                <w:rStyle w:val="VerbatimChar"/>
              </w:rPr>
              <w:t xml:space="preserve">neg-&lt;service&gt;</w:t>
            </w:r>
          </w:p>
        </w:tc>
        <w:tc>
          <w:tcPr/>
          <w:p>
            <w:pPr>
              <w:pStyle w:val="Compact"/>
              <w:jc w:val="left"/>
            </w:pPr>
            <w:r>
              <w:rPr>
                <w:rStyle w:val="VerbatimChar"/>
              </w:rPr>
              <w:t xml:space="preserve">neg-aihub-bff</w:t>
            </w:r>
          </w:p>
        </w:tc>
      </w:tr>
      <w:tr>
        <w:tc>
          <w:tcPr/>
          <w:p>
            <w:pPr>
              <w:pStyle w:val="Compact"/>
              <w:jc w:val="left"/>
            </w:pPr>
            <w:r>
              <w:t xml:space="preserve">Cloud Run service</w:t>
            </w:r>
          </w:p>
        </w:tc>
        <w:tc>
          <w:tcPr/>
          <w:p>
            <w:pPr>
              <w:pStyle w:val="Compact"/>
              <w:jc w:val="left"/>
            </w:pPr>
            <w:r>
              <w:rPr>
                <w:rStyle w:val="VerbatimChar"/>
              </w:rPr>
              <w:t xml:space="preserve">&lt;function&gt;</w:t>
            </w:r>
            <w:r>
              <w:t xml:space="preserve"> </w:t>
            </w:r>
            <w:r>
              <w:t xml:space="preserve">or</w:t>
            </w:r>
            <w:r>
              <w:t xml:space="preserve"> </w:t>
            </w:r>
            <w:r>
              <w:rPr>
                <w:rStyle w:val="VerbatimChar"/>
              </w:rPr>
              <w:t xml:space="preserve">&lt;function&gt;-&lt;type&gt;</w:t>
            </w:r>
          </w:p>
        </w:tc>
        <w:tc>
          <w:tcPr/>
          <w:p>
            <w:pPr>
              <w:pStyle w:val="Compact"/>
              <w:jc w:val="left"/>
            </w:pPr>
            <w:r>
              <w:rPr>
                <w:rStyle w:val="VerbatimChar"/>
              </w:rPr>
              <w:t xml:space="preserve">aihub-bff</w:t>
            </w:r>
            <w:r>
              <w:t xml:space="preserve">,</w:t>
            </w:r>
            <w:r>
              <w:t xml:space="preserve"> </w:t>
            </w:r>
            <w:r>
              <w:rPr>
                <w:rStyle w:val="VerbatimChar"/>
              </w:rPr>
              <w:t xml:space="preserve">translation-api-service</w:t>
            </w:r>
            <w:r>
              <w:t xml:space="preserve">,</w:t>
            </w:r>
            <w:r>
              <w:t xml:space="preserve"> </w:t>
            </w:r>
            <w:r>
              <w:rPr>
                <w:rStyle w:val="VerbatimChar"/>
              </w:rPr>
              <w:t xml:space="preserve">sales-research-application</w:t>
            </w:r>
          </w:p>
        </w:tc>
      </w:tr>
      <w:tr>
        <w:tc>
          <w:tcPr/>
          <w:p>
            <w:pPr>
              <w:pStyle w:val="Compact"/>
              <w:jc w:val="left"/>
            </w:pPr>
            <w:r>
              <w:t xml:space="preserve">Service account</w:t>
            </w:r>
          </w:p>
        </w:tc>
        <w:tc>
          <w:tcPr/>
          <w:p>
            <w:pPr>
              <w:pStyle w:val="Compact"/>
              <w:jc w:val="left"/>
            </w:pPr>
            <w:r>
              <w:rPr>
                <w:rStyle w:val="VerbatimChar"/>
              </w:rPr>
              <w:t xml:space="preserve">&lt;function&gt;-&lt;role&gt;</w:t>
            </w:r>
            <w:r>
              <w:t xml:space="preserve"> </w:t>
            </w:r>
            <w:r>
              <w:t xml:space="preserve">or</w:t>
            </w:r>
            <w:r>
              <w:t xml:space="preserve"> </w:t>
            </w:r>
            <w:r>
              <w:rPr>
                <w:rStyle w:val="VerbatimChar"/>
              </w:rPr>
              <w:t xml:space="preserve">&lt;function&gt;-sa</w:t>
            </w:r>
          </w:p>
        </w:tc>
        <w:tc>
          <w:tcPr/>
          <w:p>
            <w:pPr>
              <w:pStyle w:val="Compact"/>
              <w:jc w:val="left"/>
            </w:pPr>
            <w:r>
              <w:rPr>
                <w:rStyle w:val="VerbatimChar"/>
              </w:rPr>
              <w:t xml:space="preserve">apigee-int-runtime</w:t>
            </w:r>
            <w:r>
              <w:t xml:space="preserve">,</w:t>
            </w:r>
            <w:r>
              <w:t xml:space="preserve"> </w:t>
            </w:r>
            <w:r>
              <w:rPr>
                <w:rStyle w:val="VerbatimChar"/>
              </w:rPr>
              <w:t xml:space="preserve">aihub-bff-sa</w:t>
            </w:r>
            <w:r>
              <w:t xml:space="preserve">,</w:t>
            </w:r>
            <w:r>
              <w:t xml:space="preserve"> </w:t>
            </w:r>
            <w:r>
              <w:rPr>
                <w:rStyle w:val="VerbatimChar"/>
              </w:rPr>
              <w:t xml:space="preserve">tf-deployer</w:t>
            </w:r>
          </w:p>
        </w:tc>
      </w:tr>
      <w:tr>
        <w:tc>
          <w:tcPr/>
          <w:p>
            <w:pPr>
              <w:pStyle w:val="Compact"/>
              <w:jc w:val="left"/>
            </w:pPr>
            <w:r>
              <w:t xml:space="preserve">KMS key ring</w:t>
            </w:r>
          </w:p>
        </w:tc>
        <w:tc>
          <w:tcPr/>
          <w:p>
            <w:pPr>
              <w:pStyle w:val="Compact"/>
              <w:jc w:val="left"/>
            </w:pPr>
            <w:r>
              <w:rPr>
                <w:rStyle w:val="VerbatimChar"/>
              </w:rPr>
              <w:t xml:space="preserve">&lt;scope&gt;</w:t>
            </w:r>
          </w:p>
        </w:tc>
        <w:tc>
          <w:tcPr/>
          <w:p>
            <w:pPr>
              <w:pStyle w:val="Compact"/>
              <w:jc w:val="left"/>
            </w:pPr>
            <w:r>
              <w:rPr>
                <w:rStyle w:val="VerbatimChar"/>
              </w:rPr>
              <w:t xml:space="preserve">apigee</w:t>
            </w:r>
            <w:r>
              <w:t xml:space="preserve">,</w:t>
            </w:r>
            <w:r>
              <w:t xml:space="preserve"> </w:t>
            </w:r>
            <w:r>
              <w:rPr>
                <w:rStyle w:val="VerbatimChar"/>
              </w:rPr>
              <w:t xml:space="preserve">logs</w:t>
            </w:r>
            <w:r>
              <w:t xml:space="preserve">,</w:t>
            </w:r>
            <w:r>
              <w:t xml:space="preserve"> </w:t>
            </w:r>
            <w:r>
              <w:rPr>
                <w:rStyle w:val="VerbatimChar"/>
              </w:rPr>
              <w:t xml:space="preserve">st</w:t>
            </w:r>
            <w:r>
              <w:t xml:space="preserve">,</w:t>
            </w:r>
            <w:r>
              <w:t xml:space="preserve"> </w:t>
            </w:r>
            <w:r>
              <w:rPr>
                <w:rStyle w:val="VerbatimChar"/>
              </w:rPr>
              <w:t xml:space="preserve">aihub</w:t>
            </w:r>
            <w:r>
              <w:t xml:space="preserve">,</w:t>
            </w:r>
            <w:r>
              <w:t xml:space="preserve"> </w:t>
            </w:r>
            <w:r>
              <w:rPr>
                <w:rStyle w:val="VerbatimChar"/>
              </w:rPr>
              <w:t xml:space="preserve">llm</w:t>
            </w:r>
            <w:r>
              <w:t xml:space="preserve">,</w:t>
            </w:r>
            <w:r>
              <w:t xml:space="preserve"> </w:t>
            </w:r>
            <w:r>
              <w:rPr>
                <w:rStyle w:val="VerbatimChar"/>
              </w:rPr>
              <w:t xml:space="preserve">ingress</w:t>
            </w:r>
          </w:p>
        </w:tc>
      </w:tr>
      <w:tr>
        <w:tc>
          <w:tcPr/>
          <w:p>
            <w:pPr>
              <w:pStyle w:val="Compact"/>
              <w:jc w:val="left"/>
            </w:pPr>
            <w:r>
              <w:t xml:space="preserve">KMS key</w:t>
            </w:r>
          </w:p>
        </w:tc>
        <w:tc>
          <w:tcPr/>
          <w:p>
            <w:pPr>
              <w:pStyle w:val="Compact"/>
              <w:jc w:val="left"/>
            </w:pPr>
            <w:r>
              <w:rPr>
                <w:rStyle w:val="VerbatimChar"/>
              </w:rPr>
              <w:t xml:space="preserve">&lt;protected-thing&gt;</w:t>
            </w:r>
          </w:p>
        </w:tc>
        <w:tc>
          <w:tcPr/>
          <w:p>
            <w:pPr>
              <w:pStyle w:val="Compact"/>
              <w:jc w:val="left"/>
            </w:pPr>
            <w:r>
              <w:rPr>
                <w:rStyle w:val="VerbatimChar"/>
              </w:rPr>
              <w:t xml:space="preserve">runtime-db</w:t>
            </w:r>
            <w:r>
              <w:t xml:space="preserve">,</w:t>
            </w:r>
            <w:r>
              <w:t xml:space="preserve"> </w:t>
            </w:r>
            <w:r>
              <w:rPr>
                <w:rStyle w:val="VerbatimChar"/>
              </w:rPr>
              <w:t xml:space="preserve">log-bucket</w:t>
            </w:r>
            <w:r>
              <w:t xml:space="preserve">,</w:t>
            </w:r>
            <w:r>
              <w:t xml:space="preserve"> </w:t>
            </w:r>
            <w:r>
              <w:rPr>
                <w:rStyle w:val="VerbatimChar"/>
              </w:rPr>
              <w:t xml:space="preserve">app-gcs</w:t>
            </w:r>
            <w:r>
              <w:t xml:space="preserve">,</w:t>
            </w:r>
            <w:r>
              <w:t xml:space="preserve"> </w:t>
            </w:r>
            <w:r>
              <w:rPr>
                <w:rStyle w:val="VerbatimChar"/>
              </w:rPr>
              <w:t xml:space="preserve">attestor-signing</w:t>
            </w:r>
            <w:r>
              <w:t xml:space="preserve">,</w:t>
            </w:r>
            <w:r>
              <w:t xml:space="preserve"> </w:t>
            </w:r>
            <w:r>
              <w:rPr>
                <w:rStyle w:val="VerbatimChar"/>
              </w:rPr>
              <w:t xml:space="preserve">tfstate</w:t>
            </w:r>
          </w:p>
        </w:tc>
      </w:tr>
      <w:tr>
        <w:tc>
          <w:tcPr/>
          <w:p>
            <w:pPr>
              <w:pStyle w:val="Compact"/>
              <w:jc w:val="left"/>
            </w:pPr>
            <w:r>
              <w:t xml:space="preserve">Log bucket</w:t>
            </w:r>
          </w:p>
        </w:tc>
        <w:tc>
          <w:tcPr/>
          <w:p>
            <w:pPr>
              <w:pStyle w:val="Compact"/>
              <w:jc w:val="left"/>
            </w:pPr>
            <w:r>
              <w:rPr>
                <w:rStyle w:val="VerbatimChar"/>
              </w:rPr>
              <w:t xml:space="preserve">aicoe-&lt;env&gt;-logs-&lt;retention&gt;</w:t>
            </w:r>
          </w:p>
        </w:tc>
        <w:tc>
          <w:tcPr/>
          <w:p>
            <w:pPr>
              <w:pStyle w:val="Compact"/>
              <w:jc w:val="left"/>
            </w:pPr>
            <w:r>
              <w:rPr>
                <w:rStyle w:val="VerbatimChar"/>
              </w:rPr>
              <w:t xml:space="preserve">aicoe-dev-logs-400d</w:t>
            </w:r>
          </w:p>
        </w:tc>
      </w:tr>
      <w:tr>
        <w:tc>
          <w:tcPr/>
          <w:p>
            <w:pPr>
              <w:pStyle w:val="Compact"/>
              <w:jc w:val="left"/>
            </w:pPr>
            <w:r>
              <w:t xml:space="preserve">Log sink</w:t>
            </w:r>
          </w:p>
        </w:tc>
        <w:tc>
          <w:tcPr/>
          <w:p>
            <w:pPr>
              <w:pStyle w:val="Compact"/>
              <w:jc w:val="left"/>
            </w:pPr>
            <w:r>
              <w:rPr>
                <w:rStyle w:val="VerbatimChar"/>
              </w:rPr>
              <w:t xml:space="preserve">aicoe-&lt;destination&gt;</w:t>
            </w:r>
          </w:p>
        </w:tc>
        <w:tc>
          <w:tcPr/>
          <w:p>
            <w:pPr>
              <w:pStyle w:val="Compact"/>
              <w:jc w:val="left"/>
            </w:pPr>
            <w:r>
              <w:rPr>
                <w:rStyle w:val="VerbatimChar"/>
              </w:rPr>
              <w:t xml:space="preserve">aicoe-400d</w:t>
            </w:r>
            <w:r>
              <w:t xml:space="preserve">,</w:t>
            </w:r>
            <w:r>
              <w:t xml:space="preserve"> </w:t>
            </w:r>
            <w:r>
              <w:rPr>
                <w:rStyle w:val="VerbatimChar"/>
              </w:rPr>
              <w:t xml:space="preserve">aicoe-to-org</w:t>
            </w:r>
            <w:r>
              <w:t xml:space="preserve">,</w:t>
            </w:r>
            <w:r>
              <w:t xml:space="preserve"> </w:t>
            </w:r>
            <w:r>
              <w:rPr>
                <w:rStyle w:val="VerbatimChar"/>
              </w:rPr>
              <w:t xml:space="preserve">aicoe-siem</w:t>
            </w:r>
          </w:p>
        </w:tc>
      </w:tr>
      <w:tr>
        <w:tc>
          <w:tcPr/>
          <w:p>
            <w:pPr>
              <w:pStyle w:val="Compact"/>
              <w:jc w:val="left"/>
            </w:pPr>
            <w:r>
              <w:t xml:space="preserve">Log-based metric</w:t>
            </w:r>
          </w:p>
        </w:tc>
        <w:tc>
          <w:tcPr/>
          <w:p>
            <w:pPr>
              <w:pStyle w:val="Compact"/>
              <w:jc w:val="left"/>
            </w:pPr>
            <w:r>
              <w:rPr>
                <w:rStyle w:val="VerbatimChar"/>
              </w:rPr>
              <w:t xml:space="preserve">&lt;subject&gt;-&lt;condition&gt;</w:t>
            </w:r>
          </w:p>
        </w:tc>
        <w:tc>
          <w:tcPr/>
          <w:p>
            <w:pPr>
              <w:pStyle w:val="Compact"/>
              <w:jc w:val="left"/>
            </w:pPr>
            <w:r>
              <w:rPr>
                <w:rStyle w:val="VerbatimChar"/>
              </w:rPr>
              <w:t xml:space="preserve">breakglass-used</w:t>
            </w:r>
            <w:r>
              <w:t xml:space="preserve">,</w:t>
            </w:r>
            <w:r>
              <w:t xml:space="preserve"> </w:t>
            </w:r>
            <w:r>
              <w:rPr>
                <w:rStyle w:val="VerbatimChar"/>
              </w:rPr>
              <w:t xml:space="preserve">apigee-deploy-by-human</w:t>
            </w:r>
            <w:r>
              <w:t xml:space="preserve">,</w:t>
            </w:r>
            <w:r>
              <w:t xml:space="preserve"> </w:t>
            </w:r>
            <w:r>
              <w:rPr>
                <w:rStyle w:val="VerbatimChar"/>
              </w:rPr>
              <w:t xml:space="preserve">audit-config-change</w:t>
            </w:r>
          </w:p>
        </w:tc>
      </w:tr>
      <w:tr>
        <w:tc>
          <w:tcPr/>
          <w:p>
            <w:pPr>
              <w:pStyle w:val="Compact"/>
              <w:jc w:val="left"/>
            </w:pPr>
            <w:r>
              <w:t xml:space="preserve">GCS bucket</w:t>
            </w:r>
          </w:p>
        </w:tc>
        <w:tc>
          <w:tcPr/>
          <w:p>
            <w:pPr>
              <w:pStyle w:val="Compact"/>
              <w:jc w:val="left"/>
            </w:pPr>
            <w:r>
              <w:rPr>
                <w:rStyle w:val="VerbatimChar"/>
              </w:rPr>
              <w:t xml:space="preserve">&lt;project-id&gt;-&lt;purpose&gt;</w:t>
            </w:r>
          </w:p>
        </w:tc>
        <w:tc>
          <w:tcPr/>
          <w:p>
            <w:pPr>
              <w:pStyle w:val="Compact"/>
              <w:jc w:val="left"/>
            </w:pPr>
            <w:r>
              <w:rPr>
                <w:rStyle w:val="VerbatimChar"/>
              </w:rPr>
              <w:t xml:space="preserve">gclt-aicoe-dev-st-documents</w:t>
            </w:r>
          </w:p>
        </w:tc>
      </w:tr>
      <w:tr>
        <w:tc>
          <w:tcPr/>
          <w:p>
            <w:pPr>
              <w:pStyle w:val="Compact"/>
              <w:jc w:val="left"/>
            </w:pPr>
            <w:r>
              <w:t xml:space="preserve">BigQuery dataset</w:t>
            </w:r>
          </w:p>
        </w:tc>
        <w:tc>
          <w:tcPr/>
          <w:p>
            <w:pPr>
              <w:pStyle w:val="Compact"/>
              <w:jc w:val="left"/>
            </w:pPr>
            <w:r>
              <w:rPr>
                <w:rStyle w:val="VerbatimChar"/>
              </w:rPr>
              <w:t xml:space="preserve">aicoe_&lt;purpose&gt;</w:t>
            </w:r>
            <w:r>
              <w:t xml:space="preserve"> </w:t>
            </w:r>
            <w:r>
              <w:t xml:space="preserve">— underscores only</w:t>
            </w:r>
          </w:p>
        </w:tc>
        <w:tc>
          <w:tcPr/>
          <w:p>
            <w:pPr>
              <w:pStyle w:val="Compact"/>
              <w:jc w:val="left"/>
            </w:pPr>
            <w:r>
              <w:rPr>
                <w:rStyle w:val="VerbatimChar"/>
              </w:rPr>
              <w:t xml:space="preserve">aicoe_usage</w:t>
            </w:r>
            <w:r>
              <w:t xml:space="preserve">,</w:t>
            </w:r>
            <w:r>
              <w:t xml:space="preserve"> </w:t>
            </w:r>
            <w:r>
              <w:rPr>
                <w:rStyle w:val="VerbatimChar"/>
              </w:rPr>
              <w:t xml:space="preserve">aicoe_dev_logs</w:t>
            </w:r>
          </w:p>
        </w:tc>
      </w:tr>
      <w:tr>
        <w:tc>
          <w:tcPr/>
          <w:p>
            <w:pPr>
              <w:pStyle w:val="Compact"/>
              <w:jc w:val="left"/>
            </w:pPr>
            <w:r>
              <w:t xml:space="preserve">Artifact Registry repository</w:t>
            </w:r>
          </w:p>
        </w:tc>
        <w:tc>
          <w:tcPr/>
          <w:p>
            <w:pPr>
              <w:pStyle w:val="Compact"/>
              <w:jc w:val="left"/>
            </w:pPr>
            <w:r>
              <w:rPr>
                <w:rStyle w:val="VerbatimChar"/>
              </w:rPr>
              <w:t xml:space="preserve">containers</w:t>
            </w:r>
          </w:p>
        </w:tc>
        <w:tc>
          <w:tcPr/>
          <w:p>
            <w:pPr>
              <w:pStyle w:val="Compact"/>
              <w:jc w:val="left"/>
            </w:pPr>
            <w:r>
              <w:rPr>
                <w:rStyle w:val="VerbatimChar"/>
              </w:rPr>
              <w:t xml:space="preserve">containers</w:t>
            </w:r>
          </w:p>
        </w:tc>
      </w:tr>
      <w:tr>
        <w:tc>
          <w:tcPr/>
          <w:p>
            <w:pPr>
              <w:pStyle w:val="Compact"/>
              <w:jc w:val="left"/>
            </w:pPr>
            <w:r>
              <w:t xml:space="preserve">Secret</w:t>
            </w:r>
          </w:p>
        </w:tc>
        <w:tc>
          <w:tcPr/>
          <w:p>
            <w:pPr>
              <w:pStyle w:val="Compact"/>
              <w:jc w:val="left"/>
            </w:pPr>
            <w:r>
              <w:rPr>
                <w:rStyle w:val="VerbatimChar"/>
              </w:rPr>
              <w:t xml:space="preserve">&lt;consumer&gt;-&lt;what&gt;</w:t>
            </w:r>
          </w:p>
        </w:tc>
        <w:tc>
          <w:tcPr/>
          <w:p>
            <w:pPr>
              <w:pStyle w:val="Compact"/>
              <w:jc w:val="left"/>
            </w:pPr>
            <w:r>
              <w:rPr>
                <w:rStyle w:val="VerbatimChar"/>
              </w:rPr>
              <w:t xml:space="preserve">entra-bff-client-secret</w:t>
            </w:r>
            <w:r>
              <w:t xml:space="preserve">,</w:t>
            </w:r>
            <w:r>
              <w:t xml:space="preserve"> </w:t>
            </w:r>
            <w:r>
              <w:rPr>
                <w:rStyle w:val="VerbatimChar"/>
              </w:rPr>
              <w:t xml:space="preserve">apigee-bff-client-key</w:t>
            </w:r>
          </w:p>
        </w:tc>
      </w:tr>
      <w:tr>
        <w:tc>
          <w:tcPr/>
          <w:p>
            <w:pPr>
              <w:pStyle w:val="Compact"/>
              <w:jc w:val="left"/>
            </w:pPr>
            <w:r>
              <w:t xml:space="preserve">Apigee instance</w:t>
            </w:r>
          </w:p>
        </w:tc>
        <w:tc>
          <w:tcPr/>
          <w:p>
            <w:pPr>
              <w:pStyle w:val="Compact"/>
              <w:jc w:val="left"/>
            </w:pPr>
            <w:r>
              <w:rPr>
                <w:rStyle w:val="VerbatimChar"/>
              </w:rPr>
              <w:t xml:space="preserve">aicoe-&lt;env&gt;-&lt;region-short&gt;</w:t>
            </w:r>
          </w:p>
        </w:tc>
        <w:tc>
          <w:tcPr/>
          <w:p>
            <w:pPr>
              <w:pStyle w:val="Compact"/>
              <w:jc w:val="left"/>
            </w:pPr>
            <w:r>
              <w:rPr>
                <w:rStyle w:val="VerbatimChar"/>
              </w:rPr>
              <w:t xml:space="preserve">aicoe-dev-ew1</w:t>
            </w:r>
          </w:p>
        </w:tc>
      </w:tr>
      <w:tr>
        <w:tc>
          <w:tcPr/>
          <w:p>
            <w:pPr>
              <w:pStyle w:val="Compact"/>
              <w:jc w:val="left"/>
            </w:pPr>
            <w:r>
              <w:t xml:space="preserve">Apigee environment</w:t>
            </w:r>
          </w:p>
        </w:tc>
        <w:tc>
          <w:tcPr/>
          <w:p>
            <w:pPr>
              <w:pStyle w:val="Compact"/>
              <w:jc w:val="left"/>
            </w:pPr>
            <w:r>
              <w:rPr>
                <w:rStyle w:val="VerbatimChar"/>
              </w:rPr>
              <w:t xml:space="preserve">&lt;function&gt;</w:t>
            </w:r>
          </w:p>
        </w:tc>
        <w:tc>
          <w:tcPr/>
          <w:p>
            <w:pPr>
              <w:pStyle w:val="Compact"/>
              <w:jc w:val="left"/>
            </w:pPr>
            <w:r>
              <w:rPr>
                <w:rStyle w:val="VerbatimChar"/>
              </w:rPr>
              <w:t xml:space="preserve">int</w:t>
            </w:r>
            <w:r>
              <w:t xml:space="preserve">,</w:t>
            </w:r>
            <w:r>
              <w:t xml:space="preserve"> </w:t>
            </w:r>
            <w:r>
              <w:rPr>
                <w:rStyle w:val="VerbatimChar"/>
              </w:rPr>
              <w:t xml:space="preserve">llm</w:t>
            </w:r>
          </w:p>
        </w:tc>
      </w:tr>
      <w:tr>
        <w:tc>
          <w:tcPr/>
          <w:p>
            <w:pPr>
              <w:pStyle w:val="Compact"/>
              <w:jc w:val="left"/>
            </w:pPr>
            <w:r>
              <w:t xml:space="preserve">Apigee environment group</w:t>
            </w:r>
          </w:p>
        </w:tc>
        <w:tc>
          <w:tcPr/>
          <w:p>
            <w:pPr>
              <w:pStyle w:val="Compact"/>
              <w:jc w:val="left"/>
            </w:pPr>
            <w:r>
              <w:rPr>
                <w:rStyle w:val="VerbatimChar"/>
              </w:rPr>
              <w:t xml:space="preserve">&lt;consumer&gt;-&lt;environment&gt;</w:t>
            </w:r>
          </w:p>
        </w:tc>
        <w:tc>
          <w:tcPr/>
          <w:p>
            <w:pPr>
              <w:pStyle w:val="Compact"/>
              <w:jc w:val="left"/>
            </w:pPr>
            <w:r>
              <w:rPr>
                <w:rStyle w:val="VerbatimChar"/>
              </w:rPr>
              <w:t xml:space="preserve">aihub-int</w:t>
            </w:r>
            <w:r>
              <w:t xml:space="preserve">,</w:t>
            </w:r>
            <w:r>
              <w:t xml:space="preserve"> </w:t>
            </w:r>
            <w:r>
              <w:rPr>
                <w:rStyle w:val="VerbatimChar"/>
              </w:rPr>
              <w:t xml:space="preserve">llm-int</w:t>
            </w:r>
          </w:p>
        </w:tc>
      </w:tr>
      <w:tr>
        <w:tc>
          <w:tcPr/>
          <w:p>
            <w:pPr>
              <w:pStyle w:val="Compact"/>
              <w:jc w:val="left"/>
            </w:pPr>
            <w:r>
              <w:t xml:space="preserve">Apigee key value map</w:t>
            </w:r>
          </w:p>
        </w:tc>
        <w:tc>
          <w:tcPr/>
          <w:p>
            <w:pPr>
              <w:pStyle w:val="Compact"/>
              <w:jc w:val="left"/>
            </w:pPr>
            <w:r>
              <w:rPr>
                <w:rStyle w:val="VerbatimChar"/>
              </w:rPr>
              <w:t xml:space="preserve">&lt;subject&gt;-to-&lt;object&gt;</w:t>
            </w:r>
            <w:r>
              <w:t xml:space="preserve"> </w:t>
            </w:r>
            <w:r>
              <w:t xml:space="preserve">or</w:t>
            </w:r>
            <w:r>
              <w:t xml:space="preserve"> </w:t>
            </w:r>
            <w:r>
              <w:rPr>
                <w:rStyle w:val="VerbatimChar"/>
              </w:rPr>
              <w:t xml:space="preserve">&lt;subject&gt;</w:t>
            </w:r>
          </w:p>
        </w:tc>
        <w:tc>
          <w:tcPr/>
          <w:p>
            <w:pPr>
              <w:pStyle w:val="Compact"/>
              <w:jc w:val="left"/>
            </w:pPr>
            <w:r>
              <w:rPr>
                <w:rStyle w:val="VerbatimChar"/>
              </w:rPr>
              <w:t xml:space="preserve">group-to-bu</w:t>
            </w:r>
            <w:r>
              <w:t xml:space="preserve">,</w:t>
            </w:r>
            <w:r>
              <w:t xml:space="preserve"> </w:t>
            </w:r>
            <w:r>
              <w:rPr>
                <w:rStyle w:val="VerbatimChar"/>
              </w:rPr>
              <w:t xml:space="preserve">allowed-models</w:t>
            </w:r>
          </w:p>
        </w:tc>
      </w:tr>
      <w:tr>
        <w:tc>
          <w:tcPr/>
          <w:p>
            <w:pPr>
              <w:pStyle w:val="Compact"/>
              <w:jc w:val="left"/>
            </w:pPr>
            <w:r>
              <w:t xml:space="preserve">Apigee API Product</w:t>
            </w:r>
          </w:p>
        </w:tc>
        <w:tc>
          <w:tcPr/>
          <w:p>
            <w:pPr>
              <w:pStyle w:val="Compact"/>
              <w:jc w:val="left"/>
            </w:pPr>
            <w:r>
              <w:rPr>
                <w:rStyle w:val="VerbatimChar"/>
              </w:rPr>
              <w:t xml:space="preserve">&lt;scope&gt;-&lt;tier&gt;</w:t>
            </w:r>
          </w:p>
        </w:tc>
        <w:tc>
          <w:tcPr/>
          <w:p>
            <w:pPr>
              <w:pStyle w:val="Compact"/>
              <w:jc w:val="left"/>
            </w:pPr>
            <w:r>
              <w:rPr>
                <w:rStyle w:val="VerbatimChar"/>
              </w:rPr>
              <w:t xml:space="preserve">aicoe-standard</w:t>
            </w:r>
            <w:r>
              <w:t xml:space="preserve">,</w:t>
            </w:r>
            <w:r>
              <w:t xml:space="preserve"> </w:t>
            </w:r>
            <w:r>
              <w:rPr>
                <w:rStyle w:val="VerbatimChar"/>
              </w:rPr>
              <w:t xml:space="preserve">llm-sales-standard</w:t>
            </w:r>
          </w:p>
        </w:tc>
      </w:tr>
      <w:tr>
        <w:tc>
          <w:tcPr/>
          <w:p>
            <w:pPr>
              <w:pStyle w:val="Compact"/>
              <w:jc w:val="left"/>
            </w:pPr>
            <w:r>
              <w:t xml:space="preserve">Apigee developer app</w:t>
            </w:r>
          </w:p>
        </w:tc>
        <w:tc>
          <w:tcPr/>
          <w:p>
            <w:pPr>
              <w:pStyle w:val="Compact"/>
              <w:jc w:val="left"/>
            </w:pPr>
            <w:r>
              <w:rPr>
                <w:rStyle w:val="VerbatimChar"/>
              </w:rPr>
              <w:t xml:space="preserve">&lt;consumer&gt;</w:t>
            </w:r>
          </w:p>
        </w:tc>
        <w:tc>
          <w:tcPr/>
          <w:p>
            <w:pPr>
              <w:pStyle w:val="Compact"/>
              <w:jc w:val="left"/>
            </w:pPr>
            <w:r>
              <w:rPr>
                <w:rStyle w:val="VerbatimChar"/>
              </w:rPr>
              <w:t xml:space="preserve">aihub-bff</w:t>
            </w:r>
            <w:r>
              <w:t xml:space="preserve">,</w:t>
            </w:r>
            <w:r>
              <w:t xml:space="preserve"> </w:t>
            </w:r>
            <w:r>
              <w:rPr>
                <w:rStyle w:val="VerbatimChar"/>
              </w:rPr>
              <w:t xml:space="preserve">translation-api</w:t>
            </w:r>
          </w:p>
        </w:tc>
      </w:tr>
      <w:tr>
        <w:tc>
          <w:tcPr/>
          <w:p>
            <w:pPr>
              <w:pStyle w:val="Compact"/>
              <w:jc w:val="left"/>
            </w:pPr>
            <w:r>
              <w:t xml:space="preserve">Cloud Tasks queue</w:t>
            </w:r>
          </w:p>
        </w:tc>
        <w:tc>
          <w:tcPr/>
          <w:p>
            <w:pPr>
              <w:pStyle w:val="Compact"/>
              <w:jc w:val="left"/>
            </w:pPr>
            <w:r>
              <w:rPr>
                <w:rStyle w:val="VerbatimChar"/>
              </w:rPr>
              <w:t xml:space="preserve">&lt;workload&gt;-jobs</w:t>
            </w:r>
          </w:p>
        </w:tc>
        <w:tc>
          <w:tcPr/>
          <w:p>
            <w:pPr>
              <w:pStyle w:val="Compact"/>
              <w:jc w:val="left"/>
            </w:pPr>
            <w:r>
              <w:rPr>
                <w:rStyle w:val="VerbatimChar"/>
              </w:rPr>
              <w:t xml:space="preserve">translation-jobs</w:t>
            </w:r>
          </w:p>
        </w:tc>
      </w:tr>
      <w:tr>
        <w:tc>
          <w:tcPr/>
          <w:p>
            <w:pPr>
              <w:pStyle w:val="Compact"/>
              <w:jc w:val="left"/>
            </w:pPr>
            <w:r>
              <w:t xml:space="preserve">Vector Search index / endpoint</w:t>
            </w:r>
          </w:p>
        </w:tc>
        <w:tc>
          <w:tcPr/>
          <w:p>
            <w:pPr>
              <w:pStyle w:val="Compact"/>
              <w:jc w:val="left"/>
            </w:pPr>
            <w:r>
              <w:rPr>
                <w:rStyle w:val="VerbatimChar"/>
              </w:rPr>
              <w:t xml:space="preserve">aicoe-&lt;corpus&gt;-index</w:t>
            </w:r>
            <w:r>
              <w:t xml:space="preserve"> </w:t>
            </w:r>
            <w:r>
              <w:t xml:space="preserve">/</w:t>
            </w:r>
            <w:r>
              <w:t xml:space="preserve"> </w:t>
            </w:r>
            <w:r>
              <w:rPr>
                <w:rStyle w:val="VerbatimChar"/>
              </w:rPr>
              <w:t xml:space="preserve">-endpoint</w:t>
            </w:r>
          </w:p>
        </w:tc>
        <w:tc>
          <w:tcPr/>
          <w:p>
            <w:pPr>
              <w:pStyle w:val="Compact"/>
              <w:jc w:val="left"/>
            </w:pPr>
            <w:r>
              <w:rPr>
                <w:rStyle w:val="VerbatimChar"/>
              </w:rPr>
              <w:t xml:space="preserve">aicoe-business-index</w:t>
            </w:r>
            <w:r>
              <w:t xml:space="preserve">,</w:t>
            </w:r>
            <w:r>
              <w:t xml:space="preserve"> </w:t>
            </w:r>
            <w:r>
              <w:rPr>
                <w:rStyle w:val="VerbatimChar"/>
              </w:rPr>
              <w:t xml:space="preserve">aicoe-business-endpoint</w:t>
            </w:r>
          </w:p>
        </w:tc>
      </w:tr>
      <w:tr>
        <w:tc>
          <w:tcPr/>
          <w:p>
            <w:pPr>
              <w:pStyle w:val="Compact"/>
              <w:jc w:val="left"/>
            </w:pPr>
            <w:r>
              <w:t xml:space="preserve">Model Armor template</w:t>
            </w:r>
          </w:p>
        </w:tc>
        <w:tc>
          <w:tcPr/>
          <w:p>
            <w:pPr>
              <w:pStyle w:val="Compact"/>
              <w:jc w:val="left"/>
            </w:pPr>
            <w:r>
              <w:rPr>
                <w:rStyle w:val="VerbatimChar"/>
              </w:rPr>
              <w:t xml:space="preserve">aicoe-&lt;strictness&gt;</w:t>
            </w:r>
          </w:p>
        </w:tc>
        <w:tc>
          <w:tcPr/>
          <w:p>
            <w:pPr>
              <w:pStyle w:val="Compact"/>
              <w:jc w:val="left"/>
            </w:pPr>
            <w:r>
              <w:rPr>
                <w:rStyle w:val="VerbatimChar"/>
              </w:rPr>
              <w:t xml:space="preserve">aicoe-default</w:t>
            </w:r>
            <w:r>
              <w:t xml:space="preserve">,</w:t>
            </w:r>
            <w:r>
              <w:t xml:space="preserve"> </w:t>
            </w:r>
            <w:r>
              <w:rPr>
                <w:rStyle w:val="VerbatimChar"/>
              </w:rPr>
              <w:t xml:space="preserve">aicoe-strict</w:t>
            </w:r>
          </w:p>
        </w:tc>
      </w:tr>
      <w:tr>
        <w:tc>
          <w:tcPr/>
          <w:p>
            <w:pPr>
              <w:pStyle w:val="Compact"/>
              <w:jc w:val="left"/>
            </w:pPr>
            <w:r>
              <w:t xml:space="preserve">Terraform state prefix</w:t>
            </w:r>
          </w:p>
        </w:tc>
        <w:tc>
          <w:tcPr/>
          <w:p>
            <w:pPr>
              <w:pStyle w:val="Compact"/>
              <w:jc w:val="left"/>
            </w:pPr>
            <w:r>
              <w:rPr>
                <w:rStyle w:val="VerbatimChar"/>
              </w:rPr>
              <w:t xml:space="preserve">&lt;stage&gt;/</w:t>
            </w:r>
            <w:r>
              <w:t xml:space="preserve"> </w:t>
            </w:r>
            <w:r>
              <w:t xml:space="preserve">or</w:t>
            </w:r>
            <w:r>
              <w:t xml:space="preserve"> </w:t>
            </w:r>
            <w:r>
              <w:rPr>
                <w:rStyle w:val="VerbatimChar"/>
              </w:rPr>
              <w:t xml:space="preserve">&lt;stage&gt;/&lt;sub-stage&gt;/</w:t>
            </w:r>
            <w:r>
              <w:t xml:space="preserve"> </w:t>
            </w:r>
            <w:r>
              <w:t xml:space="preserve">for stage 6</w:t>
            </w:r>
          </w:p>
        </w:tc>
        <w:tc>
          <w:tcPr/>
          <w:p>
            <w:pPr>
              <w:pStyle w:val="Compact"/>
              <w:jc w:val="left"/>
            </w:pPr>
            <w:r>
              <w:rPr>
                <w:rStyle w:val="VerbatimChar"/>
              </w:rPr>
              <w:t xml:space="preserve">6-workloads/6c-ingress/</w:t>
            </w:r>
            <w:r>
              <w:t xml:space="preserve">, per</w:t>
            </w:r>
            <w:r>
              <w:t xml:space="preserve"> </w:t>
            </w:r>
            <w:r>
              <w:rPr>
                <w:b/>
                <w:bCs/>
              </w:rPr>
              <w:t xml:space="preserve">Terraform state management</w:t>
            </w:r>
          </w:p>
        </w:tc>
      </w:tr>
      <w:tr>
        <w:tc>
          <w:tcPr/>
          <w:p>
            <w:pPr>
              <w:pStyle w:val="Compact"/>
              <w:jc w:val="left"/>
            </w:pPr>
            <w:r>
              <w:t xml:space="preserve">Entra security group</w:t>
            </w:r>
          </w:p>
        </w:tc>
        <w:tc>
          <w:tcPr/>
          <w:p>
            <w:pPr>
              <w:pStyle w:val="Compact"/>
              <w:jc w:val="left"/>
            </w:pPr>
            <w:r>
              <w:rPr>
                <w:rStyle w:val="VerbatimChar"/>
              </w:rPr>
              <w:t xml:space="preserve">App-AICoE-&lt;Usecase&gt;-&lt;Role&gt;</w:t>
            </w:r>
          </w:p>
        </w:tc>
        <w:tc>
          <w:tcPr/>
          <w:p>
            <w:pPr>
              <w:pStyle w:val="Compact"/>
              <w:jc w:val="left"/>
            </w:pPr>
            <w:r>
              <w:rPr>
                <w:rStyle w:val="VerbatimChar"/>
              </w:rPr>
              <w:t xml:space="preserve">App-AICoE-Translation-Users</w:t>
            </w:r>
          </w:p>
        </w:tc>
      </w:tr>
      <w:tr>
        <w:tc>
          <w:tcPr/>
          <w:p>
            <w:pPr>
              <w:pStyle w:val="Compact"/>
              <w:jc w:val="left"/>
            </w:pPr>
            <w:r>
              <w:t xml:space="preserve">Entra App Role</w:t>
            </w:r>
          </w:p>
        </w:tc>
        <w:tc>
          <w:tcPr/>
          <w:p>
            <w:pPr>
              <w:pStyle w:val="Compact"/>
              <w:jc w:val="left"/>
            </w:pPr>
            <w:r>
              <w:rPr>
                <w:rStyle w:val="VerbatimChar"/>
              </w:rPr>
              <w:t xml:space="preserve">&lt;Usecase&gt;.&lt;Role&gt;</w:t>
            </w:r>
          </w:p>
        </w:tc>
        <w:tc>
          <w:tcPr/>
          <w:p>
            <w:pPr>
              <w:pStyle w:val="Compact"/>
              <w:jc w:val="left"/>
            </w:pPr>
            <w:r>
              <w:rPr>
                <w:rStyle w:val="VerbatimChar"/>
              </w:rPr>
              <w:t xml:space="preserve">Translation.User</w:t>
            </w:r>
            <w:r>
              <w:t xml:space="preserve">,</w:t>
            </w:r>
            <w:r>
              <w:t xml:space="preserve"> </w:t>
            </w:r>
            <w:r>
              <w:rPr>
                <w:rStyle w:val="VerbatimChar"/>
              </w:rPr>
              <w:t xml:space="preserve">Platform.Admin</w:t>
            </w:r>
          </w:p>
        </w:tc>
      </w:tr>
    </w:tbl>
    <w:p>
      <w:pPr>
        <w:pStyle w:val="BodyText"/>
      </w:pPr>
      <w:r>
        <w:t xml:space="preserve">Two naming constraints catch people out, and both are recorded again where the resource itself is specified: a BigQuery dataset identifier permits letters, numbers and underscores only — a hyphen is rejected, per</w:t>
      </w:r>
      <w:r>
        <w:t xml:space="preserve"> </w:t>
      </w:r>
      <w:r>
        <w:rPr>
          <w:b/>
          <w:bCs/>
        </w:rPr>
        <w:t xml:space="preserve">BigQuery</w:t>
      </w:r>
      <w:r>
        <w:t xml:space="preserve"> </w:t>
      </w:r>
      <w:r>
        <w:t xml:space="preserve">— and an Apigee organisation takes the project ID as its name, permanently, per</w:t>
      </w:r>
      <w:r>
        <w:t xml:space="preserve"> </w:t>
      </w:r>
      <w:r>
        <w:rPr>
          <w:b/>
          <w:bCs/>
        </w:rPr>
        <w:t xml:space="preserve">Apigee organisation, instance and environments</w:t>
      </w:r>
      <w:r>
        <w:t xml:space="preserve">.</w:t>
      </w:r>
    </w:p>
    <w:bookmarkEnd w:id="279"/>
    <w:bookmarkStart w:id="280" w:name="resource-labels"/>
    <w:p>
      <w:pPr>
        <w:pStyle w:val="Heading2"/>
      </w:pPr>
      <w:r>
        <w:t xml:space="preserve">16.2 Resource labels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Label key</w:t>
            </w:r>
          </w:p>
        </w:tc>
        <w:tc>
          <w:tcPr>
            <w:shd w:val="clear" w:color="auto" w:fill="1F3864"/>
          </w:tcPr>
          <w:p>
            <w:pPr>
              <w:pStyle w:val="Compact"/>
              <w:jc w:val="left"/>
            </w:pPr>
            <w:r>
              <w:rPr>
                <w:b/>
                <w:color w:val="FFFFFF"/>
              </w:rPr>
              <w:t xml:space="preserve">Description</w:t>
            </w:r>
          </w:p>
        </w:tc>
        <w:tc>
          <w:tcPr>
            <w:shd w:val="clear" w:color="auto" w:fill="1F3864"/>
          </w:tcPr>
          <w:p>
            <w:pPr>
              <w:pStyle w:val="Compact"/>
              <w:jc w:val="left"/>
            </w:pPr>
            <w:r>
              <w:rPr>
                <w:b/>
                <w:color w:val="FFFFFF"/>
              </w:rPr>
              <w:t xml:space="preserve">Example</w:t>
            </w:r>
          </w:p>
        </w:tc>
      </w:tr>
      <w:tr>
        <w:tc>
          <w:tcPr/>
          <w:p>
            <w:pPr>
              <w:pStyle w:val="Compact"/>
              <w:jc w:val="left"/>
            </w:pPr>
            <w:r>
              <w:rPr>
                <w:rStyle w:val="VerbatimChar"/>
              </w:rPr>
              <w:t xml:space="preserve">env</w:t>
            </w:r>
          </w:p>
        </w:tc>
        <w:tc>
          <w:tcPr/>
          <w:p>
            <w:pPr>
              <w:pStyle w:val="Compact"/>
              <w:jc w:val="left"/>
            </w:pPr>
            <w:r>
              <w:t xml:space="preserve">Environment</w:t>
            </w:r>
          </w:p>
        </w:tc>
        <w:tc>
          <w:tcPr/>
          <w:p>
            <w:pPr>
              <w:pStyle w:val="Compact"/>
              <w:jc w:val="left"/>
            </w:pPr>
            <w:r>
              <w:rPr>
                <w:rStyle w:val="VerbatimChar"/>
              </w:rPr>
              <w:t xml:space="preserve">dev</w:t>
            </w:r>
          </w:p>
        </w:tc>
      </w:tr>
      <w:tr>
        <w:tc>
          <w:tcPr/>
          <w:p>
            <w:pPr>
              <w:pStyle w:val="Compact"/>
              <w:jc w:val="left"/>
            </w:pPr>
            <w:r>
              <w:rPr>
                <w:rStyle w:val="VerbatimChar"/>
              </w:rPr>
              <w:t xml:space="preserve">programme</w:t>
            </w:r>
          </w:p>
        </w:tc>
        <w:tc>
          <w:tcPr/>
          <w:p>
            <w:pPr>
              <w:pStyle w:val="Compact"/>
              <w:jc w:val="left"/>
            </w:pPr>
            <w:r>
              <w:t xml:space="preserve">Owning programme</w:t>
            </w:r>
          </w:p>
        </w:tc>
        <w:tc>
          <w:tcPr/>
          <w:p>
            <w:pPr>
              <w:pStyle w:val="Compact"/>
              <w:jc w:val="left"/>
            </w:pPr>
            <w:r>
              <w:rPr>
                <w:rStyle w:val="VerbatimChar"/>
              </w:rPr>
              <w:t xml:space="preserve">aicoe</w:t>
            </w:r>
          </w:p>
        </w:tc>
      </w:tr>
      <w:tr>
        <w:tc>
          <w:tcPr/>
          <w:p>
            <w:pPr>
              <w:pStyle w:val="Compact"/>
              <w:jc w:val="left"/>
            </w:pPr>
            <w:r>
              <w:rPr>
                <w:rStyle w:val="VerbatimChar"/>
              </w:rPr>
              <w:t xml:space="preserve">usecase</w:t>
            </w:r>
          </w:p>
        </w:tc>
        <w:tc>
          <w:tcPr/>
          <w:p>
            <w:pPr>
              <w:pStyle w:val="Compact"/>
              <w:jc w:val="left"/>
            </w:pPr>
            <w:r>
              <w:t xml:space="preserve">Which usecase the resource serves</w:t>
            </w:r>
          </w:p>
        </w:tc>
        <w:tc>
          <w:tcPr/>
          <w:p>
            <w:pPr>
              <w:pStyle w:val="Compact"/>
              <w:jc w:val="left"/>
            </w:pPr>
            <w:r>
              <w:rPr>
                <w:rStyle w:val="VerbatimChar"/>
              </w:rPr>
              <w:t xml:space="preserve">translation</w:t>
            </w:r>
            <w:r>
              <w:t xml:space="preserve">,</w:t>
            </w:r>
            <w:r>
              <w:t xml:space="preserve"> </w:t>
            </w:r>
            <w:r>
              <w:rPr>
                <w:rStyle w:val="VerbatimChar"/>
              </w:rPr>
              <w:t xml:space="preserve">salesagent</w:t>
            </w:r>
            <w:r>
              <w:t xml:space="preserve">,</w:t>
            </w:r>
            <w:r>
              <w:t xml:space="preserve"> </w:t>
            </w:r>
            <w:r>
              <w:rPr>
                <w:rStyle w:val="VerbatimChar"/>
              </w:rPr>
              <w:t xml:space="preserve">platform</w:t>
            </w:r>
          </w:p>
        </w:tc>
      </w:tr>
      <w:tr>
        <w:tc>
          <w:tcPr/>
          <w:p>
            <w:pPr>
              <w:pStyle w:val="Compact"/>
              <w:jc w:val="left"/>
            </w:pPr>
            <w:r>
              <w:rPr>
                <w:rStyle w:val="VerbatimChar"/>
              </w:rPr>
              <w:t xml:space="preserve">owner</w:t>
            </w:r>
          </w:p>
        </w:tc>
        <w:tc>
          <w:tcPr/>
          <w:p>
            <w:pPr>
              <w:pStyle w:val="Compact"/>
              <w:jc w:val="left"/>
            </w:pPr>
            <w:r>
              <w:t xml:space="preserve">Owning team, satisfying TR-25’s team-labelling requirement</w:t>
            </w:r>
          </w:p>
        </w:tc>
        <w:tc>
          <w:tcPr/>
          <w:p>
            <w:pPr>
              <w:pStyle w:val="Compact"/>
              <w:jc w:val="left"/>
            </w:pPr>
            <w:r>
              <w:rPr>
                <w:rStyle w:val="VerbatimChar"/>
              </w:rPr>
              <w:t xml:space="preserve">platform-team</w:t>
            </w:r>
          </w:p>
        </w:tc>
      </w:tr>
      <w:tr>
        <w:tc>
          <w:tcPr/>
          <w:p>
            <w:pPr>
              <w:pStyle w:val="Compact"/>
              <w:jc w:val="left"/>
            </w:pPr>
            <w:r>
              <w:rPr>
                <w:rStyle w:val="VerbatimChar"/>
              </w:rPr>
              <w:t xml:space="preserve">data-class</w:t>
            </w:r>
          </w:p>
        </w:tc>
        <w:tc>
          <w:tcPr/>
          <w:p>
            <w:pPr>
              <w:pStyle w:val="Compact"/>
              <w:jc w:val="left"/>
            </w:pPr>
            <w:r>
              <w:t xml:space="preserve">Classification, per</w:t>
            </w:r>
            <w:r>
              <w:t xml:space="preserve"> </w:t>
            </w:r>
            <w:r>
              <w:rPr>
                <w:b/>
                <w:bCs/>
              </w:rPr>
              <w:t xml:space="preserve">Data classification and handling</w:t>
            </w:r>
          </w:p>
        </w:tc>
        <w:tc>
          <w:tcPr/>
          <w:p>
            <w:pPr>
              <w:pStyle w:val="Compact"/>
              <w:jc w:val="left"/>
            </w:pP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personal-data</w:t>
            </w:r>
          </w:p>
        </w:tc>
      </w:tr>
      <w:tr>
        <w:tc>
          <w:tcPr/>
          <w:p>
            <w:pPr>
              <w:pStyle w:val="Compact"/>
              <w:jc w:val="left"/>
            </w:pPr>
            <w:r>
              <w:rPr>
                <w:rStyle w:val="VerbatimChar"/>
              </w:rPr>
              <w:t xml:space="preserve">cost-centre</w:t>
            </w:r>
          </w:p>
        </w:tc>
        <w:tc>
          <w:tcPr/>
          <w:p>
            <w:pPr>
              <w:pStyle w:val="Compact"/>
              <w:jc w:val="left"/>
            </w:pPr>
            <w:r>
              <w:t xml:space="preserve">For chargeback</w:t>
            </w:r>
          </w:p>
        </w:tc>
        <w:tc>
          <w:tcPr/>
          <w:p>
            <w:pPr>
              <w:pStyle w:val="Compact"/>
              <w:jc w:val="left"/>
            </w:pPr>
            <w:r>
              <w:t xml:space="preserve">Assigned per project, per</w:t>
            </w:r>
            <w:r>
              <w:t xml:space="preserve"> </w:t>
            </w:r>
            <w:r>
              <w:rPr>
                <w:b/>
                <w:bCs/>
              </w:rPr>
              <w:t xml:space="preserve">Chargeback</w:t>
            </w:r>
          </w:p>
        </w:tc>
      </w:tr>
      <w:tr>
        <w:tc>
          <w:tcPr/>
          <w:p>
            <w:pPr>
              <w:pStyle w:val="Compact"/>
              <w:jc w:val="left"/>
            </w:pPr>
            <w:r>
              <w:rPr>
                <w:rStyle w:val="VerbatimChar"/>
              </w:rPr>
              <w:t xml:space="preserve">managed-by</w:t>
            </w:r>
          </w:p>
        </w:tc>
        <w:tc>
          <w:tcPr/>
          <w:p>
            <w:pPr>
              <w:pStyle w:val="Compact"/>
              <w:jc w:val="left"/>
            </w:pPr>
            <w:r>
              <w:t xml:space="preserve">How the resource was created</w:t>
            </w:r>
          </w:p>
        </w:tc>
        <w:tc>
          <w:tcPr/>
          <w:p>
            <w:pPr>
              <w:pStyle w:val="Compact"/>
              <w:jc w:val="left"/>
            </w:pPr>
            <w:r>
              <w:rPr>
                <w:rStyle w:val="VerbatimChar"/>
              </w:rPr>
              <w:t xml:space="preserve">terraform</w:t>
            </w:r>
            <w:r>
              <w:t xml:space="preserve">,</w:t>
            </w:r>
            <w:r>
              <w:t xml:space="preserve"> </w:t>
            </w:r>
            <w:r>
              <w:rPr>
                <w:rStyle w:val="VerbatimChar"/>
              </w:rPr>
              <w:t xml:space="preserve">pipeline</w:t>
            </w:r>
            <w:r>
              <w:t xml:space="preserve">,</w:t>
            </w:r>
            <w:r>
              <w:t xml:space="preserve"> </w:t>
            </w:r>
            <w:r>
              <w:rPr>
                <w:rStyle w:val="VerbatimChar"/>
              </w:rPr>
              <w:t xml:space="preserve">manual</w:t>
            </w:r>
          </w:p>
        </w:tc>
      </w:tr>
      <w:tr>
        <w:tc>
          <w:tcPr/>
          <w:p>
            <w:pPr>
              <w:pStyle w:val="Compact"/>
              <w:jc w:val="left"/>
            </w:pPr>
            <w:r>
              <w:rPr>
                <w:rStyle w:val="VerbatimChar"/>
              </w:rPr>
              <w:t xml:space="preserve">tf-stage</w:t>
            </w:r>
          </w:p>
        </w:tc>
        <w:tc>
          <w:tcPr/>
          <w:p>
            <w:pPr>
              <w:pStyle w:val="Compact"/>
              <w:jc w:val="left"/>
            </w:pPr>
            <w:r>
              <w:t xml:space="preserve">Which Terraform stage owns the resource</w:t>
            </w:r>
          </w:p>
        </w:tc>
        <w:tc>
          <w:tcPr/>
          <w:p>
            <w:pPr>
              <w:pStyle w:val="Compact"/>
              <w:jc w:val="left"/>
            </w:pPr>
            <w:r>
              <w:rPr>
                <w:rStyle w:val="VerbatimChar"/>
              </w:rPr>
              <w:t xml:space="preserve">1-org</w:t>
            </w:r>
            <w:r>
              <w:t xml:space="preserve">,</w:t>
            </w:r>
            <w:r>
              <w:t xml:space="preserve"> </w:t>
            </w:r>
            <w:r>
              <w:rPr>
                <w:rStyle w:val="VerbatimChar"/>
              </w:rPr>
              <w:t xml:space="preserve">3-network</w:t>
            </w:r>
            <w:r>
              <w:t xml:space="preserve">,</w:t>
            </w:r>
            <w:r>
              <w:t xml:space="preserve"> </w:t>
            </w:r>
            <w:r>
              <w:rPr>
                <w:rStyle w:val="VerbatimChar"/>
              </w:rPr>
              <w:t xml:space="preserve">6c-ingress</w:t>
            </w:r>
            <w:r>
              <w:t xml:space="preserve">, per</w:t>
            </w:r>
            <w:r>
              <w:t xml:space="preserve"> </w:t>
            </w:r>
            <w:r>
              <w:rPr>
                <w:b/>
                <w:bCs/>
              </w:rPr>
              <w:t xml:space="preserve">Terraform stage model</w:t>
            </w:r>
          </w:p>
        </w:tc>
      </w:tr>
    </w:tbl>
    <w:p>
      <w:pPr>
        <w:pStyle w:val="BodyText"/>
      </w:pPr>
      <w:r>
        <w:rPr>
          <w:rStyle w:val="VerbatimChar"/>
        </w:rPr>
        <w:t xml:space="preserve">env</w:t>
      </w:r>
      <w:r>
        <w:t xml:space="preserve">,</w:t>
      </w:r>
      <w:r>
        <w:t xml:space="preserve"> </w:t>
      </w:r>
      <w:r>
        <w:rPr>
          <w:rStyle w:val="VerbatimChar"/>
        </w:rPr>
        <w:t xml:space="preserve">programme</w:t>
      </w:r>
      <w:r>
        <w:t xml:space="preserve">,</w:t>
      </w:r>
      <w:r>
        <w:t xml:space="preserve"> </w:t>
      </w:r>
      <w:r>
        <w:rPr>
          <w:rStyle w:val="VerbatimChar"/>
        </w:rPr>
        <w:t xml:space="preserve">owner</w:t>
      </w:r>
      <w:r>
        <w:t xml:space="preserve"> </w:t>
      </w:r>
      <w:r>
        <w:t xml:space="preserve">and</w:t>
      </w:r>
      <w:r>
        <w:t xml:space="preserve"> </w:t>
      </w:r>
      <w:r>
        <w:rPr>
          <w:rStyle w:val="VerbatimChar"/>
        </w:rPr>
        <w:t xml:space="preserve">data-class</w:t>
      </w:r>
      <w:r>
        <w:t xml:space="preserve"> </w:t>
      </w:r>
      <w:r>
        <w:t xml:space="preserve">satisfy TR-25’s four required labels.</w:t>
      </w:r>
      <w:r>
        <w:t xml:space="preserve"> </w:t>
      </w:r>
      <w:r>
        <w:rPr>
          <w:rStyle w:val="VerbatimChar"/>
        </w:rPr>
        <w:t xml:space="preserve">usecase</w:t>
      </w:r>
      <w:r>
        <w:t xml:space="preserve">,</w:t>
      </w:r>
      <w:r>
        <w:t xml:space="preserve"> </w:t>
      </w:r>
      <w:r>
        <w:rPr>
          <w:rStyle w:val="VerbatimChar"/>
        </w:rPr>
        <w:t xml:space="preserve">cost-centre</w:t>
      </w:r>
      <w:r>
        <w:t xml:space="preserve"> </w:t>
      </w:r>
      <w:r>
        <w:t xml:space="preserve">and</w:t>
      </w:r>
      <w:r>
        <w:t xml:space="preserve"> </w:t>
      </w:r>
      <w:r>
        <w:rPr>
          <w:rStyle w:val="VerbatimChar"/>
        </w:rPr>
        <w:t xml:space="preserve">tf-stage</w:t>
      </w:r>
      <w:r>
        <w:t xml:space="preserve"> </w:t>
      </w:r>
      <w:r>
        <w:t xml:space="preserve">are adopted as part of the same labelling standard, applied by convention alongside them. Every secret carries</w:t>
      </w:r>
      <w:r>
        <w:t xml:space="preserve"> </w:t>
      </w:r>
      <w:r>
        <w:rPr>
          <w:rStyle w:val="VerbatimChar"/>
        </w:rPr>
        <w:t xml:space="preserve">owner</w:t>
      </w:r>
      <w:r>
        <w:t xml:space="preserve"> </w:t>
      </w:r>
      <w:r>
        <w:t xml:space="preserve">at minimum, per</w:t>
      </w:r>
      <w:r>
        <w:t xml:space="preserve"> </w:t>
      </w:r>
      <w:r>
        <w:rPr>
          <w:b/>
          <w:bCs/>
        </w:rPr>
        <w:t xml:space="preserve">Secret Manager</w:t>
      </w:r>
      <w:r>
        <w:t xml:space="preserve">. Every resource created outside Terraform — a project, or an organisation-policy setting at the</w:t>
      </w:r>
      <w:r>
        <w:t xml:space="preserve"> </w:t>
      </w:r>
      <w:r>
        <w:rPr>
          <w:rStyle w:val="VerbatimChar"/>
        </w:rPr>
        <w:t xml:space="preserve">AI COE</w:t>
      </w:r>
      <w:r>
        <w:t xml:space="preserve"> </w:t>
      </w:r>
      <w:r>
        <w:t xml:space="preserve">folder — carries</w:t>
      </w:r>
      <w:r>
        <w:t xml:space="preserve"> </w:t>
      </w:r>
      <w:r>
        <w:rPr>
          <w:rStyle w:val="VerbatimChar"/>
        </w:rPr>
        <w:t xml:space="preserve">managed-by: manual</w:t>
      </w:r>
      <w:r>
        <w:t xml:space="preserve">, so that provenance is visible on the resource itself and not only in this document.</w:t>
      </w:r>
    </w:p>
    <w:p>
      <w:r>
        <w:pict>
          <v:rect style="width:0;height:1.5pt" o:hralign="center" o:hrstd="t" o:hr="t"/>
        </w:pict>
      </w:r>
    </w:p>
    <w:bookmarkEnd w:id="280"/>
    <w:bookmarkEnd w:id="281"/>
    <w:bookmarkStart w:id="282" w:name="referenced-documents"/>
    <w:p>
      <w:pPr>
        <w:pStyle w:val="Heading1"/>
      </w:pPr>
      <w:r>
        <w:t xml:space="preserve">17. Referenced Documents</w:t>
      </w:r>
    </w:p>
    <w:p>
      <w:pPr>
        <w:pStyle w:val="FirstParagraph"/>
      </w:pPr>
      <w:r>
        <w:t xml:space="preserve">Google Cloud documentation supporting specific claims and decisions in this design, listed against the section each supports.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Subject</w:t>
            </w:r>
          </w:p>
        </w:tc>
        <w:tc>
          <w:tcPr>
            <w:shd w:val="clear" w:color="auto" w:fill="1F3864"/>
          </w:tcPr>
          <w:p>
            <w:pPr>
              <w:pStyle w:val="Compact"/>
              <w:jc w:val="left"/>
            </w:pPr>
            <w:r>
              <w:rPr>
                <w:b/>
                <w:color w:val="FFFFFF"/>
              </w:rPr>
              <w:t xml:space="preserve">Where</w:t>
            </w:r>
          </w:p>
        </w:tc>
        <w:tc>
          <w:tcPr>
            <w:shd w:val="clear" w:color="auto" w:fill="1F3864"/>
          </w:tcPr>
          <w:p>
            <w:pPr>
              <w:pStyle w:val="Compact"/>
              <w:jc w:val="left"/>
            </w:pPr>
            <w:r>
              <w:rPr>
                <w:b/>
                <w:color w:val="FFFFFF"/>
              </w:rPr>
              <w:t xml:space="preserve">Supports</w:t>
            </w:r>
          </w:p>
        </w:tc>
      </w:tr>
      <w:tr>
        <w:tc>
          <w:tcPr/>
          <w:p>
            <w:pPr>
              <w:pStyle w:val="Compact"/>
              <w:jc w:val="left"/>
            </w:pPr>
            <w:r>
              <w:t xml:space="preserve">Apigee policy reference — Standard versus Extensible classification and environment-type restrictions</w:t>
            </w:r>
          </w:p>
        </w:tc>
        <w:tc>
          <w:tcPr/>
          <w:p>
            <w:pPr>
              <w:pStyle w:val="Compact"/>
              <w:jc w:val="left"/>
            </w:pPr>
            <w:r>
              <w:t xml:space="preserve">Google Cloud Apigee documentation</w:t>
            </w:r>
          </w:p>
        </w:tc>
        <w:tc>
          <w:tcPr/>
          <w:p>
            <w:pPr>
              <w:pStyle w:val="Compact"/>
              <w:jc w:val="left"/>
            </w:pPr>
            <w:r>
              <w:rPr>
                <w:b/>
                <w:bCs/>
              </w:rPr>
              <w:t xml:space="preserve">Apigee organisation, instance and environments</w:t>
            </w:r>
          </w:p>
        </w:tc>
      </w:tr>
      <w:tr>
        <w:tc>
          <w:tcPr/>
          <w:p>
            <w:pPr>
              <w:pStyle w:val="Compact"/>
              <w:jc w:val="left"/>
            </w:pPr>
            <w:r>
              <w:rPr>
                <w:rStyle w:val="VerbatimChar"/>
              </w:rPr>
              <w:t xml:space="preserve">LLMTokenQuota</w:t>
            </w:r>
            <w:r>
              <w:t xml:space="preserve">,</w:t>
            </w:r>
            <w:r>
              <w:t xml:space="preserve"> </w:t>
            </w:r>
            <w:r>
              <w:rPr>
                <w:rStyle w:val="VerbatimChar"/>
              </w:rPr>
              <w:t xml:space="preserve">PromptTokenLimit</w:t>
            </w:r>
            <w:r>
              <w:t xml:space="preserve">,</w:t>
            </w:r>
            <w:r>
              <w:t xml:space="preserve"> </w:t>
            </w:r>
            <w:r>
              <w:rPr>
                <w:rStyle w:val="VerbatimChar"/>
              </w:rPr>
              <w:t xml:space="preserve">SanitizeUserPrompt</w:t>
            </w:r>
            <w:r>
              <w:t xml:space="preserve">,</w:t>
            </w:r>
            <w:r>
              <w:t xml:space="preserve"> </w:t>
            </w:r>
            <w:r>
              <w:rPr>
                <w:rStyle w:val="VerbatimChar"/>
              </w:rPr>
              <w:t xml:space="preserve">SanitizeModelResponse</w:t>
            </w:r>
            <w:r>
              <w:t xml:space="preserve"> </w:t>
            </w:r>
            <w:r>
              <w:t xml:space="preserve">policy reference</w:t>
            </w:r>
          </w:p>
        </w:tc>
        <w:tc>
          <w:tcPr/>
          <w:p>
            <w:pPr>
              <w:pStyle w:val="Compact"/>
              <w:jc w:val="left"/>
            </w:pPr>
            <w:r>
              <w:t xml:space="preserve">Google Cloud Apigee policy reference</w:t>
            </w:r>
          </w:p>
        </w:tc>
        <w:tc>
          <w:tcPr/>
          <w:p>
            <w:pPr>
              <w:pStyle w:val="Compact"/>
              <w:jc w:val="left"/>
            </w:pPr>
            <w:r>
              <w:rPr>
                <w:b/>
                <w:bCs/>
              </w:rPr>
              <w:t xml:space="preserve">The AI gateway proxy — policy chain</w:t>
            </w:r>
          </w:p>
        </w:tc>
      </w:tr>
      <w:tr>
        <w:tc>
          <w:tcPr/>
          <w:p>
            <w:pPr>
              <w:pStyle w:val="Compact"/>
              <w:jc w:val="left"/>
            </w:pPr>
            <w:r>
              <w:t xml:space="preserve">Apigee internal routing — the service endpoint option</w:t>
            </w:r>
          </w:p>
        </w:tc>
        <w:tc>
          <w:tcPr/>
          <w:p>
            <w:pPr>
              <w:pStyle w:val="Compact"/>
              <w:jc w:val="left"/>
            </w:pPr>
            <w:r>
              <w:t xml:space="preserve">Google Cloud Apigee networking documentation</w:t>
            </w:r>
          </w:p>
        </w:tc>
        <w:tc>
          <w:tcPr/>
          <w:p>
            <w:pPr>
              <w:pStyle w:val="Compact"/>
              <w:jc w:val="left"/>
            </w:pPr>
            <w:r>
              <w:rPr>
                <w:b/>
                <w:bCs/>
              </w:rPr>
              <w:t xml:space="preserve">Flow 2 — Apigee northbound, the service endpoint</w:t>
            </w:r>
          </w:p>
        </w:tc>
      </w:tr>
      <w:tr>
        <w:tc>
          <w:tcPr/>
          <w:p>
            <w:pPr>
              <w:pStyle w:val="Compact"/>
              <w:jc w:val="left"/>
            </w:pPr>
            <w:r>
              <w:t xml:space="preserve">Cloud Run direct VPC egress and address sizing</w:t>
            </w:r>
          </w:p>
        </w:tc>
        <w:tc>
          <w:tcPr/>
          <w:p>
            <w:pPr>
              <w:pStyle w:val="Compact"/>
              <w:jc w:val="left"/>
            </w:pPr>
            <w:r>
              <w:t xml:space="preserve">Google Cloud Run networking documentation</w:t>
            </w:r>
          </w:p>
        </w:tc>
        <w:tc>
          <w:tcPr/>
          <w:p>
            <w:pPr>
              <w:pStyle w:val="Compact"/>
              <w:jc w:val="left"/>
            </w:pPr>
            <w:r>
              <w:rPr>
                <w:b/>
                <w:bCs/>
              </w:rPr>
              <w:t xml:space="preserve">The instance budget — a hard ceiling</w:t>
            </w:r>
          </w:p>
        </w:tc>
      </w:tr>
      <w:tr>
        <w:tc>
          <w:tcPr/>
          <w:p>
            <w:pPr>
              <w:pStyle w:val="Compact"/>
              <w:jc w:val="left"/>
            </w:pPr>
            <w:r>
              <w:t xml:space="preserve">Identity-Aware Proxy for Cloud Run — placement options and</w:t>
            </w:r>
            <w:r>
              <w:t xml:space="preserve"> </w:t>
            </w:r>
            <w:r>
              <w:rPr>
                <w:rStyle w:val="VerbatimChar"/>
              </w:rPr>
              <w:t xml:space="preserve">X-Serverless-Authorization</w:t>
            </w:r>
          </w:p>
        </w:tc>
        <w:tc>
          <w:tcPr/>
          <w:p>
            <w:pPr>
              <w:pStyle w:val="Compact"/>
              <w:jc w:val="left"/>
            </w:pPr>
            <w:r>
              <w:t xml:space="preserve">Google Cloud IAP documentation</w:t>
            </w:r>
          </w:p>
        </w:tc>
        <w:tc>
          <w:tcPr/>
          <w:p>
            <w:pPr>
              <w:pStyle w:val="Compact"/>
              <w:jc w:val="left"/>
            </w:pPr>
            <w:r>
              <w:rPr>
                <w:b/>
                <w:bCs/>
              </w:rPr>
              <w:t xml:space="preserve">The backend hop — Cloud Run IAM</w:t>
            </w:r>
            <w:r>
              <w:t xml:space="preserve">,</w:t>
            </w:r>
            <w:r>
              <w:t xml:space="preserve"> </w:t>
            </w:r>
            <w:r>
              <w:rPr>
                <w:b/>
                <w:bCs/>
              </w:rPr>
              <w:t xml:space="preserve">Workforce Identity Federation and IAP — Dev and Prod</w:t>
            </w:r>
          </w:p>
        </w:tc>
      </w:tr>
      <w:tr>
        <w:tc>
          <w:tcPr/>
          <w:p>
            <w:pPr>
              <w:pStyle w:val="Compact"/>
              <w:jc w:val="left"/>
            </w:pPr>
            <w:r>
              <w:t xml:space="preserve">Cloud Armor backend security policy support on the regional internal Application Load Balancer</w:t>
            </w:r>
          </w:p>
        </w:tc>
        <w:tc>
          <w:tcPr/>
          <w:p>
            <w:pPr>
              <w:pStyle w:val="Compact"/>
              <w:jc w:val="left"/>
            </w:pPr>
            <w:r>
              <w:t xml:space="preserve">Google Cloud Armor and Cloud Load Balancing documentation</w:t>
            </w:r>
          </w:p>
        </w:tc>
        <w:tc>
          <w:tcPr/>
          <w:p>
            <w:pPr>
              <w:pStyle w:val="Compact"/>
              <w:jc w:val="left"/>
            </w:pPr>
            <w:r>
              <w:rPr>
                <w:b/>
                <w:bCs/>
              </w:rPr>
              <w:t xml:space="preserve">Dev — AI Hub ILB, the front door</w:t>
            </w:r>
          </w:p>
        </w:tc>
      </w:tr>
      <w:tr>
        <w:tc>
          <w:tcPr/>
          <w:p>
            <w:pPr>
              <w:pStyle w:val="Compact"/>
              <w:jc w:val="left"/>
            </w:pPr>
            <w:r>
              <w:t xml:space="preserve">Model Armor supported locations, filter limits and</w:t>
            </w:r>
            <w:r>
              <w:t xml:space="preserve"> </w:t>
            </w:r>
            <w:r>
              <w:rPr>
                <w:rStyle w:val="VerbatimChar"/>
              </w:rPr>
              <w:t xml:space="preserve">EXECUTION_SKIPPED</w:t>
            </w:r>
          </w:p>
        </w:tc>
        <w:tc>
          <w:tcPr/>
          <w:p>
            <w:pPr>
              <w:pStyle w:val="Compact"/>
              <w:jc w:val="left"/>
            </w:pPr>
            <w:r>
              <w:t xml:space="preserve">Google Cloud Model Armor documentation</w:t>
            </w:r>
          </w:p>
        </w:tc>
        <w:tc>
          <w:tcPr/>
          <w:p>
            <w:pPr>
              <w:pStyle w:val="Compact"/>
              <w:jc w:val="left"/>
            </w:pPr>
            <w:r>
              <w:rPr>
                <w:b/>
                <w:bCs/>
              </w:rPr>
              <w:t xml:space="preserve">Limits and the</w:t>
            </w:r>
            <w:r>
              <w:rPr>
                <w:b/>
                <w:bCs/>
              </w:rPr>
              <w:t xml:space="preserve"> </w:t>
            </w:r>
            <w:r>
              <w:rPr>
                <w:rStyle w:val="VerbatimChar"/>
                <w:b/>
                <w:bCs/>
              </w:rPr>
              <w:t xml:space="preserve">EXECUTION_SKIPPED</w:t>
            </w:r>
            <w:r>
              <w:rPr>
                <w:b/>
                <w:bCs/>
              </w:rPr>
              <w:t xml:space="preserve"> </w:t>
            </w:r>
            <w:r>
              <w:rPr>
                <w:b/>
                <w:bCs/>
              </w:rPr>
              <w:t xml:space="preserve">behaviour</w:t>
            </w:r>
          </w:p>
        </w:tc>
      </w:tr>
      <w:tr>
        <w:tc>
          <w:tcPr/>
          <w:p>
            <w:pPr>
              <w:pStyle w:val="Compact"/>
              <w:jc w:val="left"/>
            </w:pPr>
            <w:r>
              <w:t xml:space="preserve">Vertex AI Vector Search — Private Service Connect connection modes</w:t>
            </w:r>
          </w:p>
        </w:tc>
        <w:tc>
          <w:tcPr/>
          <w:p>
            <w:pPr>
              <w:pStyle w:val="Compact"/>
              <w:jc w:val="left"/>
            </w:pPr>
            <w:r>
              <w:t xml:space="preserve">Google Cloud Vertex AI documentation</w:t>
            </w:r>
          </w:p>
        </w:tc>
        <w:tc>
          <w:tcPr/>
          <w:p>
            <w:pPr>
              <w:pStyle w:val="Compact"/>
              <w:jc w:val="left"/>
            </w:pPr>
            <w:r>
              <w:rPr>
                <w:b/>
                <w:bCs/>
              </w:rPr>
              <w:t xml:space="preserve">Flow 4 — Vector Search</w:t>
            </w:r>
          </w:p>
        </w:tc>
      </w:tr>
      <w:tr>
        <w:tc>
          <w:tcPr/>
          <w:p>
            <w:pPr>
              <w:pStyle w:val="Compact"/>
              <w:jc w:val="left"/>
            </w:pPr>
            <w:r>
              <w:t xml:space="preserve">Vertex AI Vector Search — filtering vector matches</w:t>
            </w:r>
          </w:p>
        </w:tc>
        <w:tc>
          <w:tcPr/>
          <w:p>
            <w:pPr>
              <w:pStyle w:val="Compact"/>
              <w:jc w:val="left"/>
            </w:pPr>
            <w:r>
              <w:t xml:space="preserve">Google Cloud Vertex AI documentation</w:t>
            </w:r>
          </w:p>
        </w:tc>
        <w:tc>
          <w:tcPr/>
          <w:p>
            <w:pPr>
              <w:pStyle w:val="Compact"/>
              <w:jc w:val="left"/>
            </w:pPr>
            <w:r>
              <w:rPr>
                <w:b/>
                <w:bCs/>
              </w:rPr>
              <w:t xml:space="preserve">Vector Search and retrieval-time isolation</w:t>
            </w:r>
          </w:p>
        </w:tc>
      </w:tr>
      <w:tr>
        <w:tc>
          <w:tcPr/>
          <w:p>
            <w:pPr>
              <w:pStyle w:val="Compact"/>
              <w:jc w:val="left"/>
            </w:pPr>
            <w:r>
              <w:t xml:space="preserve">Cloud Logging — configuring log buckets and retention</w:t>
            </w:r>
          </w:p>
        </w:tc>
        <w:tc>
          <w:tcPr/>
          <w:p>
            <w:pPr>
              <w:pStyle w:val="Compact"/>
              <w:jc w:val="left"/>
            </w:pPr>
            <w:r>
              <w:t xml:space="preserve">Google Cloud Logging documentation</w:t>
            </w:r>
          </w:p>
        </w:tc>
        <w:tc>
          <w:tcPr/>
          <w:p>
            <w:pPr>
              <w:pStyle w:val="Compact"/>
              <w:jc w:val="left"/>
            </w:pPr>
            <w:r>
              <w:rPr>
                <w:b/>
                <w:bCs/>
              </w:rPr>
              <w:t xml:space="preserve">The log bucket</w:t>
            </w:r>
          </w:p>
        </w:tc>
      </w:tr>
      <w:tr>
        <w:tc>
          <w:tcPr/>
          <w:p>
            <w:pPr>
              <w:pStyle w:val="Compact"/>
              <w:jc w:val="left"/>
            </w:pPr>
            <w:r>
              <w:t xml:space="preserve">Cloud Logging —</w:t>
            </w:r>
            <w:r>
              <w:t xml:space="preserve"> </w:t>
            </w:r>
            <w:r>
              <w:rPr>
                <w:rStyle w:val="VerbatimChar"/>
              </w:rPr>
              <w:t xml:space="preserve">_Required</w:t>
            </w:r>
            <w:r>
              <w:t xml:space="preserve"> </w:t>
            </w:r>
            <w:r>
              <w:t xml:space="preserve">and</w:t>
            </w:r>
            <w:r>
              <w:t xml:space="preserve"> </w:t>
            </w:r>
            <w:r>
              <w:rPr>
                <w:rStyle w:val="VerbatimChar"/>
              </w:rPr>
              <w:t xml:space="preserve">_Default</w:t>
            </w:r>
            <w:r>
              <w:t xml:space="preserve"> </w:t>
            </w:r>
            <w:r>
              <w:t xml:space="preserve">log buckets</w:t>
            </w:r>
          </w:p>
        </w:tc>
        <w:tc>
          <w:tcPr/>
          <w:p>
            <w:pPr>
              <w:pStyle w:val="Compact"/>
              <w:jc w:val="left"/>
            </w:pPr>
            <w:r>
              <w:t xml:space="preserve">Google Cloud Logging documentation</w:t>
            </w:r>
          </w:p>
        </w:tc>
        <w:tc>
          <w:tcPr/>
          <w:p>
            <w:pPr>
              <w:pStyle w:val="Compact"/>
              <w:jc w:val="left"/>
            </w:pPr>
            <w:r>
              <w:rPr>
                <w:b/>
                <w:bCs/>
              </w:rPr>
              <w:t xml:space="preserve">Duplicate routing and log storage cost</w:t>
            </w:r>
          </w:p>
        </w:tc>
      </w:tr>
      <w:tr>
        <w:tc>
          <w:tcPr/>
          <w:p>
            <w:pPr>
              <w:pStyle w:val="Compact"/>
              <w:jc w:val="left"/>
            </w:pPr>
            <w:r>
              <w:t xml:space="preserve">Cloud Storage bucket lock and retention policies</w:t>
            </w:r>
          </w:p>
        </w:tc>
        <w:tc>
          <w:tcPr/>
          <w:p>
            <w:pPr>
              <w:pStyle w:val="Compact"/>
              <w:jc w:val="left"/>
            </w:pPr>
            <w:r>
              <w:t xml:space="preserve">Google Cloud Storage documentation</w:t>
            </w:r>
          </w:p>
        </w:tc>
        <w:tc>
          <w:tcPr/>
          <w:p>
            <w:pPr>
              <w:pStyle w:val="Compact"/>
              <w:jc w:val="left"/>
            </w:pPr>
            <w:r>
              <w:t xml:space="preserve">I11 (log bucket retention lock)</w:t>
            </w:r>
          </w:p>
        </w:tc>
      </w:tr>
      <w:tr>
        <w:tc>
          <w:tcPr/>
          <w:p>
            <w:pPr>
              <w:pStyle w:val="Compact"/>
              <w:jc w:val="left"/>
            </w:pPr>
            <w:r>
              <w:t xml:space="preserve">VPC Service Controls overview</w:t>
            </w:r>
          </w:p>
        </w:tc>
        <w:tc>
          <w:tcPr/>
          <w:p>
            <w:pPr>
              <w:pStyle w:val="Compact"/>
              <w:jc w:val="left"/>
            </w:pPr>
            <w:r>
              <w:t xml:space="preserve">Google Cloud documentation</w:t>
            </w:r>
          </w:p>
        </w:tc>
        <w:tc>
          <w:tcPr/>
          <w:p>
            <w:pPr>
              <w:pStyle w:val="Compact"/>
              <w:jc w:val="left"/>
            </w:pPr>
            <w:r>
              <w:rPr>
                <w:b/>
                <w:bCs/>
              </w:rPr>
              <w:t xml:space="preserve">VPC Service Controls</w:t>
            </w:r>
          </w:p>
        </w:tc>
      </w:tr>
      <w:tr>
        <w:tc>
          <w:tcPr/>
          <w:p>
            <w:pPr>
              <w:pStyle w:val="Compact"/>
              <w:jc w:val="left"/>
            </w:pPr>
            <w:r>
              <w:t xml:space="preserve">Secret Manager — secret rotation</w:t>
            </w:r>
          </w:p>
        </w:tc>
        <w:tc>
          <w:tcPr/>
          <w:p>
            <w:pPr>
              <w:pStyle w:val="Compact"/>
              <w:jc w:val="left"/>
            </w:pPr>
            <w:r>
              <w:t xml:space="preserve">Google Cloud Secret Manager documentation</w:t>
            </w:r>
          </w:p>
        </w:tc>
        <w:tc>
          <w:tcPr/>
          <w:p>
            <w:pPr>
              <w:pStyle w:val="Compact"/>
              <w:jc w:val="left"/>
            </w:pPr>
            <w:r>
              <w:rPr>
                <w:b/>
                <w:bCs/>
              </w:rPr>
              <w:t xml:space="preserve">Secrets management and rotation</w:t>
            </w:r>
          </w:p>
        </w:tc>
      </w:tr>
      <w:tr>
        <w:tc>
          <w:tcPr/>
          <w:p>
            <w:pPr>
              <w:pStyle w:val="Compact"/>
              <w:jc w:val="left"/>
            </w:pPr>
            <w:r>
              <w:t xml:space="preserve">Cloud Billing — programmatic budget notifications</w:t>
            </w:r>
          </w:p>
        </w:tc>
        <w:tc>
          <w:tcPr/>
          <w:p>
            <w:pPr>
              <w:pStyle w:val="Compact"/>
              <w:jc w:val="left"/>
            </w:pPr>
            <w:r>
              <w:t xml:space="preserve">Google Cloud Billing documentation</w:t>
            </w:r>
          </w:p>
        </w:tc>
        <w:tc>
          <w:tcPr/>
          <w:p>
            <w:pPr>
              <w:pStyle w:val="Compact"/>
              <w:jc w:val="left"/>
            </w:pPr>
            <w:r>
              <w:rPr>
                <w:b/>
                <w:bCs/>
              </w:rPr>
              <w:t xml:space="preserve">Budget thresholds and cost alerting</w:t>
            </w:r>
          </w:p>
        </w:tc>
      </w:tr>
      <w:tr>
        <w:tc>
          <w:tcPr/>
          <w:p>
            <w:pPr>
              <w:pStyle w:val="Compact"/>
              <w:jc w:val="left"/>
            </w:pPr>
            <w:r>
              <w:t xml:space="preserve">Workload Identity Federation</w:t>
            </w:r>
          </w:p>
        </w:tc>
        <w:tc>
          <w:tcPr/>
          <w:p>
            <w:pPr>
              <w:pStyle w:val="Compact"/>
              <w:jc w:val="left"/>
            </w:pPr>
            <w:r>
              <w:t xml:space="preserve">Google Cloud IAM documentation</w:t>
            </w:r>
          </w:p>
        </w:tc>
        <w:tc>
          <w:tcPr/>
          <w:p>
            <w:pPr>
              <w:pStyle w:val="Compact"/>
              <w:jc w:val="left"/>
            </w:pPr>
            <w:r>
              <w:rPr>
                <w:b/>
                <w:bCs/>
              </w:rPr>
              <w:t xml:space="preserve">Workload Identity Federation — GitLab CI</w:t>
            </w:r>
          </w:p>
        </w:tc>
      </w:tr>
      <w:tr>
        <w:tc>
          <w:tcPr/>
          <w:p>
            <w:pPr>
              <w:pStyle w:val="Compact"/>
              <w:jc w:val="left"/>
            </w:pPr>
            <w:r>
              <w:t xml:space="preserve">Binary Authorization</w:t>
            </w:r>
          </w:p>
        </w:tc>
        <w:tc>
          <w:tcPr/>
          <w:p>
            <w:pPr>
              <w:pStyle w:val="Compact"/>
              <w:jc w:val="left"/>
            </w:pPr>
            <w:r>
              <w:t xml:space="preserve">Google Cloud documentation</w:t>
            </w:r>
          </w:p>
        </w:tc>
        <w:tc>
          <w:tcPr/>
          <w:p>
            <w:pPr>
              <w:pStyle w:val="Compact"/>
              <w:jc w:val="left"/>
            </w:pPr>
            <w:r>
              <w:rPr>
                <w:b/>
                <w:bCs/>
              </w:rPr>
              <w:t xml:space="preserve">Artifact Registry and Binary Authorization</w:t>
            </w:r>
          </w:p>
        </w:tc>
      </w:tr>
      <w:tr>
        <w:tc>
          <w:tcPr/>
          <w:p>
            <w:pPr>
              <w:pStyle w:val="Compact"/>
              <w:jc w:val="left"/>
            </w:pPr>
            <w:r>
              <w:t xml:space="preserve">Mitigating compromised OAuth tokens</w:t>
            </w:r>
          </w:p>
        </w:tc>
        <w:tc>
          <w:tcPr/>
          <w:p>
            <w:pPr>
              <w:pStyle w:val="Compact"/>
              <w:jc w:val="left"/>
            </w:pPr>
            <w:r>
              <w:t xml:space="preserve">Google Cloud architecture guidance</w:t>
            </w:r>
          </w:p>
        </w:tc>
        <w:tc>
          <w:tcPr/>
          <w:p>
            <w:pPr>
              <w:pStyle w:val="Compact"/>
              <w:jc w:val="left"/>
            </w:pPr>
            <w:r>
              <w:rPr>
                <w:b/>
                <w:bCs/>
              </w:rPr>
              <w:t xml:space="preserve">Emergency termination — kill switch</w:t>
            </w:r>
          </w:p>
        </w:tc>
      </w:tr>
    </w:tbl>
    <w:p>
      <w:r>
        <w:pict>
          <v:rect style="width:0;height:1.5pt" o:hralign="center" o:hrstd="t" o:hr="t"/>
        </w:pict>
      </w:r>
    </w:p>
    <w:bookmarkEnd w:id="282"/>
    <w:bookmarkStart w:id="291" w:name="appendix-a-platform-limits-and-quotas"/>
    <w:p>
      <w:pPr>
        <w:pStyle w:val="Heading1"/>
      </w:pPr>
      <w:r>
        <w:t xml:space="preserve">Appendix A — Platform Limits and Quotas</w:t>
      </w:r>
    </w:p>
    <w:p>
      <w:pPr>
        <w:pStyle w:val="FirstParagraph"/>
      </w:pPr>
      <w:r>
        <w:t xml:space="preserve">The platform-imposed limits that this design is actually built against. Several are adjustable on request, and a request takes time — check the current value before go-live rather than assuming it still holds.</w:t>
      </w:r>
    </w:p>
    <w:bookmarkStart w:id="283" w:name="a.1-apigee"/>
    <w:p>
      <w:pPr>
        <w:pStyle w:val="Heading2"/>
      </w:pPr>
      <w:r>
        <w:t xml:space="preserve">A.1 Apigee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Limit</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Why it matters here</w:t>
            </w:r>
          </w:p>
        </w:tc>
      </w:tr>
      <w:tr>
        <w:tc>
          <w:tcPr/>
          <w:p>
            <w:pPr>
              <w:pStyle w:val="Compact"/>
              <w:jc w:val="left"/>
            </w:pPr>
            <w:r>
              <w:t xml:space="preserve">Request and response payload size</w:t>
            </w:r>
          </w:p>
        </w:tc>
        <w:tc>
          <w:tcPr/>
          <w:p>
            <w:pPr>
              <w:pStyle w:val="Compact"/>
              <w:jc w:val="left"/>
            </w:pPr>
            <w:r>
              <w:t xml:space="preserve">Platform default</w:t>
            </w:r>
          </w:p>
        </w:tc>
        <w:tc>
          <w:tcPr/>
          <w:p>
            <w:pPr>
              <w:pStyle w:val="Compact"/>
              <w:jc w:val="left"/>
            </w:pPr>
            <w:r>
              <w:t xml:space="preserve">The uploaded document itself never passes through Apigee — it is written to Cloud Storage directly, per</w:t>
            </w:r>
            <w:r>
              <w:t xml:space="preserve"> </w:t>
            </w:r>
            <w:r>
              <w:rPr>
                <w:b/>
                <w:bCs/>
              </w:rPr>
              <w:t xml:space="preserve">Asynchronous translation — Sandbox and Dev</w:t>
            </w:r>
            <w:r>
              <w:t xml:space="preserve">. This ceiling applies only to the JSON request and response bodies, prompts and model responses carried through the gateway</w:t>
            </w:r>
          </w:p>
        </w:tc>
      </w:tr>
      <w:tr>
        <w:tc>
          <w:tcPr/>
          <w:p>
            <w:pPr>
              <w:pStyle w:val="Compact"/>
              <w:jc w:val="left"/>
            </w:pPr>
            <w:r>
              <w:t xml:space="preserve">Key value map entry size and count</w:t>
            </w:r>
          </w:p>
        </w:tc>
        <w:tc>
          <w:tcPr/>
          <w:p>
            <w:pPr>
              <w:pStyle w:val="Compact"/>
              <w:jc w:val="left"/>
            </w:pPr>
            <w:r>
              <w:t xml:space="preserve">Platform default</w:t>
            </w:r>
          </w:p>
        </w:tc>
        <w:tc>
          <w:tcPr/>
          <w:p>
            <w:pPr>
              <w:pStyle w:val="Compact"/>
              <w:jc w:val="left"/>
            </w:pPr>
            <w:r>
              <w:t xml:space="preserve">Bounds</w:t>
            </w:r>
            <w:r>
              <w:t xml:space="preserve"> </w:t>
            </w:r>
            <w:r>
              <w:rPr>
                <w:rStyle w:val="VerbatimChar"/>
              </w:rPr>
              <w:t xml:space="preserve">group-to-bu</w:t>
            </w:r>
            <w:r>
              <w:t xml:space="preserve">,</w:t>
            </w:r>
            <w:r>
              <w:t xml:space="preserve"> </w:t>
            </w:r>
            <w:r>
              <w:rPr>
                <w:rStyle w:val="VerbatimChar"/>
              </w:rPr>
              <w:t xml:space="preserve">allowed-models</w:t>
            </w:r>
            <w:r>
              <w:t xml:space="preserve">,</w:t>
            </w:r>
            <w:r>
              <w:t xml:space="preserve"> </w:t>
            </w:r>
            <w:r>
              <w:rPr>
                <w:rStyle w:val="VerbatimChar"/>
              </w:rPr>
              <w:t xml:space="preserve">bu-armor-template</w:t>
            </w:r>
            <w:r>
              <w:t xml:space="preserve"> </w:t>
            </w:r>
            <w:r>
              <w:t xml:space="preserve">and</w:t>
            </w:r>
            <w:r>
              <w:t xml:space="preserve"> </w:t>
            </w:r>
            <w:r>
              <w:rPr>
                <w:rStyle w:val="VerbatimChar"/>
              </w:rPr>
              <w:t xml:space="preserve">backend-audiences</w:t>
            </w:r>
            <w:r>
              <w:t xml:space="preserve">, per</w:t>
            </w:r>
            <w:r>
              <w:t xml:space="preserve"> </w:t>
            </w:r>
            <w:r>
              <w:rPr>
                <w:b/>
                <w:bCs/>
              </w:rPr>
              <w:t xml:space="preserve">Runtime configuration objects</w:t>
            </w:r>
          </w:p>
        </w:tc>
      </w:tr>
      <w:tr>
        <w:tc>
          <w:tcPr/>
          <w:p>
            <w:pPr>
              <w:pStyle w:val="Compact"/>
              <w:jc w:val="left"/>
            </w:pPr>
            <w:r>
              <w:t xml:space="preserve">PSC NEG connections per project to an instance</w:t>
            </w:r>
          </w:p>
        </w:tc>
        <w:tc>
          <w:tcPr/>
          <w:p>
            <w:pPr>
              <w:pStyle w:val="Compact"/>
              <w:jc w:val="left"/>
            </w:pPr>
            <w:r>
              <w:t xml:space="preserve">100</w:t>
            </w:r>
          </w:p>
        </w:tc>
        <w:tc>
          <w:tcPr/>
          <w:p>
            <w:pPr>
              <w:pStyle w:val="Compact"/>
              <w:jc w:val="left"/>
            </w:pPr>
            <w:r>
              <w:t xml:space="preserve">The ceiling on the Apigee accept list, per</w:t>
            </w:r>
            <w:r>
              <w:t xml:space="preserve"> </w:t>
            </w:r>
            <w:r>
              <w:rPr>
                <w:b/>
                <w:bCs/>
              </w:rPr>
              <w:t xml:space="preserve">Flow 2 — Apigee northbound, the service endpoint</w:t>
            </w:r>
          </w:p>
        </w:tc>
      </w:tr>
      <w:tr>
        <w:tc>
          <w:tcPr/>
          <w:p>
            <w:pPr>
              <w:pStyle w:val="Compact"/>
              <w:jc w:val="left"/>
            </w:pPr>
            <w:r>
              <w:t xml:space="preserve">Quota counter scope</w:t>
            </w:r>
          </w:p>
        </w:tc>
        <w:tc>
          <w:tcPr/>
          <w:p>
            <w:pPr>
              <w:pStyle w:val="Compact"/>
              <w:jc w:val="left"/>
            </w:pPr>
            <w:r>
              <w:t xml:space="preserve">Per proxy, not per product</w:t>
            </w:r>
          </w:p>
        </w:tc>
        <w:tc>
          <w:tcPr/>
          <w:p>
            <w:pPr>
              <w:pStyle w:val="Compact"/>
              <w:jc w:val="left"/>
            </w:pPr>
            <w:r>
              <w:t xml:space="preserve">The reason the user API stays one proxy with conditional flows rather than one proxy per usecase, per D-25</w:t>
            </w:r>
          </w:p>
        </w:tc>
      </w:tr>
      <w:tr>
        <w:tc>
          <w:tcPr/>
          <w:p>
            <w:pPr>
              <w:pStyle w:val="Compact"/>
              <w:jc w:val="left"/>
            </w:pPr>
            <w:r>
              <w:t xml:space="preserve">Sub-minute quota intervals</w:t>
            </w:r>
          </w:p>
        </w:tc>
        <w:tc>
          <w:tcPr/>
          <w:p>
            <w:pPr>
              <w:pStyle w:val="Compact"/>
              <w:jc w:val="left"/>
            </w:pPr>
            <w:r>
              <w:t xml:space="preserve">The</w:t>
            </w:r>
            <w:r>
              <w:t xml:space="preserve"> </w:t>
            </w:r>
            <w:r>
              <w:rPr>
                <w:rStyle w:val="VerbatimChar"/>
              </w:rPr>
              <w:t xml:space="preserve">second</w:t>
            </w:r>
            <w:r>
              <w:t xml:space="preserve"> </w:t>
            </w:r>
            <w:r>
              <w:t xml:space="preserve">unit works only for non-distributed counters</w:t>
            </w:r>
          </w:p>
        </w:tc>
        <w:tc>
          <w:tcPr/>
          <w:p>
            <w:pPr>
              <w:pStyle w:val="Compact"/>
              <w:jc w:val="left"/>
            </w:pPr>
            <w:r>
              <w:rPr>
                <w:rStyle w:val="VerbatimChar"/>
              </w:rPr>
              <w:t xml:space="preserve">SpikeArrest</w:t>
            </w:r>
            <w:r>
              <w:t xml:space="preserve">, not a sub-minute</w:t>
            </w:r>
            <w:r>
              <w:t xml:space="preserve"> </w:t>
            </w:r>
            <w:r>
              <w:rPr>
                <w:rStyle w:val="VerbatimChar"/>
              </w:rPr>
              <w:t xml:space="preserve">Quota</w:t>
            </w:r>
            <w:r>
              <w:t xml:space="preserve"> </w:t>
            </w:r>
            <w:r>
              <w:t xml:space="preserve">interval, is the burst control, per</w:t>
            </w:r>
            <w:r>
              <w:t xml:space="preserve"> </w:t>
            </w:r>
            <w:r>
              <w:rPr>
                <w:b/>
                <w:bCs/>
              </w:rPr>
              <w:t xml:space="preserve">Rate limiting model</w:t>
            </w:r>
          </w:p>
        </w:tc>
      </w:tr>
      <w:tr>
        <w:tc>
          <w:tcPr/>
          <w:p>
            <w:pPr>
              <w:pStyle w:val="Compact"/>
              <w:jc w:val="left"/>
            </w:pPr>
            <w:r>
              <w:t xml:space="preserve">Organisation and instance provisioning time</w:t>
            </w:r>
          </w:p>
        </w:tc>
        <w:tc>
          <w:tcPr/>
          <w:p>
            <w:pPr>
              <w:pStyle w:val="Compact"/>
              <w:jc w:val="left"/>
            </w:pPr>
            <w:r>
              <w:t xml:space="preserve">30–45 minutes and a further 30–60 minutes</w:t>
            </w:r>
          </w:p>
        </w:tc>
        <w:tc>
          <w:tcPr/>
          <w:p>
            <w:pPr>
              <w:pStyle w:val="Compact"/>
              <w:jc w:val="left"/>
            </w:pPr>
            <w:r>
              <w:t xml:space="preserve">Why</w:t>
            </w:r>
            <w:r>
              <w:t xml:space="preserve"> </w:t>
            </w:r>
            <w:r>
              <w:rPr>
                <w:rStyle w:val="VerbatimChar"/>
              </w:rPr>
              <w:t xml:space="preserve">4-apigee</w:t>
            </w:r>
            <w:r>
              <w:t xml:space="preserve"> </w:t>
            </w:r>
            <w:r>
              <w:t xml:space="preserve">is a manual, gated Terraform stage, per</w:t>
            </w:r>
            <w:r>
              <w:t xml:space="preserve"> </w:t>
            </w:r>
            <w:r>
              <w:rPr>
                <w:b/>
                <w:bCs/>
              </w:rPr>
              <w:t xml:space="preserve">Terraform stage model</w:t>
            </w:r>
          </w:p>
        </w:tc>
      </w:tr>
    </w:tbl>
    <w:bookmarkEnd w:id="283"/>
    <w:bookmarkStart w:id="284" w:name="a.2-model-armor"/>
    <w:p>
      <w:pPr>
        <w:pStyle w:val="Heading2"/>
      </w:pPr>
      <w:r>
        <w:t xml:space="preserve">A.2 Model Armor</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Limit</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Why it matters here</w:t>
            </w:r>
          </w:p>
        </w:tc>
      </w:tr>
      <w:tr>
        <w:tc>
          <w:tcPr/>
          <w:p>
            <w:pPr>
              <w:pStyle w:val="Compact"/>
              <w:jc w:val="left"/>
            </w:pPr>
            <w:r>
              <w:t xml:space="preserve">API queries per minute per project</w:t>
            </w:r>
          </w:p>
        </w:tc>
        <w:tc>
          <w:tcPr/>
          <w:p>
            <w:pPr>
              <w:pStyle w:val="Compact"/>
              <w:jc w:val="left"/>
            </w:pPr>
            <w:r>
              <w:t xml:space="preserve">1,200</w:t>
            </w:r>
          </w:p>
        </w:tc>
        <w:tc>
          <w:tcPr/>
          <w:p>
            <w:pPr>
              <w:pStyle w:val="Compact"/>
              <w:jc w:val="left"/>
            </w:pPr>
            <w:r>
              <w:t xml:space="preserve">Screening a prompt plus its response is two calls, giving PR-17 (screened model calls, platform ceiling) of approximately 600 screened model calls per minute across every usecase</w:t>
            </w:r>
          </w:p>
        </w:tc>
      </w:tr>
      <w:tr>
        <w:tc>
          <w:tcPr/>
          <w:p>
            <w:pPr>
              <w:pStyle w:val="Compact"/>
              <w:jc w:val="left"/>
            </w:pPr>
            <w:r>
              <w:t xml:space="preserve">Tokens per filter — injection, jailbreak, responsible AI, CSAM</w:t>
            </w:r>
          </w:p>
        </w:tc>
        <w:tc>
          <w:tcPr/>
          <w:p>
            <w:pPr>
              <w:pStyle w:val="Compact"/>
              <w:jc w:val="left"/>
            </w:pPr>
            <w:r>
              <w:t xml:space="preserve">10,000</w:t>
            </w:r>
          </w:p>
        </w:tc>
        <w:tc>
          <w:tcPr/>
          <w:p>
            <w:pPr>
              <w:pStyle w:val="Compact"/>
              <w:jc w:val="left"/>
            </w:pPr>
            <w:r>
              <w:t xml:space="preserve">Content above this returns</w:t>
            </w:r>
            <w:r>
              <w:t xml:space="preserve"> </w:t>
            </w:r>
            <w:r>
              <w:rPr>
                <w:rStyle w:val="VerbatimChar"/>
              </w:rPr>
              <w:t xml:space="preserve">EXECUTION_SKIPPED</w:t>
            </w:r>
            <w:r>
              <w:t xml:space="preserve">, per</w:t>
            </w:r>
            <w:r>
              <w:t xml:space="preserve"> </w:t>
            </w:r>
            <w:r>
              <w:rPr>
                <w:b/>
                <w:bCs/>
              </w:rPr>
              <w:t xml:space="preserve">Limits and the</w:t>
            </w:r>
            <w:r>
              <w:rPr>
                <w:b/>
                <w:bCs/>
              </w:rPr>
              <w:t xml:space="preserve"> </w:t>
            </w:r>
            <w:r>
              <w:rPr>
                <w:rStyle w:val="VerbatimChar"/>
                <w:b/>
                <w:bCs/>
              </w:rPr>
              <w:t xml:space="preserve">EXECUTION_SKIPPED</w:t>
            </w:r>
            <w:r>
              <w:rPr>
                <w:b/>
                <w:bCs/>
              </w:rPr>
              <w:t xml:space="preserve"> </w:t>
            </w:r>
            <w:r>
              <w:rPr>
                <w:b/>
                <w:bCs/>
              </w:rPr>
              <w:t xml:space="preserve">behaviour</w:t>
            </w:r>
          </w:p>
        </w:tc>
      </w:tr>
      <w:tr>
        <w:tc>
          <w:tcPr/>
          <w:p>
            <w:pPr>
              <w:pStyle w:val="Compact"/>
              <w:jc w:val="left"/>
            </w:pPr>
            <w:r>
              <w:t xml:space="preserve">Tokens — sensitive-data filter</w:t>
            </w:r>
          </w:p>
        </w:tc>
        <w:tc>
          <w:tcPr/>
          <w:p>
            <w:pPr>
              <w:pStyle w:val="Compact"/>
              <w:jc w:val="left"/>
            </w:pPr>
            <w:r>
              <w:t xml:space="preserve">130,000</w:t>
            </w:r>
          </w:p>
        </w:tc>
        <w:tc>
          <w:tcPr/>
          <w:p>
            <w:pPr>
              <w:pStyle w:val="Compact"/>
              <w:jc w:val="left"/>
            </w:pPr>
            <w:r>
              <w:t xml:space="preserve">The higher ceiling for the Sensitive Data Protection filter specifically</w:t>
            </w:r>
          </w:p>
        </w:tc>
      </w:tr>
      <w:tr>
        <w:tc>
          <w:tcPr/>
          <w:p>
            <w:pPr>
              <w:pStyle w:val="Compact"/>
              <w:jc w:val="left"/>
            </w:pPr>
            <w:r>
              <w:t xml:space="preserve">Input size</w:t>
            </w:r>
          </w:p>
        </w:tc>
        <w:tc>
          <w:tcPr/>
          <w:p>
            <w:pPr>
              <w:pStyle w:val="Compact"/>
              <w:jc w:val="left"/>
            </w:pPr>
            <w:r>
              <w:t xml:space="preserve">4 MB, above which content is skipped entirely</w:t>
            </w:r>
          </w:p>
        </w:tc>
        <w:tc>
          <w:tcPr/>
          <w:p>
            <w:pPr>
              <w:pStyle w:val="Compact"/>
              <w:jc w:val="left"/>
            </w:pPr>
            <w:r>
              <w:t xml:space="preserve">A further, size-based trigger for</w:t>
            </w:r>
            <w:r>
              <w:t xml:space="preserve"> </w:t>
            </w:r>
            <w:r>
              <w:rPr>
                <w:rStyle w:val="VerbatimChar"/>
              </w:rPr>
              <w:t xml:space="preserve">EXECUTION_SKIPPED</w:t>
            </w:r>
            <w:r>
              <w:t xml:space="preserve"> </w:t>
            </w:r>
            <w:r>
              <w:t xml:space="preserve">alongside the token ceilings</w:t>
            </w:r>
          </w:p>
        </w:tc>
      </w:tr>
    </w:tbl>
    <w:bookmarkEnd w:id="284"/>
    <w:bookmarkStart w:id="285" w:name="a.3-vertex-ai"/>
    <w:p>
      <w:pPr>
        <w:pStyle w:val="Heading2"/>
      </w:pPr>
      <w:r>
        <w:t xml:space="preserve">A.3 Vertex AI</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Limit</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Why it matters here</w:t>
            </w:r>
          </w:p>
        </w:tc>
      </w:tr>
      <w:tr>
        <w:tc>
          <w:tcPr/>
          <w:p>
            <w:pPr>
              <w:pStyle w:val="Compact"/>
              <w:jc w:val="left"/>
            </w:pPr>
            <w:r>
              <w:t xml:space="preserve">Queries and tokens per minute, per project per region per model</w:t>
            </w:r>
          </w:p>
        </w:tc>
        <w:tc>
          <w:tcPr/>
          <w:p>
            <w:pPr>
              <w:pStyle w:val="Compact"/>
              <w:jc w:val="left"/>
            </w:pPr>
            <w:r>
              <w:t xml:space="preserve">Pooled across every usecase sharing</w:t>
            </w:r>
            <w:r>
              <w:t xml:space="preserve"> </w:t>
            </w:r>
            <w:r>
              <w:rPr>
                <w:rStyle w:val="VerbatimChar"/>
              </w:rPr>
              <w:t xml:space="preserve">gclt-aicoe-dev-llm</w:t>
            </w:r>
          </w:p>
        </w:tc>
        <w:tc>
          <w:tcPr/>
          <w:p>
            <w:pPr>
              <w:pStyle w:val="Compact"/>
              <w:jc w:val="left"/>
            </w:pPr>
            <w:r>
              <w:t xml:space="preserve">One runaway service can starve another, per R-15</w:t>
            </w:r>
          </w:p>
        </w:tc>
      </w:tr>
      <w:tr>
        <w:tc>
          <w:tcPr/>
          <w:p>
            <w:pPr>
              <w:pStyle w:val="Compact"/>
              <w:jc w:val="left"/>
            </w:pPr>
            <w:r>
              <w:t xml:space="preserve">Vector Search replicas</w:t>
            </w:r>
          </w:p>
        </w:tc>
        <w:tc>
          <w:tcPr/>
          <w:p>
            <w:pPr>
              <w:pStyle w:val="Compact"/>
              <w:jc w:val="left"/>
            </w:pPr>
            <w:r>
              <w:t xml:space="preserve">Minimum 2, this design</w:t>
            </w:r>
          </w:p>
        </w:tc>
        <w:tc>
          <w:tcPr/>
          <w:p>
            <w:pPr>
              <w:pStyle w:val="Compact"/>
              <w:jc w:val="left"/>
            </w:pPr>
            <w:r>
              <w:t xml:space="preserve">A single replica means a restart is an outage, per PR-18 (Vector Search availability)</w:t>
            </w:r>
          </w:p>
        </w:tc>
      </w:tr>
      <w:tr>
        <w:tc>
          <w:tcPr/>
          <w:p>
            <w:pPr>
              <w:pStyle w:val="Compact"/>
              <w:jc w:val="left"/>
            </w:pPr>
            <w:r>
              <w:t xml:space="preserve">Vector Search index deployment time</w:t>
            </w:r>
          </w:p>
        </w:tc>
        <w:tc>
          <w:tcPr/>
          <w:p>
            <w:pPr>
              <w:pStyle w:val="Compact"/>
              <w:jc w:val="left"/>
            </w:pPr>
            <w:r>
              <w:t xml:space="preserve">20 to 60 minutes</w:t>
            </w:r>
          </w:p>
        </w:tc>
        <w:tc>
          <w:tcPr/>
          <w:p>
            <w:pPr>
              <w:pStyle w:val="Compact"/>
              <w:jc w:val="left"/>
            </w:pPr>
            <w:r>
              <w:t xml:space="preserve">Scheduled ahead of when the index is needed, per</w:t>
            </w:r>
            <w:r>
              <w:t xml:space="preserve"> </w:t>
            </w:r>
            <w:r>
              <w:rPr>
                <w:b/>
                <w:bCs/>
              </w:rPr>
              <w:t xml:space="preserve">Vector Search and retrieval-time isolation</w:t>
            </w:r>
          </w:p>
        </w:tc>
      </w:tr>
    </w:tbl>
    <w:bookmarkEnd w:id="285"/>
    <w:bookmarkStart w:id="286" w:name="a.4-cloud-run"/>
    <w:p>
      <w:pPr>
        <w:pStyle w:val="Heading2"/>
      </w:pPr>
      <w:r>
        <w:t xml:space="preserve">A.4 Cloud Run</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Limit</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Why it matters here</w:t>
            </w:r>
          </w:p>
        </w:tc>
      </w:tr>
      <w:tr>
        <w:tc>
          <w:tcPr/>
          <w:p>
            <w:pPr>
              <w:pStyle w:val="Compact"/>
              <w:jc w:val="left"/>
            </w:pPr>
            <w:r>
              <w:t xml:space="preserve">Direct VPC egress addresses per instance</w:t>
            </w:r>
          </w:p>
        </w:tc>
        <w:tc>
          <w:tcPr/>
          <w:p>
            <w:pPr>
              <w:pStyle w:val="Compact"/>
              <w:jc w:val="left"/>
            </w:pPr>
            <w:r>
              <w:t xml:space="preserve">Approximately 2 at steady state, 4× at rollout peak</w:t>
            </w:r>
          </w:p>
        </w:tc>
        <w:tc>
          <w:tcPr/>
          <w:p>
            <w:pPr>
              <w:pStyle w:val="Compact"/>
              <w:jc w:val="left"/>
            </w:pPr>
            <w:r>
              <w:t xml:space="preserve">The arithmetic behind TR-21 (Cloud Run instance ceiling) of 127 instances across the workload subnet</w:t>
            </w:r>
          </w:p>
        </w:tc>
      </w:tr>
      <w:tr>
        <w:tc>
          <w:tcPr/>
          <w:p>
            <w:pPr>
              <w:pStyle w:val="Compact"/>
              <w:jc w:val="left"/>
            </w:pPr>
            <w:r>
              <w:t xml:space="preserve">Address retention after scale-down</w:t>
            </w:r>
          </w:p>
        </w:tc>
        <w:tc>
          <w:tcPr/>
          <w:p>
            <w:pPr>
              <w:pStyle w:val="Compact"/>
              <w:jc w:val="left"/>
            </w:pPr>
            <w:r>
              <w:t xml:space="preserve">Up to 20 minutes</w:t>
            </w:r>
          </w:p>
        </w:tc>
        <w:tc>
          <w:tcPr/>
          <w:p>
            <w:pPr>
              <w:pStyle w:val="Compact"/>
              <w:jc w:val="left"/>
            </w:pPr>
            <w:r>
              <w:t xml:space="preserve">The mechanism that creates rollout overlap and drives the 4× peak multiplier</w:t>
            </w:r>
          </w:p>
        </w:tc>
      </w:tr>
      <w:tr>
        <w:tc>
          <w:tcPr/>
          <w:p>
            <w:pPr>
              <w:pStyle w:val="Compact"/>
              <w:jc w:val="left"/>
            </w:pPr>
            <w:r>
              <w:t xml:space="preserve">Address reservation granularity</w:t>
            </w:r>
          </w:p>
        </w:tc>
        <w:tc>
          <w:tcPr/>
          <w:p>
            <w:pPr>
              <w:pStyle w:val="Compact"/>
              <w:jc w:val="left"/>
            </w:pPr>
            <w:r>
              <w:t xml:space="preserve">Blocks of 16</w:t>
            </w:r>
          </w:p>
        </w:tc>
        <w:tc>
          <w:tcPr/>
          <w:p>
            <w:pPr>
              <w:pStyle w:val="Compact"/>
              <w:jc w:val="left"/>
            </w:pPr>
            <w:r>
              <w:t xml:space="preserve">Relevant to how headroom is requested if the instance ceiling is ever raised</w:t>
            </w:r>
          </w:p>
        </w:tc>
      </w:tr>
      <w:tr>
        <w:tc>
          <w:tcPr/>
          <w:p>
            <w:pPr>
              <w:pStyle w:val="Compact"/>
              <w:jc w:val="left"/>
            </w:pPr>
            <w:r>
              <w:t xml:space="preserve">Minimum subnet size for direct VPC egress</w:t>
            </w:r>
          </w:p>
        </w:tc>
        <w:tc>
          <w:tcPr/>
          <w:p>
            <w:pPr>
              <w:pStyle w:val="Compact"/>
              <w:jc w:val="left"/>
            </w:pPr>
            <w:r>
              <w:rPr>
                <w:rStyle w:val="VerbatimChar"/>
              </w:rPr>
              <w:t xml:space="preserve">/26</w:t>
            </w:r>
          </w:p>
        </w:tc>
        <w:tc>
          <w:tcPr/>
          <w:p>
            <w:pPr>
              <w:pStyle w:val="Compact"/>
              <w:jc w:val="left"/>
            </w:pPr>
            <w:r>
              <w:rPr>
                <w:rStyle w:val="VerbatimChar"/>
              </w:rPr>
              <w:t xml:space="preserve">gclt-aicoe-dev-cloudrun-ew1</w:t>
            </w:r>
            <w:r>
              <w:t xml:space="preserve"> </w:t>
            </w:r>
            <w:r>
              <w:t xml:space="preserve">at</w:t>
            </w:r>
            <w:r>
              <w:t xml:space="preserve"> </w:t>
            </w:r>
            <w:r>
              <w:rPr>
                <w:rStyle w:val="VerbatimChar"/>
              </w:rPr>
              <w:t xml:space="preserve">/25</w:t>
            </w:r>
            <w:r>
              <w:t xml:space="preserve"> </w:t>
            </w:r>
            <w:r>
              <w:t xml:space="preserve">comfortably satisfies this</w:t>
            </w:r>
          </w:p>
        </w:tc>
      </w:tr>
      <w:tr>
        <w:tc>
          <w:tcPr/>
          <w:p>
            <w:pPr>
              <w:pStyle w:val="Compact"/>
              <w:jc w:val="left"/>
            </w:pPr>
            <w:r>
              <w:t xml:space="preserve">Request timeout</w:t>
            </w:r>
          </w:p>
        </w:tc>
        <w:tc>
          <w:tcPr/>
          <w:p>
            <w:pPr>
              <w:pStyle w:val="Compact"/>
              <w:jc w:val="left"/>
            </w:pPr>
            <w:r>
              <w:t xml:space="preserve">3,600 seconds maximum</w:t>
            </w:r>
          </w:p>
        </w:tc>
        <w:tc>
          <w:tcPr/>
          <w:p>
            <w:pPr>
              <w:pStyle w:val="Compact"/>
              <w:jc w:val="left"/>
            </w:pPr>
            <w:r>
              <w:t xml:space="preserve">600 s for the API services, 3,600 s for the worker, per PR-14 (Cloud Run request timeout)</w:t>
            </w:r>
          </w:p>
        </w:tc>
      </w:tr>
    </w:tbl>
    <w:bookmarkEnd w:id="286"/>
    <w:bookmarkStart w:id="287" w:name="a.5-firestore"/>
    <w:p>
      <w:pPr>
        <w:pStyle w:val="Heading2"/>
      </w:pPr>
      <w:r>
        <w:t xml:space="preserve">A.5 Firestore</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Limit</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Why it matters here</w:t>
            </w:r>
          </w:p>
        </w:tc>
      </w:tr>
      <w:tr>
        <w:tc>
          <w:tcPr/>
          <w:p>
            <w:pPr>
              <w:pStyle w:val="Compact"/>
              <w:jc w:val="left"/>
            </w:pPr>
            <w:r>
              <w:t xml:space="preserve">Sustained writes to a single document</w:t>
            </w:r>
          </w:p>
        </w:tc>
        <w:tc>
          <w:tcPr/>
          <w:p>
            <w:pPr>
              <w:pStyle w:val="Compact"/>
              <w:jc w:val="left"/>
            </w:pPr>
            <w:r>
              <w:t xml:space="preserve">Approximately 1 per second</w:t>
            </w:r>
          </w:p>
        </w:tc>
        <w:tc>
          <w:tcPr/>
          <w:p>
            <w:pPr>
              <w:pStyle w:val="Compact"/>
              <w:jc w:val="left"/>
            </w:pPr>
            <w:r>
              <w:t xml:space="preserve">The session document is written on every refresh and on</w:t>
            </w:r>
            <w:r>
              <w:t xml:space="preserve"> </w:t>
            </w:r>
            <w:r>
              <w:rPr>
                <w:rStyle w:val="VerbatimChar"/>
              </w:rPr>
              <w:t xml:space="preserve">last_seen_at</w:t>
            </w:r>
            <w:r>
              <w:t xml:space="preserve"> </w:t>
            </w:r>
            <w:r>
              <w:t xml:space="preserve">updates; TR-22 (Firestore session write throttling) throttles the latter to once per minute specifically because of this ceiling</w:t>
            </w:r>
          </w:p>
        </w:tc>
      </w:tr>
      <w:tr>
        <w:tc>
          <w:tcPr/>
          <w:p>
            <w:pPr>
              <w:pStyle w:val="Compact"/>
              <w:jc w:val="left"/>
            </w:pPr>
            <w:r>
              <w:t xml:space="preserve">Document size</w:t>
            </w:r>
          </w:p>
        </w:tc>
        <w:tc>
          <w:tcPr/>
          <w:p>
            <w:pPr>
              <w:pStyle w:val="Compact"/>
              <w:jc w:val="left"/>
            </w:pPr>
            <w:r>
              <w:t xml:space="preserve">1 MiB</w:t>
            </w:r>
          </w:p>
        </w:tc>
        <w:tc>
          <w:tcPr/>
          <w:p>
            <w:pPr>
              <w:pStyle w:val="Compact"/>
              <w:jc w:val="left"/>
            </w:pPr>
            <w:r>
              <w:t xml:space="preserve">Not a concern while the session document stays small, per</w:t>
            </w:r>
            <w:r>
              <w:t xml:space="preserve"> </w:t>
            </w:r>
            <w:r>
              <w:rPr>
                <w:b/>
                <w:bCs/>
              </w:rPr>
              <w:t xml:space="preserve">Session store — Firestore</w:t>
            </w:r>
          </w:p>
        </w:tc>
      </w:tr>
      <w:tr>
        <w:tc>
          <w:tcPr/>
          <w:p>
            <w:pPr>
              <w:pStyle w:val="Compact"/>
              <w:jc w:val="left"/>
            </w:pPr>
            <w:r>
              <w:t xml:space="preserve">TTL deletion lag</w:t>
            </w:r>
          </w:p>
        </w:tc>
        <w:tc>
          <w:tcPr/>
          <w:p>
            <w:pPr>
              <w:pStyle w:val="Compact"/>
              <w:jc w:val="left"/>
            </w:pPr>
            <w:r>
              <w:t xml:space="preserve">Up to 24 hours</w:t>
            </w:r>
          </w:p>
        </w:tc>
        <w:tc>
          <w:tcPr/>
          <w:p>
            <w:pPr>
              <w:pStyle w:val="Compact"/>
              <w:jc w:val="left"/>
            </w:pPr>
            <w:r>
              <w:t xml:space="preserve">Why TTL is housekeeping, not enforcement, per</w:t>
            </w:r>
            <w:r>
              <w:t xml:space="preserve"> </w:t>
            </w:r>
            <w:r>
              <w:rPr>
                <w:b/>
                <w:bCs/>
              </w:rPr>
              <w:t xml:space="preserve">The two Firestore limits that shape this design</w:t>
            </w:r>
          </w:p>
        </w:tc>
      </w:tr>
      <w:tr>
        <w:tc>
          <w:tcPr/>
          <w:p>
            <w:pPr>
              <w:pStyle w:val="Compact"/>
              <w:jc w:val="left"/>
            </w:pPr>
            <w:r>
              <w:t xml:space="preserve">Transaction contention</w:t>
            </w:r>
          </w:p>
        </w:tc>
        <w:tc>
          <w:tcPr/>
          <w:p>
            <w:pPr>
              <w:pStyle w:val="Compact"/>
              <w:jc w:val="left"/>
            </w:pPr>
            <w:r>
              <w:t xml:space="preserve">Platform default</w:t>
            </w:r>
          </w:p>
        </w:tc>
        <w:tc>
          <w:tcPr/>
          <w:p>
            <w:pPr>
              <w:pStyle w:val="Compact"/>
              <w:jc w:val="left"/>
            </w:pPr>
            <w:r>
              <w:t xml:space="preserve">Relevant to the refresh lease; the transaction is kept short deliberately, per</w:t>
            </w:r>
            <w:r>
              <w:t xml:space="preserve"> </w:t>
            </w:r>
            <w:r>
              <w:rPr>
                <w:b/>
                <w:bCs/>
              </w:rPr>
              <w:t xml:space="preserve">Refresh stampede</w:t>
            </w:r>
          </w:p>
        </w:tc>
      </w:tr>
    </w:tbl>
    <w:bookmarkEnd w:id="287"/>
    <w:bookmarkStart w:id="288" w:name="a.6-cloud-tasks"/>
    <w:p>
      <w:pPr>
        <w:pStyle w:val="Heading2"/>
      </w:pPr>
      <w:r>
        <w:t xml:space="preserve">A.6 Cloud Tasks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Limit</w:t>
            </w:r>
          </w:p>
        </w:tc>
        <w:tc>
          <w:tcPr>
            <w:shd w:val="clear" w:color="auto" w:fill="1F3864"/>
          </w:tcPr>
          <w:p>
            <w:pPr>
              <w:pStyle w:val="Compact"/>
              <w:jc w:val="left"/>
            </w:pPr>
            <w:r>
              <w:rPr>
                <w:b/>
                <w:color w:val="FFFFFF"/>
              </w:rPr>
              <w:t xml:space="preserve">Configured value</w:t>
            </w:r>
          </w:p>
        </w:tc>
        <w:tc>
          <w:tcPr>
            <w:shd w:val="clear" w:color="auto" w:fill="1F3864"/>
          </w:tcPr>
          <w:p>
            <w:pPr>
              <w:pStyle w:val="Compact"/>
              <w:jc w:val="left"/>
            </w:pPr>
            <w:r>
              <w:rPr>
                <w:b/>
                <w:color w:val="FFFFFF"/>
              </w:rPr>
              <w:t xml:space="preserve">Why it matters here</w:t>
            </w:r>
          </w:p>
        </w:tc>
      </w:tr>
      <w:tr>
        <w:tc>
          <w:tcPr/>
          <w:p>
            <w:pPr>
              <w:pStyle w:val="Compact"/>
              <w:jc w:val="left"/>
            </w:pPr>
            <w:r>
              <w:t xml:space="preserve">Task payload size</w:t>
            </w:r>
          </w:p>
        </w:tc>
        <w:tc>
          <w:tcPr/>
          <w:p>
            <w:pPr>
              <w:pStyle w:val="Compact"/>
              <w:jc w:val="left"/>
            </w:pPr>
            <w:r>
              <w:t xml:space="preserve">Job identifier only</w:t>
            </w:r>
          </w:p>
        </w:tc>
        <w:tc>
          <w:tcPr/>
          <w:p>
            <w:pPr>
              <w:pStyle w:val="Compact"/>
              <w:jc w:val="left"/>
            </w:pPr>
            <w:r>
              <w:t xml:space="preserve">Job detail is held in the Firestore</w:t>
            </w:r>
            <w:r>
              <w:t xml:space="preserve"> </w:t>
            </w:r>
            <w:r>
              <w:rPr>
                <w:rStyle w:val="VerbatimChar"/>
              </w:rPr>
              <w:t xml:space="preserve">jobs</w:t>
            </w:r>
            <w:r>
              <w:t xml:space="preserve"> </w:t>
            </w:r>
            <w:r>
              <w:t xml:space="preserve">document, not in the task payload, per</w:t>
            </w:r>
            <w:r>
              <w:t xml:space="preserve"> </w:t>
            </w:r>
            <w:r>
              <w:rPr>
                <w:b/>
                <w:bCs/>
              </w:rPr>
              <w:t xml:space="preserve">Cloud Tasks</w:t>
            </w:r>
          </w:p>
        </w:tc>
      </w:tr>
      <w:tr>
        <w:tc>
          <w:tcPr/>
          <w:p>
            <w:pPr>
              <w:pStyle w:val="Compact"/>
              <w:jc w:val="left"/>
            </w:pPr>
            <w:r>
              <w:t xml:space="preserve">Maximum dispatch rate</w:t>
            </w:r>
          </w:p>
        </w:tc>
        <w:tc>
          <w:tcPr/>
          <w:p>
            <w:pPr>
              <w:pStyle w:val="Compact"/>
              <w:jc w:val="left"/>
            </w:pPr>
            <w:r>
              <w:t xml:space="preserve">5 per second</w:t>
            </w:r>
          </w:p>
        </w:tc>
        <w:tc>
          <w:tcPr/>
          <w:p>
            <w:pPr>
              <w:pStyle w:val="Compact"/>
              <w:jc w:val="left"/>
            </w:pPr>
            <w:r>
              <w:t xml:space="preserve">The backpressure control for translation, per</w:t>
            </w:r>
            <w:r>
              <w:t xml:space="preserve"> </w:t>
            </w:r>
            <w:r>
              <w:rPr>
                <w:b/>
                <w:bCs/>
              </w:rPr>
              <w:t xml:space="preserve">Cloud Tasks</w:t>
            </w:r>
          </w:p>
        </w:tc>
      </w:tr>
      <w:tr>
        <w:tc>
          <w:tcPr/>
          <w:p>
            <w:pPr>
              <w:pStyle w:val="Compact"/>
              <w:jc w:val="left"/>
            </w:pPr>
            <w:r>
              <w:t xml:space="preserve">Maximum concurrent dispatches</w:t>
            </w:r>
          </w:p>
        </w:tc>
        <w:tc>
          <w:tcPr/>
          <w:p>
            <w:pPr>
              <w:pStyle w:val="Compact"/>
              <w:jc w:val="left"/>
            </w:pPr>
            <w:r>
              <w:t xml:space="preserve">10</w:t>
            </w:r>
          </w:p>
        </w:tc>
        <w:tc>
          <w:tcPr/>
          <w:p>
            <w:pPr>
              <w:pStyle w:val="Compact"/>
              <w:jc w:val="left"/>
            </w:pPr>
            <w:r>
              <w:t xml:space="preserve">Set deliberately alongside the dispatch rate</w:t>
            </w:r>
          </w:p>
        </w:tc>
      </w:tr>
      <w:tr>
        <w:tc>
          <w:tcPr/>
          <w:p>
            <w:pPr>
              <w:pStyle w:val="Compact"/>
              <w:jc w:val="left"/>
            </w:pPr>
            <w:r>
              <w:t xml:space="preserve">Maximum attempts / retry duration</w:t>
            </w:r>
          </w:p>
        </w:tc>
        <w:tc>
          <w:tcPr/>
          <w:p>
            <w:pPr>
              <w:pStyle w:val="Compact"/>
              <w:jc w:val="left"/>
            </w:pPr>
            <w:r>
              <w:t xml:space="preserve">3 attempts / 3,600 seconds</w:t>
            </w:r>
          </w:p>
        </w:tc>
        <w:tc>
          <w:tcPr/>
          <w:p>
            <w:pPr>
              <w:pStyle w:val="Compact"/>
              <w:jc w:val="left"/>
            </w:pPr>
            <w:r>
              <w:t xml:space="preserve">Interacts with quota exhaustion returning 429, per</w:t>
            </w:r>
            <w:r>
              <w:t xml:space="preserve"> </w:t>
            </w:r>
            <w:r>
              <w:rPr>
                <w:b/>
                <w:bCs/>
              </w:rPr>
              <w:t xml:space="preserve">Quota-exhaustion handling in long-running consumers</w:t>
            </w:r>
          </w:p>
        </w:tc>
      </w:tr>
    </w:tbl>
    <w:bookmarkEnd w:id="288"/>
    <w:bookmarkStart w:id="289" w:name="a.7-cloud-kms"/>
    <w:p>
      <w:pPr>
        <w:pStyle w:val="Heading2"/>
      </w:pPr>
      <w:r>
        <w:t xml:space="preserve">A.7 Cloud KMS</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Limit</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Why it matters here</w:t>
            </w:r>
          </w:p>
        </w:tc>
      </w:tr>
      <w:tr>
        <w:tc>
          <w:tcPr/>
          <w:p>
            <w:pPr>
              <w:pStyle w:val="Compact"/>
              <w:jc w:val="left"/>
            </w:pPr>
            <w:r>
              <w:t xml:space="preserve">Cryptographic operations per second</w:t>
            </w:r>
          </w:p>
        </w:tc>
        <w:tc>
          <w:tcPr/>
          <w:p>
            <w:pPr>
              <w:pStyle w:val="Compact"/>
              <w:jc w:val="left"/>
            </w:pPr>
            <w:r>
              <w:t xml:space="preserve">Platform default</w:t>
            </w:r>
          </w:p>
        </w:tc>
        <w:tc>
          <w:tcPr/>
          <w:p>
            <w:pPr>
              <w:pStyle w:val="Compact"/>
              <w:jc w:val="left"/>
            </w:pPr>
            <w:r>
              <w:t xml:space="preserve">A KMS call on every session read would consume this at the platform’s full request rate, which is why envelope encryption uses a cached, KMS-wrapped key instead, per TR-23 (no KMS round trip on the request path)</w:t>
            </w:r>
          </w:p>
        </w:tc>
      </w:tr>
    </w:tbl>
    <w:bookmarkEnd w:id="289"/>
    <w:bookmarkStart w:id="290" w:name="a.8-networking"/>
    <w:p>
      <w:pPr>
        <w:pStyle w:val="Heading2"/>
      </w:pPr>
      <w:r>
        <w:t xml:space="preserve">A.8 Networking</w:t>
      </w:r>
    </w:p>
    <w:tbl>
      <w:tblPr>
        <w:tblStyle w:val="TableGrid"/>
        <w:tblW w:type="pct" w:w="5000"/>
        <w:jc w:val="start"/>
        <w:tblLook w:firstRow="1" w:lastRow="0" w:firstColumn="0" w:lastColumn="0" w:noHBand="0" w:noVBand="0" w:val="0020"/>
      </w:tblPr>
      <w:tblGrid>
        <w:gridCol w:w="2640"/>
        <w:gridCol w:w="2640"/>
        <w:gridCol w:w="2640"/>
      </w:tblGrid>
      <w:tr>
        <w:trPr>
          <w:tblHeader w:val="true"/>
        </w:trPr>
        <w:tc>
          <w:tcPr>
            <w:shd w:val="clear" w:color="auto" w:fill="1F3864"/>
          </w:tcPr>
          <w:p>
            <w:pPr>
              <w:pStyle w:val="Compact"/>
              <w:jc w:val="left"/>
            </w:pPr>
            <w:r>
              <w:rPr>
                <w:b/>
                <w:color w:val="FFFFFF"/>
              </w:rPr>
              <w:t xml:space="preserve">Limit</w:t>
            </w:r>
          </w:p>
        </w:tc>
        <w:tc>
          <w:tcPr>
            <w:shd w:val="clear" w:color="auto" w:fill="1F3864"/>
          </w:tcPr>
          <w:p>
            <w:pPr>
              <w:pStyle w:val="Compact"/>
              <w:jc w:val="left"/>
            </w:pPr>
            <w:r>
              <w:rPr>
                <w:b/>
                <w:color w:val="FFFFFF"/>
              </w:rPr>
              <w:t xml:space="preserve">Value</w:t>
            </w:r>
          </w:p>
        </w:tc>
        <w:tc>
          <w:tcPr>
            <w:shd w:val="clear" w:color="auto" w:fill="1F3864"/>
          </w:tcPr>
          <w:p>
            <w:pPr>
              <w:pStyle w:val="Compact"/>
              <w:jc w:val="left"/>
            </w:pPr>
            <w:r>
              <w:rPr>
                <w:b/>
                <w:color w:val="FFFFFF"/>
              </w:rPr>
              <w:t xml:space="preserve">Why it matters here</w:t>
            </w:r>
          </w:p>
        </w:tc>
      </w:tr>
      <w:tr>
        <w:tc>
          <w:tcPr/>
          <w:p>
            <w:pPr>
              <w:pStyle w:val="Compact"/>
              <w:jc w:val="left"/>
            </w:pPr>
            <w:r>
              <w:t xml:space="preserve">Active proxy-only subnets per region per VPC</w:t>
            </w:r>
          </w:p>
        </w:tc>
        <w:tc>
          <w:tcPr/>
          <w:p>
            <w:pPr>
              <w:pStyle w:val="Compact"/>
              <w:jc w:val="left"/>
            </w:pPr>
            <w:r>
              <w:t xml:space="preserve">One</w:t>
            </w:r>
          </w:p>
        </w:tc>
        <w:tc>
          <w:tcPr/>
          <w:p>
            <w:pPr>
              <w:pStyle w:val="Compact"/>
              <w:jc w:val="left"/>
            </w:pPr>
            <w:r>
              <w:t xml:space="preserve">Both Development load balancers share</w:t>
            </w:r>
            <w:r>
              <w:t xml:space="preserve"> </w:t>
            </w:r>
            <w:r>
              <w:rPr>
                <w:rStyle w:val="VerbatimChar"/>
              </w:rPr>
              <w:t xml:space="preserve">gclt-aicoe-dev-proxy-ew1</w:t>
            </w:r>
            <w:r>
              <w:t xml:space="preserve">, per</w:t>
            </w:r>
            <w:r>
              <w:t xml:space="preserve"> </w:t>
            </w:r>
            <w:r>
              <w:rPr>
                <w:b/>
                <w:bCs/>
              </w:rPr>
              <w:t xml:space="preserve">Dev subnets</w:t>
            </w:r>
          </w:p>
        </w:tc>
      </w:tr>
      <w:tr>
        <w:tc>
          <w:tcPr/>
          <w:p>
            <w:pPr>
              <w:pStyle w:val="Compact"/>
              <w:jc w:val="left"/>
            </w:pPr>
            <w:r>
              <w:t xml:space="preserve">Usable addresses in</w:t>
            </w:r>
            <w:r>
              <w:t xml:space="preserve"> </w:t>
            </w:r>
            <w:r>
              <w:rPr>
                <w:rStyle w:val="VerbatimChar"/>
              </w:rPr>
              <w:t xml:space="preserve">gclt-aicoe-dev-cloudrun-ew1</w:t>
            </w:r>
            <w:r>
              <w:t xml:space="preserve"> </w:t>
            </w:r>
            <w:r>
              <w:t xml:space="preserve">(</w:t>
            </w:r>
            <w:r>
              <w:rPr>
                <w:rStyle w:val="VerbatimChar"/>
              </w:rPr>
              <w:t xml:space="preserve">192.168.4.0/23</w:t>
            </w:r>
            <w:r>
              <w:t xml:space="preserve">)</w:t>
            </w:r>
          </w:p>
        </w:tc>
        <w:tc>
          <w:tcPr/>
          <w:p>
            <w:pPr>
              <w:pStyle w:val="Compact"/>
              <w:jc w:val="left"/>
            </w:pPr>
            <w:r>
              <w:t xml:space="preserve">508</w:t>
            </w:r>
          </w:p>
        </w:tc>
        <w:tc>
          <w:tcPr/>
          <w:p>
            <w:pPr>
              <w:pStyle w:val="Compact"/>
              <w:jc w:val="left"/>
            </w:pPr>
            <w:r>
              <w:t xml:space="preserve">The binding constraint on TR-21 (Cloud Run instance ceiling)</w:t>
            </w:r>
          </w:p>
        </w:tc>
      </w:tr>
      <w:tr>
        <w:tc>
          <w:tcPr/>
          <w:p>
            <w:pPr>
              <w:pStyle w:val="Compact"/>
              <w:jc w:val="left"/>
            </w:pPr>
            <w:r>
              <w:t xml:space="preserve">PSC endpoint address placement</w:t>
            </w:r>
          </w:p>
        </w:tc>
        <w:tc>
          <w:tcPr/>
          <w:p>
            <w:pPr>
              <w:pStyle w:val="Compact"/>
              <w:jc w:val="left"/>
            </w:pPr>
            <w:r>
              <w:t xml:space="preserve">An internal IPv4 address from a regular subnet in the same region as the producer’s service attachment</w:t>
            </w:r>
          </w:p>
        </w:tc>
        <w:tc>
          <w:tcPr/>
          <w:p>
            <w:pPr>
              <w:pStyle w:val="Compact"/>
              <w:jc w:val="left"/>
            </w:pPr>
            <w:r>
              <w:t xml:space="preserve">Governs where the Apigee and Google-APIs PSC addresses can sit</w:t>
            </w:r>
          </w:p>
        </w:tc>
      </w:tr>
      <w:tr>
        <w:tc>
          <w:tcPr/>
          <w:p>
            <w:pPr>
              <w:pStyle w:val="Compact"/>
              <w:jc w:val="left"/>
            </w:pPr>
            <w:r>
              <w:t xml:space="preserve">Global PSC address for Google APIs</w:t>
            </w:r>
          </w:p>
        </w:tc>
        <w:tc>
          <w:tcPr/>
          <w:p>
            <w:pPr>
              <w:pStyle w:val="Compact"/>
              <w:jc w:val="left"/>
            </w:pPr>
            <w:r>
              <w:t xml:space="preserve">Must not sit inside any subnet</w:t>
            </w:r>
          </w:p>
        </w:tc>
        <w:tc>
          <w:tcPr/>
          <w:p>
            <w:pPr>
              <w:pStyle w:val="Compact"/>
              <w:jc w:val="left"/>
            </w:pPr>
            <w:r>
              <w:t xml:space="preserve">Why</w:t>
            </w:r>
            <w:r>
              <w:t xml:space="preserve"> </w:t>
            </w:r>
            <w:r>
              <w:rPr>
                <w:rStyle w:val="VerbatimChar"/>
              </w:rPr>
              <w:t xml:space="preserve">192.168.6.160/28</w:t>
            </w:r>
            <w:r>
              <w:t xml:space="preserve"> </w:t>
            </w:r>
            <w:r>
              <w:t xml:space="preserve">is deliberately left as unallocated space rather than a subnet, per</w:t>
            </w:r>
            <w:r>
              <w:t xml:space="preserve"> </w:t>
            </w:r>
            <w:r>
              <w:rPr>
                <w:b/>
                <w:bCs/>
              </w:rPr>
              <w:t xml:space="preserve">IP addressing plan</w:t>
            </w:r>
          </w:p>
        </w:tc>
      </w:tr>
    </w:tbl>
    <w:p>
      <w:r>
        <w:pict>
          <v:rect style="width:0;height:1.5pt" o:hralign="center" o:hrstd="t" o:hr="t"/>
        </w:pict>
      </w:r>
    </w:p>
    <w:bookmarkEnd w:id="290"/>
    <w:bookmarkEnd w:id="291"/>
    <w:sectPr>
      <w:headerReference r:id="rId9" w:type="even"/>
      <w:headerReference r:id="rId10" w:type="default"/>
      <w:headerReference r:id="rId11" w:type="first"/>
      <w:footerReference r:id="rId12" w:type="even"/>
      <w:footerReference r:id="rId13" w:type="default"/>
      <w:footerReference r:id="rId14" w:type="first"/>
      <w:type w:val="nextPage"/>
      <w:pgSz w:h="15840" w:orient="portrait" w:w="12240"/>
      <w:pgMar w:bottom="1440" w:footer="720" w:gutter="0" w:header="720" w:left="1440" w:right="1440" w:top="1440"/>
      <w:pgNumType w:fmt="decimal"/>
      <w:cols w:num="1"/>
      <w:formProt w:val="false"/>
      <w:textDirection w:val="lrTb"/>
      <w:docGrid w:charSpace="8192"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120"/>
      <w:gridCol w:w="3120"/>
      <w:gridCol w:w="3120"/>
    </w:tblGrid>
    <w:tr xmlns:wp14="http://schemas.microsoft.com/office/word/2010/wordml" w14:paraId="34CE0A41" wp14:textId="77777777">
      <w:trPr>
        <w:trHeight w:val="300" w:hRule="atLeast"/>
      </w:trPr>
      <w:tc>
        <w:tcPr>
          <w:tcW w:w="3120" w:type="dxa"/>
          <w:tcBorders/>
        </w:tcPr>
        <w:p w14:paraId="62EBF3C5" wp14:textId="77777777">
          <w:pPr>
            <w:pStyle w:val="Header"/>
            <w:ind w:left="-115"/>
            <w:rPr/>
          </w:pPr>
          <w:r>
            <w:rPr/>
          </w:r>
        </w:p>
      </w:tc>
      <w:tc>
        <w:tcPr>
          <w:tcW w:w="3120" w:type="dxa"/>
          <w:tcBorders/>
        </w:tcPr>
        <w:p w14:paraId="6D98A12B" wp14:textId="77777777">
          <w:pPr>
            <w:pStyle w:val="Header"/>
            <w:jc w:val="center"/>
            <w:rPr/>
          </w:pPr>
          <w:r>
            <w:rPr/>
          </w:r>
        </w:p>
      </w:tc>
      <w:tc>
        <w:tcPr>
          <w:tcW w:w="3120" w:type="dxa"/>
          <w:tcBorders/>
        </w:tcPr>
        <w:p w14:paraId="2946DB82" wp14:textId="77777777">
          <w:pPr>
            <w:pStyle w:val="Header"/>
            <w:ind w:right="-115"/>
            <w:jc w:val="right"/>
            <w:rPr/>
          </w:pPr>
          <w:r>
            <w:rPr/>
          </w:r>
        </w:p>
      </w:tc>
    </w:tr>
  </w:tbl>
  <w:p xmlns:wp14="http://schemas.microsoft.com/office/word/2010/wordml" w14:paraId="5997CC1D"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9350"/>
    </w:tblGrid>
    <w:tr xmlns:wp14="http://schemas.microsoft.com/office/word/2010/wordml" w14:paraId="794AEF18" wp14:textId="77777777">
      <w:trPr>
        <w:trHeight w:val="300" w:hRule="atLeast"/>
      </w:trPr>
      <w:tc>
        <w:tcPr>
          <w:tcW w:w="9350" w:type="dxa"/>
          <w:tcBorders/>
          <w:shd w:val="clear" w:color="auto" w:fill="0B5394"/>
          <w:vAlign w:val="center"/>
        </w:tcPr>
        <w:p w14:paraId="5BEB59C0" wp14:textId="77777777">
          <w:pPr>
            <w:pStyle w:val="Footer"/>
            <w:widowControl/>
            <w:suppressAutoHyphens w:val="true"/>
            <w:spacing w:before="0" w:after="0"/>
            <w:jc w:val="center"/>
            <w:rPr>
              <w:b/>
              <w:bCs/>
              <w:color w:val="FFFFFF" w:themeColor="background1"/>
              <w:sz w:val="18"/>
              <w:szCs w:val="18"/>
            </w:rPr>
          </w:pPr>
          <w:r>
            <w:rPr>
              <w:rFonts w:eastAsia="Aptos" w:cs="Aptos"/>
              <w:b/>
              <w:bCs/>
              <w:color w:val="FFFFFF" w:themeColor="background1"/>
              <w:kern w:val="0"/>
              <w:sz w:val="18"/>
              <w:szCs w:val="18"/>
              <w:lang w:val="en-US" w:eastAsia="ja-JP" w:bidi="ar-SA"/>
            </w:rPr>
            <w:t>Internal — Restricted   |   AICOE GCP Multi-Env LLD   |   July 2026</w:t>
          </w:r>
        </w:p>
      </w:tc>
    </w:tr>
  </w:tbl>
  <w:p xmlns:wp14="http://schemas.microsoft.com/office/word/2010/wordml" w14:paraId="110FFD37" wp14:textId="77777777">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9350"/>
    </w:tblGrid>
    <w:tr xmlns:wp14="http://schemas.microsoft.com/office/word/2010/wordml" w14:paraId="76B046F9" wp14:textId="77777777">
      <w:trPr>
        <w:trHeight w:val="300" w:hRule="atLeast"/>
      </w:trPr>
      <w:tc>
        <w:tcPr>
          <w:tcW w:w="9350" w:type="dxa"/>
          <w:tcBorders/>
          <w:shd w:val="clear" w:color="auto" w:fill="0B5394"/>
          <w:vAlign w:val="center"/>
        </w:tcPr>
        <w:p w14:paraId="042DE653" wp14:textId="77777777">
          <w:pPr>
            <w:pStyle w:val="Footer"/>
            <w:widowControl/>
            <w:suppressAutoHyphens w:val="true"/>
            <w:spacing w:before="0" w:after="0"/>
            <w:jc w:val="center"/>
            <w:rPr>
              <w:b/>
              <w:bCs/>
              <w:color w:val="FFFFFF" w:themeColor="background1"/>
              <w:sz w:val="18"/>
              <w:szCs w:val="18"/>
            </w:rPr>
          </w:pPr>
          <w:r>
            <w:rPr>
              <w:rFonts w:eastAsia="Aptos" w:cs="Aptos"/>
              <w:b/>
              <w:bCs/>
              <w:color w:val="FFFFFF" w:themeColor="background1"/>
              <w:kern w:val="0"/>
              <w:sz w:val="18"/>
              <w:szCs w:val="18"/>
              <w:lang w:val="en-US" w:eastAsia="ja-JP" w:bidi="ar-SA"/>
            </w:rPr>
            <w:t>Internal — Restricted   |   AICOE GCP Multi-Env LLD   |   July 2026</w:t>
          </w:r>
        </w:p>
      </w:tc>
    </w:tr>
  </w:tbl>
  <w:p xmlns:wp14="http://schemas.microsoft.com/office/word/2010/wordml" w14:paraId="6B699379" wp14:textId="77777777">
    <w:pPr>
      <w:pStyle w:val="Footer"/>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120"/>
      <w:gridCol w:w="3120"/>
      <w:gridCol w:w="3120"/>
    </w:tblGrid>
    <w:tr xmlns:wp14="http://schemas.microsoft.com/office/word/2010/wordml" w14:paraId="3461D779" wp14:textId="77777777">
      <w:trPr>
        <w:trHeight w:val="300" w:hRule="atLeast"/>
      </w:trPr>
      <w:tc>
        <w:tcPr>
          <w:tcW w:w="3120" w:type="dxa"/>
          <w:tcBorders/>
        </w:tcPr>
        <w:p w14:paraId="3CF2D8B6" wp14:textId="77777777">
          <w:pPr>
            <w:pStyle w:val="Header"/>
            <w:ind w:left="-115"/>
            <w:rPr/>
          </w:pPr>
          <w:r>
            <w:rPr/>
          </w:r>
        </w:p>
      </w:tc>
      <w:tc>
        <w:tcPr>
          <w:tcW w:w="3120" w:type="dxa"/>
          <w:tcBorders/>
        </w:tcPr>
        <w:p w14:paraId="0FB78278" wp14:textId="77777777">
          <w:pPr>
            <w:pStyle w:val="Header"/>
            <w:jc w:val="center"/>
            <w:rPr/>
          </w:pPr>
          <w:r>
            <w:rPr/>
          </w:r>
        </w:p>
      </w:tc>
      <w:tc>
        <w:tcPr>
          <w:tcW w:w="3120" w:type="dxa"/>
          <w:tcBorders/>
        </w:tcPr>
        <w:p w14:paraId="1FC39945" wp14:textId="77777777">
          <w:pPr>
            <w:pStyle w:val="Header"/>
            <w:ind w:right="-115"/>
            <w:jc w:val="right"/>
            <w:rPr/>
          </w:pPr>
          <w:r>
            <w:rPr/>
          </w:r>
        </w:p>
      </w:tc>
    </w:tr>
  </w:tbl>
  <w:p xmlns:wp14="http://schemas.microsoft.com/office/word/2010/wordml" w14:paraId="0562CB0E"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p xmlns:wp14="http://schemas.microsoft.com/office/word/2010/wordml" w14:paraId="23FD6EC2" wp14:textId="77777777">
    <w:pPr>
      <w:pStyle w:val="Header"/>
      <w:rPr/>
    </w:pPr>
    <w:r>
      <w:rPr/>
      <w:t xml:space="preserve">      </w:t>
    </w:r>
    <w:r>
      <w:rPr/>
      <w:drawing>
        <wp:inline xmlns:wp14="http://schemas.microsoft.com/office/word/2010/wordprocessingDrawing" distT="0" distB="0" distL="0" distR="0" wp14:anchorId="368D891E" wp14:editId="7777777">
          <wp:extent cx="996950" cy="4286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
                  <a:stretch>
                    <a:fillRect/>
                  </a:stretch>
                </pic:blipFill>
                <pic:spPr bwMode="auto">
                  <a:xfrm>
                    <a:off x="0" y="0"/>
                    <a:ext cx="996950" cy="428625"/>
                  </a:xfrm>
                  <a:prstGeom prst="rect">
                    <a:avLst/>
                  </a:prstGeom>
                </pic:spPr>
              </pic:pic>
            </a:graphicData>
          </a:graphic>
        </wp:inline>
      </w:drawing>
    </w:r>
    <w:r>
      <w:rPr/>
      <w:t xml:space="preserve">                                                                                              </w:t>
    </w:r>
    <w:r>
      <w:rPr/>
      <w:drawing>
        <wp:inline xmlns:wp14="http://schemas.microsoft.com/office/word/2010/wordprocessingDrawing" distT="0" distB="0" distL="0" distR="0" wp14:anchorId="4E474C20" wp14:editId="7777777">
          <wp:extent cx="1819275" cy="5905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2"/>
                  <a:stretch>
                    <a:fillRect/>
                  </a:stretch>
                </pic:blipFill>
                <pic:spPr bwMode="auto">
                  <a:xfrm>
                    <a:off x="0" y="0"/>
                    <a:ext cx="1819275" cy="5905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p xmlns:wp14="http://schemas.microsoft.com/office/word/2010/wordml" w14:paraId="4D4A45CA" wp14:textId="77777777">
    <w:pPr>
      <w:pStyle w:val="Header"/>
      <w:rPr/>
    </w:pPr>
    <w:r>
      <w:rPr/>
      <w:t xml:space="preserve">      </w:t>
    </w:r>
    <w:r>
      <w:rPr/>
      <w:drawing>
        <wp:inline xmlns:wp14="http://schemas.microsoft.com/office/word/2010/wordprocessingDrawing" distT="0" distB="0" distL="0" distR="0" wp14:anchorId="23FF0258" wp14:editId="7777777">
          <wp:extent cx="996950" cy="428625"/>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
                  <a:stretch>
                    <a:fillRect/>
                  </a:stretch>
                </pic:blipFill>
                <pic:spPr bwMode="auto">
                  <a:xfrm>
                    <a:off x="0" y="0"/>
                    <a:ext cx="996950" cy="428625"/>
                  </a:xfrm>
                  <a:prstGeom prst="rect">
                    <a:avLst/>
                  </a:prstGeom>
                </pic:spPr>
              </pic:pic>
            </a:graphicData>
          </a:graphic>
        </wp:inline>
      </w:drawing>
    </w:r>
    <w:r>
      <w:rPr/>
      <w:t xml:space="preserve">                                                                                              </w:t>
    </w:r>
    <w:r>
      <w:rPr/>
      <w:drawing>
        <wp:inline xmlns:wp14="http://schemas.microsoft.com/office/word/2010/wordprocessingDrawing" distT="0" distB="0" distL="0" distR="0" wp14:anchorId="26F21414" wp14:editId="7777777">
          <wp:extent cx="1819275" cy="590550"/>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2"/>
                  <a:stretch>
                    <a:fillRect/>
                  </a:stretch>
                </pic:blipFill>
                <pic:spPr bwMode="auto">
                  <a:xfrm>
                    <a:off x="0" y="0"/>
                    <a:ext cx="1819275" cy="590550"/>
                  </a:xfrm>
                  <a:prstGeom prst="rect">
                    <a:avLst/>
                  </a:prstGeom>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nsid w:val="25d9c827"/>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nsid w:val="43f08e5e"/>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1"/>
  </w:num>
  <w:num w:numId="2">
    <w:abstractNumId w:val="2"/>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m:mathPr>
    <m:mathFont m:val="Cambria Math"/>
    <m:brkBin m:val="before"/>
    <m:brkBinSub m:val="--"/>
    <m:smallFrac m:val="0"/>
    <m:dispDef/>
    <m:lMargin m:val="0"/>
    <m:rMargin m:val="0"/>
    <m:wrapRight/>
    <m:intLim m:val="subSup"/>
    <m:naryLim m:val="undOvr"/>
  </m:mathPr>
  <w:themeFontLang w:bidi="ar-SA"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p14="http://schemas.microsoft.com/office/word/2010/wordprocessingDrawing" mc:Ignorable="w14 wp14">
  <w:docDefaults>
    <w:rPrDefault>
      <w:rPr>
        <w:rFonts w:ascii="Aptos" w:cs="Aptos" w:eastAsia="Aptos" w:hAnsi="Aptos"/>
        <w:lang w:bidi="ar-SA" w:eastAsia="ja-JP" w:val="en-US"/>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true"/>
      <w:bidi w:val="0"/>
      <w:spacing w:after="160" w:before="0" w:line="276" w:lineRule="auto"/>
      <w:jc w:val="left"/>
    </w:pPr>
    <w:rPr>
      <w:rFonts w:ascii="Aptos" w:cs="Aptos" w:eastAsia="Aptos" w:hAnsi="Aptos"/>
      <w:color w:val="auto"/>
      <w:kern w:val="0"/>
      <w:sz w:val="20"/>
      <w:szCs w:val="20"/>
      <w:lang w:bidi="ar-SA" w:eastAsia="ja-JP" w:val="en-US"/>
    </w:rPr>
  </w:style>
  <w:style w:styleId="Heading1" w:type="paragraph">
    <w:name w:val="heading 1"/>
    <w:basedOn w:val="Normal"/>
    <w:next w:val="Normal"/>
    <w:uiPriority w:val="9"/>
    <w:qFormat/>
    <w:rsid w:val="2aadda6a"/>
    <w:pPr>
      <w:keepNext w:val="true"/>
      <w:keepLines/>
      <w:spacing w:after="80" w:before="360"/>
      <w:outlineLvl w:val="0"/>
    </w:pPr>
    <w:rPr>
      <w:b/>
      <w:color w:val="0B5394"/>
      <w:sz w:val="36"/>
      <w:szCs w:val="36"/>
    </w:rPr>
  </w:style>
  <w:style w:styleId="Heading2" w:type="paragraph">
    <w:name w:val="heading 2"/>
    <w:basedOn w:val="Normal"/>
    <w:next w:val="Normal"/>
    <w:uiPriority w:val="9"/>
    <w:unhideWhenUsed/>
    <w:qFormat/>
    <w:rsid w:val="2aadda6a"/>
    <w:pPr>
      <w:keepNext w:val="true"/>
      <w:keepLines/>
      <w:spacing w:after="80" w:before="160"/>
      <w:outlineLvl w:val="1"/>
    </w:pPr>
    <w:rPr>
      <w:b/>
      <w:color w:val="0B5394"/>
      <w:sz w:val="28"/>
      <w:szCs w:val="28"/>
    </w:rPr>
  </w:style>
  <w:style w:styleId="Heading3" w:type="paragraph">
    <w:name w:val="heading 3"/>
    <w:basedOn w:val="Normal"/>
    <w:next w:val="Normal"/>
    <w:uiPriority w:val="9"/>
    <w:unhideWhenUsed/>
    <w:qFormat/>
    <w:rsid w:val="2aadda6a"/>
    <w:pPr>
      <w:keepNext w:val="true"/>
      <w:keepLines/>
      <w:spacing w:after="80" w:before="160"/>
      <w:outlineLvl w:val="2"/>
    </w:pPr>
    <w:rPr>
      <w:b/>
      <w:color w:val="0B5394"/>
      <w:sz w:val="24"/>
      <w:szCs w:val="24"/>
    </w:rPr>
  </w:style>
  <w:style w:default="1" w:styleId="DefaultParagraphFont" w:type="character">
    <w:name w:val="Default Paragraph Font"/>
    <w:uiPriority w:val="1"/>
    <w:semiHidden/>
    <w:unhideWhenUsed/>
    <w:qFormat/>
    <w:rPr/>
  </w:style>
  <w:style w:styleId="Hyperlink" w:type="character">
    <w:name w:val="Hyperlink"/>
    <w:basedOn w:val="DefaultParagraphFont"/>
    <w:uiPriority w:val="99"/>
    <w:unhideWhenUsed/>
    <w:rsid w:val="2aadda6a"/>
    <w:rPr>
      <w:color w:val="467886"/>
      <w:u w:val="single"/>
    </w:rPr>
  </w:style>
  <w:style w:styleId="IndexLink" w:type="character">
    <w:name w:val="Index Link"/>
    <w:qFormat/>
    <w:rPr/>
  </w:style>
  <w:style w:styleId="Heading" w:type="paragraph">
    <w:name w:val="Heading"/>
    <w:basedOn w:val="Normal"/>
    <w:next w:val="BodyText"/>
    <w:qFormat/>
    <w:pPr>
      <w:keepNext w:val="true"/>
      <w:spacing w:after="120" w:before="240"/>
    </w:pPr>
    <w:rPr>
      <w:rFonts w:ascii="Liberation Sans" w:cs="FreeSans" w:eastAsia="Noto Sans CJK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FreeSans"/>
    </w:rPr>
  </w:style>
  <w:style w:styleId="Caption" w:type="paragraph">
    <w:name w:val="Caption"/>
    <w:basedOn w:val="Normal"/>
    <w:qFormat/>
    <w:pPr>
      <w:suppressLineNumbers/>
      <w:spacing w:after="120" w:before="120"/>
    </w:pPr>
    <w:rPr>
      <w:rFonts w:cs="FreeSans"/>
      <w:i/>
      <w:iCs/>
      <w:sz w:val="24"/>
      <w:szCs w:val="24"/>
    </w:rPr>
  </w:style>
  <w:style w:styleId="Index" w:type="paragraph">
    <w:name w:val="Index"/>
    <w:basedOn w:val="Normal"/>
    <w:qFormat/>
    <w:pPr>
      <w:suppressLineNumbers/>
    </w:pPr>
    <w:rPr>
      <w:rFonts w:cs="FreeSans"/>
    </w:rPr>
  </w:style>
  <w:style w:styleId="HeaderandFooter" w:type="paragraph">
    <w:name w:val="Header and Footer"/>
    <w:basedOn w:val="Normal"/>
    <w:qFormat/>
    <w:pPr/>
    <w:rPr/>
  </w:style>
  <w:style w:styleId="Header" w:type="paragraph">
    <w:name w:val="header"/>
    <w:basedOn w:val="Normal"/>
    <w:uiPriority w:val="99"/>
    <w:unhideWhenUsed/>
    <w:rsid w:val="2aadda6a"/>
    <w:pPr>
      <w:tabs>
        <w:tab w:pos="720" w:val="clear"/>
        <w:tab w:leader="none" w:pos="4680" w:val="center"/>
        <w:tab w:leader="none" w:pos="9360" w:val="right"/>
      </w:tabs>
      <w:spacing w:after="0" w:before="0" w:line="240" w:lineRule="auto"/>
    </w:pPr>
    <w:rPr/>
  </w:style>
  <w:style w:styleId="Footer" w:type="paragraph">
    <w:name w:val="footer"/>
    <w:basedOn w:val="Normal"/>
    <w:uiPriority w:val="99"/>
    <w:unhideWhenUsed/>
    <w:rsid w:val="2aadda6a"/>
    <w:pPr>
      <w:tabs>
        <w:tab w:pos="720" w:val="clear"/>
        <w:tab w:leader="none" w:pos="4680" w:val="center"/>
        <w:tab w:leader="none" w:pos="9360" w:val="right"/>
      </w:tabs>
      <w:spacing w:after="0" w:before="0" w:line="240" w:lineRule="auto"/>
    </w:pPr>
    <w:rPr/>
  </w:style>
  <w:style w:styleId="TOC1" w:type="paragraph">
    <w:name w:val="toc 1"/>
    <w:basedOn w:val="Normal"/>
    <w:next w:val="Normal"/>
    <w:uiPriority w:val="39"/>
    <w:unhideWhenUsed/>
    <w:rsid w:val="2aadda6a"/>
    <w:pPr>
      <w:spacing w:after="100" w:before="0"/>
    </w:pPr>
    <w:rPr/>
  </w:style>
  <w:style w:styleId="TOC2" w:type="paragraph">
    <w:name w:val="toc 2"/>
    <w:basedOn w:val="Normal"/>
    <w:next w:val="Normal"/>
    <w:uiPriority w:val="39"/>
    <w:unhideWhenUsed/>
    <w:rsid w:val="2aadda6a"/>
    <w:pPr>
      <w:spacing w:after="100" w:before="0"/>
      <w:ind w:left="220"/>
    </w:pPr>
    <w:rPr/>
  </w:style>
  <w:style w:styleId="TOC3" w:type="paragraph">
    <w:name w:val="toc 3"/>
    <w:basedOn w:val="Normal"/>
    <w:next w:val="Normal"/>
    <w:uiPriority w:val="39"/>
    <w:unhideWhenUsed/>
    <w:rsid w:val="2aadda6a"/>
    <w:pPr>
      <w:spacing w:after="100" w:before="0"/>
      <w:ind w:left="440"/>
    </w:pPr>
    <w:rPr/>
  </w:style>
  <w:style w:styleId="ListParagraph" w:type="paragraph">
    <w:name w:val="List Paragraph"/>
    <w:basedOn w:val="Normal"/>
    <w:uiPriority w:val="34"/>
    <w:qFormat/>
    <w:rsid w:val="2aadda6a"/>
    <w:pPr>
      <w:spacing w:after="160" w:before="0"/>
      <w:ind w:left="720"/>
      <w:contextualSpacing/>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4-Accent1" w:type="table">
    <w:name w:val="Grid Table 4 Accent 1"/>
    <w:basedOn w:val="TableNormal"/>
    <w:uiPriority w:val="49"/>
    <w:pPr>
      <w:spacing w:after="0" w:line="240" w:lineRule="auto"/>
    </w:p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insideV w:color="45B0E1" w:space="0" w:sz="4" w:themeColor="accent1" w:themeTint="99" w:val="single"/>
      </w:tblBorders>
    </w:tblPr>
    <w:tblStylePr w:type="firstRow">
      <w:rPr>
        <w:b/>
        <w:bCs/>
        <w:color w:themeColor="background1" w:val="FFFFFF"/>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val="nil"/>
          <w:insideV w:val="nil"/>
        </w:tcBorders>
        <w:shd w:color="auto" w:fill="156082" w:themeFill="accent1" w:val="clear"/>
      </w:tcPr>
    </w:tblStylePr>
    <w:tblStylePr w:type="lastRow">
      <w:rPr>
        <w:b/>
        <w:bCs/>
      </w:rPr>
      <w:tblPr/>
      <w:tcPr>
        <w:tcBorders>
          <w:top w:color="156082" w:space="0" w:sz="4" w:themeColor="accent1" w:val="double"/>
        </w:tcBorders>
      </w:tcPr>
    </w:tblStylePr>
    <w:tblStylePr w:type="firstCol">
      <w:rPr>
        <w:b/>
        <w:bCs/>
      </w:rPr>
      <w:tblPr/>
    </w:tblStylePr>
    <w:tblStylePr w:type="lastCol">
      <w:rPr>
        <w:b/>
        <w:bCs/>
      </w:rPr>
      <w:tbl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Compact">
    <w:name w:val="Compact"/>
    <w:basedOn w:val="Normal"/>
    <w:qFormat/>
    <w:pPr>
      <w:spacing w:before="0" w:after="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 Type="http://schemas.openxmlformats.org/officeDocument/2006/relationships/image" Id="rId133" Target="media/rId133.png" /><Relationship Type="http://schemas.openxmlformats.org/officeDocument/2006/relationships/image" Id="rId111" Target="media/rId111.png" /><Relationship Type="http://schemas.openxmlformats.org/officeDocument/2006/relationships/image" Id="rId143" Target="media/rId143.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233" Target="media/rId233.png" /><Relationship Type="http://schemas.openxmlformats.org/officeDocument/2006/relationships/image" Id="rId90" Target="media/rId90.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258" Target="media/rId258.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Low-Level Design Document — AICOE GCP Infrastructure</dc:title>
  <dc:creator>AI CoE Platform Team</dc:creator>
  <cp:keywords/>
  <dcterms:created xsi:type="dcterms:W3CDTF">2026-08-10T20:05:26Z</dcterms:created>
  <dcterms:modified xsi:type="dcterms:W3CDTF">2026-08-10T20:05:26Z</dcterms:modified>
</cp:coreProperties>
</file>

<file path=docProps/custom.xml><?xml version="1.0" encoding="utf-8"?>
<Properties xmlns="http://schemas.openxmlformats.org/officeDocument/2006/custom-properties" xmlns:vt="http://schemas.openxmlformats.org/officeDocument/2006/docPropsVTypes"/>
</file>