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Hospital Readmission Prediction</w:t>
        <w:br/>
        <w:t>Speaker Notes &amp; Presentation Script</w:t>
      </w:r>
    </w:p>
    <w:p>
      <w:pPr>
        <w:jc w:val="center"/>
      </w:pPr>
      <w:r>
        <w:rPr>
          <w:b/>
          <w:color w:val="148B94"/>
        </w:rPr>
        <w:t>AI + Healthcare | Client / Hiring Manager Presentation | Target: 17–18 minutes</w:t>
      </w:r>
    </w:p>
    <w:p>
      <w:r>
        <w:t>Positioning: Healthcare AI Thinker → Solution Architect → ML Engineer → Value Creator. Use the script as a conversational guide, not a word-for-word speech. Timings include transitions and short pauses.</w:t>
      </w:r>
    </w:p>
    <w:p>
      <w:pPr>
        <w:pStyle w:val="Heading1"/>
      </w:pPr>
      <w:r>
        <w:t>Before you present</w:t>
      </w:r>
    </w:p>
    <w:p>
      <w:pPr>
        <w:pStyle w:val="ListBullet"/>
      </w:pPr>
      <w:r>
        <w:t>The deck is based on the repository and saved evaluation artifacts. Be clear that the results need reproducibility checks before being treated as validated performance.</w:t>
      </w:r>
    </w:p>
    <w:p>
      <w:pPr>
        <w:pStyle w:val="ListBullet"/>
      </w:pPr>
      <w:r>
        <w:t>The supplied training CSV has 150 rows; the separate test CSV has 130 rows. The saved classification report shows support of 130. Verify the exact training/evaluation workflow before describing the report as a clean independent holdout result.</w:t>
      </w:r>
    </w:p>
    <w:p>
      <w:pPr>
        <w:pStyle w:val="ListBullet"/>
      </w:pPr>
      <w:r>
        <w:t>The saved report shows accuracy 0.638, class 0 recall 0.238, class 1 recall 0.830, and macro F1 0.527. Explain that class-specific performance differs substantially.</w:t>
      </w:r>
    </w:p>
    <w:p>
      <w:pPr>
        <w:pStyle w:val="ListBullet"/>
      </w:pPr>
      <w:r>
        <w:t>Do not claim reduced readmissions, cost savings, clinical effectiveness, or production readiness. These are potential outcomes to evaluate, not demonstrated results.</w:t>
      </w:r>
    </w:p>
    <w:p>
      <w:pPr>
        <w:pStyle w:val="ListBullet"/>
      </w:pPr>
      <w:r>
        <w:t>Present this as a research/educational proof of concept. It is not a clinically validated decision tool.</w:t>
      </w:r>
    </w:p>
    <w:p>
      <w:pPr>
        <w:pStyle w:val="Heading1"/>
      </w:pPr>
      <w:r>
        <w:t>Slide 1: Hospital Readmission Prediction  |  1:00</w:t>
      </w:r>
    </w:p>
    <w:p>
      <w:r>
        <w:t>“Hello, and thank you for the opportunity to present this project.</w:t>
      </w:r>
    </w:p>
    <w:p>
      <w:r>
        <w:t>This is my Hospital Readmission Prediction System. It demonstrates how I approach a healthcare problem from both a technical and a strategic perspective.</w:t>
      </w:r>
    </w:p>
    <w:p>
      <w:r>
        <w:t>My objective is not just to train a model that predicts a label. I want to show how I define the problem, identify the data needed to investigate it, build an end-to-end machine-learning workflow, and decide what evidence is required before anyone should rely on the output.</w:t>
      </w:r>
    </w:p>
    <w:p>
      <w:r>
        <w:t>The prototype combines structured patient information with discharge-summary text, uses a LightGBM classifier, and exposes predictions through an API and user interfaces.</w:t>
      </w:r>
    </w:p>
    <w:p>
      <w:r>
        <w:t>I’ll cover the care problem, the solution architecture, what the current evaluation says, the risks I identified, and a practical path toward a controlled pilot. I will also distinguish what is implemented from what still needs validation.”</w:t>
      </w:r>
    </w:p>
    <w:p>
      <w:pPr>
        <w:pStyle w:val="Heading1"/>
      </w:pPr>
      <w:r>
        <w:t>Slide 2: The opportunity: anticipate readmission risk  |  1:20</w:t>
      </w:r>
    </w:p>
    <w:p>
      <w:r>
        <w:t>“Hospital readmission is an important healthcare and operational concern. When a patient returns to hospital, it may reflect clinical complexity, an ongoing care need, or an opportunity to improve discharge planning and follow-up. Not every readmission is preventable, so the goal should not be to treat every return as a failure.</w:t>
      </w:r>
    </w:p>
    <w:p>
      <w:r>
        <w:t>The opportunity explored here is whether information already available—such as age, diagnosis, medication count, lab results, prior admissions, length of stay, and discharge notes—can help identify patients who may need additional assessment or support after discharge.</w:t>
      </w:r>
    </w:p>
    <w:p>
      <w:r>
        <w:t>The prototype demonstrates an end-to-end workflow: feature preparation, a trained model, an API, and user interfaces. But technical functionality is only one part of the value proposition.</w:t>
      </w:r>
    </w:p>
    <w:p>
      <w:r>
        <w:t>For a client, the central question is: can a reliable risk signal lead to an appropriate action, such as a follow-up call, medication review, or care-coordination assessment? We would need clinical and operational stakeholders to define that action and validate its value.”</w:t>
      </w:r>
    </w:p>
    <w:p>
      <w:pPr>
        <w:pStyle w:val="Heading1"/>
      </w:pPr>
      <w:r>
        <w:t>Slide 3: Frame the care problem before choosing the model  |  1:35</w:t>
      </w:r>
    </w:p>
    <w:p>
      <w:r>
        <w:t>“I start with the decision, not the algorithm.</w:t>
      </w:r>
    </w:p>
    <w:p>
      <w:r>
        <w:t>The working problem statement is: how might we identify patients who may need additional support after discharge using patient history and discharge information?</w:t>
      </w:r>
    </w:p>
    <w:p>
      <w:r>
        <w:t>Before claiming this is the right use case, I would ask the care team a few questions. At what point should the prediction be made—during admission, at discharge, or after discharge? Who will use it? What intervention is available? How many patients can the team realistically follow up with? And what is the cost of a missed high-risk patient compared with an unnecessary alert?</w:t>
      </w:r>
    </w:p>
    <w:p>
      <w:r>
        <w:t>I would then investigate root-cause hypotheses. These might include prior admission patterns, medication complexity, unresolved clinical issues, incomplete discharge instructions, or gaps in follow-up. These are hypotheses to test, not causes established by the current dataset.</w:t>
      </w:r>
    </w:p>
    <w:p>
      <w:r>
        <w:t>This distinction matters because a risk model is useful only when it is connected to a real decision and an actionable care pathway. If the hospital cannot act on a flag, prediction alone may add workload without improving care.”</w:t>
      </w:r>
    </w:p>
    <w:p>
      <w:pPr>
        <w:pStyle w:val="Heading1"/>
      </w:pPr>
      <w:r>
        <w:t>Slide 4: Solution workflow: structured data plus discharge text  |  1:25</w:t>
      </w:r>
    </w:p>
    <w:p>
      <w:r>
        <w:t>“The workflow has four stages.</w:t>
      </w:r>
    </w:p>
    <w:p>
      <w:r>
        <w:t>First, the user supplies structured data: age, diagnosis, medication count, lab result, previous admissions, length of stay, and a discharge summary. Second, feature engineering creates additional variables, such as a derived admission-risk score, medication complexity, and flags based on selected thresholds. Third, the discharge summary is cleaned and converted into TF-IDF text features, which are combined with the structured features and passed to a LightGBM classifier. Finally, FastAPI returns a prediction, a probability, and a low, medium, or high risk band for the interface.</w:t>
      </w:r>
    </w:p>
    <w:p>
      <w:r>
        <w:t>This is a practical example of combining tabular machine learning with NLP-derived features.</w:t>
      </w:r>
    </w:p>
    <w:p>
      <w:r>
        <w:t>There is an important caveat: the risk bands use fixed probability cutoffs in the current code. Those cutoffs have not been shown to be clinically calibrated or appropriate for a real hospital. Before use, we would need to validate the probability estimates, select thresholds with stakeholders, and define what action each risk band should trigger.”</w:t>
      </w:r>
    </w:p>
    <w:p>
      <w:pPr>
        <w:pStyle w:val="Heading1"/>
      </w:pPr>
      <w:r>
        <w:t>Slide 5: Technical architecture  |  1:30</w:t>
      </w:r>
    </w:p>
    <w:p>
      <w:r>
        <w:t>“The project uses a modular full-stack design.</w:t>
      </w:r>
    </w:p>
    <w:p>
      <w:r>
        <w:t>The React and TypeScript interface captures patient inputs and displays the response. FastAPI exposes the prediction endpoint and validates the request schema. The router calls a service layer, which invokes the prediction implementation. The inference implementation loads the LightGBM model and the saved structured and text preprocessing artifacts. The repository also includes a Streamlit interface, evaluation reports, and MLflow-related experiment tracking.</w:t>
      </w:r>
    </w:p>
    <w:p>
      <w:r>
        <w:t>I value this separation because it makes the API, user interface, and model logic easier to evolve independently.</w:t>
      </w:r>
    </w:p>
    <w:p>
      <w:r>
        <w:t>The review also surfaced engineering questions that should be addressed before deployment. Several model and data paths are relative to the working directory, so execution context can affect reproducibility. We should test that training and inference use exactly the same feature transformations and artifact versions, add automated API and pipeline tests, and improve configuration, authentication, monitoring, and deployment controls.</w:t>
      </w:r>
    </w:p>
    <w:p>
      <w:r>
        <w:t>The architecture is a good prototype foundation; it is not evidence by itself of production readiness.”</w:t>
      </w:r>
    </w:p>
    <w:p>
      <w:pPr>
        <w:pStyle w:val="Heading1"/>
      </w:pPr>
      <w:r>
        <w:t>Slide 6: Model strategy and feature engineering  |  1:30</w:t>
      </w:r>
    </w:p>
    <w:p>
      <w:r>
        <w:t>“The current classifier is LightGBM. The feature pipeline processes numerical inputs with imputation and scaling, encodes categorical information, and transforms the discharge summary into TF-IDF features. It also creates a few engineered variables, including prior-admission and length-of-stay combinations, medication complexity, a chronic-condition flag, a lab-risk flag, and an age-based flag.</w:t>
      </w:r>
    </w:p>
    <w:p>
      <w:r>
        <w:t>These features are plausible candidates for investigation, but their clinical validity should not be assumed. For example, a single lab threshold may be inappropriate without knowing the lab test, units, and patient context.</w:t>
      </w:r>
    </w:p>
    <w:p>
      <w:r>
        <w:t>The next step is to compare LightGBM against simple baselines and alternative models. We should also confirm that every learned preprocessing step is fitted only on the training partition. In the current training code, feature preparation is performed before the train/test split, which can allow preprocessing information from the held-out rows to influence the feature representation. I would correct this by fitting the entire transformation pipeline only within the training data, then applying it unchanged to validation and test data.</w:t>
      </w:r>
    </w:p>
    <w:p>
      <w:r>
        <w:t>The best model is the one that generalizes and supports a meaningful decision—not necessarily the most complex one.”</w:t>
      </w:r>
    </w:p>
    <w:p>
      <w:pPr>
        <w:pStyle w:val="Heading1"/>
      </w:pPr>
      <w:r>
        <w:t>Slide 7: Data and evaluation: what the evidence says  |  1:50</w:t>
      </w:r>
    </w:p>
    <w:p>
      <w:r>
        <w:t>“This is the most important evidence slide.</w:t>
      </w:r>
    </w:p>
    <w:p>
      <w:r>
        <w:t>The training CSV contains 150 rows, with 108 positive readmission labels and 42 negative labels. The separate test CSV contains 130 rows. The repository’s saved classification report also has support of 130, and reports approximately 63.8 percent accuracy.</w:t>
      </w:r>
    </w:p>
    <w:p>
      <w:r>
        <w:t>However, the overall number hides a substantial difference between classes. For class 1, the report gives recall of about 0.830. For class 0, recall is only about 0.238. The macro F1 score is approximately 0.527.</w:t>
      </w:r>
    </w:p>
    <w:p>
      <w:r>
        <w:t>In practical terms, the model identifies a larger proportion of class 1 cases in this report, but misses many class 0 cases. We must first confirm how class labels map to the intended clinical meaning and verify the evaluation workflow before drawing a strong conclusion.</w:t>
      </w:r>
    </w:p>
    <w:p>
      <w:r>
        <w:t>There is another issue: the training script shown in the repository creates its own split, while the evaluation script loads a separate test CSV. The saved report’s 130-row support matches the separate test file, but the exact artifact provenance and preprocessing lifecycle should be reproduced before we call it a clean independent evaluation.</w:t>
      </w:r>
    </w:p>
    <w:p>
      <w:r>
        <w:t>My conclusion is not that the model is ready. It is that the current evidence identifies a clear validation priority: reproduce the evaluation, compare baselines, investigate class-specific errors, and confirm data provenance and representativeness.”</w:t>
      </w:r>
    </w:p>
    <w:p>
      <w:pPr>
        <w:pStyle w:val="Heading1"/>
      </w:pPr>
      <w:r>
        <w:t>Slide 8: My differentiator: think in workflows, evidence and trade-offs  |  1:20</w:t>
      </w:r>
    </w:p>
    <w:p>
      <w:r>
        <w:t>“This slide summarizes how I approach AI problem solving.</w:t>
      </w:r>
    </w:p>
    <w:p>
      <w:r>
        <w:t>First, define the user, the decision, and what success means. Second, diagnose root causes and test assumptions about the data and workflow. Third, challenge the default choice of AI by comparing rules, process changes, simpler models, and more complex approaches. Fourth, prove value through a pre-defined evaluation plan. Fifth, build in privacy, fairness, human oversight, and monitoring. Finally, scale only when evidence and operating readiness support it.</w:t>
      </w:r>
    </w:p>
    <w:p>
      <w:r>
        <w:t>For readmission prediction, I would not stop at asking, ‘Can we predict a readmission?’ I would ask, ‘Can we identify a group for whom an available intervention improves follow-up, and can we do so reliably and fairly?’</w:t>
      </w:r>
    </w:p>
    <w:p>
      <w:r>
        <w:t>That reframes the project from a model-building exercise into a decision-support initiative. It is the way I aim to contribute as a thinker and AI consultant: challenge assumptions, understand trade-offs, and link engineering decisions to a meaningful outcome.”</w:t>
      </w:r>
    </w:p>
    <w:p>
      <w:pPr>
        <w:pStyle w:val="Heading1"/>
      </w:pPr>
      <w:r>
        <w:t>Slide 9: Measure predictive quality and operational usefulness separately  |  1:25</w:t>
      </w:r>
    </w:p>
    <w:p>
      <w:r>
        <w:t>“I would evaluate the project in three layers.</w:t>
      </w:r>
    </w:p>
    <w:p>
      <w:r>
        <w:t>At the model layer, report precision, recall, F1 by class, macro F1, balanced accuracy, and a confusion matrix. Because the classes are imbalanced, overall accuracy alone is insufficient.</w:t>
      </w:r>
    </w:p>
    <w:p>
      <w:r>
        <w:t>At the probability layer, evaluate calibration. If the system says a group of patients has a certain predicted risk, the observed outcome rate should be consistent with that estimate before we treat it as a useful probability. The thresholds for low, medium, and high risk should be selected with clinical stakeholders and available follow-up capacity in mind.</w:t>
      </w:r>
    </w:p>
    <w:p>
      <w:r>
        <w:t>At the workflow layer, evaluate whether the flag changes care appropriately. Depending on the intended intervention, measures could include successful follow-up, time to follow-up, clinician acceptance, alert burden, and outcomes over an appropriate period. These measures need a baseline and a sound evaluation design.</w:t>
      </w:r>
    </w:p>
    <w:p>
      <w:r>
        <w:t>I would define acceptance thresholds before seeing the final results. I would not claim a reduction in readmissions or cost savings from this prototype; those are outcomes to investigate in a controlled pilot.”</w:t>
      </w:r>
    </w:p>
    <w:p>
      <w:pPr>
        <w:pStyle w:val="Heading1"/>
      </w:pPr>
      <w:r>
        <w:t>Slide 10: Responsible AI: safe and actionable care  |  1:20</w:t>
      </w:r>
    </w:p>
    <w:p>
      <w:r>
        <w:t>“A readmission risk score can influence how care teams prioritize their time, so safety and governance are essential.</w:t>
      </w:r>
    </w:p>
    <w:p>
      <w:r>
        <w:t>We need to define the intended population, prediction horizon, point in the care pathway, and responsible user. A high-risk flag should prompt an appropriate human assessment, not automatically dictate discharge, treatment, or access to services.</w:t>
      </w:r>
    </w:p>
    <w:p>
      <w:r>
        <w:t>We should test performance across relevant patient subgroups and investigate whether the model behaves differently because of data quality or representation. We also need to protect patient information, control access, and avoid putting sensitive clinical details into logs unnecessarily.</w:t>
      </w:r>
    </w:p>
    <w:p>
      <w:r>
        <w:t>The model must handle missing inputs and unfamiliar cases safely. After deployment, monitoring should track changes in input data, model performance, alert volume, and downstream workflow effects.</w:t>
      </w:r>
    </w:p>
    <w:p>
      <w:r>
        <w:t>The current project is a research or educational proof of concept. Clinical validity, regulatory readiness, and suitability for real patient-care decisions have not been established. That boundary is important to state clearly to any client.”</w:t>
      </w:r>
    </w:p>
    <w:p>
      <w:pPr>
        <w:pStyle w:val="Heading1"/>
      </w:pPr>
      <w:r>
        <w:t>Slide 11: A gated roadmap toward a controlled pilot  |  1:20</w:t>
      </w:r>
    </w:p>
    <w:p>
      <w:r>
        <w:t>“I propose four gated phases.</w:t>
      </w:r>
    </w:p>
    <w:p>
      <w:r>
        <w:t>Phase one is data and pipeline trust: verify data provenance, label definitions, patient-to-record matching, feature engineering, and the preprocessing lifecycle. Phase two is model validation: reproduce the saved metrics, compare simple baselines, examine calibration, analyze missed cases, and evaluate relevant subgroups. Phase three is engineering hardening: add tests, reliable configuration, API security, monitoring, and model versioning. Phase four is a controlled pilot designed with the care team, with a defined intervention and agreed outcome measures.</w:t>
      </w:r>
    </w:p>
    <w:p>
      <w:r>
        <w:t>The sequence is deliberately gated. If the data cannot support the intended use, we should stop and improve the data or reconsider the problem. If a simpler model performs comparably, we should prefer the simpler solution. If the prediction does not change a useful action, the workflow may need redesign.</w:t>
      </w:r>
    </w:p>
    <w:p>
      <w:r>
        <w:t>The business goal is not to deploy AI at any cost. It is to determine whether a reliable and operationally feasible intervention can improve care coordination enough to justify the effort.”</w:t>
      </w:r>
    </w:p>
    <w:p>
      <w:pPr>
        <w:pStyle w:val="Heading1"/>
      </w:pPr>
      <w:r>
        <w:t>Slide 12: Closing: validate the decision before scaling the prediction  |  1:00</w:t>
      </w:r>
    </w:p>
    <w:p>
      <w:r>
        <w:t>“To conclude, this project demonstrates an end-to-end healthcare ML foundation: structured feature engineering, NLP-based text features, a LightGBM classifier, a FastAPI service, React and Streamlit interfaces, and evaluation artifacts.</w:t>
      </w:r>
    </w:p>
    <w:p>
      <w:r>
        <w:t>The most valuable part of the work is also the critical assessment. The saved report indicates uneven performance across classes, and the training and evaluation pipeline needs to be reproduced and tightened before we rely on the reported results.</w:t>
      </w:r>
    </w:p>
    <w:p>
      <w:r>
        <w:t>I bring three perspectives: the thinker who frames the right problem and challenges assumptions; the architect who designs a maintainable solution; and the engineer who implements the pipeline and makes it testable.</w:t>
      </w:r>
    </w:p>
    <w:p>
      <w:r>
        <w:t>My proposed next step with a client would be to choose one clearly defined discharge or follow-up workflow, validate the data, agree on metrics and thresholds, and run a controlled evaluation with clinical and operational stakeholders.</w:t>
      </w:r>
    </w:p>
    <w:p>
      <w:r>
        <w:t>Thank you. I’d be happy to discuss the technical choices, the validation plan, or how I would adapt this approach to a real healthcare environment.”</w:t>
      </w:r>
    </w:p>
    <w:p>
      <w:pPr>
        <w:pStyle w:val="Heading1"/>
      </w:pPr>
      <w:r>
        <w:t>Suggested response to likely client / hiring-manager questions</w:t>
      </w:r>
    </w:p>
    <w:p>
      <w:r>
        <w:rPr>
          <w:b/>
          <w:color w:val="148B94"/>
        </w:rPr>
        <w:t>Is the model clinically validated?</w:t>
      </w:r>
    </w:p>
    <w:p>
      <w:r>
        <w:t>No. It is a research/educational proof of concept. Clinical validity has not been established.</w:t>
      </w:r>
    </w:p>
    <w:p>
      <w:r>
        <w:rPr>
          <w:b/>
          <w:color w:val="148B94"/>
        </w:rPr>
        <w:t>What performance did you observe?</w:t>
      </w:r>
    </w:p>
    <w:p>
      <w:r>
        <w:t>The saved report records about 63.8% accuracy on 130 cases, class 0 recall of about 0.238, class 1 recall of about 0.830, and macro F1 of about 0.527. I would verify the exact run, split and preprocessing provenance before treating these as validated generalization results.</w:t>
      </w:r>
    </w:p>
    <w:p>
      <w:r>
        <w:rPr>
          <w:b/>
          <w:color w:val="148B94"/>
        </w:rPr>
        <w:t>Why is class 0 recall low?</w:t>
      </w:r>
    </w:p>
    <w:p>
      <w:r>
        <w:t>That is a key error-analysis question. I would confirm the label mapping, inspect the confusion matrix and class distribution, compare baselines, review thresholds and investigate whether the data or features create class-specific bias.</w:t>
      </w:r>
    </w:p>
    <w:p>
      <w:r>
        <w:rPr>
          <w:b/>
          <w:color w:val="148B94"/>
        </w:rPr>
        <w:t>Why LightGBM and TF-IDF?</w:t>
      </w:r>
    </w:p>
    <w:p>
      <w:r>
        <w:t>They provide a practical baseline for mixed structured features and discharge text. I would compare this setup with structured-only models and simpler baselines, retaining text only if it adds reproducible value.</w:t>
      </w:r>
    </w:p>
    <w:p>
      <w:r>
        <w:rPr>
          <w:b/>
          <w:color w:val="148B94"/>
        </w:rPr>
        <w:t>What business value can this deliver?</w:t>
      </w:r>
    </w:p>
    <w:p>
      <w:r>
        <w:t>Potential value includes better follow-up prioritization and care coordination, but it has not been measured. I would establish a baseline and evaluate the impact of a defined intervention before making ROI claims.</w:t>
      </w:r>
    </w:p>
    <w:p>
      <w:r>
        <w:rPr>
          <w:b/>
          <w:color w:val="148B94"/>
        </w:rPr>
        <w:t>Would you deploy this in a hospital today?</w:t>
      </w:r>
    </w:p>
    <w:p>
      <w:r>
        <w:t>No. I would first validate the data and pipeline, reproduce the metrics, evaluate safety and fairness, involve clinical stakeholders, and complete applicable governance and regulatory reviews.</w:t>
      </w:r>
    </w:p>
    <w:p>
      <w:pPr>
        <w:pStyle w:val="Heading1"/>
      </w:pPr>
      <w:r>
        <w:t>Delivery tips</w:t>
      </w:r>
    </w:p>
    <w:p>
      <w:pPr>
        <w:pStyle w:val="ListBullet"/>
      </w:pPr>
      <w:r>
        <w:t>Spend extra time on slides 3, 6, and 7. They best demonstrate problem framing, technical scrutiny, and evidence-based thinking.</w:t>
      </w:r>
    </w:p>
    <w:p>
      <w:pPr>
        <w:pStyle w:val="ListBullet"/>
      </w:pPr>
      <w:r>
        <w:t>When discussing the saved metrics, say “the repository’s saved report shows…” rather than “the model achieves…” until you reproduce the exact evaluation.</w:t>
      </w:r>
    </w:p>
    <w:p>
      <w:pPr>
        <w:pStyle w:val="ListBullet"/>
      </w:pPr>
      <w:r>
        <w:t>Pause after slide 7. Explain the implication of uneven class recall and the validation work you would do next.</w:t>
      </w:r>
    </w:p>
    <w:p>
      <w:pPr>
        <w:pStyle w:val="ListBullet"/>
      </w:pPr>
      <w:r>
        <w:t>Speak conversationally and use the slides as prompts. Aim for approximately 17 minutes, leaving a little time for transitions and questions.</w:t>
      </w:r>
    </w:p>
    <w:sectPr w:rsidR="00FC693F" w:rsidRPr="0006063C" w:rsidSect="00034616">
      <w:pgSz w:w="12240" w:h="15840"/>
      <w:pgMar w:top="936" w:right="1123" w:bottom="936" w:left="1123"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color w:val="23303F"/>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365F91" w:themeColor="accent1" w:themeShade="BF"/>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w:hAnsi="Aptos"/>
      <w:b/>
      <w:bCs/>
      <w:color w:val="4F81BD" w:themeColor="accent1"/>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b/>
      <w:color w:val="17365D" w:themeColor="text2" w:themeShade="BF"/>
      <w:spacing w:val="5"/>
      <w:kern w:val="28"/>
      <w:sz w:val="5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