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KAVACH Frequency &amp; Time-Slot Allocation — Data Collection Proforma</w:t>
      </w:r>
    </w:p>
    <w:p>
      <w:r>
        <w:rPr>
          <w:i/>
        </w:rPr>
        <w:t>To be completed by the Zonal Railway for each section and returned for processing. All entries are inputs only; the frequency pairs, station/loco slot counts, transmit windows and time-slot grid are produced by the tool.</w:t>
      </w:r>
    </w:p>
    <w:p>
      <w:pPr>
        <w:pStyle w:val="Heading1"/>
      </w:pPr>
      <w:r>
        <w:t>Section identification</w:t>
      </w:r>
    </w:p>
    <w:p>
      <w:r>
        <w:t>Zonal Railway / Division:</w:t>
      </w:r>
    </w:p>
    <w:p>
      <w:r>
        <w:t>Section (from – to):</w:t>
      </w:r>
    </w:p>
    <w:p>
      <w:r>
        <w:t>Number of Stationary KAVACH units:</w:t>
      </w:r>
    </w:p>
    <w:p>
      <w:r>
        <w:t>Prepared by / designation:</w:t>
      </w:r>
    </w:p>
    <w:p>
      <w:r>
        <w:t>Date:</w:t>
      </w:r>
    </w:p>
    <w:p>
      <w:r>
        <w:t>Adjacent sections at the two boundary stations (and the frequency pairs they use, if fixed):</w:t>
      </w:r>
    </w:p>
    <w:p>
      <w:pPr>
        <w:pStyle w:val="Heading1"/>
      </w:pPr>
      <w:r>
        <w:t>What to enter for each station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Enter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Stationary KAVACH ID</w:t>
            </w:r>
          </w:p>
        </w:tc>
        <w:tc>
          <w:tcPr>
            <w:tcW w:type="dxa" w:w="2880"/>
          </w:tcPr>
          <w:p>
            <w:r>
              <w:t>Unique 5-digit ID (10000–99999)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Station name / code</w:t>
            </w:r>
          </w:p>
        </w:tc>
        <w:tc>
          <w:tcPr>
            <w:tcW w:type="dxa" w:w="2880"/>
          </w:tcPr>
          <w:p>
            <w:r>
              <w:t>Readable name and code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Tower latitude / longitude</w:t>
            </w:r>
          </w:p>
        </w:tc>
        <w:tc>
          <w:tcPr>
            <w:tcW w:type="dxa" w:w="2880"/>
          </w:tcPr>
          <w:p>
            <w:r>
              <w:t>Decimal degrees (e.g. 13.116467 / 79.646918)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No. of last-stop signals</w:t>
            </w:r>
          </w:p>
        </w:tc>
        <w:tc>
          <w:tcPr>
            <w:tcW w:type="dxa" w:w="2880"/>
          </w:tcPr>
          <w:p>
            <w:r>
              <w:t>Count of approach / last-stop signals</w:t>
            </w:r>
          </w:p>
        </w:tc>
        <w:tc>
          <w:tcPr>
            <w:tcW w:type="dxa" w:w="2880"/>
          </w:tcPr>
          <w:p>
            <w:r>
              <w:t>Recommended (default 2)</w:t>
            </w:r>
          </w:p>
        </w:tc>
      </w:tr>
      <w:tr>
        <w:tc>
          <w:tcPr>
            <w:tcW w:type="dxa" w:w="2880"/>
          </w:tcPr>
          <w:p>
            <w:r>
              <w:t>Peak onboard KAVACH units</w:t>
            </w:r>
          </w:p>
        </w:tc>
        <w:tc>
          <w:tcPr>
            <w:tcW w:type="dxa" w:w="2880"/>
          </w:tcPr>
          <w:p>
            <w:r>
              <w:t>Peak KAVACH-fitted trains simultaneously within radio coverage (yard-berthed + approaching both directions at headway)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Existing/proposed pair</w:t>
            </w:r>
          </w:p>
        </w:tc>
        <w:tc>
          <w:tcPr>
            <w:tcW w:type="dxa" w:w="2880"/>
          </w:tcPr>
          <w:p>
            <w:r>
              <w:t>Pair index if already assigned, else blank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>
      <w:pPr>
        <w:pStyle w:val="Heading1"/>
      </w:pPr>
      <w:r>
        <w:t>Data grid (one row per station, in geographic 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sz w:val="16"/>
              </w:rPr>
              <w:t>S.No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KAVACH ID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Station name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Last-stop signals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Peak onboard units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Existing pair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List stations left-to-right in down-line (geographic) order — the tool uses this order and the latitude/longitude to work out which stations can interfere.</w:t>
      </w:r>
    </w:p>
    <w:p>
      <w:pPr>
        <w:pStyle w:val="ListBullet"/>
      </w:pPr>
      <w:r>
        <w:t>Do NOT fill in slot counts, transmit windows or the time-slot grid; these are computed.</w:t>
      </w:r>
    </w:p>
    <w:p>
      <w:pPr>
        <w:pStyle w:val="ListBullet"/>
      </w:pPr>
      <w:r>
        <w:t>If a peak-onboard figure is not available, give berthing tracks, approach directions, RF coverage (km) and block headway (km) instead, and the tool will estimate it.</w:t>
      </w:r>
    </w:p>
    <w:p>
      <w:pPr>
        <w:pStyle w:val="ListBullet"/>
      </w:pPr>
      <w:r>
        <w:t>Processing command: python tool/run_allocation.py &lt;section&gt;.xlsx out.xlsx --rf-range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