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F33"/>
          <w:sz w:val="34"/>
        </w:rPr>
        <w:t>Review Comment Resolution Matrix</w:t>
      </w:r>
    </w:p>
    <w:p>
      <w:pPr>
        <w:jc w:val="center"/>
      </w:pPr>
      <w:r>
        <w:rPr>
          <w:i/>
          <w:sz w:val="22"/>
        </w:rPr>
        <w:t>Paper: Cyber Security Framework Planning and Establishment of OT-SOCs for Indian Railways</w:t>
      </w:r>
    </w:p>
    <w:p>
      <w:pPr>
        <w:jc w:val="center"/>
      </w:pPr>
      <w:r>
        <w:rPr>
          <w:i/>
          <w:sz w:val="22"/>
        </w:rPr>
        <w:t>Editor disposition of the independent peer review (Reviewer_Assessment.docx)</w:t>
      </w:r>
    </w:p>
    <w:p/>
    <w:p>
      <w:pPr>
        <w:pStyle w:val="Heading1"/>
      </w:pPr>
      <w:r>
        <w:t>1. Major Comment Resolution</w:t>
      </w:r>
    </w:p>
    <w:p>
      <w:r>
        <w:rPr>
          <w:b/>
          <w:sz w:val="20"/>
        </w:rPr>
        <w:t>Table 1. Major comment resolution (all major comments are mandatory unless technically incorrect)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Reviewer comment (quoted/condensed)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Disposition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Technical justification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Section(s) modified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M1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Evidence base is a model, not deployed systems - risk of over-claim.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Accepted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Abstract and new Section 6.1 now state the evidence is model-derived; field validation added to Future Work. No claim of measured deficiency on fielded assets remains.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Abstract; 6.1; 23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M2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 figures/diagrams.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Accepted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Four figures added and referenced: zone/conduit model, three-echelon topology, Kavach legitimate-vs-forbidden, four-gate IR flow.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Figs 1-4; 9, 10, 11, 14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M3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Over-reliance on a single commercial source; weak novelty/independence.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Accepted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New Related Work section positions the paper against primary literature (NIST 800-82r3, IEC 62443-2-1, ENISA, MITRE ATT&amp;CK for ICS, EU projects); the novel validated-architecture thesis is foregrounded; adapted frameworks are explicitly cited as such.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3; References [19-21]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M4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Technical inaccuracies: Eurobalise/RFID; MCOMM/RaSTA naming; Purdue labelling.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Accepted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Kavach RFID balise distinguished from ETCS Eurobalise; protocol identifiers qualified as model/[9] terms in a new Nomenclature note; dual L1/L2 Purdue use justified as a railway extension and annotated in Fig 1.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Nomenclature; 5.1; 9; 12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M5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Detection-engineering methodology incomplete (no ATT&amp;CK, no EN 50159 threat-defence table).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Accepted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EN 50159 threat-defence-detection table (Table 2) and MITRE ATT&amp;CK-for-ICS mapping (Table 8) added; per-use-case data-source/playbook/false-positive fields mandated in text.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5.2; 12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M6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 risk-assessment / SL-T derivation method.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Accepted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New Section 7 gives a consequence-by-likelihood method and a worked Kavach SL-T table (Table 3).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M7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Cross-reference errors; 'Tier' overloaded.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Accepted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Cross-references corrected; terminology disambiguated into Echelons (E1-E3), Grades (G1-G4) and KPI Audiences; applied throughout.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11; 17; 18; 19; Nomenclature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M8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Regulatory obligations (CERT-In, NCIIPC) asserted, not substantiated; SLAs vs Kavach SOP.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Partially Accepted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CERT-In 6-hour rule (28 Apr 2022 Directions) and NCIIPC CII basis (IT Act s.70) now cited [12,13]. Severity SLAs are presented as recommended targets to be reconciled with the Kavach SOP in Phase 0, because the SOP timelines are controlled and cannot be quoted verbatim here - full acceptance (quoting SOP figures) is therefore not technically possible.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15; 18; References [12,13]</w:t>
            </w:r>
          </w:p>
        </w:tc>
      </w:tr>
    </w:tbl>
    <w:p/>
    <w:p>
      <w:pPr>
        <w:jc w:val="both"/>
      </w:pPr>
      <w:r>
        <w:rPr>
          <w:b w:val="0"/>
          <w:i w:val="0"/>
        </w:rPr>
        <w:t>Summary: of eight Major Comments, seven are Accepted and one (M8) is Partially Accepted; none was Rejected. The single partial acceptance reflects the unavailability of the controlled Kavach SOP timelines for verbatim citation, not a disagreement with the reviewer.</w:t>
      </w:r>
    </w:p>
    <w:p>
      <w:pPr>
        <w:pStyle w:val="Heading1"/>
      </w:pPr>
      <w:r>
        <w:t>2. Minor Comment Resolution</w:t>
      </w:r>
    </w:p>
    <w:p>
      <w:r>
        <w:rPr>
          <w:b/>
          <w:sz w:val="20"/>
        </w:rPr>
        <w:t>Table 2. Minor comment resolution (recommended improvements)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Comment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Disposition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SPAN vs TAP conflated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Accepted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Section 9/10 now mandate passive TAP on SIL-4 segments; SPAN reserved for non-vital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Diode upward vs control downward contradiction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Accepted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Section 10/11: out-of-band, scheduled management path; no online downward path to vital tier (Fig 2)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Unsupported quantitative figures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Accepted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FTE/pipeline/uptime attributed to [17] and flagged for pilot validation (Sections 17, 18)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Vague KPI targets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Accepted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Table 12 gives concrete, time-bound targets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IDMZ undefined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Accepted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Defined in Nomenclature and on first use (Section 1)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MTTD anchored to EN 50129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Accepted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Re-anchored to IEC 62443-3-3 SR 6.2 (Section 17)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EN 50159 Cat 2 wording loose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Accepted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Normative wording adopted (Section 5.2)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 cost model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Partially Accepted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Indicative budget envelope noted (Section 21); full costing deferred to post-pilot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Byline placeholder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Accepted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Author/affiliation placeholder per IRSE template retained for completion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Reference doc numbers missing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Partially Accepted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[10],[11] marked for document-number confirmation; not publicly available to the authors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m11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Human-error claim uncited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Accepted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Cited to [14,17,20] (Section 4)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Acronyms inconsistent / undefined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Accepted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Nomenclature table added; acronyms standardised throughout</w:t>
            </w:r>
          </w:p>
        </w:tc>
      </w:tr>
    </w:tbl>
    <w:p/>
    <w:p>
      <w:pPr>
        <w:jc w:val="both"/>
      </w:pPr>
      <w:r>
        <w:rPr>
          <w:b w:val="0"/>
          <w:i w:val="0"/>
        </w:rPr>
        <w:t>Summary: of twelve Minor Comments, ten are fully Accepted and two (m8, m10) Partially Accepted owing to information not available to the authors at this stage; none was Rejected.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02A4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02A4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02A4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