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34"/>
        </w:rPr>
        <w:t>Independent Peer Review and Required Revisions</w:t>
      </w:r>
    </w:p>
    <w:p>
      <w:pPr>
        <w:jc w:val="center"/>
      </w:pPr>
      <w:r>
        <w:rPr>
          <w:i/>
          <w:sz w:val="22"/>
        </w:rPr>
        <w:t>Paper under review: "Cyber Security Framework Planning and Establishment of Operational Technology Security Operations Centres (OT-SOCs) for Indian Railways"</w:t>
      </w:r>
    </w:p>
    <w:p>
      <w:pPr>
        <w:jc w:val="center"/>
      </w:pPr>
      <w:r>
        <w:rPr>
          <w:i/>
          <w:sz w:val="22"/>
        </w:rPr>
        <w:t>Review conducted jointly in the roles of IRSE Technical Committee Reviewer, RDSO Reviewer, IEC 62443 Assessor, EN 50159 Assessor, TS 50701 Reviewer and Railway OT-SOC Architect</w:t>
      </w:r>
    </w:p>
    <w:p/>
    <w:p>
      <w:pPr>
        <w:pStyle w:val="Heading1"/>
      </w:pPr>
      <w:r>
        <w:t>A. Executive Review</w:t>
      </w:r>
    </w:p>
    <w:p>
      <w:pPr>
        <w:jc w:val="both"/>
      </w:pPr>
      <w:r>
        <w:rPr>
          <w:b w:val="0"/>
          <w:i w:val="0"/>
        </w:rPr>
        <w:t>The manuscript is ambitious, well-organised and addresses a genuinely important and timely problem: the establishment of dedicated Operational Technology Security Operations Centres (OT-SOCs) for Indian Railways at the moment the Kavach programme makes vital train protection dependent on an open radio bearer. Its central thesis - that a standards-validated architecture model must precede and configure OT-SOC deployment - is sound, defensible and represents the manuscript's principal original contribution. The standards grammar (IEC 62443 zones and conduits, EN 50159 transmission categories, TS 50701 lifecycle) is correctly identified and used as the organising spine, and the railway contextualisation of generic OT-SOC practice (operating-model selection, five-layer visibility, the Monitoring Paradox, four-gate incident response, severity, KPIs, staffing, governance, residual risk, maturity and a 90-day programme) is comprehensive and internally coherent.</w:t>
      </w:r>
    </w:p>
    <w:p>
      <w:pPr>
        <w:jc w:val="both"/>
      </w:pPr>
      <w:r>
        <w:rPr>
          <w:b w:val="0"/>
          <w:i w:val="0"/>
        </w:rPr>
        <w:t>However, the manuscript is not yet publishable in its current form. Three classes of weakness must be remedied. First, a validity concern: the entire evidence base is an independent assessment of a reference architecture MODEL, not a measurement campaign on deployed Indian Railways installations; the manuscript repeatedly presents model-derived findings (absent authentication on vital buses, absent MFA, a forbidden topology edge) in language that a reader could mistake for empirical facts about fielded Kavach/EI systems. This must be explicitly bounded and a Limitations section added. Second, technical-accuracy concerns: the conflation of Kavach RFID balises with the ETCS Eurobalise, the unqualified presentation of model-internal protocol names (MCOMM, RaSTA, Kavach EI interface) as established Kavach protocol identifiers, and a non-standard Purdue labelling scheme. Third, completeness and scholarship concerns: there are no figures (an IRSE paper requires architecture and flow diagrams), the detection engineering is not mapped to MITRE ATT&amp;CK for ICS, the EN 50159 threat-to-defence mapping is asserted but not tabulated, no risk-assessment / SL-T derivation method is given, a large fraction of the structural frameworks is drawn from a single commercial source without corroboration, related work is absent, and several internal cross-references are wrong. None of these is fatal; collectively they require more than cosmetic change. The recommendation is therefore Major Revision.</w:t>
      </w:r>
    </w:p>
    <w:p>
      <w:pPr>
        <w:jc w:val="both"/>
      </w:pPr>
      <w:r>
        <w:rPr>
          <w:b w:val="0"/>
          <w:i w:val="0"/>
        </w:rPr>
        <w:t>On the individual criteria: technical correctness - good but with specific errors (Section B/C); railway applicability - strong; IEC 62443 compliance - strong conceptually, weak on the risk-assessment method (62443-3-2); EN 50159 consistency - mostly correct, but the category definitions are loose and the threat-defence mapping is missing; TS 50701 alignment - the lifecycle intent is right but the SL-T derivation is unsupported; OT-SOC architecture quality - high; detection engineering - good structure, lacks ATT&amp;CK-for-ICS mapping and per-use-case data-source / false-positive specification; incident response - excellent (the four-gate, safety-first model is the manuscript's strongest operational contribution); governance - strong, but regulatory obligations (CERT-In timelines, NCIIPC CII designation) are asserted rather than substantiated; competency framework - strong and appropriately railway-specific; novelty - moderate (concentrated in the validated-architecture thesis; the frameworks are adapted from prior art); publishability - achievable after major revision.</w:t>
      </w:r>
    </w:p>
    <w:p>
      <w:pPr>
        <w:pStyle w:val="Heading1"/>
      </w:pPr>
      <w:r>
        <w:t>B. Major Comments (ranked by severity)</w:t>
      </w:r>
    </w:p>
    <w:p>
      <w:pPr>
        <w:jc w:val="both"/>
      </w:pPr>
      <w:r>
        <w:rPr>
          <w:b/>
          <w:i w:val="0"/>
        </w:rPr>
        <w:t>M1 - Evidence base is a model, not deployed systems (validity / over-claim).</w:t>
      </w:r>
    </w:p>
    <w:p>
      <w:pPr>
        <w:jc w:val="both"/>
      </w:pPr>
      <w:r>
        <w:rPr>
          <w:b w:val="0"/>
          <w:i w:val="0"/>
        </w:rPr>
        <w:t>The findings referenced throughout (no cryptographic authentication on vital Category-1 buses, no MFA on engineering access, the forbidden S-Kavach-to-base-station edge, the unprotected backhaul) derive from an independent assessment of a REFERENCE ARCHITECTURE MODEL (reference [18]), not from instrumentation of fielded Kavach or electronic-interlocking installations. As written, the abstract and Sections 3, 5 and 10 invite the reader to treat these as empirical properties of Indian Railways' deployed estate. This is the most serious issue. The authors must (a) state plainly, in the abstract and at first use, that the evidence is model-derived; (b) add a Limitations section; and (c) identify field validation on representative installations as essential future work. Without this the paper risks asserting unverified deficiencies of national safety systems.</w:t>
      </w:r>
    </w:p>
    <w:p>
      <w:pPr>
        <w:jc w:val="both"/>
      </w:pPr>
      <w:r>
        <w:rPr>
          <w:b/>
          <w:i w:val="0"/>
        </w:rPr>
        <w:t>M2 - No figures or diagrams (publishability for an IRSE venue).</w:t>
      </w:r>
    </w:p>
    <w:p>
      <w:pPr>
        <w:jc w:val="both"/>
      </w:pPr>
      <w:r>
        <w:rPr>
          <w:b w:val="0"/>
          <w:i w:val="0"/>
        </w:rPr>
        <w:t>The manuscript contains fourteen tables but not a single figure. An IRSE technical paper on a system architecture is expected to include, at minimum: (i) an IEC 62443 zone-and-conduit reference diagram for railway signalling; (ii) the three-echelon OT-SOC topology showing TAP/SPAN collection, data-diode log flow and the IT/OT boundary; (iii) a Kavach communication-architecture diagram distinguishing the legitimate Loco-to-Stationary association from the forbidden direct vital-to-RF edge; and (iv) a four-gate incident-response flowchart. Section H of this assessment specifies these figures.</w:t>
      </w:r>
    </w:p>
    <w:p>
      <w:pPr>
        <w:jc w:val="both"/>
      </w:pPr>
      <w:r>
        <w:rPr>
          <w:b/>
          <w:i w:val="0"/>
        </w:rPr>
        <w:t>M3 - Over-reliance on a single commercial source for the structural frameworks (independence / scholarship).</w:t>
      </w:r>
    </w:p>
    <w:p>
      <w:pPr>
        <w:jc w:val="both"/>
      </w:pPr>
      <w:r>
        <w:rPr>
          <w:b w:val="0"/>
          <w:i w:val="0"/>
        </w:rPr>
        <w:t>The operating-model archetypes, five-layer visibility model, Monitoring Paradox, four-gate doctrine, severity model, three-tier KPI philosophy, maturity model and 90-day programme are all adapted from one commercial guide (reference [17]). For a peer-reviewed venue this concentration weakens both the perceived independence and the novelty of the contribution. The frameworks must be corroborated against, and positioned within, the primary literature: NIST SP 800-82r3, IEC 62443-2-1 (CSMS / maturity), ENISA railway-sector threat-landscape work, and MITRE ATT&amp;CK for ICS. The genuinely novel element - the validated-architecture / authority-separation thesis - should be foregrounded and clearly distinguished from the adapted material.</w:t>
      </w:r>
    </w:p>
    <w:p>
      <w:pPr>
        <w:jc w:val="both"/>
      </w:pPr>
      <w:r>
        <w:rPr>
          <w:b/>
          <w:i w:val="0"/>
        </w:rPr>
        <w:t>M4 - Technical inaccuracies in railway protocol and topology nomenclature (technical correctness).</w:t>
      </w:r>
    </w:p>
    <w:p>
      <w:pPr>
        <w:jc w:val="both"/>
      </w:pPr>
      <w:r>
        <w:rPr>
          <w:b w:val="0"/>
          <w:i w:val="0"/>
        </w:rPr>
        <w:t>(a) The manuscript repeatedly writes 'RFID/EUROBALISE' for the Kavach balise air-gap. The ETCS Eurobalise and the Kavach RFID trackside tag are different technologies; Kavach uses RFID tags, not Eurobalises. Conflating them is a factual error for an Indian Railways audience. (b) The protocol names MCOMM, RaSTA and 'Kavach EI interface' are presented as established identifiers, but they originate in the reference model; the actual Kavach radio and EI-interface protocols are defined in the RDSO Kavach specification and must be cited as such or explicitly flagged as model abstractions. (c) The Purdue labelling ('L1 Telecom', 'L2 Telecom', 'L2/L1 Interlocking') is non-standard; the Purdue Enterprise Reference Architecture uses Levels 0-5 without domain suffixes. Either justify the railway-specific mapping explicitly or normalise it.</w:t>
      </w:r>
    </w:p>
    <w:p>
      <w:pPr>
        <w:jc w:val="both"/>
      </w:pPr>
      <w:r>
        <w:rPr>
          <w:b/>
          <w:i w:val="0"/>
        </w:rPr>
        <w:t>M5 - Detection-engineering methodology incomplete (detection quality).</w:t>
      </w:r>
    </w:p>
    <w:p>
      <w:pPr>
        <w:jc w:val="both"/>
      </w:pPr>
      <w:r>
        <w:rPr>
          <w:b w:val="0"/>
          <w:i w:val="0"/>
        </w:rPr>
        <w:t>The use-case library (Table 5) is a good start but is not engineering-complete: each use case should specify its data source, detection logic, validated playbook reference and a documented false-positive baseline, and the library should be mapped to MITRE ATT&amp;CK for ICS techniques so that coverage can be assessed against a recognised adversary model. In addition, the EN 50159 threat-to-defence relationship is asserted in prose but never tabulated; a normative threat-defence-detection mapping table is required (provided in Section H, Table R-2).</w:t>
      </w:r>
    </w:p>
    <w:p>
      <w:pPr>
        <w:jc w:val="both"/>
      </w:pPr>
      <w:r>
        <w:rPr>
          <w:b/>
          <w:i w:val="0"/>
        </w:rPr>
        <w:t>M6 - No risk-assessment or SL-T derivation method (TS 50701 / IEC 62443-3-2 alignment).</w:t>
      </w:r>
    </w:p>
    <w:p>
      <w:pPr>
        <w:jc w:val="both"/>
      </w:pPr>
      <w:r>
        <w:rPr>
          <w:b w:val="0"/>
          <w:i w:val="0"/>
        </w:rPr>
        <w:t>The paper correctly states that the SL-T per zone calibrates monitoring intensity, but it provides no method for deriving SL-T: no consequence scale, no likelihood scale, no zone/conduit risk-assessment worked example. For a planning paper addressed to RDSO and the Railway Board this is a substantive gap. A consequence-by-likelihood method consistent with IEC 62443-3-2 and TS 50701, with a worked Kavach-corridor example, must be added (outline provided in Section H).</w:t>
      </w:r>
    </w:p>
    <w:p>
      <w:pPr>
        <w:jc w:val="both"/>
      </w:pPr>
      <w:r>
        <w:rPr>
          <w:b/>
          <w:i w:val="0"/>
        </w:rPr>
        <w:t>M7 - Internal cross-reference errors and overloaded 'Tier' terminology (clarity / correctness).</w:t>
      </w:r>
    </w:p>
    <w:p>
      <w:pPr>
        <w:jc w:val="both"/>
      </w:pPr>
      <w:r>
        <w:rPr>
          <w:b w:val="0"/>
          <w:i w:val="0"/>
        </w:rPr>
        <w:t>Concrete errors: Section 5 cites the residual-risk register as 'Section 16' (it is Section 15); Section 14 states 'Table 8 defines the governance model' (it is Table 11); Section 15 states 'Table 9 is an extract of the residual-risk register' (it is Table 12). Separately, the word 'Tier' is used for four distinct concepts - the geographic SOC echelons (Tier 1/2/3 Station/Zonal/National), the analyst seniority grades (T1-T4), the KPI reporting audiences (Board/SOC-Lead/Analyst) and the 'three-tier KPI framework' - so that 'Tier-3' denotes both the National SOC and the senior threat hunter. This is genuinely confusing and must be disambiguated (proposed scheme in Section H).</w:t>
      </w:r>
    </w:p>
    <w:p>
      <w:pPr>
        <w:jc w:val="both"/>
      </w:pPr>
      <w:r>
        <w:rPr>
          <w:b/>
          <w:i w:val="0"/>
        </w:rPr>
        <w:t>M8 - Regulatory obligations asserted, not substantiated (governance quality).</w:t>
      </w:r>
    </w:p>
    <w:p>
      <w:pPr>
        <w:jc w:val="both"/>
      </w:pPr>
      <w:r>
        <w:rPr>
          <w:b w:val="0"/>
          <w:i w:val="0"/>
        </w:rPr>
        <w:t>The paper invokes a CERT-In 'statutory window' and NCIIPC 'designation of signalling as Critical Information Infrastructure' as if settled. The CERT-In Directions of 28 April 2022 impose a 6-hour incident-reporting obligation; whether, and how, railway signalling OT incidents fall under those Directions and under the NCIIPC CII regime (IT Act 2000, s.70) - and the precedence between the two reporting channels and the internal RDSO/Railway-Board chain - must be stated with specific citations, not assumed. The escalation timelines in the severity model (Table 8) should be reconciled explicitly against the Kavach Cyber Security SOP rather than presented as the authors' own figures.</w:t>
      </w:r>
    </w:p>
    <w:p>
      <w:pPr>
        <w:pStyle w:val="Heading1"/>
      </w:pPr>
      <w:r>
        <w:t>C. Minor Comments</w:t>
      </w:r>
    </w:p>
    <w:p>
      <w:pPr>
        <w:pStyle w:val="ListBullet"/>
      </w:pPr>
      <w:r>
        <w:t>m1 - SPAN versus TAP are conflated. A SPAN/mirror port can drop frames under oversubscription and is part of the switch's own resource budget; a passive optical/copper TAP cannot affect the monitored link. For SIL-4 vital segments the paper should mandate passive TAP and reserve SPAN for non-vital segments.</w:t>
      </w:r>
    </w:p>
    <w:p>
      <w:pPr>
        <w:pStyle w:val="ListBullet"/>
      </w:pPr>
      <w:r>
        <w:t>m2 - The data-flow model (logs upward by data diode, control downward and authenticated) appears to contradict the unidirectional isolation it relies on. Clarify: either dual-diode with a separate out-of-band management path, or no online downward path to the Station echelon at all.</w:t>
      </w:r>
    </w:p>
    <w:p>
      <w:pPr>
        <w:pStyle w:val="ListBullet"/>
      </w:pPr>
      <w:r>
        <w:t>m3 - Quantitative figures (14-18 FTE; 12-24-month talent pipeline; &gt;99.5% sensor uptime; MTTD &lt; 1 hour) are inherited from cross-sector practice and stated as railway targets without justification. Attribute them or justify them for the Indian Railways operating context.</w:t>
      </w:r>
    </w:p>
    <w:p>
      <w:pPr>
        <w:pStyle w:val="ListBullet"/>
      </w:pPr>
      <w:r>
        <w:t>m4 - KPI targets expressed as 'approaching 100%' or 'minimise' are not measurable. Give concrete, time-bound values (e.g. 100% SIL-3/4 conduit coverage within 18 months of go-live).</w:t>
      </w:r>
    </w:p>
    <w:p>
      <w:pPr>
        <w:pStyle w:val="ListBullet"/>
      </w:pPr>
      <w:r>
        <w:t>m5 - 'IDMZ' (industrial DMZ) is used before it is defined; define on first use and add a nomenclature table for the mixed signalling/cyber readership.</w:t>
      </w:r>
    </w:p>
    <w:p>
      <w:pPr>
        <w:pStyle w:val="ListBullet"/>
      </w:pPr>
      <w:r>
        <w:t>m6 - The MTTD KPI is anchored to 'EN 50129 / FR6'; EN 50129 sets no detection-time target. Anchor MTTD to IEC 62443-3-3 SR 6.2 and to the operational hazard-exposure budget instead.</w:t>
      </w:r>
    </w:p>
    <w:p>
      <w:pPr>
        <w:pStyle w:val="ListBullet"/>
      </w:pPr>
      <w:r>
        <w:t>m7 - The EN 50159 Category 2 description ('not under full control but threats partly mitigated') is loose; use the normative sense - a transmission system whose unauthorised access can be considered negligible/excluded, hence cryptographic defences are not mandated (these are required for Category 3).</w:t>
      </w:r>
    </w:p>
    <w:p>
      <w:pPr>
        <w:pStyle w:val="ListBullet"/>
      </w:pPr>
      <w:r>
        <w:t>m8 - No indicative cost or cost-benefit model is offered, although the audience includes the Railway Board. A high-level capital/operating envelope for the pilot would strengthen the planning value.</w:t>
      </w:r>
    </w:p>
    <w:p>
      <w:pPr>
        <w:pStyle w:val="ListBullet"/>
      </w:pPr>
      <w:r>
        <w:t>m9 - The byline carries a placeholder; add author names, affiliations and the IRSE paper-template front matter (and ORCID where applicable).</w:t>
      </w:r>
    </w:p>
    <w:p>
      <w:pPr>
        <w:pStyle w:val="ListBullet"/>
      </w:pPr>
      <w:r>
        <w:t>m10 - References [10] (Kavach Cyber Security SOP) and [11] (IR signalling cyber security policy) lack document numbers and dates; tighten to specific issues.</w:t>
      </w:r>
    </w:p>
    <w:p>
      <w:pPr>
        <w:pStyle w:val="ListBullet"/>
      </w:pPr>
      <w:r>
        <w:t>m11 - 'The majority of OT incidents begin with human error or supply-chain compromise' is stated as fact; add a citation (e.g. the cited cross-sector source and ENISA/Dragos annual ICS reports).</w:t>
      </w:r>
    </w:p>
    <w:p>
      <w:pPr>
        <w:pStyle w:val="ListBullet"/>
      </w:pPr>
      <w:r>
        <w:t>m12 - Define MCOMM, RaSTA, MVB, CAN, BTS and SL-T in a nomenclature table; the audience spans signalling engineers and cyber practitioners who will not share all acronyms.</w:t>
      </w:r>
    </w:p>
    <w:p>
      <w:pPr>
        <w:pStyle w:val="Heading1"/>
      </w:pPr>
      <w:r>
        <w:t>D. Missing References</w:t>
      </w:r>
    </w:p>
    <w:p>
      <w:pPr>
        <w:pStyle w:val="ListBullet"/>
      </w:pPr>
      <w:r>
        <w:t>MITRE ATT&amp;CK for ICS - adversary tactics and techniques for industrial control systems (detection coverage mapping).</w:t>
      </w:r>
    </w:p>
    <w:p>
      <w:pPr>
        <w:pStyle w:val="ListBullet"/>
      </w:pPr>
      <w:r>
        <w:t>NIST SP 800-82 Rev. 3, Guide to Operational Technology (OT) Security (cited generically as [14]; use the current revision and cite specific control families).</w:t>
      </w:r>
    </w:p>
    <w:p>
      <w:pPr>
        <w:pStyle w:val="ListBullet"/>
      </w:pPr>
      <w:r>
        <w:t>IEC 62443-3-2, Security risk assessment for system design - cited as [1] but its risk-assessment method is not applied; cite and use it for SL-T derivation.</w:t>
      </w:r>
    </w:p>
    <w:p>
      <w:pPr>
        <w:pStyle w:val="ListBullet"/>
      </w:pPr>
      <w:r>
        <w:t>IEC 62443-2-1 / IEC 62443-2-4, CSMS and service-provider requirements - to anchor the maturity and MSSP-governance discussion.</w:t>
      </w:r>
    </w:p>
    <w:p>
      <w:pPr>
        <w:pStyle w:val="ListBullet"/>
      </w:pPr>
      <w:r>
        <w:t>ENISA, Railway Cybersecurity / Transport Threat Landscape reports - for the threat landscape and the human-error / supply-chain incidence claim.</w:t>
      </w:r>
    </w:p>
    <w:p>
      <w:pPr>
        <w:pStyle w:val="ListBullet"/>
      </w:pPr>
      <w:r>
        <w:t>CERT-In Directions under sub-section (6) of section 70B of the IT Act, 28 April 2022 - for the 6-hour incident-reporting obligation.</w:t>
      </w:r>
    </w:p>
    <w:p>
      <w:pPr>
        <w:pStyle w:val="ListBullet"/>
      </w:pPr>
      <w:r>
        <w:t>NCIIPC / IT Act 2000 section 70 and the Critical Information Infrastructure Rules - for the CII designation basis.</w:t>
      </w:r>
    </w:p>
    <w:p>
      <w:pPr>
        <w:pStyle w:val="ListBullet"/>
      </w:pPr>
      <w:r>
        <w:t>EU railway-cyber research outputs (CYRAIL, X2Rail, SAFETY4RAILS) and prior IRSE technical papers on signalling cyber security - for related-work positioning.</w:t>
      </w:r>
    </w:p>
    <w:p>
      <w:pPr>
        <w:pStyle w:val="ListBullet"/>
      </w:pPr>
      <w:r>
        <w:t>RaSTA reference (IEC 61375 / DIN VDE V 0831-200) - if RaSTA is genuinely claimed for the EI/Kavach interface; otherwise remove the claim.</w:t>
      </w:r>
    </w:p>
    <w:p>
      <w:pPr>
        <w:pStyle w:val="Heading1"/>
      </w:pPr>
      <w:r>
        <w:t>E. Required Revisions (checklist)</w:t>
      </w:r>
    </w:p>
    <w:p>
      <w:pPr>
        <w:pStyle w:val="ListBullet"/>
      </w:pPr>
      <w:r>
        <w:t>R1. Bound the evidence base as model-derived in the abstract and Section 5; add a Limitations section and field-validation future work (addresses M1).</w:t>
      </w:r>
    </w:p>
    <w:p>
      <w:pPr>
        <w:pStyle w:val="ListBullet"/>
      </w:pPr>
      <w:r>
        <w:t>R2. Add the four required figures and reference them in the text (addresses M2).</w:t>
      </w:r>
    </w:p>
    <w:p>
      <w:pPr>
        <w:pStyle w:val="ListBullet"/>
      </w:pPr>
      <w:r>
        <w:t>R3. Add a Related Work section and corroborate the adapted frameworks with primary literature; foreground the novel validated-architecture thesis (addresses M3).</w:t>
      </w:r>
    </w:p>
    <w:p>
      <w:pPr>
        <w:pStyle w:val="ListBullet"/>
      </w:pPr>
      <w:r>
        <w:t>R4. Correct the Eurobalise/RFID conflation; qualify MCOMM/RaSTA/Kavach-EI-interface as RDSO-spec or model terms; normalise or justify the Purdue labelling (addresses M4).</w:t>
      </w:r>
    </w:p>
    <w:p>
      <w:pPr>
        <w:pStyle w:val="ListBullet"/>
      </w:pPr>
      <w:r>
        <w:t>R5. Add the EN 50159 threat-defence-detection mapping table and the MITRE ATT&amp;CK-for-ICS mapping; complete the use-case specification fields (addresses M5).</w:t>
      </w:r>
    </w:p>
    <w:p>
      <w:pPr>
        <w:pStyle w:val="ListBullet"/>
      </w:pPr>
      <w:r>
        <w:t>R6. Add a TS 50701 / IEC 62443-3-2 risk-assessment and SL-T-derivation method with a worked Kavach example (addresses M6).</w:t>
      </w:r>
    </w:p>
    <w:p>
      <w:pPr>
        <w:pStyle w:val="ListBullet"/>
      </w:pPr>
      <w:r>
        <w:t>R7. Fix the three cross-reference errors and disambiguate 'Tier' terminology throughout (addresses M7).</w:t>
      </w:r>
    </w:p>
    <w:p>
      <w:pPr>
        <w:pStyle w:val="ListBullet"/>
      </w:pPr>
      <w:r>
        <w:t>R8. Substantiate CERT-In and NCIIPC obligations with citations and reconcile severity SLAs with the Kavach SOP (addresses M8).</w:t>
      </w:r>
    </w:p>
    <w:p>
      <w:pPr>
        <w:pStyle w:val="ListBullet"/>
      </w:pPr>
      <w:r>
        <w:t>R9. Address minor comments m1-m12.</w:t>
      </w:r>
    </w:p>
    <w:p>
      <w:pPr>
        <w:pStyle w:val="Heading1"/>
      </w:pPr>
      <w:r>
        <w:t>F. Publication Recommendation</w:t>
      </w:r>
    </w:p>
    <w:p>
      <w:pPr>
        <w:jc w:val="both"/>
      </w:pPr>
      <w:r>
        <w:rPr>
          <w:b/>
          <w:i w:val="0"/>
        </w:rPr>
        <w:t>MAJOR REVISION.</w:t>
      </w:r>
    </w:p>
    <w:p>
      <w:pPr>
        <w:jc w:val="both"/>
      </w:pPr>
      <w:r>
        <w:rPr>
          <w:b w:val="0"/>
          <w:i w:val="0"/>
        </w:rPr>
        <w:t>The manuscript's core thesis and structure are sound and the contribution is worthwhile, but the validity bounding of the evidence base (M1), the absence of figures (M2), the technical inaccuracies (M4) and the methodological gaps (M5, M6) are beyond cosmetic and must be remedied before acceptance. None of the issues is fatal; a revised manuscript addressing the checklist in Section E would, in the reviewers' joint judgement, be acceptable for publication.</w:t>
      </w:r>
    </w:p>
    <w:p>
      <w:pPr>
        <w:pStyle w:val="Heading1"/>
      </w:pPr>
      <w:r>
        <w:t>G. Rewritten Sections</w:t>
      </w:r>
    </w:p>
    <w:p>
      <w:pPr>
        <w:jc w:val="both"/>
      </w:pPr>
      <w:r>
        <w:rPr>
          <w:b w:val="0"/>
          <w:i/>
        </w:rPr>
        <w:t>The following are the revised texts for the sections requiring change. Unchanged sections of the manuscript are retained as submitted. New tables introduced by this review are numbered R-1 onward to avoid collision with the manuscript's own numbering.</w:t>
      </w:r>
    </w:p>
    <w:p>
      <w:pPr>
        <w:pStyle w:val="Heading2"/>
      </w:pPr>
      <w:r>
        <w:t>Abstract (revised - bounds the evidence base)</w:t>
      </w:r>
    </w:p>
    <w:p>
      <w:pPr>
        <w:jc w:val="both"/>
      </w:pPr>
      <w:r>
        <w:rPr>
          <w:b w:val="0"/>
          <w:i w:val="0"/>
        </w:rPr>
        <w:t>[...unchanged opening...] The evidence base is an independent cyber security assessment of a reference railway OT architecture MODEL - a standards-traceable representation in which the semantic, governance and enforcement authorities were formally separated and validated; the findings reported here are therefore properties of that model and of the governance logic it encodes, and are presented as illustrative monitoring requirements rather than as measured deficiencies of any deployed Indian Railways installation. Field validation on representative Kavach and electronic-interlocking installations is identified as essential future work. With that scope understood, the assessment surfaced durable engineering findings (absence of cryptographic authentication on vital Category-1 buses, absence of multi-factor authentication on privileged engineering access, absence of timeliness monitoring on open radio bearers, incompletely instrumented trust boundaries and an unprotected telecom backhaul) and standards-compliance findings (the EN 50159 / IEC 62443 authentication-crediting tension and the need for TS 50701 lifecycle evidence). [...remainder of abstract unchanged...]</w:t>
      </w:r>
    </w:p>
    <w:p>
      <w:pPr>
        <w:pStyle w:val="Heading2"/>
      </w:pPr>
      <w:r>
        <w:t>Section 4.2 (revised) - EN 50159 transmission categories, with threat-defence mapping</w:t>
      </w:r>
    </w:p>
    <w:p>
      <w:pPr>
        <w:jc w:val="both"/>
      </w:pPr>
      <w:r>
        <w:rPr>
          <w:b w:val="0"/>
          <w:i w:val="0"/>
        </w:rPr>
        <w:t>EN 50159 classifies safety-related transmission systems into three categories defined by the controllability of the medium and the consequent need for cryptographic protection. In a Category 1 (closed) system the participants are fixed and known, the transmission characteristics are fixed, and unauthorised access to the medium is excluded by design; the safety defences are non-cryptographic (safety code, sequence number, time-out). In a Category 2 (controlled) system the transmission system is not under the full control of the designer, but the residual risk of unauthorised access is assessed as negligible and can be excluded by design or by procedural means, so cryptographic protection is not mandated. In a Category 3 (open) system the possibility of unauthorised access must be assumed; cryptographic procedures (message authentication, cryptographic identification) are therefore required in addition to the non-cryptographic defences. The Kavach radio interface and the balise air-gap are Category 3; the managed MPLS/IP backhaul is Category 2; the vital station buses are Category 1. Because the category fixes the threat model, it fixes the detector set the OT-SOC must field; Table R-1 makes the EN 50159 threat-defence-detection relationship explicit.</w:t>
      </w:r>
    </w:p>
    <w:p>
      <w:r>
        <w:rPr>
          <w:b/>
          <w:sz w:val="20"/>
        </w:rPr>
        <w:t>Table R-1. EN 50159 threats mapped to safety defences and to OT-SOC detections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EN 50159 threat</w:t>
            </w:r>
          </w:p>
        </w:tc>
        <w:tc>
          <w:tcPr>
            <w:tcW w:type="dxa" w:w="2880"/>
          </w:tcPr>
          <w:p>
            <w:r/>
            <w:r>
              <w:rPr>
                <w:b/>
                <w:sz w:val="19"/>
              </w:rPr>
              <w:t>EN 50159 defence(s)</w:t>
            </w:r>
          </w:p>
        </w:tc>
        <w:tc>
          <w:tcPr>
            <w:tcW w:type="dxa" w:w="2880"/>
          </w:tcPr>
          <w:p>
            <w:r/>
            <w:r>
              <w:rPr>
                <w:b/>
                <w:sz w:val="19"/>
              </w:rPr>
              <w:t>OT-SOC detection (this paper)</w:t>
            </w:r>
          </w:p>
        </w:tc>
      </w:tr>
      <w:tr>
        <w:tc>
          <w:tcPr>
            <w:tcW w:type="dxa" w:w="2880"/>
          </w:tcPr>
          <w:p>
            <w:r/>
            <w:r>
              <w:rPr>
                <w:sz w:val="19"/>
              </w:rPr>
              <w:t>Repetition</w:t>
            </w:r>
          </w:p>
        </w:tc>
        <w:tc>
          <w:tcPr>
            <w:tcW w:type="dxa" w:w="2880"/>
          </w:tcPr>
          <w:p>
            <w:r/>
            <w:r>
              <w:rPr>
                <w:sz w:val="19"/>
              </w:rPr>
              <w:t>Sequence number; time stamp; time-out</w:t>
            </w:r>
          </w:p>
        </w:tc>
        <w:tc>
          <w:tcPr>
            <w:tcW w:type="dxa" w:w="2880"/>
          </w:tcPr>
          <w:p>
            <w:r/>
            <w:r>
              <w:rPr>
                <w:sz w:val="19"/>
              </w:rPr>
              <w:t>Sequence regression; duplicate-frame and freshness analysis (UC-03)</w:t>
            </w:r>
          </w:p>
        </w:tc>
      </w:tr>
      <w:tr>
        <w:tc>
          <w:tcPr>
            <w:tcW w:type="dxa" w:w="2880"/>
          </w:tcPr>
          <w:p>
            <w:r/>
            <w:r>
              <w:rPr>
                <w:sz w:val="19"/>
              </w:rPr>
              <w:t>Deletion</w:t>
            </w:r>
          </w:p>
        </w:tc>
        <w:tc>
          <w:tcPr>
            <w:tcW w:type="dxa" w:w="2880"/>
          </w:tcPr>
          <w:p>
            <w:r/>
            <w:r>
              <w:rPr>
                <w:sz w:val="19"/>
              </w:rPr>
              <w:t>Sequence number</w:t>
            </w:r>
          </w:p>
        </w:tc>
        <w:tc>
          <w:tcPr>
            <w:tcW w:type="dxa" w:w="2880"/>
          </w:tcPr>
          <w:p>
            <w:r/>
            <w:r>
              <w:rPr>
                <w:sz w:val="19"/>
              </w:rPr>
              <w:t>Sequence-gap detection; loss-of-message alert (UC-04)</w:t>
            </w:r>
          </w:p>
        </w:tc>
      </w:tr>
      <w:tr>
        <w:tc>
          <w:tcPr>
            <w:tcW w:type="dxa" w:w="2880"/>
          </w:tcPr>
          <w:p>
            <w:r/>
            <w:r>
              <w:rPr>
                <w:sz w:val="19"/>
              </w:rPr>
              <w:t>Insertion</w:t>
            </w:r>
          </w:p>
        </w:tc>
        <w:tc>
          <w:tcPr>
            <w:tcW w:type="dxa" w:w="2880"/>
          </w:tcPr>
          <w:p>
            <w:r/>
            <w:r>
              <w:rPr>
                <w:sz w:val="19"/>
              </w:rPr>
              <w:t>Sequence number; source/destination identifier; feedback; identification procedure</w:t>
            </w:r>
          </w:p>
        </w:tc>
        <w:tc>
          <w:tcPr>
            <w:tcW w:type="dxa" w:w="2880"/>
          </w:tcPr>
          <w:p>
            <w:r/>
            <w:r>
              <w:rPr>
                <w:sz w:val="19"/>
              </w:rPr>
              <w:t>Source-ID whitelist; rate/insertion anomaly (UC-01, UC-13)</w:t>
            </w:r>
          </w:p>
        </w:tc>
      </w:tr>
      <w:tr>
        <w:tc>
          <w:tcPr>
            <w:tcW w:type="dxa" w:w="2880"/>
          </w:tcPr>
          <w:p>
            <w:r/>
            <w:r>
              <w:rPr>
                <w:sz w:val="19"/>
              </w:rPr>
              <w:t>Re-sequencing</w:t>
            </w:r>
          </w:p>
        </w:tc>
        <w:tc>
          <w:tcPr>
            <w:tcW w:type="dxa" w:w="2880"/>
          </w:tcPr>
          <w:p>
            <w:r/>
            <w:r>
              <w:rPr>
                <w:sz w:val="19"/>
              </w:rPr>
              <w:t>Sequence number; time stamp</w:t>
            </w:r>
          </w:p>
        </w:tc>
        <w:tc>
          <w:tcPr>
            <w:tcW w:type="dxa" w:w="2880"/>
          </w:tcPr>
          <w:p>
            <w:r/>
            <w:r>
              <w:rPr>
                <w:sz w:val="19"/>
              </w:rPr>
              <w:t>Out-of-order sequence detection (UC-03)</w:t>
            </w:r>
          </w:p>
        </w:tc>
      </w:tr>
      <w:tr>
        <w:tc>
          <w:tcPr>
            <w:tcW w:type="dxa" w:w="2880"/>
          </w:tcPr>
          <w:p>
            <w:r/>
            <w:r>
              <w:rPr>
                <w:sz w:val="19"/>
              </w:rPr>
              <w:t>Corruption</w:t>
            </w:r>
          </w:p>
        </w:tc>
        <w:tc>
          <w:tcPr>
            <w:tcW w:type="dxa" w:w="2880"/>
          </w:tcPr>
          <w:p>
            <w:r/>
            <w:r>
              <w:rPr>
                <w:sz w:val="19"/>
              </w:rPr>
              <w:t>Safety code; cryptographic techniques</w:t>
            </w:r>
          </w:p>
        </w:tc>
        <w:tc>
          <w:tcPr>
            <w:tcW w:type="dxa" w:w="2880"/>
          </w:tcPr>
          <w:p>
            <w:r/>
            <w:r>
              <w:rPr>
                <w:sz w:val="19"/>
              </w:rPr>
              <w:t>Safety-code/CRC failure-rate and integrity-flag monitoring (UC-02, UC-10)</w:t>
            </w:r>
          </w:p>
        </w:tc>
      </w:tr>
      <w:tr>
        <w:tc>
          <w:tcPr>
            <w:tcW w:type="dxa" w:w="2880"/>
          </w:tcPr>
          <w:p>
            <w:r/>
            <w:r>
              <w:rPr>
                <w:sz w:val="19"/>
              </w:rPr>
              <w:t>Delay</w:t>
            </w:r>
          </w:p>
        </w:tc>
        <w:tc>
          <w:tcPr>
            <w:tcW w:type="dxa" w:w="2880"/>
          </w:tcPr>
          <w:p>
            <w:r/>
            <w:r>
              <w:rPr>
                <w:sz w:val="19"/>
              </w:rPr>
              <w:t>Time stamp; time-out</w:t>
            </w:r>
          </w:p>
        </w:tc>
        <w:tc>
          <w:tcPr>
            <w:tcW w:type="dxa" w:w="2880"/>
          </w:tcPr>
          <w:p>
            <w:r/>
            <w:r>
              <w:rPr>
                <w:sz w:val="19"/>
              </w:rPr>
              <w:t>End-to-end latency vs SIL-bounded threshold (UC-03)</w:t>
            </w:r>
          </w:p>
        </w:tc>
      </w:tr>
      <w:tr>
        <w:tc>
          <w:tcPr>
            <w:tcW w:type="dxa" w:w="2880"/>
          </w:tcPr>
          <w:p>
            <w:r/>
            <w:r>
              <w:rPr>
                <w:sz w:val="19"/>
              </w:rPr>
              <w:t>Masquerade</w:t>
            </w:r>
          </w:p>
        </w:tc>
        <w:tc>
          <w:tcPr>
            <w:tcW w:type="dxa" w:w="2880"/>
          </w:tcPr>
          <w:p>
            <w:r/>
            <w:r>
              <w:rPr>
                <w:sz w:val="19"/>
              </w:rPr>
              <w:t>Source/destination identifier; cryptographic identification; identification procedure</w:t>
            </w:r>
          </w:p>
        </w:tc>
        <w:tc>
          <w:tcPr>
            <w:tcW w:type="dxa" w:w="2880"/>
          </w:tcPr>
          <w:p>
            <w:r/>
            <w:r>
              <w:rPr>
                <w:sz w:val="19"/>
              </w:rPr>
              <w:t>Identity/closure monitoring; unexpected-participant detection (UC-01, UC-13)</w:t>
            </w:r>
          </w:p>
        </w:tc>
      </w:tr>
    </w:tbl>
    <w:p/>
    <w:p>
      <w:pPr>
        <w:jc w:val="both"/>
      </w:pPr>
      <w:r>
        <w:rPr>
          <w:b w:val="0"/>
          <w:i w:val="0"/>
        </w:rPr>
        <w:t>Two consequences for the OT-SOC follow and resolve the manuscript's central evidence finding. First, for the Category-1 vital buses EN 50159 does not mandate cryptographic source authentication - the closed-medium assumption and the safety code carry the assurance - which is why the reference model's vital protocols provide integrity and replay but not authentication; this is a standards-consistent design, not a defect, PROVIDED the closed-medium assumption holds, and the OT-SOC's role is to police that assumption continuously. Second, for the Category-3 open bearers cryptographic protection is mandatory and is necessary but not sufficient: timeliness, replay and RF-anomaly monitoring remain obligatory because delay and masquerade are first-class EN 50159 threats that cryptography alone does not detect in operation.</w:t>
      </w:r>
    </w:p>
    <w:p>
      <w:pPr>
        <w:pStyle w:val="Heading2"/>
      </w:pPr>
      <w:r>
        <w:t>Section 5 (revised closing) - corrected cross-reference and Limitations</w:t>
      </w:r>
    </w:p>
    <w:p>
      <w:pPr>
        <w:jc w:val="both"/>
      </w:pPr>
      <w:r>
        <w:rPr>
          <w:b w:val="0"/>
          <w:i w:val="0"/>
        </w:rPr>
        <w:t>[...unchanged body...] The residual findings of that assessment - referenced throughout this paper as evidence and consolidated in the residual-risk register of Section 15 - become the OT-SOC's standing monitoring requirements rather than items to be quietly closed.</w:t>
      </w:r>
    </w:p>
    <w:p>
      <w:pPr>
        <w:jc w:val="both"/>
      </w:pPr>
      <w:r>
        <w:rPr>
          <w:b w:val="0"/>
          <w:i w:val="0"/>
        </w:rPr>
        <w:t>Limitations of the evidence base. The findings cited in this paper were obtained by assessing a reference architecture model, not by instrumenting deployed Kavach or electronic-interlocking equipment. They are therefore properties of the model and of the governance rules it encodes; their value here is to illustrate, concretely and traceably, the classes of monitoring requirement an OT-SOC must satisfy. Whether any specific finding (for example, the absence of cryptographic authentication on a particular vital interface) holds for a given fielded installation is a question of fact that must be established by a field assessment of that installation under the TS 50701 lifecycle. Such field validation - on a representative Kavach corridor and a representative electronic interlocking - is the immediate next step and is recorded as future work.</w:t>
      </w:r>
    </w:p>
    <w:p>
      <w:pPr>
        <w:pStyle w:val="Heading2"/>
      </w:pPr>
      <w:r>
        <w:t>Section 7 (revised extract) - corrected balise nomenclature and TAP/SPAN precision</w:t>
      </w:r>
    </w:p>
    <w:p>
      <w:pPr>
        <w:jc w:val="both"/>
      </w:pPr>
      <w:r>
        <w:rPr>
          <w:b w:val="0"/>
          <w:i w:val="0"/>
        </w:rPr>
        <w:t>The Process/Vital-state telemetry for the balise air-gap concerns the Kavach trackside RFID tag and the onboard RFID reader. (These are Kavach RFID balises; they are distinct from the ETCS Eurobalise and should not be conflated with it.) The reader decodes the passive, safety-coded telegram and derives position; the OT-SOC monitors telegram integrity and positional plausibility but does not expect cryptographic encryption or replay protection on this leg (Section 10). For all vital segments, collection must use a passive optical or copper TAP rather than a switch SPAN/mirror port: a TAP cannot, by construction, affect the monitored link, whereas a SPAN port consumes switch resources and can silently drop frames under load - an unacceptable risk on a SIL-4 bus. SPAN may be used only on non-vital segments where the consequence of frame loss is tolerable.</w:t>
      </w:r>
    </w:p>
    <w:p>
      <w:pPr>
        <w:pStyle w:val="Heading2"/>
      </w:pPr>
      <w:r>
        <w:t>Section 8 (revised extract) - TAP/SPAN and the data-flow reconciliation</w:t>
      </w:r>
    </w:p>
    <w:p>
      <w:pPr>
        <w:jc w:val="both"/>
      </w:pPr>
      <w:r>
        <w:rPr>
          <w:b w:val="0"/>
          <w:i w:val="0"/>
        </w:rPr>
        <w:t>The passivity requirement has a precise engineering meaning. On vital (Category-1) and onboard segments the collection device must be a passive TAP that is electrically and logically incapable of transmitting onto the monitored link; SPAN mirroring, which is a function of the production switch and can perturb it, is excluded from vital segments. The Monitoring Paradox is then enforced architecturally: telemetry leaves the Station echelon strictly upward through a data diode, and there is no online downward control path into the vital tier. Sensor configuration and detection-content updates are applied to Station-echelon collectors through a separate, scheduled, out-of-band management channel under change control - not through the monitoring path - so that the upward log diode remains genuinely unidirectional and the vital network cannot be reached from the SOC during normal operation.</w:t>
      </w:r>
    </w:p>
    <w:p>
      <w:pPr>
        <w:pStyle w:val="Heading2"/>
      </w:pPr>
      <w:r>
        <w:t>Section 9 (revised opening) - disambiguated terminology</w:t>
      </w:r>
    </w:p>
    <w:p>
      <w:pPr>
        <w:jc w:val="both"/>
      </w:pPr>
      <w:r>
        <w:rPr>
          <w:b w:val="0"/>
          <w:i w:val="0"/>
        </w:rPr>
        <w:t>Terminology. To avoid ambiguity this paper distinguishes three uses of the word that were previously all rendered as 'tier'. The geographic SOC structure is described in ECHELONS - E1 Station/Wayside, E2 Zonal/Divisional, E3 National; the analyst workforce is described in GRADES - G1 Monitoring Operator, G2 Investigator, G3 Senior Analyst/Hunter, G4 Lead; and the KPI framework is described by reporting AUDIENCE - Board, SOC-Lead, Analyst. The federated hybrid recommended in Section 6 is realised as a three-echelon architecture (E1 Station, E2 Zonal, E3 National) staffed across grades G1-G4. [...the remainder of Section 9 is retained, with 'Tier 1/2/3' replaced by 'E1/E2/E3' throughout...]</w:t>
      </w:r>
    </w:p>
    <w:p>
      <w:pPr>
        <w:pStyle w:val="Heading2"/>
      </w:pPr>
      <w:r>
        <w:t>Section 10 (revised extract) - protocol qualification and ATT&amp;CK-for-ICS mapping</w:t>
      </w:r>
    </w:p>
    <w:p>
      <w:pPr>
        <w:jc w:val="both"/>
      </w:pPr>
      <w:r>
        <w:rPr>
          <w:b w:val="0"/>
          <w:i w:val="0"/>
        </w:rPr>
        <w:t>The vital Category-1 buses - the electronic interlocking to Stationary-Kavach interface, the interlocking to object-controller and speed-sensor to Loco-Kavach links, and the Loco-Kavach to driver-machine-interface and brake-interface-unit links - carry, in the reference model, protocols denoted Kavach-EI-interface, CAN and MVB. (These identifiers are those of the reference model and of common rolling-stock buses; the authoritative protocol definitions for the Kavach radio and EI-interface are given in the RDSO Kavach specification, reference [9], and the manuscript's claims should be read against that specification rather than as independent protocol assertions.) To allow detection coverage to be assessed against a recognised adversary model, each use case is mapped to MITRE ATT&amp;CK for ICS in Table R-2; this also exposes coverage gaps for future use-case development.</w:t>
      </w:r>
    </w:p>
    <w:p>
      <w:r>
        <w:rPr>
          <w:b/>
          <w:sz w:val="20"/>
        </w:rPr>
        <w:t>Table R-2. Railway OT-SOC use cases mapped to MITRE ATT&amp;CK for 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t>Use case</w:t>
            </w:r>
          </w:p>
        </w:tc>
        <w:tc>
          <w:tcPr>
            <w:tcW w:type="dxa" w:w="2880"/>
          </w:tcPr>
          <w:p>
            <w:r/>
            <w:r>
              <w:rPr>
                <w:b/>
                <w:sz w:val="19"/>
              </w:rPr>
              <w:t>ATT&amp;CK for ICS tactic</w:t>
            </w:r>
          </w:p>
        </w:tc>
        <w:tc>
          <w:tcPr>
            <w:tcW w:type="dxa" w:w="2880"/>
          </w:tcPr>
          <w:p>
            <w:r/>
            <w:r>
              <w:rPr>
                <w:b/>
                <w:sz w:val="19"/>
              </w:rPr>
              <w:t>Representative technique</w:t>
            </w:r>
          </w:p>
        </w:tc>
      </w:tr>
      <w:tr>
        <w:tc>
          <w:tcPr>
            <w:tcW w:type="dxa" w:w="2880"/>
          </w:tcPr>
          <w:p>
            <w:r/>
            <w:r>
              <w:rPr>
                <w:sz w:val="19"/>
              </w:rPr>
              <w:t>UC-01 Spoofed vital field message</w:t>
            </w:r>
          </w:p>
        </w:tc>
        <w:tc>
          <w:tcPr>
            <w:tcW w:type="dxa" w:w="2880"/>
          </w:tcPr>
          <w:p>
            <w:r/>
            <w:r>
              <w:rPr>
                <w:sz w:val="19"/>
              </w:rPr>
              <w:t>Impair Process Control / Inhibit Response</w:t>
            </w:r>
          </w:p>
        </w:tc>
        <w:tc>
          <w:tcPr>
            <w:tcW w:type="dxa" w:w="2880"/>
          </w:tcPr>
          <w:p>
            <w:r/>
            <w:r>
              <w:rPr>
                <w:sz w:val="19"/>
              </w:rPr>
              <w:t>Spoof Reporting Message; Modify Parameter</w:t>
            </w:r>
          </w:p>
        </w:tc>
      </w:tr>
      <w:tr>
        <w:tc>
          <w:tcPr>
            <w:tcW w:type="dxa" w:w="2880"/>
          </w:tcPr>
          <w:p>
            <w:r/>
            <w:r>
              <w:rPr>
                <w:sz w:val="19"/>
              </w:rPr>
              <w:t>UC-03 Kavach RF replay / delay</w:t>
            </w:r>
          </w:p>
        </w:tc>
        <w:tc>
          <w:tcPr>
            <w:tcW w:type="dxa" w:w="2880"/>
          </w:tcPr>
          <w:p>
            <w:r/>
            <w:r>
              <w:rPr>
                <w:sz w:val="19"/>
              </w:rPr>
              <w:t>Inhibit Response Function / Impair Process Control</w:t>
            </w:r>
          </w:p>
        </w:tc>
        <w:tc>
          <w:tcPr>
            <w:tcW w:type="dxa" w:w="2880"/>
          </w:tcPr>
          <w:p>
            <w:r/>
            <w:r>
              <w:rPr>
                <w:sz w:val="19"/>
              </w:rPr>
              <w:t>Adversary-in-the-Middle; Manipulation of Control</w:t>
            </w:r>
          </w:p>
        </w:tc>
      </w:tr>
      <w:tr>
        <w:tc>
          <w:tcPr>
            <w:tcW w:type="dxa" w:w="2880"/>
          </w:tcPr>
          <w:p>
            <w:r/>
            <w:r>
              <w:rPr>
                <w:sz w:val="19"/>
              </w:rPr>
              <w:t>UC-04 RF jamming / loss of comms</w:t>
            </w:r>
          </w:p>
        </w:tc>
        <w:tc>
          <w:tcPr>
            <w:tcW w:type="dxa" w:w="2880"/>
          </w:tcPr>
          <w:p>
            <w:r/>
            <w:r>
              <w:rPr>
                <w:sz w:val="19"/>
              </w:rPr>
              <w:t>Inhibit Response Function</w:t>
            </w:r>
          </w:p>
        </w:tc>
        <w:tc>
          <w:tcPr>
            <w:tcW w:type="dxa" w:w="2880"/>
          </w:tcPr>
          <w:p>
            <w:r/>
            <w:r>
              <w:rPr>
                <w:sz w:val="19"/>
              </w:rPr>
              <w:t>Denial of Service; Block Reporting Message</w:t>
            </w:r>
          </w:p>
        </w:tc>
      </w:tr>
      <w:tr>
        <w:tc>
          <w:tcPr>
            <w:tcW w:type="dxa" w:w="2880"/>
          </w:tcPr>
          <w:p>
            <w:r/>
            <w:r>
              <w:rPr>
                <w:sz w:val="19"/>
              </w:rPr>
              <w:t>UC-05 Unauthorised logic download</w:t>
            </w:r>
          </w:p>
        </w:tc>
        <w:tc>
          <w:tcPr>
            <w:tcW w:type="dxa" w:w="2880"/>
          </w:tcPr>
          <w:p>
            <w:r/>
            <w:r>
              <w:rPr>
                <w:sz w:val="19"/>
              </w:rPr>
              <w:t>Lateral Movement / Execution</w:t>
            </w:r>
          </w:p>
        </w:tc>
        <w:tc>
          <w:tcPr>
            <w:tcW w:type="dxa" w:w="2880"/>
          </w:tcPr>
          <w:p>
            <w:r/>
            <w:r>
              <w:rPr>
                <w:sz w:val="19"/>
              </w:rPr>
              <w:t>Program Download; Modify Controller Tasking</w:t>
            </w:r>
          </w:p>
        </w:tc>
      </w:tr>
      <w:tr>
        <w:tc>
          <w:tcPr>
            <w:tcW w:type="dxa" w:w="2880"/>
          </w:tcPr>
          <w:p>
            <w:r/>
            <w:r>
              <w:rPr>
                <w:sz w:val="19"/>
              </w:rPr>
              <w:t>UC-07 Trust-boundary bypass</w:t>
            </w:r>
          </w:p>
        </w:tc>
        <w:tc>
          <w:tcPr>
            <w:tcW w:type="dxa" w:w="2880"/>
          </w:tcPr>
          <w:p>
            <w:r/>
            <w:r>
              <w:rPr>
                <w:sz w:val="19"/>
              </w:rPr>
              <w:t>Lateral Movement</w:t>
            </w:r>
          </w:p>
        </w:tc>
        <w:tc>
          <w:tcPr>
            <w:tcW w:type="dxa" w:w="2880"/>
          </w:tcPr>
          <w:p>
            <w:r/>
            <w:r>
              <w:rPr>
                <w:sz w:val="19"/>
              </w:rPr>
              <w:t>Exploitation of Remote Services; Default Credentials</w:t>
            </w:r>
          </w:p>
        </w:tc>
      </w:tr>
      <w:tr>
        <w:tc>
          <w:tcPr>
            <w:tcW w:type="dxa" w:w="2880"/>
          </w:tcPr>
          <w:p>
            <w:r/>
            <w:r>
              <w:rPr>
                <w:sz w:val="19"/>
              </w:rPr>
              <w:t>UC-08 Forbidden topology edge</w:t>
            </w:r>
          </w:p>
        </w:tc>
        <w:tc>
          <w:tcPr>
            <w:tcW w:type="dxa" w:w="2880"/>
          </w:tcPr>
          <w:p>
            <w:r/>
            <w:r>
              <w:rPr>
                <w:sz w:val="19"/>
              </w:rPr>
              <w:t>Initial Access / Persistence</w:t>
            </w:r>
          </w:p>
        </w:tc>
        <w:tc>
          <w:tcPr>
            <w:tcW w:type="dxa" w:w="2880"/>
          </w:tcPr>
          <w:p>
            <w:r/>
            <w:r>
              <w:rPr>
                <w:sz w:val="19"/>
              </w:rPr>
              <w:t>Hardware Additions; Rogue Master</w:t>
            </w:r>
          </w:p>
        </w:tc>
      </w:tr>
      <w:tr>
        <w:tc>
          <w:tcPr>
            <w:tcW w:type="dxa" w:w="2880"/>
          </w:tcPr>
          <w:p>
            <w:r/>
            <w:r>
              <w:rPr>
                <w:sz w:val="19"/>
              </w:rPr>
              <w:t>UC-13 New device on vital segment</w:t>
            </w:r>
          </w:p>
        </w:tc>
        <w:tc>
          <w:tcPr>
            <w:tcW w:type="dxa" w:w="2880"/>
          </w:tcPr>
          <w:p>
            <w:r/>
            <w:r>
              <w:rPr>
                <w:sz w:val="19"/>
              </w:rPr>
              <w:t>Initial Access</w:t>
            </w:r>
          </w:p>
        </w:tc>
        <w:tc>
          <w:tcPr>
            <w:tcW w:type="dxa" w:w="2880"/>
          </w:tcPr>
          <w:p>
            <w:r/>
            <w:r>
              <w:rPr>
                <w:sz w:val="19"/>
              </w:rPr>
              <w:t>Rogue Master; Hardware Additions</w:t>
            </w:r>
          </w:p>
        </w:tc>
      </w:tr>
      <w:tr>
        <w:tc>
          <w:tcPr>
            <w:tcW w:type="dxa" w:w="2880"/>
          </w:tcPr>
          <w:p>
            <w:r/>
            <w:r>
              <w:rPr>
                <w:sz w:val="19"/>
              </w:rPr>
              <w:t>UC-14 Removable media on EWS</w:t>
            </w:r>
          </w:p>
        </w:tc>
        <w:tc>
          <w:tcPr>
            <w:tcW w:type="dxa" w:w="2880"/>
          </w:tcPr>
          <w:p>
            <w:r/>
            <w:r>
              <w:rPr>
                <w:sz w:val="19"/>
              </w:rPr>
              <w:t>Initial Access</w:t>
            </w:r>
          </w:p>
        </w:tc>
        <w:tc>
          <w:tcPr>
            <w:tcW w:type="dxa" w:w="2880"/>
          </w:tcPr>
          <w:p>
            <w:r/>
            <w:r>
              <w:rPr>
                <w:sz w:val="19"/>
              </w:rPr>
              <w:t>Replication Through Removable Media</w:t>
            </w:r>
          </w:p>
        </w:tc>
      </w:tr>
    </w:tbl>
    <w:p/>
    <w:p>
      <w:pPr>
        <w:jc w:val="both"/>
      </w:pPr>
      <w:r>
        <w:rPr>
          <w:b w:val="0"/>
          <w:i w:val="0"/>
        </w:rPr>
        <w:t>Each use case in Table 5 should additionally record, in the deployed detection-content repository, its primary data source, the precise detection logic, the validated response playbook reference and a documented false-positive baseline; these operational fields are omitted from the paper for brevity but are mandatory in the engineering artefact.</w:t>
      </w:r>
    </w:p>
    <w:p>
      <w:pPr>
        <w:pStyle w:val="Heading2"/>
      </w:pPr>
      <w:r>
        <w:t>New Section - Related Work (to be inserted after Section 2)</w:t>
      </w:r>
    </w:p>
    <w:p>
      <w:pPr>
        <w:jc w:val="both"/>
      </w:pPr>
      <w:r>
        <w:rPr>
          <w:b w:val="0"/>
          <w:i w:val="0"/>
        </w:rPr>
        <w:t>Railway cyber security has an established literature that this paper builds upon. The CENELEC lifecycle standards (EN 50126, EN 50129) and the dedicated cyber standard CLC/TS 50701 provide the safety-security integration framework; IEC 62443 supplies the zone/conduit and security-level model adopted here; and EN 50159 supplies the communication-threat taxonomy. EU research programmes (CYRAIL, X2Rail, SAFETY4RAILS) have addressed railway-specific threat assessment and resilience, and ENISA has published sectoral transport and railway threat-landscape analyses. In the OT-SOC operational domain, NIST SP 800-82 and the ISA/IEC 62443 series define monitoring and management-system practice, and MITRE ATT&amp;CK for ICS provides the adversary-technique reference now standard in detection engineering. The distinctive contribution of the present paper relative to this body of work is twofold: the argument that a machine-validated, authority-separated architecture model must precede and configure the OT-SOC, and the end-to-end railway contextualisation - from operating-model selection to a 90-day programme - anchored to Kavach and to Indian Railways' institutional structure. The structural OT-SOC frameworks adapted in Sections 6-17 are drawn from cross-sector practice and are cited as such; they are not claimed as original.</w:t>
      </w:r>
    </w:p>
    <w:p>
      <w:pPr>
        <w:pStyle w:val="Heading2"/>
      </w:pPr>
      <w:r>
        <w:t>New Section - Risk Assessment and SL-T Derivation (to be inserted before Section 6)</w:t>
      </w:r>
    </w:p>
    <w:p>
      <w:pPr>
        <w:jc w:val="both"/>
      </w:pPr>
      <w:r>
        <w:rPr>
          <w:b w:val="0"/>
          <w:i w:val="0"/>
        </w:rPr>
        <w:t>TS 50701 and IEC 62443-3-2 require that target Security Levels (SL-T) be derived for each zone and conduit from a documented risk assessment, and the OT-SOC uses SL-T to calibrate monitoring intensity and response targets. This paper recommends a consequence-by-likelihood method. Consequence is scored primarily by the safety significance of the affected function - its SIL and its potential to cause a wrong-side failure - and secondarily by operational and reputational impact; a SIL-4 vital function (interlocking, Kavach) takes the highest consequence band by default. Likelihood is scored from exposure (Internet/enterprise reachability, open RF, vendor/engineering access), the EN 50159 transmission category of the conduit, and the strength of existing controls. The SL-T for a zone is the level required to reduce the residual risk of its highest-consequence credible scenario to acceptable; conduits inherit the higher SL-T of the zones they join. As a worked example, the Interlocking zone (SIL-4 consequence; Category-1 internal but reachable via engineering access and, through Kavach, exposed to an open Category-3 bearer) is assigned SL-T 3, driving the highest monitoring intensity, the shortest detection-to-advisory target and mandatory privileged-access and closure monitoring; the Telecom Core (Category-2, no direct vital consequence) is assigned SL-T 2; and the Enterprise zone SL-T 1-2. The full zone/conduit risk register is an artefact of the TS 50701 cyber security case and is the prerequisite (Phase 0) for any sensor deployment.</w:t>
      </w:r>
    </w:p>
    <w:p>
      <w:pPr>
        <w:pStyle w:val="Heading2"/>
      </w:pPr>
      <w:r>
        <w:t>Section 13 (revised) - concrete KPI targets</w:t>
      </w:r>
    </w:p>
    <w:p>
      <w:pPr>
        <w:jc w:val="both"/>
      </w:pPr>
      <w:r>
        <w:rPr>
          <w:b w:val="0"/>
          <w:i w:val="0"/>
        </w:rPr>
        <w:t>KPI targets must be measurable and time-bound. The revised framework replaces the qualitative targets with explicit values: vital-asset (SIL-3/4 conduit) monitoring coverage to reach 100% within 18 months of pilot go-live and be sustained thereafter; trust-boundary instrumentation 100% of governance-defined boundaries within 12 months; EN 50159 detector completeness 100% (every conduit fielding the detector set its transmission category requires); sensor/TAP uptime not less than 99.5% monthly; mean time to detect a known vital-affecting technique under one hour and to first safe advisory under one hour for SEV1; architecture-conformance drift and exempt-flow false positives both zero; and privileged-session audit coverage 100% within 24 hours of session completion. The mean-time-to-detect target is anchored to IEC 62443-3-3 SR 6.2 (continuous monitoring) and to the operational hazard-exposure budget, not to EN 50129.</w:t>
      </w:r>
    </w:p>
    <w:p>
      <w:pPr>
        <w:pStyle w:val="Heading2"/>
      </w:pPr>
      <w:r>
        <w:t>Section 14 (revised extract) - corrected reference and grade/echelon clarity</w:t>
      </w:r>
    </w:p>
    <w:p>
      <w:pPr>
        <w:jc w:val="both"/>
      </w:pPr>
      <w:r>
        <w:rPr>
          <w:b w:val="0"/>
          <w:i w:val="0"/>
        </w:rPr>
        <w:t>Signalling and train-protection systems are Critical Information Infrastructure; their protection therefore engages NCIIPC for designation and national protection oversight under section 70 of the Information Technology Act 2000, and CERT-In for statutory incident reporting under the CERT-In Directions of 28 April 2022 (which impose reporting within six hours of noticing a reportable incident), in addition to the internal railway hierarchy. The interplay must be defined in the SOC charter: the OT-SOC notifies the internal RDSO/Railway-Board chain and, for incidents meeting the statutory thresholds, CERT-In within the mandated window, with NCIIPC engaged for CII-level events. Table 11 (not Table 8) defines the governance model and the principal responsibility of each entity. The staffing grades G1-G4 of Table 10 are distinct from the geographic echelons E1-E3 of Section 9: the IRSSE, Kavach and functional-safety subject-matter experts are grade-G2/G3 roles that may serve across echelons. The establishment figures cited (of the order of 14-18 full-time equivalents for 24x7 cover, and a 12-24-month competency pipeline) are adopted from cross-sector staffing experience [17] and should be validated against an Indian Railways workload study during the pilot.</w:t>
      </w:r>
    </w:p>
    <w:p>
      <w:pPr>
        <w:pStyle w:val="Heading2"/>
      </w:pPr>
      <w:r>
        <w:t>Section 15 (revised extract) - corrected reference</w:t>
      </w:r>
    </w:p>
    <w:p>
      <w:pPr>
        <w:jc w:val="both"/>
      </w:pPr>
      <w:r>
        <w:rPr>
          <w:b w:val="0"/>
          <w:i w:val="0"/>
        </w:rPr>
        <w:t>[...unchanged body...] Table 12 (not Table 9) is an extract of the residual-risk register populated from the assessment evidence, with each item routed to its acceptance authority; risk affecting any SIL-4 vital function is routed to the Railway Board and cannot be accepted at SOC or divisional level.</w:t>
      </w:r>
    </w:p>
    <w:p>
      <w:pPr>
        <w:pStyle w:val="Heading2"/>
      </w:pPr>
      <w:r>
        <w:t>H. Required Figures (specification for the revision)</w:t>
      </w:r>
    </w:p>
    <w:p>
      <w:pPr>
        <w:jc w:val="both"/>
      </w:pPr>
      <w:r>
        <w:rPr>
          <w:b w:val="0"/>
          <w:i w:val="0"/>
        </w:rPr>
        <w:t>The revision must add at least the following figures, each with a descriptive caption:</w:t>
      </w:r>
    </w:p>
    <w:p>
      <w:pPr>
        <w:pStyle w:val="ListBullet"/>
      </w:pPr>
      <w:r>
        <w:t>Figure 1 - IEC 62443 zone-and-conduit reference model for railway signalling: the zone hierarchy (Enterprise, IDMZ, Security-Management, Operations, Telecom Core, Radio Access, Interlocking, Field, Onboard) with the typed conduits and their EN 50159 transmission categories annotated.</w:t>
      </w:r>
    </w:p>
    <w:p>
      <w:pPr>
        <w:pStyle w:val="ListBullet"/>
      </w:pPr>
      <w:r>
        <w:t>Figure 2 - Three-echelon OT-SOC topology (E1 Station, E2 Zonal, E3 National) showing passive TAP/SPAN collection, the unidirectional data-diode log path upward, the out-of-band management path, and the IT/OT boundary.</w:t>
      </w:r>
    </w:p>
    <w:p>
      <w:pPr>
        <w:pStyle w:val="ListBullet"/>
      </w:pPr>
      <w:r>
        <w:t>Figure 3 - Kavach communication architecture distinguishing the legitimate end-to-end Loco-to-Stationary safety association over the radio bearer from the FORBIDDEN direct vital-to-base-station edge, with EN 50159 categories marked.</w:t>
      </w:r>
    </w:p>
    <w:p>
      <w:pPr>
        <w:pStyle w:val="ListBullet"/>
      </w:pPr>
      <w:r>
        <w:t>Figure 4 - Four-gate incident-response flowchart (G1 Safety, G2 Operational impact, G3 Containment, G4 Recovery authorisation) showing decision authorities and the observe/advise/recommend escalation path under safe-working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02A4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