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EXPLORATORY DATA ANALYSIS (EDA) REPORT</w:t>
      </w:r>
    </w:p>
    <w:p>
      <w:pPr>
        <w:jc w:val="center"/>
      </w:pPr>
      <w:r>
        <w:rPr>
          <w:b/>
          <w:sz w:val="32"/>
        </w:rPr>
        <w:t>Portfolio Risk-Factor Analysis Using PCA</w:t>
      </w:r>
    </w:p>
    <w:p>
      <w:pPr>
        <w:jc w:val="center"/>
      </w:pPr>
      <w:r>
        <w:rPr>
          <w:i/>
        </w:rPr>
        <w:t>Dimensionality Reduction for Portfolio Risk Management</w:t>
      </w:r>
    </w:p>
    <w:p>
      <w:pPr>
        <w:jc w:val="center"/>
      </w:pPr>
      <w:r>
        <w:br/>
        <w:t>B Shammruth  |  U. PRANEETH</w:t>
        <w:br/>
        <w:t>CSE, KLH University</w:t>
        <w:br/>
        <w:t>Guide: Shaik Asif Sir</w:t>
      </w:r>
    </w:p>
    <w:p>
      <w:pPr>
        <w:pStyle w:val="Heading1"/>
      </w:pPr>
      <w:r>
        <w:t>1. Introduction</w:t>
      </w:r>
    </w:p>
    <w:p>
      <w:r>
        <w:t>This Exploratory Data Analysis (EDA) report describes the data-understanding and preprocessing stage of the project “Portfolio Risk-Factor Analysis Using PCA – Dimensionality Reduction for Portfolio Risk Management.” The purpose of EDA is to understand the structure and quality of historical stock-market data before applying Principal Component Analysis (PCA).</w:t>
      </w:r>
    </w:p>
    <w:p>
      <w:pPr>
        <w:pStyle w:val="Heading1"/>
      </w:pPr>
      <w:r>
        <w:t>2. Problem Context</w:t>
      </w:r>
    </w:p>
    <w:p>
      <w:r>
        <w:t>A portfolio can contain many stocks from different sectors. Stock returns can be correlated because common market and sector forces affect multiple assets at the same time. When the number of assets increases, the resulting correlation/covariance structure becomes more difficult to inspect directly. EDA is therefore used to understand relationships, missing values, distributions and unusual observations before dimensionality reduction.</w:t>
      </w:r>
    </w:p>
    <w:p>
      <w:pPr>
        <w:pStyle w:val="Heading1"/>
      </w:pPr>
      <w:r>
        <w:t>3. Dataset Description</w:t>
      </w:r>
    </w:p>
    <w:p>
      <w:r>
        <w:t>The implementation is designed for historical stock-market CSV data. The demonstrated dataset structure contains fields such as timestamp, symbol, open, high, low, close, previous close, volume and turnover. The program is intentionally data-driven rather than hard-coded for a fixed list of stocks.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Field</w:t>
            </w:r>
          </w:p>
        </w:tc>
        <w:tc>
          <w:tcPr>
            <w:tcW w:type="dxa" w:w="3312"/>
          </w:tcPr>
          <w:p>
            <w:r>
              <w:t>Type</w:t>
            </w:r>
          </w:p>
        </w:tc>
        <w:tc>
          <w:tcPr>
            <w:tcW w:type="dxa" w:w="3312"/>
          </w:tcPr>
          <w:p>
            <w:r>
              <w:t>Purpose</w:t>
            </w:r>
          </w:p>
        </w:tc>
      </w:tr>
      <w:tr>
        <w:tc>
          <w:tcPr>
            <w:tcW w:type="dxa" w:w="3312"/>
          </w:tcPr>
          <w:p>
            <w:r>
              <w:t>timestamp</w:t>
            </w:r>
          </w:p>
        </w:tc>
        <w:tc>
          <w:tcPr>
            <w:tcW w:type="dxa" w:w="3312"/>
          </w:tcPr>
          <w:p>
            <w:r>
              <w:t>Date/time</w:t>
            </w:r>
          </w:p>
        </w:tc>
        <w:tc>
          <w:tcPr>
            <w:tcW w:type="dxa" w:w="3312"/>
          </w:tcPr>
          <w:p>
            <w:r>
              <w:t>Trading date and time</w:t>
            </w:r>
          </w:p>
        </w:tc>
      </w:tr>
      <w:tr>
        <w:tc>
          <w:tcPr>
            <w:tcW w:type="dxa" w:w="3312"/>
          </w:tcPr>
          <w:p>
            <w:r>
              <w:t>symbol</w:t>
            </w:r>
          </w:p>
        </w:tc>
        <w:tc>
          <w:tcPr>
            <w:tcW w:type="dxa" w:w="3312"/>
          </w:tcPr>
          <w:p>
            <w:r>
              <w:t>Categorical</w:t>
            </w:r>
          </w:p>
        </w:tc>
        <w:tc>
          <w:tcPr>
            <w:tcW w:type="dxa" w:w="3312"/>
          </w:tcPr>
          <w:p>
            <w:r>
              <w:t>Stock identifier</w:t>
            </w:r>
          </w:p>
        </w:tc>
      </w:tr>
      <w:tr>
        <w:tc>
          <w:tcPr>
            <w:tcW w:type="dxa" w:w="3312"/>
          </w:tcPr>
          <w:p>
            <w:r>
              <w:t>open</w:t>
            </w:r>
          </w:p>
        </w:tc>
        <w:tc>
          <w:tcPr>
            <w:tcW w:type="dxa" w:w="3312"/>
          </w:tcPr>
          <w:p>
            <w:r>
              <w:t>Numeric</w:t>
            </w:r>
          </w:p>
        </w:tc>
        <w:tc>
          <w:tcPr>
            <w:tcW w:type="dxa" w:w="3312"/>
          </w:tcPr>
          <w:p>
            <w:r>
              <w:t>Opening price</w:t>
            </w:r>
          </w:p>
        </w:tc>
      </w:tr>
      <w:tr>
        <w:tc>
          <w:tcPr>
            <w:tcW w:type="dxa" w:w="3312"/>
          </w:tcPr>
          <w:p>
            <w:r>
              <w:t>high</w:t>
            </w:r>
          </w:p>
        </w:tc>
        <w:tc>
          <w:tcPr>
            <w:tcW w:type="dxa" w:w="3312"/>
          </w:tcPr>
          <w:p>
            <w:r>
              <w:t>Numeric</w:t>
            </w:r>
          </w:p>
        </w:tc>
        <w:tc>
          <w:tcPr>
            <w:tcW w:type="dxa" w:w="3312"/>
          </w:tcPr>
          <w:p>
            <w:r>
              <w:t>Highest traded price</w:t>
            </w:r>
          </w:p>
        </w:tc>
      </w:tr>
      <w:tr>
        <w:tc>
          <w:tcPr>
            <w:tcW w:type="dxa" w:w="3312"/>
          </w:tcPr>
          <w:p>
            <w:r>
              <w:t>low</w:t>
            </w:r>
          </w:p>
        </w:tc>
        <w:tc>
          <w:tcPr>
            <w:tcW w:type="dxa" w:w="3312"/>
          </w:tcPr>
          <w:p>
            <w:r>
              <w:t>Numeric</w:t>
            </w:r>
          </w:p>
        </w:tc>
        <w:tc>
          <w:tcPr>
            <w:tcW w:type="dxa" w:w="3312"/>
          </w:tcPr>
          <w:p>
            <w:r>
              <w:t>Lowest traded price</w:t>
            </w:r>
          </w:p>
        </w:tc>
      </w:tr>
      <w:tr>
        <w:tc>
          <w:tcPr>
            <w:tcW w:type="dxa" w:w="3312"/>
          </w:tcPr>
          <w:p>
            <w:r>
              <w:t>close</w:t>
            </w:r>
          </w:p>
        </w:tc>
        <w:tc>
          <w:tcPr>
            <w:tcW w:type="dxa" w:w="3312"/>
          </w:tcPr>
          <w:p>
            <w:r>
              <w:t>Numeric</w:t>
            </w:r>
          </w:p>
        </w:tc>
        <w:tc>
          <w:tcPr>
            <w:tcW w:type="dxa" w:w="3312"/>
          </w:tcPr>
          <w:p>
            <w:r>
              <w:t>Closing price used for return calculation</w:t>
            </w:r>
          </w:p>
        </w:tc>
      </w:tr>
      <w:tr>
        <w:tc>
          <w:tcPr>
            <w:tcW w:type="dxa" w:w="3312"/>
          </w:tcPr>
          <w:p>
            <w:r>
              <w:t>previous_close</w:t>
            </w:r>
          </w:p>
        </w:tc>
        <w:tc>
          <w:tcPr>
            <w:tcW w:type="dxa" w:w="3312"/>
          </w:tcPr>
          <w:p>
            <w:r>
              <w:t>Numeric</w:t>
            </w:r>
          </w:p>
        </w:tc>
        <w:tc>
          <w:tcPr>
            <w:tcW w:type="dxa" w:w="3312"/>
          </w:tcPr>
          <w:p>
            <w:r>
              <w:t>Previous trading-session close</w:t>
            </w:r>
          </w:p>
        </w:tc>
      </w:tr>
      <w:tr>
        <w:tc>
          <w:tcPr>
            <w:tcW w:type="dxa" w:w="3312"/>
          </w:tcPr>
          <w:p>
            <w:r>
              <w:t>volume</w:t>
            </w:r>
          </w:p>
        </w:tc>
        <w:tc>
          <w:tcPr>
            <w:tcW w:type="dxa" w:w="3312"/>
          </w:tcPr>
          <w:p>
            <w:r>
              <w:t>Numeric</w:t>
            </w:r>
          </w:p>
        </w:tc>
        <w:tc>
          <w:tcPr>
            <w:tcW w:type="dxa" w:w="3312"/>
          </w:tcPr>
          <w:p>
            <w:r>
              <w:t>Trading volume</w:t>
            </w:r>
          </w:p>
        </w:tc>
      </w:tr>
      <w:tr>
        <w:tc>
          <w:tcPr>
            <w:tcW w:type="dxa" w:w="3312"/>
          </w:tcPr>
          <w:p>
            <w:r>
              <w:t>turnover</w:t>
            </w:r>
          </w:p>
        </w:tc>
        <w:tc>
          <w:tcPr>
            <w:tcW w:type="dxa" w:w="3312"/>
          </w:tcPr>
          <w:p>
            <w:r>
              <w:t>Numeric</w:t>
            </w:r>
          </w:p>
        </w:tc>
        <w:tc>
          <w:tcPr>
            <w:tcW w:type="dxa" w:w="3312"/>
          </w:tcPr>
          <w:p>
            <w:r>
              <w:t>Traded value/turnover</w:t>
            </w:r>
          </w:p>
        </w:tc>
      </w:tr>
    </w:tbl>
    <w:p>
      <w:pPr>
        <w:pStyle w:val="Heading1"/>
      </w:pPr>
      <w:r>
        <w:t>4. EDA Objectives</w:t>
      </w:r>
    </w:p>
    <w:p>
      <w:pPr>
        <w:pStyle w:val="ListBullet"/>
      </w:pPr>
      <w:r>
        <w:t>Understand dataset dimensions, column names and data types.</w:t>
      </w:r>
    </w:p>
    <w:p>
      <w:pPr>
        <w:pStyle w:val="ListBullet"/>
      </w:pPr>
      <w:r>
        <w:t>Check missing values and invalid observations.</w:t>
      </w:r>
    </w:p>
    <w:p>
      <w:pPr>
        <w:pStyle w:val="ListBullet"/>
      </w:pPr>
      <w:r>
        <w:t>Remove duplicate records and records without usable closing prices.</w:t>
      </w:r>
    </w:p>
    <w:p>
      <w:pPr>
        <w:pStyle w:val="ListBullet"/>
      </w:pPr>
      <w:r>
        <w:t>Calculate daily stock returns so assets can be compared on a common basis.</w:t>
      </w:r>
    </w:p>
    <w:p>
      <w:pPr>
        <w:pStyle w:val="ListBullet"/>
      </w:pPr>
      <w:r>
        <w:t>Inspect return distributions and identify extreme observations.</w:t>
      </w:r>
    </w:p>
    <w:p>
      <w:pPr>
        <w:pStyle w:val="ListBullet"/>
      </w:pPr>
      <w:r>
        <w:t>Examine correlations among stock returns.</w:t>
      </w:r>
    </w:p>
    <w:p>
      <w:pPr>
        <w:pStyle w:val="ListBullet"/>
      </w:pPr>
      <w:r>
        <w:t>Prepare a clean, standardized return matrix for PCA.</w:t>
      </w:r>
    </w:p>
    <w:p>
      <w:pPr>
        <w:pStyle w:val="Heading1"/>
      </w:pPr>
      <w:r>
        <w:t>5. Data Cleaning</w:t>
      </w:r>
    </w:p>
    <w:p>
      <w:r>
        <w:t>The timestamp is converted to a date/time type and records are sorted by stock and date. Duplicate rows are removed. Rows without a closing price are excluded because closing price is required for return calculation. Remaining missing return values are handled using the median of the corresponding stock-return column.</w:t>
      </w:r>
    </w:p>
    <w:p>
      <w:pPr>
        <w:pStyle w:val="Heading1"/>
      </w:pPr>
      <w:r>
        <w:t>6. Return Calculation</w:t>
      </w:r>
    </w:p>
    <w:p>
      <w:r>
        <w:t>Raw prices are transformed into daily percentage returns. For a stock with price P at time t, the daily return is calculated as:</w:t>
      </w:r>
    </w:p>
    <w:p>
      <w:pPr>
        <w:jc w:val="center"/>
      </w:pPr>
      <w:r>
        <w:rPr>
          <w:b/>
        </w:rPr>
        <w:t>Return(t) = [Price(t) − Price(t−1)] / Price(t−1)</w:t>
      </w:r>
    </w:p>
    <w:p>
      <w:r>
        <w:t>The return matrix is then reshaped so that rows represent trading dates and columns represent stocks. This is the principal input structure used for PCA.</w:t>
      </w:r>
    </w:p>
    <w:p>
      <w:pPr>
        <w:pStyle w:val="Heading1"/>
      </w:pPr>
      <w:r>
        <w:t>7. Missing-Value Analysis</w:t>
      </w:r>
    </w:p>
    <w:p>
      <w:r>
        <w:t>Missing values are inspected before modeling. Missing closing prices are removed, while remaining missing return values are filled using the median return of the corresponding stock. This prevents missing observations from causing failures during standardization or PCA.</w:t>
      </w:r>
    </w:p>
    <w:p>
      <w:pPr>
        <w:pStyle w:val="Heading1"/>
      </w:pPr>
      <w:r>
        <w:t>8. Outlier Analysis</w:t>
      </w:r>
    </w:p>
    <w:p>
      <w:r>
        <w:t>Financial return series can contain unusually large observations. Because PCA is variance-based, extreme observations can have a strong influence on the resulting components. The implementation uses percentile-based capping: values below the 1st percentile are capped at the 1st percentile and values above the 99th percentile are capped at the 99th percentile. Observations are capped rather than simply deleted.</w:t>
      </w:r>
    </w:p>
    <w:p>
      <w:pPr>
        <w:pStyle w:val="Heading1"/>
      </w:pPr>
      <w:r>
        <w:t>9. Standardization</w:t>
      </w:r>
    </w:p>
    <w:p>
      <w:r>
        <w:t>The cleaned return variables are standardized before PCA using StandardScaler. Standardization places variables on a comparable scale and prevents differences in scale from dominating a variance-based method.</w:t>
      </w:r>
    </w:p>
    <w:p>
      <w:pPr>
        <w:jc w:val="center"/>
      </w:pPr>
      <w:r>
        <w:rPr>
          <w:b/>
        </w:rPr>
        <w:t>Z = (X − μ) / σ</w:t>
      </w:r>
    </w:p>
    <w:p>
      <w:pPr>
        <w:pStyle w:val="Heading1"/>
      </w:pPr>
      <w:r>
        <w:t>10. EDA Visualizations</w:t>
      </w:r>
    </w:p>
    <w:p>
      <w:pPr>
        <w:pStyle w:val="ListBullet"/>
      </w:pPr>
      <w:r>
        <w:t>Correlation Heatmap – visualizes the strength and direction of relationships between stock returns.</w:t>
      </w:r>
    </w:p>
    <w:p>
      <w:pPr>
        <w:pStyle w:val="ListBullet"/>
      </w:pPr>
      <w:r>
        <w:t>Return Distribution – helps inspect the spread and shape of return observations.</w:t>
      </w:r>
    </w:p>
    <w:p>
      <w:pPr>
        <w:pStyle w:val="ListBullet"/>
      </w:pPr>
      <w:r>
        <w:t>Explained Variance Plot – used after PCA to see how much variation each component captures.</w:t>
      </w:r>
    </w:p>
    <w:p>
      <w:pPr>
        <w:pStyle w:val="ListBullet"/>
      </w:pPr>
      <w:r>
        <w:t>Cumulative Explained Variance Plot – helps select the number of components required to preserve a chosen information level.</w:t>
      </w:r>
    </w:p>
    <w:p>
      <w:pPr>
        <w:pStyle w:val="ListBullet"/>
      </w:pPr>
      <w:r>
        <w:t>PC1 vs PC2 Scatter Plot – projects observations onto the first two principal components.</w:t>
      </w:r>
    </w:p>
    <w:p>
      <w:pPr>
        <w:pStyle w:val="Heading1"/>
      </w:pPr>
      <w:r>
        <w:t>11. EDA Findings and Interpretation</w:t>
      </w:r>
    </w:p>
    <w:p>
      <w:r>
        <w:t>The EDA stage establishes whether the dataset is suitable for PCA and identifies the main data-quality considerations. Correlated stock returns indicate that some information is shared across variables, which is the central motivation for dimensionality reduction. Outlier handling is important because PCA is sensitive to variance. The cleaned and standardized return matrix is therefore passed to PCA for extraction of principal components.</w:t>
      </w:r>
    </w:p>
    <w:p>
      <w:pPr>
        <w:pStyle w:val="Heading1"/>
      </w:pPr>
      <w:r>
        <w:t>12. PCA Readiness</w:t>
      </w:r>
    </w:p>
    <w:p>
      <w:r>
        <w:t>After EDA and preprocessing, the data pipeline produces a numerical matrix suitable for PCA. The next stage applies PCA, calculates explained-variance ratios, examines component loadings, selects components using cumulative explained variance, and produces a reduced representation of the original stock-return data.</w:t>
      </w:r>
    </w:p>
    <w:p>
      <w:pPr>
        <w:pStyle w:val="Heading1"/>
      </w:pPr>
      <w:r>
        <w:t>13. Reproducible Program Workflow</w:t>
      </w:r>
    </w:p>
    <w:p>
      <w:r>
        <w:t>CSV input → combine data → inspect structure → clean duplicates/missing values → calculate daily returns → pivot to date × stock matrix → fill missing values → cap 1st/99th percentile outliers → standardize → apply PCA → analyze variance/loadings → visualize.</w:t>
      </w:r>
    </w:p>
    <w:p>
      <w:pPr>
        <w:pStyle w:val="Heading1"/>
      </w:pPr>
      <w:r>
        <w:t>14. Important Note on Results</w:t>
      </w:r>
    </w:p>
    <w:p>
      <w:r>
        <w:t>This report describes the EDA methodology and interpretation supported by the project implementation. Exact numerical counts, volatility values, correlation values and PCA percentages should be taken from the actual dataset run in Google Colab rather than inserted as fixed or illustrative values.</w:t>
      </w:r>
    </w:p>
    <w:p>
      <w:pPr>
        <w:pStyle w:val="Heading1"/>
      </w:pPr>
      <w:r>
        <w:t>15. Conclusion</w:t>
      </w:r>
    </w:p>
    <w:p>
      <w:r>
        <w:t>EDA provides the foundation for reliable portfolio PCA. By understanding the dataset, cleaning missing and duplicate records, converting prices to returns, controlling extreme observations and standardizing variables, the project creates a consistent input for PCA. The resulting components can then be studied as compact mathematical representations of common variation in portfolio returns.</w:t>
      </w:r>
    </w:p>
    <w:p>
      <w:pPr>
        <w:pStyle w:val="Heading1"/>
      </w:pPr>
      <w:r>
        <w:t>16. Research Reference</w:t>
      </w:r>
    </w:p>
    <w:p>
      <w:r>
        <w:t>Mbonigaba Celestin, M. Vasuki, S. Sujatha &amp; A. Dinesh Kumar (2025), “Principal Component Analysis for Simplifying Multivariate Financial Data in Portfolio Risk Analysis,” Zenodo. This reference is relevant to the project’s use of PCA for financial-data dimensionality reduction and portfolio-risk analysis.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