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80"/>
        <w:jc w:val="center"/>
      </w:pPr>
      <w:r>
        <w:rPr>
          <w:rFonts w:ascii="Arial" w:cs="Arial" w:eastAsia="Arial" w:hAnsi="Arial"/>
          <w:caps/>
          <w:color w:val="888888"/>
          <w:spacing w:val="80"/>
          <w:sz w:val="22"/>
          <w:szCs w:val="22"/>
        </w:rPr>
        <w:t xml:space="preserve">INDIA SPACE ACADEMY</w:t>
      </w:r>
    </w:p>
    <w:p>
      <w:pPr>
        <w:spacing w:after="80"/>
        <w:jc w:val="center"/>
      </w:pPr>
      <w:r>
        <w:rPr>
          <w:rFonts w:ascii="Arial" w:cs="Arial" w:eastAsia="Arial" w:hAnsi="Arial"/>
          <w:b/>
          <w:bCs/>
          <w:color w:val="1F3864"/>
          <w:sz w:val="46"/>
          <w:szCs w:val="46"/>
        </w:rPr>
        <w:t xml:space="preserve">Results and Confusion Matrix</w:t>
      </w:r>
    </w:p>
    <w:p>
      <w:pPr>
        <w:spacing w:after="60"/>
        <w:jc w:val="center"/>
      </w:pPr>
      <w:r>
        <w:rPr>
          <w:rFonts w:ascii="Arial" w:cs="Arial" w:eastAsia="Arial" w:hAnsi="Arial"/>
          <w:i/>
          <w:iCs/>
          <w:color w:val="666666"/>
          <w:sz w:val="22"/>
          <w:szCs w:val="22"/>
        </w:rPr>
        <w:t xml:space="preserve">NASA CMAPSS FD001  ·  Anomaly Detection Models</w:t>
      </w:r>
    </w:p>
    <w:p>
      <w:pPr>
        <w:pBdr>
          <w:bottom w:val="single" w:color="1F3864" w:sz="6" w:space="1"/>
        </w:pBdr>
        <w:spacing w:before="180" w:after="200"/>
      </w:pPr>
    </w:p>
    <w:p>
      <w:pPr>
        <w:spacing w:after="400"/>
        <w:jc w:val="center"/>
      </w:pPr>
      <w:r>
        <w:rPr>
          <w:rFonts w:ascii="Arial" w:cs="Arial" w:eastAsia="Arial" w:hAnsi="Arial"/>
          <w:b/>
          <w:bCs/>
          <w:color w:val="1F3864"/>
          <w:sz w:val="26"/>
          <w:szCs w:val="26"/>
        </w:rPr>
        <w:t xml:space="preserve">Simran Upreti</w:t>
      </w:r>
    </w:p>
    <w:p>
      <w:r>
        <w:br w:type="page"/>
      </w:r>
    </w:p>
    <w:p>
      <w:pPr>
        <w:pStyle w:val="Heading1"/>
        <w:pBdr>
          <w:bottom w:val="single" w:color="1F3864" w:sz="4" w:space="4"/>
        </w:pBdr>
        <w:spacing w:before="340" w:after="140"/>
      </w:pPr>
      <w:r>
        <w:rPr>
          <w:rFonts w:ascii="Arial" w:cs="Arial" w:eastAsia="Arial" w:hAnsi="Arial"/>
          <w:b/>
          <w:bCs/>
          <w:color w:val="1F3864"/>
          <w:sz w:val="30"/>
          <w:szCs w:val="30"/>
        </w:rPr>
        <w:t xml:space="preserve">Results</w:t>
      </w:r>
    </w:p>
    <w:p>
      <w:pPr>
        <w:spacing w:before="80" w:after="100"/>
        <w:jc w:val="both"/>
      </w:pPr>
      <w:r>
        <w:rPr>
          <w:rFonts w:ascii="Arial" w:cs="Arial" w:eastAsia="Arial" w:hAnsi="Arial"/>
          <w:color w:val="222222"/>
          <w:sz w:val="22"/>
          <w:szCs w:val="22"/>
        </w:rPr>
        <w:t xml:space="preserve">Three anomaly detection models were evaluated against binary degradation labels on the full training set. A cycle was labelled as degraded if the engine had fewer than 30 remaining cycles. The table below shows precision, recall, F1 score and AUC for each model.</w:t>
      </w:r>
    </w:p>
    <w:p>
      <w:pPr>
        <w:spacing w:before="80"/>
      </w:pPr>
    </w:p>
    <w:p>
      <w:pPr>
        <w:spacing w:before="160" w:after="60"/>
      </w:pPr>
      <w:r>
        <w:rPr>
          <w:rFonts w:ascii="Arial" w:cs="Arial" w:eastAsia="Arial" w:hAnsi="Arial"/>
          <w:b/>
          <w:bCs/>
          <w:color w:val="333333"/>
          <w:sz w:val="20"/>
          <w:szCs w:val="20"/>
        </w:rPr>
        <w:t xml:space="preserve">Table 1: Anomaly Detection 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680"/>
      </w:tblGrid>
      <w:tr>
        <w:trPr>
          <w:tblHeader/>
        </w:trPr>
        <w:tc>
          <w:tcPr>
            <w:tcW w:type="dxa" w:w="30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w:t>
            </w:r>
          </w:p>
        </w:tc>
      </w:tr>
      <w:tr>
        <w:tc>
          <w:tcPr>
            <w:tcW w:type="dxa" w:w="30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left"/>
            </w:pPr>
            <w:r>
              <w:rPr>
                <w:rFonts w:ascii="Arial" w:cs="Arial" w:eastAsia="Arial" w:hAnsi="Arial"/>
                <w:b/>
                <w:bCs/>
                <w:color w:val="222222"/>
                <w:sz w:val="20"/>
                <w:szCs w:val="20"/>
              </w:rPr>
              <w:t xml:space="preserve">Isolation Forest</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0.756</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0.913</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0.827</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0.875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Autoencoder</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0.216</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0.216</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0.216</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0.640</w:t>
            </w:r>
          </w:p>
        </w:tc>
      </w:tr>
      <w:tr>
        <w:tc>
          <w:tcPr>
            <w:tcW w:type="dxa" w:w="30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LSTM Classifier</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0.779</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0.990</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0.872</w:t>
            </w:r>
          </w:p>
        </w:tc>
        <w:tc>
          <w:tcPr>
            <w:tcW w:type="dxa" w:w="168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0.876</w:t>
            </w:r>
          </w:p>
        </w:tc>
      </w:tr>
    </w:tbl>
    <w:p>
      <w:pPr>
        <w:spacing w:before="200"/>
      </w:pPr>
    </w:p>
    <w:p>
      <w:pPr>
        <w:spacing w:before="80" w:after="100"/>
        <w:jc w:val="both"/>
      </w:pPr>
      <w:r>
        <w:rPr>
          <w:rFonts w:ascii="Arial" w:cs="Arial" w:eastAsia="Arial" w:hAnsi="Arial"/>
          <w:color w:val="222222"/>
          <w:sz w:val="22"/>
          <w:szCs w:val="22"/>
        </w:rPr>
        <w:t xml:space="preserve">The LSTM Classifier came out on top across all four metrics. It achieved a recall of 0.990 meaning it correctly flagged 2,969 out of 3,000 degraded cycles and only missed 31. In a safety-critical context like engine monitoring this is the most important number since a missed degraded state is far more costly than a false alarm.</w:t>
      </w:r>
    </w:p>
    <w:p>
      <w:pPr>
        <w:spacing w:before="60"/>
      </w:pPr>
    </w:p>
    <w:p>
      <w:pPr>
        <w:spacing w:before="80" w:after="100"/>
        <w:jc w:val="both"/>
      </w:pPr>
      <w:r>
        <w:rPr>
          <w:rFonts w:ascii="Arial" w:cs="Arial" w:eastAsia="Arial" w:hAnsi="Arial"/>
          <w:color w:val="222222"/>
          <w:sz w:val="22"/>
          <w:szCs w:val="22"/>
        </w:rPr>
        <w:t xml:space="preserve">The Isolation Forest performed reasonably well with a precision of 0.756 and recall of 0.913. Its AUC of 0.875 is competitive for an unsupervised model trained only on healthy data with no direct knowledge of what degradation looks like.</w:t>
      </w:r>
    </w:p>
    <w:p>
      <w:pPr>
        <w:spacing w:before="60"/>
      </w:pPr>
    </w:p>
    <w:p>
      <w:pPr>
        <w:spacing w:before="80" w:after="100"/>
        <w:jc w:val="both"/>
      </w:pPr>
      <w:r>
        <w:rPr>
          <w:rFonts w:ascii="Arial" w:cs="Arial" w:eastAsia="Arial" w:hAnsi="Arial"/>
          <w:color w:val="222222"/>
          <w:sz w:val="22"/>
          <w:szCs w:val="22"/>
        </w:rPr>
        <w:t xml:space="preserve">The Autoencoder was the weakest of the three. Precision, recall and F1 all sat at 0.216 which reflects the reconstruction error threshold being too conservative. The model missed 2,353 out of 3,000 degraded cycles, a significant weakness that would need to be addressed before any real deployment.</w:t>
      </w:r>
    </w:p>
    <w:p>
      <w:r>
        <w:br w:type="page"/>
      </w:r>
    </w:p>
    <w:p>
      <w:pPr>
        <w:pStyle w:val="Heading1"/>
        <w:pBdr>
          <w:bottom w:val="single" w:color="1F3864" w:sz="4" w:space="4"/>
        </w:pBdr>
        <w:spacing w:before="340" w:after="140"/>
      </w:pPr>
      <w:r>
        <w:rPr>
          <w:rFonts w:ascii="Arial" w:cs="Arial" w:eastAsia="Arial" w:hAnsi="Arial"/>
          <w:b/>
          <w:bCs/>
          <w:color w:val="1F3864"/>
          <w:sz w:val="30"/>
          <w:szCs w:val="30"/>
        </w:rPr>
        <w:t xml:space="preserve">Confusion Matrix</w:t>
      </w:r>
    </w:p>
    <w:p>
      <w:pPr>
        <w:spacing w:before="80" w:after="100"/>
        <w:jc w:val="both"/>
      </w:pPr>
      <w:r>
        <w:rPr>
          <w:rFonts w:ascii="Arial" w:cs="Arial" w:eastAsia="Arial" w:hAnsi="Arial"/>
          <w:color w:val="222222"/>
          <w:sz w:val="22"/>
          <w:szCs w:val="22"/>
        </w:rPr>
        <w:t xml:space="preserve">The confusion matrix for each model breaks down predictions into four categories. True Positives and True Negatives shown in green are correct predictions. False Positives in yellow are normal cycles incorrectly flagged as degraded. False Negatives in red are degraded cycles that were missed and these are the most dangerous errors in this application.</w:t>
      </w:r>
    </w:p>
    <w:p>
      <w:pPr>
        <w:pStyle w:val="Heading2"/>
        <w:spacing w:before="220" w:after="100"/>
      </w:pPr>
      <w:r>
        <w:rPr>
          <w:rFonts w:ascii="Arial" w:cs="Arial" w:eastAsia="Arial" w:hAnsi="Arial"/>
          <w:b/>
          <w:bCs/>
          <w:color w:val="2E4057"/>
          <w:sz w:val="24"/>
          <w:szCs w:val="24"/>
        </w:rPr>
        <w:t xml:space="preserve">Isolation Forest</w:t>
      </w:r>
    </w:p>
    <w:p>
      <w:pPr>
        <w:spacing w:before="60"/>
      </w:pPr>
    </w:p>
    <w:p>
      <w:pPr>
        <w:spacing w:before="160" w:after="60"/>
      </w:pPr>
      <w:r>
        <w:rPr>
          <w:rFonts w:ascii="Arial" w:cs="Arial" w:eastAsia="Arial" w:hAnsi="Arial"/>
          <w:b/>
          <w:bCs/>
          <w:color w:val="333333"/>
          <w:sz w:val="20"/>
          <w:szCs w:val="20"/>
        </w:rPr>
        <w:t xml:space="preserve">Table 2: Isolation Forest Confusion Matrix</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tblGrid>
      <w:tr>
        <w:trPr>
          <w:tblHeader/>
        </w:trPr>
        <w:tc>
          <w:tcPr>
            <w:tcW w:type="dxa" w:w="24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Normal</w:t>
            </w:r>
          </w:p>
        </w:tc>
        <w:tc>
          <w:tcPr>
            <w:tcW w:type="dxa" w:w="26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Degraded</w:t>
            </w:r>
          </w:p>
        </w:tc>
      </w:tr>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Normal</w:t>
            </w:r>
          </w:p>
        </w:tc>
        <w:tc>
          <w:tcPr>
            <w:tcW w:type="dxa" w:w="2600"/>
            <w:tcBorders>
              <w:top w:val="single" w:color="DDDDDD" w:sz="1"/>
              <w:left w:val="single" w:color="DDDDDD" w:sz="1"/>
              <w:bottom w:val="single" w:color="DDDDDD" w:sz="1"/>
              <w:right w:val="single" w:color="DDDDDD" w:sz="1"/>
            </w:tcBorders>
            <w:shd w:fill="D4EDD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16,749</w:t>
            </w:r>
          </w:p>
          <w:p>
            <w:pPr>
              <w:jc w:val="center"/>
            </w:pPr>
            <w:r>
              <w:rPr>
                <w:rFonts w:ascii="Arial" w:cs="Arial" w:eastAsia="Arial" w:hAnsi="Arial"/>
                <w:i/>
                <w:iCs/>
                <w:color w:val="276231"/>
                <w:sz w:val="17"/>
                <w:szCs w:val="17"/>
              </w:rPr>
              <w:t xml:space="preserve">True Negative ✓</w:t>
            </w:r>
          </w:p>
        </w:tc>
        <w:tc>
          <w:tcPr>
            <w:tcW w:type="dxa" w:w="2600"/>
            <w:tcBorders>
              <w:top w:val="single" w:color="DDDDDD" w:sz="1"/>
              <w:left w:val="single" w:color="DDDDDD" w:sz="1"/>
              <w:bottom w:val="single" w:color="DDDDDD" w:sz="1"/>
              <w:right w:val="single" w:color="DDDDDD" w:sz="1"/>
            </w:tcBorders>
            <w:shd w:fill="FFF3CD"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882</w:t>
            </w:r>
          </w:p>
          <w:p>
            <w:pPr>
              <w:jc w:val="center"/>
            </w:pPr>
            <w:r>
              <w:rPr>
                <w:rFonts w:ascii="Arial" w:cs="Arial" w:eastAsia="Arial" w:hAnsi="Arial"/>
                <w:i/>
                <w:iCs/>
                <w:color w:val="856404"/>
                <w:sz w:val="17"/>
                <w:szCs w:val="17"/>
              </w:rPr>
              <w:t xml:space="preserve">False Positive ✗</w:t>
            </w:r>
          </w:p>
        </w:tc>
      </w:tr>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Degraded</w:t>
            </w:r>
          </w:p>
        </w:tc>
        <w:tc>
          <w:tcPr>
            <w:tcW w:type="dxa" w:w="26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262</w:t>
            </w:r>
          </w:p>
          <w:p>
            <w:pPr>
              <w:jc w:val="center"/>
            </w:pPr>
            <w:r>
              <w:rPr>
                <w:rFonts w:ascii="Arial" w:cs="Arial" w:eastAsia="Arial" w:hAnsi="Arial"/>
                <w:i/>
                <w:iCs/>
                <w:color w:val="842029"/>
                <w:sz w:val="17"/>
                <w:szCs w:val="17"/>
              </w:rPr>
              <w:t xml:space="preserve">False Negative ✗</w:t>
            </w:r>
          </w:p>
        </w:tc>
        <w:tc>
          <w:tcPr>
            <w:tcW w:type="dxa" w:w="2600"/>
            <w:tcBorders>
              <w:top w:val="single" w:color="DDDDDD" w:sz="1"/>
              <w:left w:val="single" w:color="DDDDDD" w:sz="1"/>
              <w:bottom w:val="single" w:color="DDDDDD" w:sz="1"/>
              <w:right w:val="single" w:color="DDDDDD" w:sz="1"/>
            </w:tcBorders>
            <w:shd w:fill="D4EDD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2,738</w:t>
            </w:r>
          </w:p>
          <w:p>
            <w:pPr>
              <w:jc w:val="center"/>
            </w:pPr>
            <w:r>
              <w:rPr>
                <w:rFonts w:ascii="Arial" w:cs="Arial" w:eastAsia="Arial" w:hAnsi="Arial"/>
                <w:i/>
                <w:iCs/>
                <w:color w:val="276231"/>
                <w:sz w:val="17"/>
                <w:szCs w:val="17"/>
              </w:rPr>
              <w:t xml:space="preserve">True Positive ✓</w:t>
            </w:r>
          </w:p>
        </w:tc>
      </w:tr>
    </w:tbl>
    <w:p>
      <w:pPr>
        <w:spacing w:before="140"/>
      </w:pPr>
    </w:p>
    <w:p>
      <w:pPr>
        <w:spacing w:before="80" w:after="100"/>
        <w:jc w:val="both"/>
      </w:pPr>
      <w:r>
        <w:rPr>
          <w:rFonts w:ascii="Arial" w:cs="Arial" w:eastAsia="Arial" w:hAnsi="Arial"/>
          <w:color w:val="222222"/>
          <w:sz w:val="22"/>
          <w:szCs w:val="22"/>
        </w:rPr>
        <w:t xml:space="preserve">The Isolation Forest correctly identified 2,738 degraded cycles and missed 262. It also incorrectly flagged 882 healthy cycles as anomalous. The false negative count of 262 means roughly 9% of degraded cycles slipped through undetected.</w:t>
      </w:r>
    </w:p>
    <w:p>
      <w:pPr>
        <w:pStyle w:val="Heading2"/>
        <w:spacing w:before="220" w:after="100"/>
      </w:pPr>
      <w:r>
        <w:rPr>
          <w:rFonts w:ascii="Arial" w:cs="Arial" w:eastAsia="Arial" w:hAnsi="Arial"/>
          <w:b/>
          <w:bCs/>
          <w:color w:val="2E4057"/>
          <w:sz w:val="24"/>
          <w:szCs w:val="24"/>
        </w:rPr>
        <w:t xml:space="preserve">Autoencoder</w:t>
      </w:r>
    </w:p>
    <w:p>
      <w:pPr>
        <w:spacing w:before="60"/>
      </w:pPr>
    </w:p>
    <w:p>
      <w:pPr>
        <w:spacing w:before="160" w:after="60"/>
      </w:pPr>
      <w:r>
        <w:rPr>
          <w:rFonts w:ascii="Arial" w:cs="Arial" w:eastAsia="Arial" w:hAnsi="Arial"/>
          <w:b/>
          <w:bCs/>
          <w:color w:val="333333"/>
          <w:sz w:val="20"/>
          <w:szCs w:val="20"/>
        </w:rPr>
        <w:t xml:space="preserve">Table 3: Autoencoder Confusion Matrix</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tblGrid>
      <w:tr>
        <w:trPr>
          <w:tblHeader/>
        </w:trPr>
        <w:tc>
          <w:tcPr>
            <w:tcW w:type="dxa" w:w="24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Normal</w:t>
            </w:r>
          </w:p>
        </w:tc>
        <w:tc>
          <w:tcPr>
            <w:tcW w:type="dxa" w:w="26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Degraded</w:t>
            </w:r>
          </w:p>
        </w:tc>
      </w:tr>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Normal</w:t>
            </w:r>
          </w:p>
        </w:tc>
        <w:tc>
          <w:tcPr>
            <w:tcW w:type="dxa" w:w="2600"/>
            <w:tcBorders>
              <w:top w:val="single" w:color="DDDDDD" w:sz="1"/>
              <w:left w:val="single" w:color="DDDDDD" w:sz="1"/>
              <w:bottom w:val="single" w:color="DDDDDD" w:sz="1"/>
              <w:right w:val="single" w:color="DDDDDD" w:sz="1"/>
            </w:tcBorders>
            <w:shd w:fill="D4EDD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16,749</w:t>
            </w:r>
          </w:p>
          <w:p>
            <w:pPr>
              <w:jc w:val="center"/>
            </w:pPr>
            <w:r>
              <w:rPr>
                <w:rFonts w:ascii="Arial" w:cs="Arial" w:eastAsia="Arial" w:hAnsi="Arial"/>
                <w:i/>
                <w:iCs/>
                <w:color w:val="276231"/>
                <w:sz w:val="17"/>
                <w:szCs w:val="17"/>
              </w:rPr>
              <w:t xml:space="preserve">True Negative ✓</w:t>
            </w:r>
          </w:p>
        </w:tc>
        <w:tc>
          <w:tcPr>
            <w:tcW w:type="dxa" w:w="2600"/>
            <w:tcBorders>
              <w:top w:val="single" w:color="DDDDDD" w:sz="1"/>
              <w:left w:val="single" w:color="DDDDDD" w:sz="1"/>
              <w:bottom w:val="single" w:color="DDDDDD" w:sz="1"/>
              <w:right w:val="single" w:color="DDDDDD" w:sz="1"/>
            </w:tcBorders>
            <w:shd w:fill="FFF3CD"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882</w:t>
            </w:r>
          </w:p>
          <w:p>
            <w:pPr>
              <w:jc w:val="center"/>
            </w:pPr>
            <w:r>
              <w:rPr>
                <w:rFonts w:ascii="Arial" w:cs="Arial" w:eastAsia="Arial" w:hAnsi="Arial"/>
                <w:i/>
                <w:iCs/>
                <w:color w:val="856404"/>
                <w:sz w:val="17"/>
                <w:szCs w:val="17"/>
              </w:rPr>
              <w:t xml:space="preserve">False Positive ✗</w:t>
            </w:r>
          </w:p>
        </w:tc>
      </w:tr>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Degraded</w:t>
            </w:r>
          </w:p>
        </w:tc>
        <w:tc>
          <w:tcPr>
            <w:tcW w:type="dxa" w:w="26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2,353</w:t>
            </w:r>
          </w:p>
          <w:p>
            <w:pPr>
              <w:jc w:val="center"/>
            </w:pPr>
            <w:r>
              <w:rPr>
                <w:rFonts w:ascii="Arial" w:cs="Arial" w:eastAsia="Arial" w:hAnsi="Arial"/>
                <w:i/>
                <w:iCs/>
                <w:color w:val="842029"/>
                <w:sz w:val="17"/>
                <w:szCs w:val="17"/>
              </w:rPr>
              <w:t xml:space="preserve">False Negative ✗</w:t>
            </w:r>
          </w:p>
        </w:tc>
        <w:tc>
          <w:tcPr>
            <w:tcW w:type="dxa" w:w="2600"/>
            <w:tcBorders>
              <w:top w:val="single" w:color="DDDDDD" w:sz="1"/>
              <w:left w:val="single" w:color="DDDDDD" w:sz="1"/>
              <w:bottom w:val="single" w:color="DDDDDD" w:sz="1"/>
              <w:right w:val="single" w:color="DDDDDD" w:sz="1"/>
            </w:tcBorders>
            <w:shd w:fill="D4EDD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647</w:t>
            </w:r>
          </w:p>
          <w:p>
            <w:pPr>
              <w:jc w:val="center"/>
            </w:pPr>
            <w:r>
              <w:rPr>
                <w:rFonts w:ascii="Arial" w:cs="Arial" w:eastAsia="Arial" w:hAnsi="Arial"/>
                <w:i/>
                <w:iCs/>
                <w:color w:val="276231"/>
                <w:sz w:val="17"/>
                <w:szCs w:val="17"/>
              </w:rPr>
              <w:t xml:space="preserve">True Positive ✓</w:t>
            </w:r>
          </w:p>
        </w:tc>
      </w:tr>
    </w:tbl>
    <w:p>
      <w:pPr>
        <w:spacing w:before="140"/>
      </w:pPr>
    </w:p>
    <w:p>
      <w:pPr>
        <w:spacing w:before="80" w:after="100"/>
        <w:jc w:val="both"/>
      </w:pPr>
      <w:r>
        <w:rPr>
          <w:rFonts w:ascii="Arial" w:cs="Arial" w:eastAsia="Arial" w:hAnsi="Arial"/>
          <w:color w:val="222222"/>
          <w:sz w:val="22"/>
          <w:szCs w:val="22"/>
        </w:rPr>
        <w:t xml:space="preserve">The Autoencoder only caught 647 degraded cycles out of 3,000, leaving 2,353 undetected. This false negative count of 2,353 is very high and is the main reason the model's recall sits at just 0.216. The 882 false positives match the Isolation Forest which is a coincidence of the threshold settings used.</w:t>
      </w:r>
    </w:p>
    <w:p>
      <w:pPr>
        <w:pStyle w:val="Heading2"/>
        <w:spacing w:before="220" w:after="100"/>
      </w:pPr>
      <w:r>
        <w:rPr>
          <w:rFonts w:ascii="Arial" w:cs="Arial" w:eastAsia="Arial" w:hAnsi="Arial"/>
          <w:b/>
          <w:bCs/>
          <w:color w:val="2E4057"/>
          <w:sz w:val="24"/>
          <w:szCs w:val="24"/>
        </w:rPr>
        <w:t xml:space="preserve">LSTM Classifier</w:t>
      </w:r>
    </w:p>
    <w:p>
      <w:pPr>
        <w:spacing w:before="60"/>
      </w:pPr>
    </w:p>
    <w:p>
      <w:pPr>
        <w:spacing w:before="160" w:after="60"/>
      </w:pPr>
      <w:r>
        <w:rPr>
          <w:rFonts w:ascii="Arial" w:cs="Arial" w:eastAsia="Arial" w:hAnsi="Arial"/>
          <w:b/>
          <w:bCs/>
          <w:color w:val="333333"/>
          <w:sz w:val="20"/>
          <w:szCs w:val="20"/>
        </w:rPr>
        <w:t xml:space="preserve">Table 4: LSTM Classifier Confusion Matrix</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tblGrid>
      <w:tr>
        <w:trPr>
          <w:tblHeader/>
        </w:trPr>
        <w:tc>
          <w:tcPr>
            <w:tcW w:type="dxa" w:w="24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6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Normal</w:t>
            </w:r>
          </w:p>
        </w:tc>
        <w:tc>
          <w:tcPr>
            <w:tcW w:type="dxa" w:w="26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Degraded</w:t>
            </w:r>
          </w:p>
        </w:tc>
      </w:tr>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Normal</w:t>
            </w:r>
          </w:p>
        </w:tc>
        <w:tc>
          <w:tcPr>
            <w:tcW w:type="dxa" w:w="2600"/>
            <w:tcBorders>
              <w:top w:val="single" w:color="DDDDDD" w:sz="1"/>
              <w:left w:val="single" w:color="DDDDDD" w:sz="1"/>
              <w:bottom w:val="single" w:color="DDDDDD" w:sz="1"/>
              <w:right w:val="single" w:color="DDDDDD" w:sz="1"/>
            </w:tcBorders>
            <w:shd w:fill="D4EDD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16,788</w:t>
            </w:r>
          </w:p>
          <w:p>
            <w:pPr>
              <w:jc w:val="center"/>
            </w:pPr>
            <w:r>
              <w:rPr>
                <w:rFonts w:ascii="Arial" w:cs="Arial" w:eastAsia="Arial" w:hAnsi="Arial"/>
                <w:i/>
                <w:iCs/>
                <w:color w:val="276231"/>
                <w:sz w:val="17"/>
                <w:szCs w:val="17"/>
              </w:rPr>
              <w:t xml:space="preserve">True Negative ✓</w:t>
            </w:r>
          </w:p>
        </w:tc>
        <w:tc>
          <w:tcPr>
            <w:tcW w:type="dxa" w:w="2600"/>
            <w:tcBorders>
              <w:top w:val="single" w:color="DDDDDD" w:sz="1"/>
              <w:left w:val="single" w:color="DDDDDD" w:sz="1"/>
              <w:bottom w:val="single" w:color="DDDDDD" w:sz="1"/>
              <w:right w:val="single" w:color="DDDDDD" w:sz="1"/>
            </w:tcBorders>
            <w:shd w:fill="FFF3CD"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843</w:t>
            </w:r>
          </w:p>
          <w:p>
            <w:pPr>
              <w:jc w:val="center"/>
            </w:pPr>
            <w:r>
              <w:rPr>
                <w:rFonts w:ascii="Arial" w:cs="Arial" w:eastAsia="Arial" w:hAnsi="Arial"/>
                <w:i/>
                <w:iCs/>
                <w:color w:val="856404"/>
                <w:sz w:val="17"/>
                <w:szCs w:val="17"/>
              </w:rPr>
              <w:t xml:space="preserve">False Positive ✗</w:t>
            </w:r>
          </w:p>
        </w:tc>
      </w:tr>
      <w:tr>
        <w:tc>
          <w:tcPr>
            <w:tcW w:type="dxa" w:w="2400"/>
            <w:tcBorders>
              <w:top w:val="single" w:color="DDDDDD" w:sz="1"/>
              <w:left w:val="single" w:color="DDDDDD" w:sz="1"/>
              <w:bottom w:val="single" w:color="DDDDDD" w:sz="1"/>
              <w:right w:val="single" w:color="DDDDDD"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Actual: Degraded</w:t>
            </w:r>
          </w:p>
        </w:tc>
        <w:tc>
          <w:tcPr>
            <w:tcW w:type="dxa" w:w="26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31</w:t>
            </w:r>
          </w:p>
          <w:p>
            <w:pPr>
              <w:jc w:val="center"/>
            </w:pPr>
            <w:r>
              <w:rPr>
                <w:rFonts w:ascii="Arial" w:cs="Arial" w:eastAsia="Arial" w:hAnsi="Arial"/>
                <w:i/>
                <w:iCs/>
                <w:color w:val="842029"/>
                <w:sz w:val="17"/>
                <w:szCs w:val="17"/>
              </w:rPr>
              <w:t xml:space="preserve">False Negative ✗</w:t>
            </w:r>
          </w:p>
        </w:tc>
        <w:tc>
          <w:tcPr>
            <w:tcW w:type="dxa" w:w="2600"/>
            <w:tcBorders>
              <w:top w:val="single" w:color="DDDDDD" w:sz="1"/>
              <w:left w:val="single" w:color="DDDDDD" w:sz="1"/>
              <w:bottom w:val="single" w:color="DDDDDD" w:sz="1"/>
              <w:right w:val="single" w:color="DDDDDD" w:sz="1"/>
            </w:tcBorders>
            <w:shd w:fill="D4EDDA" w:val="clear"/>
            <w:tcMar>
              <w:top w:type="dxa" w:w="100"/>
              <w:left w:type="dxa" w:w="120"/>
              <w:bottom w:type="dxa" w:w="100"/>
              <w:right w:type="dxa" w:w="120"/>
            </w:tcMar>
            <w:vAlign w:val="center"/>
          </w:tcPr>
          <w:p>
            <w:pPr>
              <w:jc w:val="center"/>
            </w:pPr>
            <w:r>
              <w:rPr>
                <w:rFonts w:ascii="Arial" w:cs="Arial" w:eastAsia="Arial" w:hAnsi="Arial"/>
                <w:b/>
                <w:bCs/>
                <w:color w:val="1F3864"/>
                <w:sz w:val="28"/>
                <w:szCs w:val="28"/>
              </w:rPr>
              <w:t xml:space="preserve">2,969</w:t>
            </w:r>
          </w:p>
          <w:p>
            <w:pPr>
              <w:jc w:val="center"/>
            </w:pPr>
            <w:r>
              <w:rPr>
                <w:rFonts w:ascii="Arial" w:cs="Arial" w:eastAsia="Arial" w:hAnsi="Arial"/>
                <w:i/>
                <w:iCs/>
                <w:color w:val="276231"/>
                <w:sz w:val="17"/>
                <w:szCs w:val="17"/>
              </w:rPr>
              <w:t xml:space="preserve">True Positive ✓</w:t>
            </w:r>
          </w:p>
        </w:tc>
      </w:tr>
    </w:tbl>
    <w:p>
      <w:pPr>
        <w:spacing w:before="140"/>
      </w:pPr>
    </w:p>
    <w:p>
      <w:pPr>
        <w:spacing w:before="80" w:after="100"/>
        <w:jc w:val="both"/>
      </w:pPr>
      <w:r>
        <w:rPr>
          <w:rFonts w:ascii="Arial" w:cs="Arial" w:eastAsia="Arial" w:hAnsi="Arial"/>
          <w:color w:val="222222"/>
          <w:sz w:val="22"/>
          <w:szCs w:val="22"/>
        </w:rPr>
        <w:t xml:space="preserve">The LSTM Classifier missed only 31 degraded cycles, the lowest false negative count of all three models. It did generate 843 false positives but given the near-perfect recall this is a worthwhile tradeoff. The model's ability to learn from 30-cycle sequences lets it detect the gradual sensor drift that precedes failure, which the point-in-time models cannot do as effectively.</w:t>
      </w:r>
    </w:p>
    <w:p>
      <w:pPr>
        <w:spacing w:before="100"/>
      </w:pPr>
    </w:p>
    <w:p>
      <w:pPr>
        <w:spacing w:before="100" w:after="6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28950"/>
                    </a:xfrm>
                    <a:prstGeom prst="rect">
                      <a:avLst/>
                    </a:prstGeom>
                  </pic:spPr>
                </pic:pic>
              </a:graphicData>
            </a:graphic>
          </wp:inline>
        </w:drawing>
      </w:r>
    </w:p>
    <w:p>
      <w:pPr>
        <w:spacing w:before="60" w:after="200"/>
        <w:jc w:val="center"/>
      </w:pPr>
      <w:r>
        <w:rPr>
          <w:rFonts w:ascii="Arial" w:cs="Arial" w:eastAsia="Arial" w:hAnsi="Arial"/>
          <w:i/>
          <w:iCs/>
          <w:color w:val="555555"/>
          <w:sz w:val="18"/>
          <w:szCs w:val="18"/>
        </w:rPr>
        <w:t xml:space="preserve">Figure 1: Full model evaluation panel — confusion matrices, metric comparison, RUL scatter and error distribution</w:t>
      </w:r>
    </w:p>
    <w:p>
      <w:pPr>
        <w:pBdr>
          <w:top w:val="single" w:color="CCCCCC" w:sz="4" w:space="4"/>
        </w:pBdr>
        <w:spacing w:before="480" w:after="80"/>
      </w:pPr>
    </w:p>
    <w:p>
      <w:pPr>
        <w:jc w:val="center"/>
      </w:pPr>
      <w:r>
        <w:rPr>
          <w:rFonts w:ascii="Arial" w:cs="Arial" w:eastAsia="Arial" w:hAnsi="Arial"/>
          <w:i/>
          <w:iCs/>
          <w:color w:val="888888"/>
          <w:sz w:val="18"/>
          <w:szCs w:val="18"/>
        </w:rPr>
        <w:t xml:space="preserve">India Space Academy  ·  NASA CMAPSS FD001  ·  Results and Confusion Matrix</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pPr>
    <w:r>
      <w:rPr>
        <w:rFonts w:ascii="Arial" w:cs="Arial" w:eastAsia="Arial" w:hAnsi="Arial"/>
        <w:color w:val="888888"/>
        <w:sz w:val="16"/>
        <w:szCs w:val="16"/>
      </w:rPr>
      <w:t xml:space="preserve">Results and Confusion Matrix  ·  NASA CMAPSS FD001  ·  India Space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8c2bb4d264cc766d4d441cbec92011424cb56d0.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2026-03-28T19:33:14.962Z</dcterms:created>
  <dcterms:modified xsi:type="dcterms:W3CDTF">2026-03-28T19:33:14.963Z</dcterms:modified>
</cp:coreProperties>
</file>

<file path=docProps/custom.xml><?xml version="1.0" encoding="utf-8"?>
<Properties xmlns="http://schemas.openxmlformats.org/officeDocument/2006/custom-properties" xmlns:vt="http://schemas.openxmlformats.org/officeDocument/2006/docPropsVTypes"/>
</file>