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80"/>
        <w:jc w:val="center"/>
      </w:pPr>
      <w:r>
        <w:rPr>
          <w:rFonts w:ascii="Arial" w:cs="Arial" w:eastAsia="Arial" w:hAnsi="Arial"/>
          <w:caps/>
          <w:color w:val="888888"/>
          <w:spacing w:val="80"/>
          <w:sz w:val="22"/>
          <w:szCs w:val="22"/>
        </w:rPr>
        <w:t xml:space="preserve">INDIA SPACE ACADEMY</w:t>
      </w:r>
    </w:p>
    <w:p>
      <w:pPr>
        <w:spacing w:after="80"/>
        <w:jc w:val="center"/>
      </w:pPr>
      <w:r>
        <w:rPr>
          <w:rFonts w:ascii="Arial" w:cs="Arial" w:eastAsia="Arial" w:hAnsi="Arial"/>
          <w:b/>
          <w:bCs/>
          <w:color w:val="1F3864"/>
          <w:sz w:val="44"/>
          <w:szCs w:val="44"/>
        </w:rPr>
        <w:t xml:space="preserve">Future Mission Extension Ideas</w:t>
      </w:r>
    </w:p>
    <w:p>
      <w:pPr>
        <w:spacing w:after="60"/>
        <w:jc w:val="center"/>
      </w:pPr>
      <w:r>
        <w:rPr>
          <w:rFonts w:ascii="Arial" w:cs="Arial" w:eastAsia="Arial" w:hAnsi="Arial"/>
          <w:i/>
          <w:iCs/>
          <w:color w:val="666666"/>
          <w:sz w:val="22"/>
          <w:szCs w:val="22"/>
        </w:rPr>
        <w:t xml:space="preserve">AI-Based Real-Time Anomaly Detection  ·  NASA CMAPSS FD001</w:t>
      </w:r>
    </w:p>
    <w:p>
      <w:pPr>
        <w:pBdr>
          <w:bottom w:val="single" w:color="1F3864" w:sz="6" w:space="1"/>
        </w:pBdr>
        <w:spacing w:before="180" w:after="200"/>
      </w:pPr>
    </w:p>
    <w:p>
      <w:pPr>
        <w:spacing w:after="600"/>
        <w:jc w:val="center"/>
      </w:pPr>
      <w:r>
        <w:rPr>
          <w:rFonts w:ascii="Arial" w:cs="Arial" w:eastAsia="Arial" w:hAnsi="Arial"/>
          <w:b/>
          <w:bCs/>
          <w:color w:val="1F3864"/>
          <w:sz w:val="26"/>
          <w:szCs w:val="26"/>
        </w:rPr>
        <w:t xml:space="preserve">Simran Upreti</w:t>
      </w:r>
    </w:p>
    <w:p>
      <w:r>
        <w:br w:type="page"/>
      </w:r>
    </w:p>
    <w:p>
      <w:pPr>
        <w:pStyle w:val="Heading1"/>
        <w:pBdr>
          <w:bottom w:val="single" w:color="1F3864" w:sz="4" w:space="4"/>
        </w:pBdr>
        <w:spacing w:before="340" w:after="140"/>
      </w:pPr>
      <w:r>
        <w:rPr>
          <w:rFonts w:ascii="Arial" w:cs="Arial" w:eastAsia="Arial" w:hAnsi="Arial"/>
          <w:b/>
          <w:bCs/>
          <w:color w:val="1F3864"/>
          <w:sz w:val="30"/>
          <w:szCs w:val="30"/>
        </w:rPr>
        <w:t xml:space="preserve">Overview</w:t>
      </w:r>
    </w:p>
    <w:p>
      <w:pPr>
        <w:spacing w:before="80" w:after="100"/>
        <w:jc w:val="both"/>
      </w:pPr>
      <w:r>
        <w:rPr>
          <w:rFonts w:ascii="Arial" w:cs="Arial" w:eastAsia="Arial" w:hAnsi="Arial"/>
          <w:color w:val="222222"/>
          <w:sz w:val="22"/>
          <w:szCs w:val="22"/>
        </w:rPr>
        <w:t xml:space="preserve">This document outlines potential directions for extending the current AI-based engine health monitoring system beyond the scope of the NASA CMAPSS FD001 project. The existing system demonstrates that combining Isolation Forest, Autoencoder and LSTM models with an autonomous decision engine produces strong anomaly detection and RUL estimation results. The ideas below build on this foundation and propose concrete ways to expand the system toward real-world deployment in aerospace and space mission contexts.</w:t>
      </w:r>
    </w:p>
    <w:p>
      <w:pPr>
        <w:spacing w:before="80"/>
      </w:pPr>
    </w:p>
    <w:p>
      <w:pPr>
        <w:pStyle w:val="Heading1"/>
        <w:pBdr>
          <w:bottom w:val="single" w:color="1F3864" w:sz="4" w:space="4"/>
        </w:pBdr>
        <w:spacing w:before="340" w:after="140"/>
      </w:pPr>
      <w:r>
        <w:rPr>
          <w:rFonts w:ascii="Arial" w:cs="Arial" w:eastAsia="Arial" w:hAnsi="Arial"/>
          <w:b/>
          <w:bCs/>
          <w:color w:val="1F3864"/>
          <w:sz w:val="30"/>
          <w:szCs w:val="30"/>
        </w:rPr>
        <w:t xml:space="preserve">1. Multi-Dataset and Multi-Fault Extension</w:t>
      </w:r>
    </w:p>
    <w:p>
      <w:pPr>
        <w:spacing w:before="80" w:after="100"/>
        <w:jc w:val="both"/>
      </w:pPr>
      <w:r>
        <w:rPr>
          <w:rFonts w:ascii="Arial" w:cs="Arial" w:eastAsia="Arial" w:hAnsi="Arial"/>
          <w:color w:val="222222"/>
          <w:sz w:val="22"/>
          <w:szCs w:val="22"/>
        </w:rPr>
        <w:t xml:space="preserve">The current system was trained and tested on FD001, which has a single operating condition and one fault mode. Extending to the full CMAPSS suite would be an immediate and impactful next step.</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Train on FD002, FD003 and FD004</w:t>
            </w:r>
          </w:p>
          <w:p>
            <w:r>
              <w:rPr>
                <w:rFonts w:ascii="Arial" w:cs="Arial" w:eastAsia="Arial" w:hAnsi="Arial"/>
                <w:color w:val="444444"/>
                <w:sz w:val="20"/>
                <w:szCs w:val="20"/>
              </w:rPr>
              <w:t xml:space="preserve">These subsets introduce multiple operating conditions and two simultaneous fault modes. A model that generalises across all four datasets would be significantly more robust and closer to real turbofan behaviour.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Fault Type Classification</w:t>
            </w:r>
          </w:p>
          <w:p>
            <w:r>
              <w:rPr>
                <w:rFonts w:ascii="Arial" w:cs="Arial" w:eastAsia="Arial" w:hAnsi="Arial"/>
                <w:color w:val="444444"/>
                <w:sz w:val="20"/>
                <w:szCs w:val="20"/>
              </w:rPr>
              <w:t xml:space="preserve">Instead of binary normal/degraded labels, train a multiclass classifier that identifies the specific fault mode. This would allow the decision engine to recommend fault-specific maintenance actions rather than generic interventions.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1.3</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Transfer Learning Across Engine Families</w:t>
            </w:r>
          </w:p>
          <w:p>
            <w:r>
              <w:rPr>
                <w:rFonts w:ascii="Arial" w:cs="Arial" w:eastAsia="Arial" w:hAnsi="Arial"/>
                <w:color w:val="444444"/>
                <w:sz w:val="20"/>
                <w:szCs w:val="20"/>
              </w:rPr>
              <w:t xml:space="preserve">Pre-train the LSTM models on CMAPSS and fine-tune on other public datasets such as PRONOSTIA (bearings) or PHM08. A pre-trained backbone that transfers across equipment types would reduce the labelled data requirement for new deployments.</w:t>
            </w:r>
          </w:p>
        </w:tc>
      </w:tr>
    </w:tbl>
    <w:p>
      <w:pPr>
        <w:spacing w:before="160"/>
      </w:pPr>
    </w:p>
    <w:p>
      <w:pPr>
        <w:pStyle w:val="Heading1"/>
        <w:pBdr>
          <w:bottom w:val="single" w:color="1F3864" w:sz="4" w:space="4"/>
        </w:pBdr>
        <w:spacing w:before="340" w:after="140"/>
      </w:pPr>
      <w:r>
        <w:rPr>
          <w:rFonts w:ascii="Arial" w:cs="Arial" w:eastAsia="Arial" w:hAnsi="Arial"/>
          <w:b/>
          <w:bCs/>
          <w:color w:val="1F3864"/>
          <w:sz w:val="30"/>
          <w:szCs w:val="30"/>
        </w:rPr>
        <w:t xml:space="preserve">2. Model Architecture Improvements</w:t>
      </w:r>
    </w:p>
    <w:p>
      <w:pPr>
        <w:spacing w:before="80" w:after="100"/>
        <w:jc w:val="both"/>
      </w:pPr>
      <w:r>
        <w:rPr>
          <w:rFonts w:ascii="Arial" w:cs="Arial" w:eastAsia="Arial" w:hAnsi="Arial"/>
          <w:color w:val="222222"/>
          <w:sz w:val="22"/>
          <w:szCs w:val="22"/>
        </w:rPr>
        <w:t xml:space="preserve">Several architectural changes could meaningfully improve detection accuracy and RUL estimation precision.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2.1</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Variational Autoencoder (VAE)</w:t>
            </w:r>
          </w:p>
          <w:p>
            <w:r>
              <w:rPr>
                <w:rFonts w:ascii="Arial" w:cs="Arial" w:eastAsia="Arial" w:hAnsi="Arial"/>
                <w:color w:val="444444"/>
                <w:sz w:val="20"/>
                <w:szCs w:val="20"/>
              </w:rPr>
              <w:t xml:space="preserve">Replace the standard autoencoder with a VAE, which learns a probabilistic latent space. This makes anomaly scoring more principled and tends to perform better on gradual degradation patterns where reconstruction error alone is not discriminative enough.</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2.2</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Transformer-Based Sequence Model</w:t>
            </w:r>
          </w:p>
          <w:p>
            <w:r>
              <w:rPr>
                <w:rFonts w:ascii="Arial" w:cs="Arial" w:eastAsia="Arial" w:hAnsi="Arial"/>
                <w:color w:val="444444"/>
                <w:sz w:val="20"/>
                <w:szCs w:val="20"/>
              </w:rPr>
              <w:t xml:space="preserve">Swap the LSTM layers for a Transformer encoder with multi-head self-attention. Transformers can capture long-range dependencies in sensor sequences more effectively than LSTMs and have shown strong results on time-series health monitoring benchmarks.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2.3</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Ensemble Voting with Calibrated Probabilities</w:t>
            </w:r>
          </w:p>
          <w:p>
            <w:r>
              <w:rPr>
                <w:rFonts w:ascii="Arial" w:cs="Arial" w:eastAsia="Arial" w:hAnsi="Arial"/>
                <w:color w:val="444444"/>
                <w:sz w:val="20"/>
                <w:szCs w:val="20"/>
              </w:rPr>
              <w:t xml:space="preserve">Rather than weighting model outputs with fixed coefficients, train a meta-learner (e.g. logistic regression or a small MLP) on the outputs of all three anomaly detectors. Calibrated probability estimates from each model would make the composite risk score more statistically interpretable.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2.4</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Uncertainty Quantification</w:t>
            </w:r>
          </w:p>
          <w:p>
            <w:r>
              <w:rPr>
                <w:rFonts w:ascii="Arial" w:cs="Arial" w:eastAsia="Arial" w:hAnsi="Arial"/>
                <w:color w:val="444444"/>
                <w:sz w:val="20"/>
                <w:szCs w:val="20"/>
              </w:rPr>
              <w:t xml:space="preserve">Add Monte Carlo Dropout or deep ensembles to produce confidence intervals alongside RUL predictions. Knowing that the model predicts 45 ± 8 cycles is far more useful for maintenance scheduling than a point estimate alone.</w:t>
            </w:r>
          </w:p>
        </w:tc>
      </w:tr>
    </w:tbl>
    <w:p>
      <w:pPr>
        <w:spacing w:before="160"/>
      </w:pPr>
    </w:p>
    <w:p>
      <w:pPr>
        <w:pStyle w:val="Heading1"/>
        <w:pBdr>
          <w:bottom w:val="single" w:color="1F3864" w:sz="4" w:space="4"/>
        </w:pBdr>
        <w:spacing w:before="340" w:after="140"/>
      </w:pPr>
      <w:r>
        <w:rPr>
          <w:rFonts w:ascii="Arial" w:cs="Arial" w:eastAsia="Arial" w:hAnsi="Arial"/>
          <w:b/>
          <w:bCs/>
          <w:color w:val="1F3864"/>
          <w:sz w:val="30"/>
          <w:szCs w:val="30"/>
        </w:rPr>
        <w:t xml:space="preserve">3. Real-Time and Edge Deployment</w:t>
      </w:r>
    </w:p>
    <w:p>
      <w:pPr>
        <w:spacing w:before="80" w:after="100"/>
        <w:jc w:val="both"/>
      </w:pPr>
      <w:r>
        <w:rPr>
          <w:rFonts w:ascii="Arial" w:cs="Arial" w:eastAsia="Arial" w:hAnsi="Arial"/>
          <w:color w:val="222222"/>
          <w:sz w:val="22"/>
          <w:szCs w:val="22"/>
        </w:rPr>
        <w:t xml:space="preserve">Deploying the system in a real aerospace environment introduces constraints around latency, compute availability and communication bandwidth that the current notebook-based implementation does not address.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3.1</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Model Quantisation and Pruning</w:t>
            </w:r>
          </w:p>
          <w:p>
            <w:r>
              <w:rPr>
                <w:rFonts w:ascii="Arial" w:cs="Arial" w:eastAsia="Arial" w:hAnsi="Arial"/>
                <w:color w:val="444444"/>
                <w:sz w:val="20"/>
                <w:szCs w:val="20"/>
              </w:rPr>
              <w:t xml:space="preserve">Compress the LSTM models using INT8 quantisation and structured pruning so they can run on flight-grade embedded hardware with limited memory and no GPU. TensorFlow Lite and ONNX Runtime are viable targets for this.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3.2</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On-Board Inference with Ground Uplink</w:t>
            </w:r>
          </w:p>
          <w:p>
            <w:r>
              <w:rPr>
                <w:rFonts w:ascii="Arial" w:cs="Arial" w:eastAsia="Arial" w:hAnsi="Arial"/>
                <w:color w:val="444444"/>
                <w:sz w:val="20"/>
                <w:szCs w:val="20"/>
              </w:rPr>
              <w:t xml:space="preserve">Design a two-tier architecture where a lightweight model runs on the spacecraft for continuous monitoring and a fuller model runs on the ground. Only anomaly flags and compressed telemetry are uplinked, reducing communication overhead significantly.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3.3</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Streaming Data Pipeline</w:t>
            </w:r>
          </w:p>
          <w:p>
            <w:r>
              <w:rPr>
                <w:rFonts w:ascii="Arial" w:cs="Arial" w:eastAsia="Arial" w:hAnsi="Arial"/>
                <w:color w:val="444444"/>
                <w:sz w:val="20"/>
                <w:szCs w:val="20"/>
              </w:rPr>
              <w:t xml:space="preserve">Integrate the monitoring system with a real-time data pipeline using Apache Kafka or MQTT for telemetry ingestion. This would allow the anomaly detector to process sensor readings as they arrive rather than operating on batched historical data.</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3.4</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Digital Twin Integration</w:t>
            </w:r>
          </w:p>
          <w:p>
            <w:r>
              <w:rPr>
                <w:rFonts w:ascii="Arial" w:cs="Arial" w:eastAsia="Arial" w:hAnsi="Arial"/>
                <w:color w:val="444444"/>
                <w:sz w:val="20"/>
                <w:szCs w:val="20"/>
              </w:rPr>
              <w:t xml:space="preserve">Connect the health monitoring system to a physics-based digital twin of the engine. When the AI flags an anomaly, the digital twin can simulate the fault progression and provide a second opinion on RUL that is grounded in physics rather than purely data-driven.</w:t>
            </w:r>
          </w:p>
        </w:tc>
      </w:tr>
    </w:tbl>
    <w:p>
      <w:pPr>
        <w:spacing w:before="160"/>
      </w:pPr>
    </w:p>
    <w:p>
      <w:pPr>
        <w:pStyle w:val="Heading1"/>
        <w:pBdr>
          <w:bottom w:val="single" w:color="1F3864" w:sz="4" w:space="4"/>
        </w:pBdr>
        <w:spacing w:before="340" w:after="140"/>
      </w:pPr>
      <w:r>
        <w:rPr>
          <w:rFonts w:ascii="Arial" w:cs="Arial" w:eastAsia="Arial" w:hAnsi="Arial"/>
          <w:b/>
          <w:bCs/>
          <w:color w:val="1F3864"/>
          <w:sz w:val="30"/>
          <w:szCs w:val="30"/>
        </w:rPr>
        <w:t xml:space="preserve">4. Decision Engine Enhancements</w:t>
      </w:r>
    </w:p>
    <w:p>
      <w:pPr>
        <w:spacing w:before="80" w:after="100"/>
        <w:jc w:val="both"/>
      </w:pPr>
      <w:r>
        <w:rPr>
          <w:rFonts w:ascii="Arial" w:cs="Arial" w:eastAsia="Arial" w:hAnsi="Arial"/>
          <w:color w:val="222222"/>
          <w:sz w:val="22"/>
          <w:szCs w:val="22"/>
        </w:rPr>
        <w:t xml:space="preserve">The current autonomous decision engine uses fixed risk thresholds and a weighted composite score. Several extensions would make it more adaptive and operationally realistic.</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4.1</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Reinforcement Learning for Adaptive Thresholds</w:t>
            </w:r>
          </w:p>
          <w:p>
            <w:r>
              <w:rPr>
                <w:rFonts w:ascii="Arial" w:cs="Arial" w:eastAsia="Arial" w:hAnsi="Arial"/>
                <w:color w:val="444444"/>
                <w:sz w:val="20"/>
                <w:szCs w:val="20"/>
              </w:rPr>
              <w:t xml:space="preserve">Train a reinforcement learning agent to dynamically adjust risk thresholds based on mission phase, remaining mission duration and available redundancy. Thresholds appropriate for a launch window are very different from those appropriate during cruise phase.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4.2</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Cost-Aware Decision Making</w:t>
            </w:r>
          </w:p>
          <w:p>
            <w:r>
              <w:rPr>
                <w:rFonts w:ascii="Arial" w:cs="Arial" w:eastAsia="Arial" w:hAnsi="Arial"/>
                <w:color w:val="444444"/>
                <w:sz w:val="20"/>
                <w:szCs w:val="20"/>
              </w:rPr>
              <w:t xml:space="preserve">Incorporate maintenance cost, spare parts availability and operational downtime into the decision logic. A Bayesian decision framework could weigh the cost of a false alarm against the cost of a missed degraded state in a principled way.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4.3</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Multi-Engine Fleet Optimisation</w:t>
            </w:r>
          </w:p>
          <w:p>
            <w:r>
              <w:rPr>
                <w:rFonts w:ascii="Arial" w:cs="Arial" w:eastAsia="Arial" w:hAnsi="Arial"/>
                <w:color w:val="444444"/>
                <w:sz w:val="20"/>
                <w:szCs w:val="20"/>
              </w:rPr>
              <w:t xml:space="preserve">Extend the decision engine to optimise maintenance scheduling across the entire fleet simultaneously rather than treating each engine independently. This is essentially a scheduling problem and could be approached with integer programming or a genetic algorithm.</w:t>
            </w:r>
          </w:p>
        </w:tc>
      </w:tr>
    </w:tbl>
    <w:p>
      <w:pPr>
        <w:spacing w:before="160"/>
      </w:pPr>
    </w:p>
    <w:p>
      <w:pPr>
        <w:pStyle w:val="Heading1"/>
        <w:pBdr>
          <w:bottom w:val="single" w:color="1F3864" w:sz="4" w:space="4"/>
        </w:pBdr>
        <w:spacing w:before="340" w:after="140"/>
      </w:pPr>
      <w:r>
        <w:rPr>
          <w:rFonts w:ascii="Arial" w:cs="Arial" w:eastAsia="Arial" w:hAnsi="Arial"/>
          <w:b/>
          <w:bCs/>
          <w:color w:val="1F3864"/>
          <w:sz w:val="30"/>
          <w:szCs w:val="30"/>
        </w:rPr>
        <w:t xml:space="preserve">5. Space Mission Specific Extensions</w:t>
      </w:r>
    </w:p>
    <w:p>
      <w:pPr>
        <w:spacing w:before="80" w:after="100"/>
        <w:jc w:val="both"/>
      </w:pPr>
      <w:r>
        <w:rPr>
          <w:rFonts w:ascii="Arial" w:cs="Arial" w:eastAsia="Arial" w:hAnsi="Arial"/>
          <w:color w:val="222222"/>
          <w:sz w:val="22"/>
          <w:szCs w:val="22"/>
        </w:rPr>
        <w:t xml:space="preserve">The India Space Academy context motivates several mission-specific ideas that go beyond standard industrial predictive maintenance.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5.1</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Deep Space Communication Delay Handling</w:t>
            </w:r>
          </w:p>
          <w:p>
            <w:r>
              <w:rPr>
                <w:rFonts w:ascii="Arial" w:cs="Arial" w:eastAsia="Arial" w:hAnsi="Arial"/>
                <w:color w:val="444444"/>
                <w:sz w:val="20"/>
                <w:szCs w:val="20"/>
              </w:rPr>
              <w:t xml:space="preserve">For missions beyond low Earth orbit, round-trip communication delays can be minutes to hours. The autonomous decision engine should be extended to make safe decisions independently during blackout periods without waiting for ground confirmation.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5.2</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Radiation-Induced Anomaly Filtering</w:t>
            </w:r>
          </w:p>
          <w:p>
            <w:r>
              <w:rPr>
                <w:rFonts w:ascii="Arial" w:cs="Arial" w:eastAsia="Arial" w:hAnsi="Arial"/>
                <w:color w:val="444444"/>
                <w:sz w:val="20"/>
                <w:szCs w:val="20"/>
              </w:rPr>
              <w:t xml:space="preserve">Space hardware is subject to single-event upsets from cosmic radiation that can produce spurious sensor readings. A pre-processing layer that distinguishes radiation-induced transient spikes from genuine degradation signatures would reduce false positives significantly in deep space environments.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5.3</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Multi-Sensor Fusion with IMU and Thermal Data</w:t>
            </w:r>
          </w:p>
          <w:p>
            <w:r>
              <w:rPr>
                <w:rFonts w:ascii="Arial" w:cs="Arial" w:eastAsia="Arial" w:hAnsi="Arial"/>
                <w:color w:val="444444"/>
                <w:sz w:val="20"/>
                <w:szCs w:val="20"/>
              </w:rPr>
              <w:t xml:space="preserve">Fuse engine sensor data with inertial measurement unit readings and thermal imaging where available. Cross-modal anomalies that appear in multiple sensor types simultaneously are far more reliable indicators of genuine faults than single-sensor anomalies.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DDDD" w:sz="1"/>
              <w:left w:val="single" w:color="DDDDDD" w:sz="1"/>
              <w:bottom w:val="single" w:color="DDDDDD" w:sz="1"/>
              <w:right w:val="single" w:color="DDDDDD"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5.4</w:t>
            </w:r>
          </w:p>
        </w:tc>
        <w:tc>
          <w:tcPr>
            <w:tcW w:type="dxa" w:w="8660"/>
            <w:tcBorders>
              <w:top w:val="single" w:color="DDDDDD" w:sz="1"/>
              <w:left w:val="single" w:color="DDDDDD" w:sz="1"/>
              <w:bottom w:val="single" w:color="DDDDDD" w:sz="1"/>
              <w:right w:val="single" w:color="DDDDDD" w:sz="1"/>
            </w:tcBorders>
            <w:shd w:fill="EEF2F7" w:val="clear"/>
            <w:tcMar>
              <w:top w:type="dxa" w:w="120"/>
              <w:left w:type="dxa" w:w="200"/>
              <w:bottom w:type="dxa" w:w="120"/>
              <w:right w:type="dxa" w:w="160"/>
            </w:tcMar>
          </w:tcPr>
          <w:p>
            <w:pPr>
              <w:spacing w:after="60"/>
            </w:pPr>
            <w:r>
              <w:rPr>
                <w:rFonts w:ascii="Arial" w:cs="Arial" w:eastAsia="Arial" w:hAnsi="Arial"/>
                <w:b/>
                <w:bCs/>
                <w:color w:val="1F3864"/>
                <w:sz w:val="24"/>
                <w:szCs w:val="24"/>
              </w:rPr>
              <w:t xml:space="preserve">Explainable AI for Mission Control</w:t>
            </w:r>
          </w:p>
          <w:p>
            <w:r>
              <w:rPr>
                <w:rFonts w:ascii="Arial" w:cs="Arial" w:eastAsia="Arial" w:hAnsi="Arial"/>
                <w:color w:val="444444"/>
                <w:sz w:val="20"/>
                <w:szCs w:val="20"/>
              </w:rPr>
              <w:t xml:space="preserve">Add a SHAP or LIME layer to explain which sensors drove each anomaly prediction. Human operators in mission control need to understand and trust the system's reasoning before acting on its recommendations, especially for irreversible actions like controlled shutdown.</w:t>
            </w:r>
          </w:p>
        </w:tc>
      </w:tr>
    </w:tbl>
    <w:p>
      <w:pPr>
        <w:spacing w:before="160"/>
      </w:pPr>
    </w:p>
    <w:p>
      <w:pPr>
        <w:pStyle w:val="Heading1"/>
        <w:pBdr>
          <w:bottom w:val="single" w:color="1F3864" w:sz="4" w:space="4"/>
        </w:pBdr>
        <w:spacing w:before="340" w:after="140"/>
      </w:pPr>
      <w:r>
        <w:rPr>
          <w:rFonts w:ascii="Arial" w:cs="Arial" w:eastAsia="Arial" w:hAnsi="Arial"/>
          <w:b/>
          <w:bCs/>
          <w:color w:val="1F3864"/>
          <w:sz w:val="30"/>
          <w:szCs w:val="30"/>
        </w:rPr>
        <w:t xml:space="preserve">Summary</w:t>
      </w:r>
    </w:p>
    <w:p>
      <w:pPr>
        <w:spacing w:before="80" w:after="100"/>
        <w:jc w:val="both"/>
      </w:pPr>
      <w:r>
        <w:rPr>
          <w:rFonts w:ascii="Arial" w:cs="Arial" w:eastAsia="Arial" w:hAnsi="Arial"/>
          <w:color w:val="222222"/>
          <w:sz w:val="22"/>
          <w:szCs w:val="22"/>
        </w:rPr>
        <w:t xml:space="preserve">The ideas above are grouped into five themes: multi-dataset and fault extension, model architecture improvements, real-time and edge deployment, decision engine enhancements, and space mission specific extensions. Each idea builds directly on the existing system and represents a concrete direction for future development. Taken together they outline a path from the current research prototype toward a deployment-ready autonomous engine health monitoring system suitable for deep space mission operations.</w:t>
      </w:r>
    </w:p>
    <w:p>
      <w:pPr>
        <w:spacing w:before="300"/>
      </w:pPr>
    </w:p>
    <w:p>
      <w:pPr>
        <w:pBdr>
          <w:top w:val="single" w:color="CCCCCC" w:sz="4" w:space="4"/>
        </w:pBdr>
        <w:spacing w:before="200" w:after="80"/>
      </w:pPr>
    </w:p>
    <w:p>
      <w:pPr>
        <w:jc w:val="center"/>
      </w:pPr>
      <w:r>
        <w:rPr>
          <w:rFonts w:ascii="Arial" w:cs="Arial" w:eastAsia="Arial" w:hAnsi="Arial"/>
          <w:i/>
          <w:iCs/>
          <w:color w:val="888888"/>
          <w:sz w:val="18"/>
          <w:szCs w:val="18"/>
        </w:rPr>
        <w:t xml:space="preserve">India Space Academy  ·  NASA CMAPSS FD001  ·  Future Mission Extension Ideas</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pPr>
    <w:r>
      <w:rPr>
        <w:rFonts w:ascii="Arial" w:cs="Arial" w:eastAsia="Arial" w:hAnsi="Arial"/>
        <w:color w:val="888888"/>
        <w:sz w:val="16"/>
        <w:szCs w:val="16"/>
      </w:rPr>
      <w:t xml:space="preserve">Future Mission Extension Ideas  ·  NASA CMAPSS FD001  ·  India Space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2026-03-28T19:41:30.312Z</dcterms:created>
  <dcterms:modified xsi:type="dcterms:W3CDTF">2026-03-28T19:41:30.313Z</dcterms:modified>
</cp:coreProperties>
</file>

<file path=docProps/custom.xml><?xml version="1.0" encoding="utf-8"?>
<Properties xmlns="http://schemas.openxmlformats.org/officeDocument/2006/custom-properties" xmlns:vt="http://schemas.openxmlformats.org/officeDocument/2006/docPropsVTypes"/>
</file>