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B335" w14:textId="77777777" w:rsidR="0025132B" w:rsidRDefault="00000000">
      <w:pPr>
        <w:spacing w:after="59" w:line="259" w:lineRule="auto"/>
        <w:jc w:val="center"/>
      </w:pPr>
      <w:r>
        <w:rPr>
          <w:b/>
          <w:sz w:val="54"/>
        </w:rPr>
        <w:t>Supple Design in Software</w:t>
      </w:r>
    </w:p>
    <w:p w14:paraId="4F44BF23" w14:textId="77777777" w:rsidR="0025132B" w:rsidRDefault="00000000">
      <w:pPr>
        <w:spacing w:after="264" w:line="259" w:lineRule="auto"/>
        <w:jc w:val="center"/>
      </w:pPr>
      <w:r>
        <w:rPr>
          <w:b/>
          <w:sz w:val="54"/>
        </w:rPr>
        <w:t>Engineering</w:t>
      </w:r>
    </w:p>
    <w:p w14:paraId="1B65751D" w14:textId="77777777" w:rsidR="0025132B" w:rsidRDefault="00000000">
      <w:pPr>
        <w:pStyle w:val="Heading1"/>
        <w:ind w:left="-5"/>
      </w:pPr>
      <w:r>
        <w:t>Introduction</w:t>
      </w:r>
    </w:p>
    <w:p w14:paraId="1E4A9362" w14:textId="77777777" w:rsidR="0025132B" w:rsidRDefault="00000000">
      <w:pPr>
        <w:ind w:left="-5"/>
      </w:pPr>
      <w:r>
        <w:t>Supple Design is a software design approach focused on creating systems that are flexible, intuitive, and resilient to change. It encourages developers to build code that is easy to understand and modify as domain knowledge evolves. Supple Design complements Deep Modeling by ensuring that the implementation reflects clear, stable, and meaningful domain concepts.</w:t>
      </w:r>
    </w:p>
    <w:p w14:paraId="2E04D2C5" w14:textId="77777777" w:rsidR="0025132B" w:rsidRDefault="00000000">
      <w:pPr>
        <w:spacing w:after="566"/>
        <w:ind w:left="-5"/>
      </w:pPr>
      <w:r>
        <w:t>Without a supple design, software becomes rigid and difficult to adapt. Duplication increases, dependencies grow uncontrollably, and developers hesitate to make changes because they fear breaking existing functionality. Supple Design provides techniques to combat this stiffness.</w:t>
      </w:r>
    </w:p>
    <w:p w14:paraId="0A16A3F0" w14:textId="77777777" w:rsidR="0025132B" w:rsidRDefault="00000000">
      <w:pPr>
        <w:pStyle w:val="Heading1"/>
        <w:ind w:left="-5"/>
      </w:pPr>
      <w:r>
        <w:t>Why Supple Design Matters</w:t>
      </w:r>
    </w:p>
    <w:p w14:paraId="219BF5E5" w14:textId="77777777" w:rsidR="0025132B" w:rsidRDefault="00000000">
      <w:pPr>
        <w:ind w:left="-5"/>
      </w:pPr>
      <w:r>
        <w:t xml:space="preserve">A well-designed system enables developers to experiment and refactor confidently. When the design clearly </w:t>
      </w:r>
      <w:proofErr w:type="gramStart"/>
      <w:r>
        <w:t>communicates</w:t>
      </w:r>
      <w:proofErr w:type="gramEnd"/>
      <w:r>
        <w:t xml:space="preserve"> intent, code becomes a tool for thought rather than a barrier.</w:t>
      </w:r>
    </w:p>
    <w:p w14:paraId="77352582" w14:textId="77777777" w:rsidR="0025132B" w:rsidRDefault="00000000">
      <w:pPr>
        <w:ind w:left="-5"/>
      </w:pPr>
      <w:r>
        <w:t>Benefits include: - Simpler and safer refactoring. - Code that clearly expresses domain meaning. Low coupling and high cohesion between components. - Enhanced ability to respond to new requirements.</w:t>
      </w:r>
    </w:p>
    <w:p w14:paraId="4CECEBD4" w14:textId="77777777" w:rsidR="0025132B" w:rsidRDefault="00000000">
      <w:pPr>
        <w:spacing w:after="619" w:line="259" w:lineRule="auto"/>
        <w:ind w:left="0" w:firstLine="0"/>
        <w:jc w:val="left"/>
      </w:pPr>
      <w:r>
        <w:t xml:space="preserve">As Dijkstra famously said: </w:t>
      </w:r>
      <w:r>
        <w:rPr>
          <w:b/>
        </w:rPr>
        <w:t>“Simplicity is a great virtue, but it requires hard work to achieve it.”</w:t>
      </w:r>
    </w:p>
    <w:p w14:paraId="38200ABE" w14:textId="77777777" w:rsidR="0025132B" w:rsidRDefault="00000000">
      <w:pPr>
        <w:pStyle w:val="Heading1"/>
        <w:spacing w:after="247"/>
        <w:ind w:left="-5"/>
      </w:pPr>
      <w:r>
        <w:t>Core Principles and Patterns of Supple Design</w:t>
      </w:r>
    </w:p>
    <w:p w14:paraId="4048F5FD" w14:textId="77777777" w:rsidR="0025132B" w:rsidRDefault="00000000">
      <w:pPr>
        <w:pStyle w:val="Heading2"/>
        <w:ind w:left="-5"/>
      </w:pPr>
      <w:r>
        <w:t>Intention-Revealing Interfaces</w:t>
      </w:r>
    </w:p>
    <w:p w14:paraId="4A11B204" w14:textId="77777777" w:rsidR="0025132B" w:rsidRDefault="00000000">
      <w:pPr>
        <w:ind w:left="-5"/>
      </w:pPr>
      <w:r>
        <w:t>Interfaces and method names should make their purpose clear without exposing implementation details. Developers should understand how to use a class based solely on its interface.</w:t>
      </w:r>
    </w:p>
    <w:p w14:paraId="23E72BC1" w14:textId="77777777" w:rsidR="0025132B" w:rsidRDefault="00000000">
      <w:pPr>
        <w:ind w:left="-5"/>
      </w:pPr>
      <w:r>
        <w:rPr>
          <w:b/>
        </w:rPr>
        <w:t>Guidelines:</w:t>
      </w:r>
      <w:r>
        <w:t xml:space="preserve"> - Use clear, domain-specific names for methods and parameters. - Express </w:t>
      </w:r>
      <w:r>
        <w:rPr>
          <w:b/>
        </w:rPr>
        <w:t>what</w:t>
      </w:r>
      <w:r>
        <w:t xml:space="preserve"> a class does, not </w:t>
      </w:r>
      <w:r>
        <w:rPr>
          <w:b/>
        </w:rPr>
        <w:t>how</w:t>
      </w:r>
      <w:r>
        <w:t xml:space="preserve"> it does it. - Favor names that reflect the ubiquitous language of the project domain.</w:t>
      </w:r>
    </w:p>
    <w:p w14:paraId="76865EF4" w14:textId="77777777" w:rsidR="0025132B" w:rsidRDefault="00000000">
      <w:pPr>
        <w:spacing w:after="480"/>
        <w:ind w:left="-5"/>
      </w:pPr>
      <w:r>
        <w:rPr>
          <w:b/>
        </w:rPr>
        <w:t>Example:</w:t>
      </w:r>
      <w:r>
        <w:t xml:space="preserve"> Before: </w:t>
      </w:r>
      <w:proofErr w:type="gramStart"/>
      <w:r>
        <w:rPr>
          <w:rFonts w:ascii="Calibri" w:eastAsia="Calibri" w:hAnsi="Calibri" w:cs="Calibri"/>
          <w:color w:val="B12146"/>
        </w:rPr>
        <w:t>paint(</w:t>
      </w:r>
      <w:proofErr w:type="gramEnd"/>
      <w:r>
        <w:rPr>
          <w:rFonts w:ascii="Calibri" w:eastAsia="Calibri" w:hAnsi="Calibri" w:cs="Calibri"/>
          <w:color w:val="B12146"/>
        </w:rPr>
        <w:t xml:space="preserve">Paint </w:t>
      </w:r>
      <w:proofErr w:type="gramStart"/>
      <w:r>
        <w:rPr>
          <w:rFonts w:ascii="Calibri" w:eastAsia="Calibri" w:hAnsi="Calibri" w:cs="Calibri"/>
          <w:color w:val="B12146"/>
        </w:rPr>
        <w:t>p)</w:t>
      </w:r>
      <w:r>
        <w:t xml:space="preserve"> —</w:t>
      </w:r>
      <w:proofErr w:type="gramEnd"/>
      <w:r>
        <w:t xml:space="preserve"> unclear purpose. After: </w:t>
      </w:r>
      <w:proofErr w:type="gramStart"/>
      <w:r>
        <w:rPr>
          <w:rFonts w:ascii="Calibri" w:eastAsia="Calibri" w:hAnsi="Calibri" w:cs="Calibri"/>
          <w:color w:val="B12146"/>
        </w:rPr>
        <w:t>mixIn(</w:t>
      </w:r>
      <w:proofErr w:type="gramEnd"/>
      <w:r>
        <w:rPr>
          <w:rFonts w:ascii="Calibri" w:eastAsia="Calibri" w:hAnsi="Calibri" w:cs="Calibri"/>
          <w:color w:val="B12146"/>
        </w:rPr>
        <w:t xml:space="preserve">Paint </w:t>
      </w:r>
      <w:proofErr w:type="gramStart"/>
      <w:r>
        <w:rPr>
          <w:rFonts w:ascii="Calibri" w:eastAsia="Calibri" w:hAnsi="Calibri" w:cs="Calibri"/>
          <w:color w:val="B12146"/>
        </w:rPr>
        <w:t>p)</w:t>
      </w:r>
      <w:r>
        <w:t xml:space="preserve"> —</w:t>
      </w:r>
      <w:proofErr w:type="gramEnd"/>
      <w:r>
        <w:t xml:space="preserve"> the method name reveals its intention and usage.</w:t>
      </w:r>
    </w:p>
    <w:p w14:paraId="1BF5C0A9" w14:textId="77777777" w:rsidR="0025132B" w:rsidRDefault="00000000">
      <w:pPr>
        <w:pStyle w:val="Heading2"/>
        <w:ind w:left="-5"/>
      </w:pPr>
      <w:r>
        <w:t>Side-Effect-Free Functions</w:t>
      </w:r>
    </w:p>
    <w:p w14:paraId="3DECDD59" w14:textId="77777777" w:rsidR="0025132B" w:rsidRDefault="00000000">
      <w:pPr>
        <w:spacing w:after="427"/>
        <w:ind w:left="-5"/>
      </w:pPr>
      <w:r>
        <w:t>A side-effect-free function produces a result without altering the system’s state. This leads to predictable, testable code that can safely be composed with other functions.</w:t>
      </w:r>
    </w:p>
    <w:p w14:paraId="42F483E3" w14:textId="77777777" w:rsidR="0025132B" w:rsidRDefault="00000000">
      <w:pPr>
        <w:spacing w:after="116" w:line="259" w:lineRule="auto"/>
        <w:ind w:right="5"/>
        <w:jc w:val="right"/>
      </w:pPr>
      <w:r>
        <w:rPr>
          <w:sz w:val="18"/>
        </w:rPr>
        <w:t>1</w:t>
      </w:r>
    </w:p>
    <w:p w14:paraId="39746C2A" w14:textId="77777777" w:rsidR="0025132B" w:rsidRDefault="00000000">
      <w:pPr>
        <w:ind w:left="-5"/>
      </w:pPr>
      <w:r>
        <w:rPr>
          <w:b/>
        </w:rPr>
        <w:t>Guidelines:</w:t>
      </w:r>
      <w:r>
        <w:t xml:space="preserve"> - Separate queries (information retrieval) from commands (state changes). - Favor immutable value objects. - Place calculations in pure functions.</w:t>
      </w:r>
    </w:p>
    <w:p w14:paraId="426652C9" w14:textId="77777777" w:rsidR="0025132B" w:rsidRDefault="00000000">
      <w:pPr>
        <w:spacing w:after="480"/>
        <w:ind w:left="-5"/>
      </w:pPr>
      <w:r>
        <w:rPr>
          <w:b/>
        </w:rPr>
        <w:lastRenderedPageBreak/>
        <w:t>Example:</w:t>
      </w:r>
      <w:r>
        <w:t xml:space="preserve"> In the paint-mixing model, </w:t>
      </w:r>
      <w:r>
        <w:rPr>
          <w:rFonts w:ascii="Calibri" w:eastAsia="Calibri" w:hAnsi="Calibri" w:cs="Calibri"/>
          <w:color w:val="B12146"/>
        </w:rPr>
        <w:t>PigmentColor.mixedWith()</w:t>
      </w:r>
      <w:r>
        <w:t xml:space="preserve"> returns a new color instead of modifying existing paint data.</w:t>
      </w:r>
    </w:p>
    <w:p w14:paraId="6A82C674" w14:textId="77777777" w:rsidR="0025132B" w:rsidRDefault="00000000">
      <w:pPr>
        <w:pStyle w:val="Heading2"/>
        <w:ind w:left="-5"/>
      </w:pPr>
      <w:r>
        <w:t>Assertions</w:t>
      </w:r>
    </w:p>
    <w:p w14:paraId="36043D63" w14:textId="77777777" w:rsidR="0025132B" w:rsidRDefault="00000000">
      <w:pPr>
        <w:ind w:left="-5"/>
      </w:pPr>
      <w:r>
        <w:t>Assertions define what must be true before and after an operation. They make assumptions explicit and ensure that class invariants hold.</w:t>
      </w:r>
    </w:p>
    <w:p w14:paraId="5BB3D25C" w14:textId="77777777" w:rsidR="0025132B" w:rsidRDefault="00000000">
      <w:pPr>
        <w:ind w:left="-5"/>
      </w:pPr>
      <w:r>
        <w:rPr>
          <w:b/>
        </w:rPr>
        <w:t>Guidelines:</w:t>
      </w:r>
      <w:r>
        <w:t xml:space="preserve"> - Use preconditions and postconditions to specify valid inputs and outcomes. - Express invariants for entities and aggregates. - Represent assertions through automated tests when language support is limited.</w:t>
      </w:r>
    </w:p>
    <w:p w14:paraId="1C99F3A2" w14:textId="77777777" w:rsidR="0025132B" w:rsidRDefault="00000000">
      <w:pPr>
        <w:spacing w:after="480"/>
        <w:ind w:left="-5"/>
      </w:pPr>
      <w:r>
        <w:rPr>
          <w:b/>
        </w:rPr>
        <w:t>Example:</w:t>
      </w:r>
      <w:r>
        <w:t xml:space="preserve"> An assertion ensures that after mixing paints, the </w:t>
      </w:r>
      <w:r>
        <w:rPr>
          <w:b/>
        </w:rPr>
        <w:t>total volume</w:t>
      </w:r>
      <w:r>
        <w:t xml:space="preserve"> remains constant. This clarifies expected system behavior and prevents hidden side effects.</w:t>
      </w:r>
    </w:p>
    <w:p w14:paraId="59244A05" w14:textId="77777777" w:rsidR="0025132B" w:rsidRDefault="00000000">
      <w:pPr>
        <w:pStyle w:val="Heading2"/>
        <w:ind w:left="-5"/>
      </w:pPr>
      <w:r>
        <w:t>Conceptual Contours</w:t>
      </w:r>
    </w:p>
    <w:p w14:paraId="6038762F" w14:textId="77777777" w:rsidR="0025132B" w:rsidRDefault="00000000">
      <w:pPr>
        <w:ind w:left="-5"/>
      </w:pPr>
      <w:r>
        <w:t>Conceptual contours are natural boundaries within a domain that reflect how real-world concepts are organized. A well-structured design has parts that align with the way people think about the domain.</w:t>
      </w:r>
    </w:p>
    <w:p w14:paraId="711AD724" w14:textId="77777777" w:rsidR="0025132B" w:rsidRDefault="00000000">
      <w:pPr>
        <w:spacing w:after="480"/>
        <w:ind w:left="-5"/>
      </w:pPr>
      <w:r>
        <w:rPr>
          <w:b/>
        </w:rPr>
        <w:t>Guidelines:</w:t>
      </w:r>
      <w:r>
        <w:t xml:space="preserve"> - Group related behaviors and data into cohesive units. - Avoid unnecessary decomposition that fragments the model. - Refactor repeatedly until domain concepts feel intuitive and localized.</w:t>
      </w:r>
    </w:p>
    <w:p w14:paraId="2DBC79C3" w14:textId="77777777" w:rsidR="0025132B" w:rsidRDefault="00000000">
      <w:pPr>
        <w:pStyle w:val="Heading2"/>
        <w:ind w:left="-5"/>
      </w:pPr>
      <w:r>
        <w:t>Standalone Classes</w:t>
      </w:r>
    </w:p>
    <w:p w14:paraId="32980715" w14:textId="77777777" w:rsidR="0025132B" w:rsidRDefault="00000000">
      <w:pPr>
        <w:ind w:left="-5"/>
      </w:pPr>
      <w:r>
        <w:t>A standalone class minimizes dependencies and can be studied independently. It contributes to modularity and lowers cognitive load for developers.</w:t>
      </w:r>
    </w:p>
    <w:p w14:paraId="0D5470EC" w14:textId="77777777" w:rsidR="0025132B" w:rsidRDefault="00000000">
      <w:pPr>
        <w:spacing w:after="480"/>
        <w:ind w:left="-5"/>
      </w:pPr>
      <w:r>
        <w:rPr>
          <w:b/>
        </w:rPr>
        <w:t>Guidelines:</w:t>
      </w:r>
      <w:r>
        <w:t xml:space="preserve"> - Remove non-essential associations and dependencies. - Design self-contained classes that can be reused without large refactoring. - Keep modules internally cohesive but externally simple.</w:t>
      </w:r>
    </w:p>
    <w:p w14:paraId="7B7CBB5D" w14:textId="77777777" w:rsidR="0025132B" w:rsidRDefault="00000000">
      <w:pPr>
        <w:pStyle w:val="Heading2"/>
        <w:ind w:left="-5"/>
      </w:pPr>
      <w:r>
        <w:t>Closure Under Operations</w:t>
      </w:r>
    </w:p>
    <w:p w14:paraId="7B2CD060" w14:textId="77777777" w:rsidR="0025132B" w:rsidRDefault="00000000">
      <w:pPr>
        <w:ind w:left="-5"/>
      </w:pPr>
      <w:r>
        <w:t xml:space="preserve">An operation is </w:t>
      </w:r>
      <w:r>
        <w:rPr>
          <w:b/>
        </w:rPr>
        <w:t>closed</w:t>
      </w:r>
      <w:r>
        <w:t xml:space="preserve"> when it returns an object of the same type as its inputs. Closure simplifies design and supports safe combination of operations.</w:t>
      </w:r>
    </w:p>
    <w:p w14:paraId="0142DACE" w14:textId="77777777" w:rsidR="0025132B" w:rsidRDefault="00000000">
      <w:pPr>
        <w:spacing w:after="1780"/>
        <w:ind w:left="-5"/>
      </w:pPr>
      <w:r>
        <w:rPr>
          <w:b/>
        </w:rPr>
        <w:t>Example:</w:t>
      </w:r>
      <w:r>
        <w:t xml:space="preserve"> Adding two </w:t>
      </w:r>
      <w:r>
        <w:rPr>
          <w:rFonts w:ascii="Calibri" w:eastAsia="Calibri" w:hAnsi="Calibri" w:cs="Calibri"/>
          <w:color w:val="B12146"/>
        </w:rPr>
        <w:t>SharePie</w:t>
      </w:r>
      <w:r>
        <w:t xml:space="preserve"> objects in the “Shares Math” example returns another </w:t>
      </w:r>
      <w:r>
        <w:rPr>
          <w:rFonts w:ascii="Calibri" w:eastAsia="Calibri" w:hAnsi="Calibri" w:cs="Calibri"/>
          <w:color w:val="B12146"/>
        </w:rPr>
        <w:t>SharePie</w:t>
      </w:r>
      <w:r>
        <w:t>. This closure makes it easy to reason about and recombine domain logic.</w:t>
      </w:r>
    </w:p>
    <w:p w14:paraId="7CD0C1E9" w14:textId="77777777" w:rsidR="0025132B" w:rsidRDefault="00000000">
      <w:pPr>
        <w:spacing w:after="116" w:line="259" w:lineRule="auto"/>
        <w:ind w:left="15"/>
        <w:jc w:val="left"/>
      </w:pPr>
      <w:r>
        <w:rPr>
          <w:sz w:val="18"/>
        </w:rPr>
        <w:t>2</w:t>
      </w:r>
    </w:p>
    <w:p w14:paraId="6FAC06DF" w14:textId="77777777" w:rsidR="0025132B" w:rsidRDefault="00000000">
      <w:pPr>
        <w:pStyle w:val="Heading2"/>
        <w:ind w:left="-5"/>
      </w:pPr>
      <w:r>
        <w:t>Declarative Design</w:t>
      </w:r>
    </w:p>
    <w:p w14:paraId="35908EBA" w14:textId="77777777" w:rsidR="0025132B" w:rsidRDefault="00000000">
      <w:pPr>
        <w:ind w:left="-5"/>
      </w:pPr>
      <w:r>
        <w:t xml:space="preserve">Declarative design expresses </w:t>
      </w:r>
      <w:r>
        <w:rPr>
          <w:b/>
        </w:rPr>
        <w:t>what</w:t>
      </w:r>
      <w:r>
        <w:t xml:space="preserve"> should happen rather than </w:t>
      </w:r>
      <w:r>
        <w:rPr>
          <w:b/>
        </w:rPr>
        <w:t>how</w:t>
      </w:r>
      <w:r>
        <w:t xml:space="preserve"> it happens. It focuses on rules and specifications instead of procedural instructions.</w:t>
      </w:r>
    </w:p>
    <w:p w14:paraId="05C036D6" w14:textId="77777777" w:rsidR="0025132B" w:rsidRDefault="00000000">
      <w:pPr>
        <w:spacing w:after="566"/>
        <w:ind w:left="-5"/>
      </w:pPr>
      <w:r>
        <w:rPr>
          <w:b/>
        </w:rPr>
        <w:lastRenderedPageBreak/>
        <w:t>Guidelines:</w:t>
      </w:r>
      <w:r>
        <w:t xml:space="preserve"> - Use predicates, rules, or specifications to describe system behavior. - Combine specifications logically using AND, OR, and NOT operations. - Write tests that reflect business rules directly.</w:t>
      </w:r>
    </w:p>
    <w:p w14:paraId="3A046B3C" w14:textId="77777777" w:rsidR="0025132B" w:rsidRDefault="00000000">
      <w:pPr>
        <w:pStyle w:val="Heading1"/>
        <w:ind w:left="-5"/>
      </w:pPr>
      <w:r>
        <w:t>Practical Example – Refactoring the Paint Mixing Application</w:t>
      </w:r>
    </w:p>
    <w:p w14:paraId="5692BF2D" w14:textId="77777777" w:rsidR="0025132B" w:rsidRDefault="00000000">
      <w:pPr>
        <w:spacing w:after="12"/>
        <w:ind w:left="-5"/>
      </w:pPr>
      <w:r>
        <w:t>The original paint-mixing system was rigid, with unclear responsibilities and hidden side effects.</w:t>
      </w:r>
    </w:p>
    <w:p w14:paraId="56BD0E24" w14:textId="77777777" w:rsidR="0025132B" w:rsidRDefault="00000000">
      <w:pPr>
        <w:ind w:left="-5"/>
      </w:pPr>
      <w:r>
        <w:t xml:space="preserve">Through successive refactoring: - The color behavior was moved to a new </w:t>
      </w:r>
      <w:r>
        <w:rPr>
          <w:rFonts w:ascii="Calibri" w:eastAsia="Calibri" w:hAnsi="Calibri" w:cs="Calibri"/>
          <w:color w:val="B12146"/>
        </w:rPr>
        <w:t>PigmentColor</w:t>
      </w:r>
      <w:r>
        <w:t xml:space="preserve"> value object. - Side effects were eliminated by introducing pure functions. - Assertions were added to define invariants like volume consistency. - Concepts were reorganized into clear, cohesive classes (Paint, PigmentColor, SharePie).</w:t>
      </w:r>
    </w:p>
    <w:p w14:paraId="2DD47164" w14:textId="77777777" w:rsidR="0025132B" w:rsidRDefault="00000000">
      <w:pPr>
        <w:spacing w:after="573"/>
        <w:ind w:left="-5"/>
      </w:pPr>
      <w:r>
        <w:t>These steps demonstrated how Supple Design creates intuitive, flexible, and safe-to-modify systems.</w:t>
      </w:r>
    </w:p>
    <w:p w14:paraId="4A0EDBE6" w14:textId="77777777" w:rsidR="0025132B" w:rsidRDefault="00000000">
      <w:pPr>
        <w:pStyle w:val="Heading1"/>
        <w:ind w:left="-5"/>
      </w:pPr>
      <w:r>
        <w:t xml:space="preserve">Application </w:t>
      </w:r>
      <w:proofErr w:type="gramStart"/>
      <w:r>
        <w:t>to</w:t>
      </w:r>
      <w:proofErr w:type="gramEnd"/>
      <w:r>
        <w:t xml:space="preserve"> Gamified Gym</w:t>
      </w:r>
    </w:p>
    <w:p w14:paraId="3716E6D7" w14:textId="77777777" w:rsidR="0025132B" w:rsidRDefault="00000000">
      <w:pPr>
        <w:ind w:left="-5"/>
      </w:pPr>
      <w:r>
        <w:t xml:space="preserve">In the </w:t>
      </w:r>
      <w:r>
        <w:rPr>
          <w:b/>
        </w:rPr>
        <w:t>Gamified Gym</w:t>
      </w:r>
      <w:r>
        <w:t xml:space="preserve"> project, Supple Design principles can be applied to create maintainable and extensible modules such as: - </w:t>
      </w:r>
      <w:r>
        <w:rPr>
          <w:b/>
        </w:rPr>
        <w:t>XP System</w:t>
      </w:r>
      <w:r>
        <w:t xml:space="preserve"> – using pure functions to calculate XP without altering unrelated states. - </w:t>
      </w:r>
      <w:r>
        <w:rPr>
          <w:b/>
        </w:rPr>
        <w:t>Badge Logic</w:t>
      </w:r>
      <w:r>
        <w:t xml:space="preserve"> – intention-revealing methods like </w:t>
      </w:r>
      <w:proofErr w:type="gramStart"/>
      <w:r>
        <w:rPr>
          <w:rFonts w:ascii="Calibri" w:eastAsia="Calibri" w:hAnsi="Calibri" w:cs="Calibri"/>
          <w:color w:val="B12146"/>
        </w:rPr>
        <w:t>awardBadge(</w:t>
      </w:r>
      <w:proofErr w:type="gramEnd"/>
      <w:r>
        <w:rPr>
          <w:rFonts w:ascii="Calibri" w:eastAsia="Calibri" w:hAnsi="Calibri" w:cs="Calibri"/>
          <w:color w:val="B12146"/>
        </w:rPr>
        <w:t>)</w:t>
      </w:r>
      <w:r>
        <w:t xml:space="preserve"> instead of </w:t>
      </w:r>
      <w:proofErr w:type="gramStart"/>
      <w:r>
        <w:rPr>
          <w:rFonts w:ascii="Calibri" w:eastAsia="Calibri" w:hAnsi="Calibri" w:cs="Calibri"/>
          <w:color w:val="B12146"/>
        </w:rPr>
        <w:t>updateStatus(</w:t>
      </w:r>
      <w:proofErr w:type="gramEnd"/>
      <w:r>
        <w:rPr>
          <w:rFonts w:ascii="Calibri" w:eastAsia="Calibri" w:hAnsi="Calibri" w:cs="Calibri"/>
          <w:color w:val="B12146"/>
        </w:rPr>
        <w:t>)</w:t>
      </w:r>
      <w:r>
        <w:t xml:space="preserve">. - </w:t>
      </w:r>
      <w:r>
        <w:rPr>
          <w:b/>
        </w:rPr>
        <w:t>Workout Tracker</w:t>
      </w:r>
      <w:r>
        <w:t xml:space="preserve"> – standalone modules to record and retrieve workout data cleanly.</w:t>
      </w:r>
    </w:p>
    <w:p w14:paraId="04A2893F" w14:textId="77777777" w:rsidR="0025132B" w:rsidRDefault="00000000">
      <w:pPr>
        <w:spacing w:after="566"/>
        <w:ind w:left="-5"/>
      </w:pPr>
      <w:r>
        <w:t>This ensures that as the project evolves, the system remains robust, testable, and enjoyable to work with.</w:t>
      </w:r>
    </w:p>
    <w:p w14:paraId="6A77DFC5" w14:textId="77777777" w:rsidR="0025132B" w:rsidRDefault="00000000">
      <w:pPr>
        <w:pStyle w:val="Heading1"/>
        <w:ind w:left="-5"/>
      </w:pPr>
      <w:r>
        <w:t>Conclusion</w:t>
      </w:r>
    </w:p>
    <w:p w14:paraId="13D07704" w14:textId="77777777" w:rsidR="0025132B" w:rsidRDefault="00000000">
      <w:pPr>
        <w:spacing w:after="566"/>
        <w:ind w:left="-5"/>
      </w:pPr>
      <w:r>
        <w:t>Supple Design ensures that software remains flexible, expressive, and maintainable over time. It relies on clarity of intention, immutability, well-defined assertions, and meaningful organization of domain concepts. By adopting these principles, developers create systems that not only meet current needs but can evolve gracefully as understanding grows.</w:t>
      </w:r>
    </w:p>
    <w:p w14:paraId="3F727DE4" w14:textId="77777777" w:rsidR="0025132B" w:rsidRDefault="00000000">
      <w:pPr>
        <w:pStyle w:val="Heading1"/>
        <w:ind w:left="-5"/>
      </w:pPr>
      <w:r>
        <w:t>Acceptance Criteria (Met)</w:t>
      </w:r>
    </w:p>
    <w:p w14:paraId="26545877" w14:textId="77777777" w:rsidR="0025132B" w:rsidRDefault="00000000">
      <w:pPr>
        <w:numPr>
          <w:ilvl w:val="0"/>
          <w:numId w:val="1"/>
        </w:numPr>
        <w:spacing w:after="126"/>
        <w:ind w:hanging="187"/>
      </w:pPr>
      <w:r>
        <w:t>Supple Design concept and necessity explained.</w:t>
      </w:r>
    </w:p>
    <w:p w14:paraId="0CD28F65" w14:textId="77777777" w:rsidR="0025132B" w:rsidRDefault="00000000">
      <w:pPr>
        <w:numPr>
          <w:ilvl w:val="0"/>
          <w:numId w:val="1"/>
        </w:numPr>
        <w:spacing w:after="126"/>
        <w:ind w:hanging="187"/>
      </w:pPr>
      <w:r>
        <w:t>Covered at least four key design patterns with examples.</w:t>
      </w:r>
    </w:p>
    <w:p w14:paraId="04D3D815" w14:textId="77777777" w:rsidR="0025132B" w:rsidRDefault="00000000">
      <w:pPr>
        <w:numPr>
          <w:ilvl w:val="0"/>
          <w:numId w:val="1"/>
        </w:numPr>
        <w:spacing w:after="844"/>
        <w:ind w:hanging="187"/>
      </w:pPr>
      <w:r>
        <w:t>Included the paint-mixing refactoring as an illustrative case.</w:t>
      </w:r>
    </w:p>
    <w:p w14:paraId="4E154E8E" w14:textId="77777777" w:rsidR="0025132B" w:rsidRDefault="00000000">
      <w:pPr>
        <w:spacing w:after="116" w:line="259" w:lineRule="auto"/>
        <w:ind w:right="5"/>
        <w:jc w:val="right"/>
      </w:pPr>
      <w:r>
        <w:rPr>
          <w:sz w:val="18"/>
        </w:rPr>
        <w:t>3</w:t>
      </w:r>
    </w:p>
    <w:p w14:paraId="22738EE1" w14:textId="77777777" w:rsidR="0025132B" w:rsidRDefault="00000000">
      <w:pPr>
        <w:numPr>
          <w:ilvl w:val="0"/>
          <w:numId w:val="1"/>
        </w:numPr>
        <w:spacing w:after="15284"/>
        <w:ind w:hanging="187"/>
      </w:pPr>
      <w:r>
        <w:t>Applied concepts to the Gamified Gym project context.</w:t>
      </w:r>
    </w:p>
    <w:p w14:paraId="463D19CA" w14:textId="77777777" w:rsidR="0025132B" w:rsidRDefault="00000000">
      <w:pPr>
        <w:spacing w:after="116" w:line="259" w:lineRule="auto"/>
        <w:ind w:left="15"/>
        <w:jc w:val="left"/>
      </w:pPr>
      <w:r>
        <w:rPr>
          <w:sz w:val="18"/>
        </w:rPr>
        <w:lastRenderedPageBreak/>
        <w:t>4</w:t>
      </w:r>
    </w:p>
    <w:sectPr w:rsidR="0025132B">
      <w:footerReference w:type="even" r:id="rId7"/>
      <w:footerReference w:type="default" r:id="rId8"/>
      <w:footerReference w:type="first" r:id="rId9"/>
      <w:pgSz w:w="11906" w:h="16838"/>
      <w:pgMar w:top="720" w:right="965" w:bottom="233" w:left="965" w:header="72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4FC1" w14:textId="77777777" w:rsidR="00EC5FE8" w:rsidRDefault="00EC5FE8">
      <w:pPr>
        <w:spacing w:after="0" w:line="240" w:lineRule="auto"/>
      </w:pPr>
      <w:r>
        <w:separator/>
      </w:r>
    </w:p>
  </w:endnote>
  <w:endnote w:type="continuationSeparator" w:id="0">
    <w:p w14:paraId="6802D4F4" w14:textId="77777777" w:rsidR="00EC5FE8" w:rsidRDefault="00EC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B825" w14:textId="77777777" w:rsidR="0025132B" w:rsidRDefault="00000000">
    <w:pPr>
      <w:spacing w:after="0" w:line="259" w:lineRule="auto"/>
      <w:ind w:left="-965" w:right="1094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B3F01E7" wp14:editId="3B38F0A2">
              <wp:simplePos x="0" y="0"/>
              <wp:positionH relativeFrom="page">
                <wp:posOffset>612648</wp:posOffset>
              </wp:positionH>
              <wp:positionV relativeFrom="page">
                <wp:posOffset>10311003</wp:posOffset>
              </wp:positionV>
              <wp:extent cx="6334760" cy="3175"/>
              <wp:effectExtent l="0" t="0" r="0" b="0"/>
              <wp:wrapSquare wrapText="bothSides"/>
              <wp:docPr id="2198" name="Group 2198"/>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2199" name="Shape 2199"/>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8" style="width:498.8pt;height:0.25pt;position:absolute;mso-position-horizontal-relative:page;mso-position-horizontal:absolute;margin-left:48.24pt;mso-position-vertical-relative:page;margin-top:811.89pt;" coordsize="63347,31">
              <v:shape id="Shape 2199" style="position:absolute;width:63347;height:0;left:0;top:0;" coordsize="6334760,0" path="m0,0l6334760,0">
                <v:stroke weight="0.25pt" endcap="flat" joinstyle="miter" miterlimit="10" on="true" color="#dddddd"/>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B13B" w14:textId="77777777" w:rsidR="0025132B" w:rsidRDefault="00000000">
    <w:pPr>
      <w:spacing w:after="0" w:line="259" w:lineRule="auto"/>
      <w:ind w:left="-965" w:right="10941"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274381E" wp14:editId="0F999265">
              <wp:simplePos x="0" y="0"/>
              <wp:positionH relativeFrom="page">
                <wp:posOffset>612648</wp:posOffset>
              </wp:positionH>
              <wp:positionV relativeFrom="page">
                <wp:posOffset>10311003</wp:posOffset>
              </wp:positionV>
              <wp:extent cx="6334760" cy="3175"/>
              <wp:effectExtent l="0" t="0" r="0" b="0"/>
              <wp:wrapSquare wrapText="bothSides"/>
              <wp:docPr id="2192" name="Group 2192"/>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2193" name="Shape 2193"/>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2" style="width:498.8pt;height:0.25pt;position:absolute;mso-position-horizontal-relative:page;mso-position-horizontal:absolute;margin-left:48.24pt;mso-position-vertical-relative:page;margin-top:811.89pt;" coordsize="63347,31">
              <v:shape id="Shape 2193" style="position:absolute;width:63347;height:0;left:0;top:0;" coordsize="6334760,0" path="m0,0l6334760,0">
                <v:stroke weight="0.25pt" endcap="flat" joinstyle="miter" miterlimit="10" on="true" color="#dddddd"/>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AEE9" w14:textId="77777777" w:rsidR="0025132B" w:rsidRDefault="00000000">
    <w:pPr>
      <w:spacing w:after="0" w:line="259" w:lineRule="auto"/>
      <w:ind w:left="-965" w:right="1094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191E8B6" wp14:editId="2599548D">
              <wp:simplePos x="0" y="0"/>
              <wp:positionH relativeFrom="page">
                <wp:posOffset>612648</wp:posOffset>
              </wp:positionH>
              <wp:positionV relativeFrom="page">
                <wp:posOffset>10311003</wp:posOffset>
              </wp:positionV>
              <wp:extent cx="6334760" cy="3175"/>
              <wp:effectExtent l="0" t="0" r="0" b="0"/>
              <wp:wrapSquare wrapText="bothSides"/>
              <wp:docPr id="2186" name="Group 2186"/>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2187" name="Shape 2187"/>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6" style="width:498.8pt;height:0.25pt;position:absolute;mso-position-horizontal-relative:page;mso-position-horizontal:absolute;margin-left:48.24pt;mso-position-vertical-relative:page;margin-top:811.89pt;" coordsize="63347,31">
              <v:shape id="Shape 2187" style="position:absolute;width:63347;height:0;left:0;top:0;" coordsize="6334760,0" path="m0,0l6334760,0">
                <v:stroke weight="0.25pt" endcap="flat" joinstyle="miter" miterlimit="10" on="true" color="#dddddd"/>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FEDA" w14:textId="77777777" w:rsidR="00EC5FE8" w:rsidRDefault="00EC5FE8">
      <w:pPr>
        <w:spacing w:after="0" w:line="240" w:lineRule="auto"/>
      </w:pPr>
      <w:r>
        <w:separator/>
      </w:r>
    </w:p>
  </w:footnote>
  <w:footnote w:type="continuationSeparator" w:id="0">
    <w:p w14:paraId="1BA159CB" w14:textId="77777777" w:rsidR="00EC5FE8" w:rsidRDefault="00EC5F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57B7F"/>
    <w:multiLevelType w:val="hybridMultilevel"/>
    <w:tmpl w:val="EF02B632"/>
    <w:lvl w:ilvl="0" w:tplc="1FE84DD2">
      <w:start w:val="1"/>
      <w:numFmt w:val="bullet"/>
      <w:lvlText w:val="•"/>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0B3EA5C8">
      <w:start w:val="1"/>
      <w:numFmt w:val="bullet"/>
      <w:lvlText w:val="o"/>
      <w:lvlJc w:val="left"/>
      <w:pPr>
        <w:ind w:left="124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974CEAAA">
      <w:start w:val="1"/>
      <w:numFmt w:val="bullet"/>
      <w:lvlText w:val="▪"/>
      <w:lvlJc w:val="left"/>
      <w:pPr>
        <w:ind w:left="196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FEF4A082">
      <w:start w:val="1"/>
      <w:numFmt w:val="bullet"/>
      <w:lvlText w:val="•"/>
      <w:lvlJc w:val="left"/>
      <w:pPr>
        <w:ind w:left="26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3E0EF714">
      <w:start w:val="1"/>
      <w:numFmt w:val="bullet"/>
      <w:lvlText w:val="o"/>
      <w:lvlJc w:val="left"/>
      <w:pPr>
        <w:ind w:left="34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5D945FC2">
      <w:start w:val="1"/>
      <w:numFmt w:val="bullet"/>
      <w:lvlText w:val="▪"/>
      <w:lvlJc w:val="left"/>
      <w:pPr>
        <w:ind w:left="41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7663AC4">
      <w:start w:val="1"/>
      <w:numFmt w:val="bullet"/>
      <w:lvlText w:val="•"/>
      <w:lvlJc w:val="left"/>
      <w:pPr>
        <w:ind w:left="484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DCDC8E42">
      <w:start w:val="1"/>
      <w:numFmt w:val="bullet"/>
      <w:lvlText w:val="o"/>
      <w:lvlJc w:val="left"/>
      <w:pPr>
        <w:ind w:left="556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0A3CE748">
      <w:start w:val="1"/>
      <w:numFmt w:val="bullet"/>
      <w:lvlText w:val="▪"/>
      <w:lvlJc w:val="left"/>
      <w:pPr>
        <w:ind w:left="62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num w:numId="1" w16cid:durableId="207627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2B"/>
    <w:rsid w:val="0025132B"/>
    <w:rsid w:val="009B3116"/>
    <w:rsid w:val="00B13E32"/>
    <w:rsid w:val="00EC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EB8E"/>
  <w15:docId w15:val="{8B45C32A-F0FA-4E01-9CE3-C8815DE4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12" w:lineRule="auto"/>
      <w:ind w:left="10" w:hanging="10"/>
      <w:jc w:val="both"/>
    </w:pPr>
    <w:rPr>
      <w:rFonts w:ascii="Times New Roman" w:eastAsia="Times New Roman" w:hAnsi="Times New Roman" w:cs="Times New Roman"/>
      <w:color w:val="333333"/>
      <w:sz w:val="21"/>
    </w:rPr>
  </w:style>
  <w:style w:type="paragraph" w:styleId="Heading1">
    <w:name w:val="heading 1"/>
    <w:next w:val="Normal"/>
    <w:link w:val="Heading1Char"/>
    <w:uiPriority w:val="9"/>
    <w:qFormat/>
    <w:pPr>
      <w:keepNext/>
      <w:keepLines/>
      <w:spacing w:after="17" w:line="270" w:lineRule="auto"/>
      <w:ind w:left="10" w:hanging="10"/>
      <w:outlineLvl w:val="0"/>
    </w:pPr>
    <w:rPr>
      <w:rFonts w:ascii="Times New Roman" w:eastAsia="Times New Roman" w:hAnsi="Times New Roman" w:cs="Times New Roman"/>
      <w:b/>
      <w:color w:val="333333"/>
      <w:sz w:val="44"/>
    </w:rPr>
  </w:style>
  <w:style w:type="paragraph" w:styleId="Heading2">
    <w:name w:val="heading 2"/>
    <w:next w:val="Normal"/>
    <w:link w:val="Heading2Char"/>
    <w:uiPriority w:val="9"/>
    <w:unhideWhenUsed/>
    <w:qFormat/>
    <w:pPr>
      <w:keepNext/>
      <w:keepLines/>
      <w:spacing w:after="110" w:line="259" w:lineRule="auto"/>
      <w:ind w:left="10" w:hanging="10"/>
      <w:outlineLvl w:val="1"/>
    </w:pPr>
    <w:rPr>
      <w:rFonts w:ascii="Times New Roman" w:eastAsia="Times New Roman" w:hAnsi="Times New Roman" w:cs="Times New Roman"/>
      <w:b/>
      <w:color w:val="33333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33333"/>
      <w:sz w:val="36"/>
    </w:rPr>
  </w:style>
  <w:style w:type="character" w:customStyle="1" w:styleId="Heading1Char">
    <w:name w:val="Heading 1 Char"/>
    <w:link w:val="Heading1"/>
    <w:rPr>
      <w:rFonts w:ascii="Times New Roman" w:eastAsia="Times New Roman" w:hAnsi="Times New Roman" w:cs="Times New Roman"/>
      <w:b/>
      <w:color w:val="333333"/>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 Design in Software Engineering</dc:title>
  <dc:subject/>
  <dc:creator>Lecture Topic Task - Milestone 2</dc:creator>
  <cp:keywords/>
  <cp:lastModifiedBy>Luis Sorrentini</cp:lastModifiedBy>
  <cp:revision>2</cp:revision>
  <dcterms:created xsi:type="dcterms:W3CDTF">2025-11-29T17:19:00Z</dcterms:created>
  <dcterms:modified xsi:type="dcterms:W3CDTF">2025-11-29T17:19:00Z</dcterms:modified>
</cp:coreProperties>
</file>