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ГОМЕЛЬСКИЙ ГОСУДАРСТВЕННЫЙ ТЕХНИЧЕСКИЙ УНИВЕРСИТЕТ ИМЕНИ П. О. СУХОГО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ОТЧЁТ ПО ЛАБОРАТОРНОЙ РАБОТЕ №3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по дисциплине «Безопасность жизнедеятельности человека»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на тему: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радиационной обстановки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960.6299212598415" w:right="-4.1338582677155955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Выполнил:    студент гр. ИТП-31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Савчик Н. М.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Принял:         ст. преподаватель        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Суторьма И. И.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Гомель 2024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ab/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Оценить радиационную обстановку согласно данным варианта на соответствие нормам радиационной безопасности.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Исходные данные представлены на рисунке 1.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667150" cy="97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667150" cy="266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1a1a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Рисунок 1 – Вариант задания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 нормах радиационной безопасности НРБ-99 установлены: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566.9291338582675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три категории облучаемых лиц: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категория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a1a1a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персонал (профессиональные работники); категория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профессиональные работники, не связанные с использованием источников ионизирующих излучений, но рабочие места которых расположены в зонах воздействия радиоактивных излучений; категория В – население области, края, республики, страны.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566.9291338582675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три группы критических органов: 1-я группа – все тело, половые органы, костный мозг;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2-я группа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мышцы, щитовидная железа, жировая ткань,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печень, почки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 селезенка, желудочно-кишечный тракт (ЖКТ), легкие, хрусталик глаза и другие органы, за исключением тех, которые относятся к 1-й и 3-й группам; 3-я группа – кожный покров, костная ткань, кисти, предплечья, стопы.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566.9291338582675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основные дозовые пределы, допустимые для лиц категорий А, Б и 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Основные дозовые пределы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предельно допустимые дозы (ПДД)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облучения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(для категории А)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и пределы дозы (ПД) (для категории Б) за календарный год. ПДД и ПД измеряются в миллизивертах в год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мЗв/год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). ПДД и ПД не включают в себя дозы естественного фона и дозы облучения, получаемые при медицинском обследовании и лечении (см. табл. 4.1.)</w:t>
      </w:r>
    </w:p>
    <w:p w:rsidR="00000000" w:rsidDel="00000000" w:rsidP="00000000" w:rsidRDefault="00000000" w:rsidRPr="00000000" w14:paraId="00000035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При проведении радиационного контроля и оценке соответствия параметров радиационной обстановки нормативам должны соблюдаться следующие соотношения:</w:t>
      </w:r>
    </w:p>
    <w:p w:rsidR="00000000" w:rsidDel="00000000" w:rsidP="00000000" w:rsidRDefault="00000000" w:rsidRPr="00000000" w14:paraId="00000036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1a1a1a"/>
          <w:sz w:val="28"/>
          <w:szCs w:val="28"/>
          <w:rtl w:val="0"/>
        </w:rPr>
        <w:t xml:space="preserve">Н ≤ ПДД,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максимальная эквивалентная доза излучения на данный критический орган,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мЗв/год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Н = D· k,</w:t>
      </w:r>
    </w:p>
    <w:p w:rsidR="00000000" w:rsidDel="00000000" w:rsidP="00000000" w:rsidRDefault="00000000" w:rsidRPr="00000000" w14:paraId="00000039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Н = 10·20=200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мЗв/год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поглощенная доза излучения,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мЗв/год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коэффициент качества излучения (безразмерный коэффициент, на который следует умножить поглощенную дозу рассматриваемого излучения для получения эквивалентной дозы этого излучения); </w:t>
      </w:r>
    </w:p>
    <w:p w:rsidR="00000000" w:rsidDel="00000000" w:rsidP="00000000" w:rsidRDefault="00000000" w:rsidRPr="00000000" w14:paraId="0000003B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По данным варианта (табл. 4.2.) для группы критических органов - «пищеварение» и категории облученных лиц - «А» находим основной дозовый предел из табл. 4.1. </w:t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Таблица 4.1. Основные дозовые пределы, мЗв/год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7150" cy="762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ПДД = 150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мЗв/год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Сравним рассчитанную максимальную эквивалентную дозу на печень и почки при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-излучении с ПДД на данный критический орган:</w:t>
      </w:r>
    </w:p>
    <w:p w:rsidR="00000000" w:rsidDel="00000000" w:rsidP="00000000" w:rsidRDefault="00000000" w:rsidRPr="00000000" w14:paraId="0000004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200&gt;150 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Вывод:</w:t>
      </w:r>
    </w:p>
    <w:p w:rsidR="00000000" w:rsidDel="00000000" w:rsidP="00000000" w:rsidRDefault="00000000" w:rsidRPr="00000000" w14:paraId="0000004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расчета определили, что максимальная эквивалентная доза на органы пищеварения при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-излучении превышает установленную ПДД на данный  критический орган, следовательно, радиационная обстановка не соответствует нормам радиационной безопасности.</w:t>
      </w:r>
    </w:p>
    <w:p w:rsidR="00000000" w:rsidDel="00000000" w:rsidP="00000000" w:rsidRDefault="00000000" w:rsidRPr="00000000" w14:paraId="0000004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540.86614173228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LgnplLQxgOQMF0mzzvApVn7vKg==">CgMxLjA4AHIhMXpxSkYwcE5RemUxMk9jSkRKNGhSbWxnaEs5SUV6ZVZ3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