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64F" w:rsidRDefault="00B9464F">
      <w:r>
        <w:t>Assuming the following fixed parameters,</w:t>
      </w:r>
    </w:p>
    <w:p w:rsidR="00B9464F" w:rsidRDefault="00B9464F"/>
    <w:p w:rsidR="00B9464F" w:rsidRDefault="00B9464F" w:rsidP="00B9464F">
      <w:pPr>
        <w:pStyle w:val="HTMLPreformatted"/>
      </w:pPr>
      <w:proofErr w:type="spellStart"/>
      <w:r>
        <w:t>Nbar</w:t>
      </w:r>
      <w:proofErr w:type="spellEnd"/>
      <w:r>
        <w:t xml:space="preserve"> = 1.0</w:t>
      </w:r>
    </w:p>
    <w:p w:rsidR="00B9464F" w:rsidRDefault="00B9464F" w:rsidP="00B9464F">
      <w:pPr>
        <w:pStyle w:val="HTMLPreformatted"/>
      </w:pPr>
      <w:proofErr w:type="spellStart"/>
      <w:r>
        <w:t>Nstar</w:t>
      </w:r>
      <w:proofErr w:type="spellEnd"/>
      <w:r>
        <w:t xml:space="preserve"> = 0.1432394487827058</w:t>
      </w:r>
    </w:p>
    <w:p w:rsidR="00B9464F" w:rsidRDefault="00B9464F" w:rsidP="00B9464F">
      <w:pPr>
        <w:pStyle w:val="HTMLPreformatted"/>
      </w:pPr>
      <w:proofErr w:type="spellStart"/>
      <w:r>
        <w:t>tau_eq</w:t>
      </w:r>
      <w:proofErr w:type="spellEnd"/>
      <w:r>
        <w:t xml:space="preserve"> = 1 microsecond</w:t>
      </w:r>
    </w:p>
    <w:p w:rsidR="00B9464F" w:rsidRDefault="00B9464F" w:rsidP="00B9464F">
      <w:pPr>
        <w:pStyle w:val="HTMLPreformatted"/>
      </w:pPr>
      <w:r>
        <w:t>sigma0 = 0.2</w:t>
      </w:r>
    </w:p>
    <w:p w:rsidR="00B9464F" w:rsidRDefault="00B9464F"/>
    <w:p w:rsidR="00E37105" w:rsidRDefault="00B9464F">
      <w:r>
        <w:t>w</w:t>
      </w:r>
      <w:r w:rsidR="0019129C">
        <w:t>hen the “baseline” scenario is perturbed a little to the following:</w:t>
      </w:r>
    </w:p>
    <w:p w:rsidR="0019129C" w:rsidRDefault="0019129C"/>
    <w:p w:rsidR="0019129C" w:rsidRPr="0019129C" w:rsidRDefault="0019129C" w:rsidP="001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 = 30 micrometer</w:t>
      </w:r>
    </w:p>
    <w:p w:rsidR="0019129C" w:rsidRPr="0019129C" w:rsidRDefault="0019129C" w:rsidP="001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 </w:t>
      </w:r>
      <w:proofErr w:type="gramStart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0.000365</w:t>
      </w:r>
      <w:proofErr w:type="gramEnd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micrometer ** 2 / microsecond</w:t>
      </w:r>
    </w:p>
    <w:p w:rsidR="0019129C" w:rsidRPr="0019129C" w:rsidRDefault="0019129C" w:rsidP="001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nu_kin</w:t>
      </w:r>
      <w:proofErr w:type="spellEnd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105</w:t>
      </w:r>
      <w:proofErr w:type="gramEnd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micrometer / second</w:t>
      </w:r>
    </w:p>
    <w:p w:rsidR="0019129C" w:rsidRPr="0019129C" w:rsidRDefault="0019129C" w:rsidP="001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nu_kin_mlyperus</w:t>
      </w:r>
      <w:proofErr w:type="spellEnd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0.26992287917737784 / microsecond</w:t>
      </w:r>
    </w:p>
    <w:p w:rsidR="0019129C" w:rsidRPr="0019129C" w:rsidRDefault="0019129C" w:rsidP="001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sigmaI_corner</w:t>
      </w:r>
      <w:proofErr w:type="spellEnd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0.22 dimensionless</w:t>
      </w:r>
    </w:p>
    <w:p w:rsidR="0019129C" w:rsidRPr="0019129C" w:rsidRDefault="0019129C" w:rsidP="001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c_r_percent</w:t>
      </w:r>
      <w:proofErr w:type="spellEnd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1.068 dimensionless</w:t>
      </w:r>
    </w:p>
    <w:p w:rsidR="0019129C" w:rsidRPr="0019129C" w:rsidRDefault="0019129C" w:rsidP="001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nx</w:t>
      </w:r>
      <w:proofErr w:type="spellEnd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(crystal) = 2401</w:t>
      </w:r>
    </w:p>
    <w:p w:rsidR="0019129C" w:rsidRPr="0019129C" w:rsidRDefault="0019129C" w:rsidP="001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Spacing of points on the ice surface = 0.02499999999999858 micrometer</w:t>
      </w:r>
    </w:p>
    <w:p w:rsidR="0019129C" w:rsidRDefault="0019129C"/>
    <w:p w:rsidR="0019129C" w:rsidRDefault="0019129C">
      <w:r>
        <w:t>we get instability:</w:t>
      </w:r>
    </w:p>
    <w:p w:rsidR="0019129C" w:rsidRDefault="0019129C"/>
    <w:p w:rsidR="0019129C" w:rsidRDefault="0019129C">
      <w:r>
        <w:rPr>
          <w:noProof/>
        </w:rPr>
        <w:drawing>
          <wp:inline distT="0" distB="0" distL="0" distR="0">
            <wp:extent cx="5943600" cy="3926205"/>
            <wp:effectExtent l="0" t="0" r="0" b="0"/>
            <wp:docPr id="71858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29C" w:rsidRDefault="0019129C"/>
    <w:p w:rsidR="0052160E" w:rsidRPr="0052160E" w:rsidRDefault="0019129C">
      <w:pPr>
        <w:rPr>
          <w:rFonts w:eastAsiaTheme="minorEastAsia"/>
        </w:rPr>
      </w:pPr>
      <w:r>
        <w:t>If we expand in the corner</w:t>
      </w:r>
      <w:r w:rsidR="0052160E">
        <w:t xml:space="preserve">, it’s clear that instabilities have crept in, by this time, from the edge at </w:t>
      </w:r>
      <m:oMath>
        <m:r>
          <w:rPr>
            <w:rFonts w:ascii="Cambria Math" w:hAnsi="Cambria Math"/>
          </w:rPr>
          <m:t>30 μm</m:t>
        </m:r>
      </m:oMath>
      <w:r w:rsidR="0052160E"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29</m:t>
        </m:r>
        <m:r>
          <w:rPr>
            <w:rFonts w:ascii="Cambria Math" w:hAnsi="Cambria Math"/>
          </w:rPr>
          <m:t xml:space="preserve"> μm</m:t>
        </m:r>
      </m:oMath>
      <w:r w:rsidR="0052160E">
        <w:rPr>
          <w:rFonts w:eastAsiaTheme="minorEastAsia"/>
        </w:rPr>
        <w:t>.</w:t>
      </w:r>
    </w:p>
    <w:p w:rsidR="0052160E" w:rsidRPr="0052160E" w:rsidRDefault="0052160E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DAF1B01" wp14:editId="31ABC77C">
            <wp:extent cx="5943600" cy="3152775"/>
            <wp:effectExtent l="0" t="0" r="0" b="0"/>
            <wp:docPr id="74681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0E" w:rsidRDefault="0052160E"/>
    <w:p w:rsidR="00752948" w:rsidRDefault="0052160E">
      <w:r>
        <w:t xml:space="preserve"> </w:t>
      </w:r>
      <w:r w:rsidR="00D933FD">
        <w:t>If we</w:t>
      </w:r>
      <w:r>
        <w:t xml:space="preserve"> examine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QLL</m:t>
            </m:r>
          </m:sub>
        </m:sSub>
      </m:oMath>
      <w:r w:rsidR="00D933FD">
        <w:rPr>
          <w:rFonts w:eastAsiaTheme="minorEastAsia"/>
        </w:rPr>
        <w:t xml:space="preserve"> </w:t>
      </w:r>
      <w:r w:rsidR="00D933FD">
        <w:t>alone,</w:t>
      </w:r>
    </w:p>
    <w:p w:rsidR="00752948" w:rsidRDefault="00752948"/>
    <w:p w:rsidR="00752948" w:rsidRDefault="00B946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B9B13" wp14:editId="23F91753">
                <wp:simplePos x="0" y="0"/>
                <wp:positionH relativeFrom="column">
                  <wp:posOffset>896938</wp:posOffset>
                </wp:positionH>
                <wp:positionV relativeFrom="paragraph">
                  <wp:posOffset>476885</wp:posOffset>
                </wp:positionV>
                <wp:extent cx="1860550" cy="2724944"/>
                <wp:effectExtent l="25400" t="25400" r="19050" b="18415"/>
                <wp:wrapNone/>
                <wp:docPr id="6399597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550" cy="272494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D0B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0.65pt;margin-top:37.55pt;width:146.5pt;height:214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n0z8AEAAD0EAAAOAAAAZHJzL2Uyb0RvYy54bWysU02P2yAQvVfqf0DcGztRst1GcfaQdNtD&#13;&#10;1a62H3cWDzYSBsTQOP73HbDj9EuVWvWCgJn35s1j2N2dO8NOEFA7W/HlouQMrHS1tk3FP3+6f3HL&#13;&#10;GUZha2GchYoPgPxu//zZrvdbWLnWmRoCIxKL295XvI3Rb4sCZQudwIXzYCmoXOhEpGNoijqIntg7&#13;&#10;U6zK8qboXah9cBIQ6fY4Bvk+8ysFMn5QCiEyU3HSFvMa8vqU1mK/E9smCN9qOckQ/6CiE9pS0Znq&#13;&#10;KKJgX4P+harTMjh0Ki6k6wqnlJaQe6BuluVP3XxshYfcC5mDfrYJ/x+tfH862IdANvQet+gfQuri&#13;&#10;rELHlNH+Lb0pz7svaZdipJmds4HDbCCcI5N0uby9KTcb8llSbPVytX61XieLi5EywX3A+AZcx9Km&#13;&#10;4hiD0E0bD85aeiwXxiLi9A7jCLwAEthY1hPxZl2WWQs6o+t7bUwK5pmBgwnsJOi143k5lf4hK9Ed&#13;&#10;BbZjEg6YDuMYRKHNa1uzOHia1Bi0sI2BicRYauPqUd7FwcAo6xEU03VyYNSVxvcqRUgJNl7kGEvZ&#13;&#10;CaZI+AycGvoTcMpPUMij/TfgGZErOxtncKetC7+TfXVQjfkXB8a+kwVPrh7y9GRraEbzW0//KX2C&#13;&#10;788Zfv31+28AAAD//wMAUEsDBBQABgAIAAAAIQBP9+tU4QAAAA8BAAAPAAAAZHJzL2Rvd25yZXYu&#13;&#10;eG1sTE9NT8MwDL0j8R8iI3FjabcOUNd0mpgmwWViA3F2W9NWNE6VZFv595gTXCw9+/l9FOvJDupM&#13;&#10;PvSODaSzBBRx7ZqeWwPvb7u7R1AhIjc4OCYD3xRgXV5fFZg37sIHOh9jq0SEQ44GuhjHXOtQd2Qx&#13;&#10;zNxILLdP5y1Ggb7VjceLiNtBz5PkXlvsWRw6HOmpo/rreLIGvMd9tcPDljf08vrxXO/HfkvG3N5M&#13;&#10;25WMzQpUpCn+fcBvB8kPpQSr3ImboAbBWboQqoGHZQpKCNkik0VlYJlkc9Blof/3KH8AAAD//wMA&#13;&#10;UEsBAi0AFAAGAAgAAAAhALaDOJL+AAAA4QEAABMAAAAAAAAAAAAAAAAAAAAAAFtDb250ZW50X1R5&#13;&#10;cGVzXS54bWxQSwECLQAUAAYACAAAACEAOP0h/9YAAACUAQAACwAAAAAAAAAAAAAAAAAvAQAAX3Jl&#13;&#10;bHMvLnJlbHNQSwECLQAUAAYACAAAACEAq159M/ABAAA9BAAADgAAAAAAAAAAAAAAAAAuAgAAZHJz&#13;&#10;L2Uyb0RvYy54bWxQSwECLQAUAAYACAAAACEAT/frVOEAAAAPAQAADwAAAAAAAAAAAAAAAABKBAAA&#13;&#10;ZHJzL2Rvd25yZXYueG1sUEsFBgAAAAAEAAQA8wAAAFgFAAAAAA==&#13;&#10;" strokecolor="black [3213]" strokeweight="2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8BCB3" wp14:editId="533C1ABC">
                <wp:simplePos x="0" y="0"/>
                <wp:positionH relativeFrom="column">
                  <wp:posOffset>2798764</wp:posOffset>
                </wp:positionH>
                <wp:positionV relativeFrom="paragraph">
                  <wp:posOffset>480060</wp:posOffset>
                </wp:positionV>
                <wp:extent cx="80168" cy="2765266"/>
                <wp:effectExtent l="12700" t="25400" r="34290" b="3810"/>
                <wp:wrapNone/>
                <wp:docPr id="16591647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68" cy="276526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360C9" id="Straight Arrow Connector 4" o:spid="_x0000_s1026" type="#_x0000_t32" style="position:absolute;margin-left:220.4pt;margin-top:37.8pt;width:6.3pt;height:217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Ob46wEAADEEAAAOAAAAZHJzL2Uyb0RvYy54bWysU02P0zAQvSPxH6zcadKKDauo6R5alguC&#13;&#10;FV93rzNuLDm25TFN8+8Z22lKlxOIixV/vDfvvZlsH86DZifwqKxpi/WqKhgYYTtljm3x/dvjm/uC&#13;&#10;YeCm49oaaIsJsHjYvX61HV0DG9tb3YFnRGKwGV1b9CG4pixR9DBwXFkHhi6l9QMPtPXHsvN8JPZB&#13;&#10;l5uqqsvR+s55KwCRTg/5stglfilBhM9SIgSm24K0hbT6tD7HtdxteXP03PVKzDL4P6gYuDJUdKE6&#13;&#10;8MDZT6/+oBqU8BatDCthh9JKqQQkD+RmXb1w87XnDpIXCgfdEhP+P1rx6bQ3T55iGB026J58dHGW&#13;&#10;fmBSK/eDepp8kVJ2TrFNS2xwDkzQ4X21rqnNgm427+q7TV3HWMtME+mcx/AB7MDiR1tg8Fwd+7C3&#13;&#10;xlCDrM8l+Okjhgy8ACJYGzYS8d3bqkpK0GrVPSqt42WaE9hrz06cOhzO67n0zatId+DY50c4Ydzk&#13;&#10;1geu9HvTsTA5ms7gFTdHDTOJNmTjmkv6CpOGLOsLSKY68p/lv5DChQATLnK0odcRJkn4ApwNxVm/&#13;&#10;ergFzu8jFNI4/w14QaTK1oQFPChjfY7ztvo1QZnfXxLIvmMEz7ab0sSkaGguU6/nfygO/u/7BL/+&#13;&#10;6btfAAAA//8DAFBLAwQUAAYACAAAACEAMOqiT+UAAAAPAQAADwAAAGRycy9kb3ducmV2LnhtbEyP&#13;&#10;wU7DMBBE70j8g7VI3KgTmjQlzaYCInKqELT9ACc2cUS8DrHbhr/HnOCy0mh3Z94U29kM7Kwm11tC&#13;&#10;iBcRMEWtlT11CMfDy90amPOCpBgsKYRv5WBbXl8VIpf2Qu/qvPcdCybkcoGgvR9zzl2rlRFuYUdF&#13;&#10;YfdhJyN8kFPH5SQuwdwM/D6KVtyInkKCFqN61qr93J8MwpOoxsw+ZEs9NdXX22u903W9Rry9matN&#13;&#10;GI8bYF7N/u8DfjsEfigDWGNPJB0bEJIkCvweIUtXwMJBki4TYA1CGscx8LLg/3uUPwAAAP//AwBQ&#13;&#10;SwECLQAUAAYACAAAACEAtoM4kv4AAADhAQAAEwAAAAAAAAAAAAAAAAAAAAAAW0NvbnRlbnRfVHlw&#13;&#10;ZXNdLnhtbFBLAQItABQABgAIAAAAIQA4/SH/1gAAAJQBAAALAAAAAAAAAAAAAAAAAC8BAABfcmVs&#13;&#10;cy8ucmVsc1BLAQItABQABgAIAAAAIQAoJOb46wEAADEEAAAOAAAAAAAAAAAAAAAAAC4CAABkcnMv&#13;&#10;ZTJvRG9jLnhtbFBLAQItABQABgAIAAAAIQAw6qJP5QAAAA8BAAAPAAAAAAAAAAAAAAAAAEUEAABk&#13;&#10;cnMvZG93bnJldi54bWxQSwUGAAAAAAQABADzAAAAVwUAAAAA&#13;&#10;" strokecolor="black [3213]" strokeweight="2pt">
                <v:stroke dashstyle="3 1" endarrow="block" joinstyle="miter"/>
              </v:shape>
            </w:pict>
          </mc:Fallback>
        </mc:AlternateContent>
      </w:r>
      <w:r w:rsidR="005216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583405</wp:posOffset>
                </wp:positionV>
                <wp:extent cx="1216025" cy="2661285"/>
                <wp:effectExtent l="12700" t="25400" r="28575" b="5715"/>
                <wp:wrapNone/>
                <wp:docPr id="9219615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6025" cy="26612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F28E" id="Straight Arrow Connector 4" o:spid="_x0000_s1026" type="#_x0000_t32" style="position:absolute;margin-left:259.75pt;margin-top:45.95pt;width:95.75pt;height:209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j193gEAABgEAAAOAAAAZHJzL2Uyb0RvYy54bWysU02P2yAQvVfqf0DcG3+oiVZRnD1ku71U&#13;&#10;7art9s7iIUbCgGAaO/++A3acfqnSrnpBxsx7895j2N2OvWEnCFE72/BqVXIGVrpW22PDH7/ev7nh&#13;&#10;LKKwrTDOQsPPEPnt/vWr3eC3ULvOmRYCIxIbt4NveIfot0URZQe9iCvnwdKhcqEXSNtwLNogBmLv&#13;&#10;TVGX5aYYXGh9cBJipL930yHfZ36lQOInpSIgMw0nbZjXkNentBb7ndgeg/CdlrMM8QIVvdCWmi5U&#13;&#10;dwIF+x70H1S9lsFFp3AlXV84pbSE7IHcVOVvbr50wkP2QuFEv8QU/x+t/Hg62IdAMQw+bqN/CMnF&#13;&#10;qELPlNH+G91p9kVK2ZhjOy+xwYhM0s+qrjZlveZM0lm92VT1zToFW0xEidCHiO/B9Sx9NDxiEPrY&#13;&#10;4cFZS1fkwtREnD5EnIAXQAIbywYiXr8ty6wlOqPbe21MOsyTAgcT2EnQHeNYza1/qUKhzTvbMjx7&#13;&#10;GkIMWtijgbnSWNJ6tZ+/8Gxg6v0ZFNNtsjk1T5N57SekBIuXnsZSdYIpUrcAZ9X/As71CQp5ap8D&#13;&#10;XhC5s7O4gHttXfib7GtMaqq/JDD5ThE8ufacByNHQ+OXL3R+Kmm+f95n+PVB738AAAD//wMAUEsD&#13;&#10;BBQABgAIAAAAIQD1BIFr4QAAAA8BAAAPAAAAZHJzL2Rvd25yZXYueG1sTE9NT8MwDL0j8R8iT+LG&#13;&#10;0k4a0K7pNIEGB8SBbdy9JrTVGqdKsrb793gndrFsvef3Uawn24nB+NA6UpDOExCGKqdbqhUc9tvH&#13;&#10;FxAhImnsHBkFFxNgXd7fFZhrN9K3GXaxFixCIUcFTYx9LmWoGmMxzF1viLFf5y1GPn0ttceRxW0n&#13;&#10;F0nyJC22xA4N9ua1MdVpd7YK3Ig/ch8+xsX79vPi66/DMGwSpR5m09uKx2YFIpop/n/AtQPnh5KD&#13;&#10;Hd2ZdBCdgmWaLZmqIEszEEx4TlNueLwivMiykLc9yj8AAAD//wMAUEsBAi0AFAAGAAgAAAAhALaD&#13;&#10;OJL+AAAA4QEAABMAAAAAAAAAAAAAAAAAAAAAAFtDb250ZW50X1R5cGVzXS54bWxQSwECLQAUAAYA&#13;&#10;CAAAACEAOP0h/9YAAACUAQAACwAAAAAAAAAAAAAAAAAvAQAAX3JlbHMvLnJlbHNQSwECLQAUAAYA&#13;&#10;CAAAACEAmDY9fd4BAAAYBAAADgAAAAAAAAAAAAAAAAAuAgAAZHJzL2Uyb0RvYy54bWxQSwECLQAU&#13;&#10;AAYACAAAACEA9QSBa+EAAAAPAQAADwAAAAAAAAAAAAAAAAA4BAAAZHJzL2Rvd25yZXYueG1sUEsF&#13;&#10;BgAAAAAEAAQA8wAAAEYFAAAAAA==&#13;&#10;" strokecolor="black [3213]" strokeweight="2pt">
                <v:stroke endarrow="block" joinstyle="miter"/>
              </v:shape>
            </w:pict>
          </mc:Fallback>
        </mc:AlternateContent>
      </w:r>
      <w:r w:rsidR="00752948">
        <w:rPr>
          <w:noProof/>
        </w:rPr>
        <w:drawing>
          <wp:inline distT="0" distB="0" distL="0" distR="0">
            <wp:extent cx="5943600" cy="3121025"/>
            <wp:effectExtent l="0" t="0" r="0" b="3175"/>
            <wp:docPr id="117899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48" w:rsidRDefault="00752948"/>
    <w:p w:rsidR="001E0BEE" w:rsidRDefault="0019129C">
      <w:pPr>
        <w:rPr>
          <w:rFonts w:eastAsiaTheme="minorEastAsia"/>
        </w:rPr>
      </w:pPr>
      <w:r>
        <w:t xml:space="preserve">we see that the instability seems to originate on a </w:t>
      </w:r>
      <w:r>
        <w:rPr>
          <w:i/>
          <w:iCs/>
        </w:rPr>
        <w:t>step</w:t>
      </w:r>
      <w:r w:rsidR="0052160E">
        <w:t xml:space="preserve">, </w:t>
      </w:r>
      <w:r w:rsidR="00D933FD">
        <w:t xml:space="preserve">rather than at a </w:t>
      </w:r>
      <w:r w:rsidR="00D933FD" w:rsidRPr="00D933FD">
        <w:rPr>
          <w:i/>
          <w:iCs/>
        </w:rPr>
        <w:t>riser</w:t>
      </w:r>
      <w:r w:rsidR="00D933FD">
        <w:t xml:space="preserve"> </w:t>
      </w:r>
      <w:r w:rsidR="00B9464F">
        <w:t xml:space="preserve">(solid arrow). </w:t>
      </w:r>
      <w:r w:rsidR="00D933FD">
        <w:t xml:space="preserve">The fact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QLL</m:t>
            </m:r>
          </m:sub>
        </m:sSub>
      </m:oMath>
      <w:r w:rsidR="00D933FD">
        <w:rPr>
          <w:rFonts w:eastAsiaTheme="minorEastAsia"/>
        </w:rPr>
        <w:t xml:space="preserve"> tops out </w:t>
      </w:r>
      <w:r w:rsidR="00B9464F">
        <w:rPr>
          <w:rFonts w:eastAsiaTheme="minorEastAsia"/>
        </w:rPr>
        <w:t xml:space="preserve">at risers generally </w:t>
      </w:r>
      <w:r w:rsidR="00B9464F">
        <w:t>(</w:t>
      </w:r>
      <w:r w:rsidR="00B9464F">
        <w:t>dashed</w:t>
      </w:r>
      <w:r w:rsidR="00B9464F">
        <w:t xml:space="preserve"> arrow</w:t>
      </w:r>
      <w:r w:rsidR="00B9464F">
        <w:t>s</w:t>
      </w:r>
      <w:r w:rsidR="00B9464F">
        <w:t>)</w:t>
      </w:r>
      <w:r w:rsidR="001E0BEE">
        <w:t xml:space="preserve"> with a value</w:t>
      </w:r>
      <w:r w:rsidR="00B9464F">
        <w:t xml:space="preserve"> </w:t>
      </w:r>
      <w:r w:rsidR="00D933FD">
        <w:rPr>
          <w:rFonts w:eastAsiaTheme="minorEastAsia"/>
        </w:rPr>
        <w:t xml:space="preserve">close to </w:t>
      </w:r>
      <m:oMath>
        <m:r>
          <w:rPr>
            <w:rFonts w:ascii="Cambria Math" w:eastAsiaTheme="minorEastAsia" w:hAnsi="Cambria Math"/>
          </w:rPr>
          <m:t>1.1</m:t>
        </m:r>
        <m:r>
          <w:rPr>
            <w:rFonts w:ascii="Cambria Math" w:eastAsiaTheme="minorEastAsia" w:hAnsi="Cambria Math"/>
          </w:rPr>
          <m:t>48</m:t>
        </m:r>
      </m:oMath>
      <w:r w:rsidR="00D933FD">
        <w:rPr>
          <w:rFonts w:eastAsiaTheme="minorEastAsia"/>
        </w:rPr>
        <w:t xml:space="preserve"> is significant</w:t>
      </w:r>
      <w:r w:rsidR="001E0BEE">
        <w:rPr>
          <w:rFonts w:eastAsiaTheme="minorEastAsia"/>
        </w:rPr>
        <w:t>,</w:t>
      </w:r>
      <w:r w:rsidR="00D933FD">
        <w:rPr>
          <w:rFonts w:eastAsiaTheme="minorEastAsia"/>
        </w:rPr>
        <w:t xml:space="preserve"> because the parameterization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  <m:sup>
            <m:r>
              <w:rPr>
                <w:rFonts w:ascii="Cambria Math" w:eastAsiaTheme="minorEastAsia" w:hAnsi="Cambria Math"/>
              </w:rPr>
              <m:t>eq</m:t>
            </m:r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)=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9464F">
        <w:rPr>
          <w:rFonts w:eastAsiaTheme="minorEastAsia"/>
        </w:rPr>
        <w:t xml:space="preserve"> </w:t>
      </w:r>
      <w:r w:rsidR="00D933FD">
        <w:rPr>
          <w:rFonts w:eastAsiaTheme="minorEastAsia"/>
        </w:rPr>
        <w:t xml:space="preserve">means that when </w:t>
      </w: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933FD">
        <w:rPr>
          <w:rFonts w:eastAsiaTheme="minorEastAsia"/>
        </w:rPr>
        <w:t xml:space="preserve"> is at its maximum value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D933FD">
        <w:rPr>
          <w:rFonts w:eastAsiaTheme="minorEastAsia"/>
        </w:rPr>
        <w:t xml:space="preserve">),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  <m:sup>
            <m:r>
              <w:rPr>
                <w:rFonts w:ascii="Cambria Math" w:eastAsiaTheme="minorEastAsia" w:hAnsi="Cambria Math"/>
              </w:rPr>
              <m:t>eq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=1.143</m:t>
        </m:r>
      </m:oMath>
      <w:r w:rsidR="00B9464F">
        <w:rPr>
          <w:rFonts w:eastAsiaTheme="minorEastAsia"/>
        </w:rPr>
        <w:t>.</w:t>
      </w:r>
      <w:r w:rsidR="001E0BEE">
        <w:rPr>
          <w:rFonts w:eastAsiaTheme="minorEastAsia"/>
        </w:rPr>
        <w:t xml:space="preserve"> That means, at </w:t>
      </w:r>
      <w:r w:rsidR="001E0BEE">
        <w:rPr>
          <w:rFonts w:eastAsiaTheme="minorEastAsia"/>
        </w:rPr>
        <w:lastRenderedPageBreak/>
        <w:t xml:space="preserve">that time step, deposition from the vapor phase has slightly exceeded the ability of the quasiliquid to </w:t>
      </w:r>
      <w:r w:rsidR="001E0BEE" w:rsidRPr="001E0BEE">
        <w:rPr>
          <w:rFonts w:eastAsiaTheme="minorEastAsia"/>
          <w:b/>
          <w:bCs/>
        </w:rPr>
        <w:t>freeze</w:t>
      </w:r>
      <w:r w:rsidR="001E0BEE">
        <w:rPr>
          <w:rFonts w:eastAsiaTheme="minorEastAsia"/>
        </w:rPr>
        <w:t xml:space="preserve"> or </w:t>
      </w:r>
      <w:r w:rsidR="001E0BEE" w:rsidRPr="001E0BEE">
        <w:rPr>
          <w:rFonts w:eastAsiaTheme="minorEastAsia"/>
          <w:b/>
          <w:bCs/>
        </w:rPr>
        <w:t>diffuse away</w:t>
      </w:r>
      <w:r w:rsidR="001E0BEE">
        <w:rPr>
          <w:rFonts w:eastAsiaTheme="minorEastAsia"/>
        </w:rPr>
        <w:t xml:space="preserve">. </w:t>
      </w:r>
    </w:p>
    <w:p w:rsidR="001E0BEE" w:rsidRDefault="001E0BEE">
      <w:pPr>
        <w:rPr>
          <w:rFonts w:eastAsiaTheme="minorEastAsia"/>
        </w:rPr>
      </w:pPr>
    </w:p>
    <w:p w:rsidR="0019129C" w:rsidRDefault="001E0BEE">
      <w:pPr>
        <w:rPr>
          <w:rFonts w:eastAsiaTheme="minorEastAsia"/>
        </w:rPr>
      </w:pPr>
      <w:r>
        <w:rPr>
          <w:rFonts w:eastAsiaTheme="minorEastAsia"/>
        </w:rPr>
        <w:t xml:space="preserve">The latter point can be confirmed by setting the diffusion coefficient to a smaller value: if we lower it to </w:t>
      </w:r>
      <m:oMath>
        <m:r>
          <w:rPr>
            <w:rFonts w:ascii="Cambria Math" w:eastAsiaTheme="minorEastAsia" w:hAnsi="Cambria Math"/>
          </w:rPr>
          <m:t>D=0.000200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μs</m:t>
            </m:r>
          </m:den>
        </m:f>
      </m:oMath>
      <w:r>
        <w:rPr>
          <w:rFonts w:eastAsiaTheme="minorEastAsia"/>
        </w:rPr>
        <w:t xml:space="preserve"> (from the baseline </w:t>
      </w:r>
      <m:oMath>
        <m:r>
          <w:rPr>
            <w:rFonts w:ascii="Cambria Math" w:eastAsiaTheme="minorEastAsia" w:hAnsi="Cambria Math"/>
          </w:rPr>
          <m:t>D=0.000</m:t>
        </m:r>
        <m:r>
          <w:rPr>
            <w:rFonts w:ascii="Cambria Math" w:eastAsiaTheme="minorEastAsia" w:hAnsi="Cambria Math"/>
          </w:rPr>
          <m:t>365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μs</m:t>
            </m:r>
          </m:den>
        </m:f>
      </m:oMath>
      <w:r>
        <w:rPr>
          <w:rFonts w:eastAsiaTheme="minorEastAsia"/>
        </w:rPr>
        <w:t xml:space="preserve">), </w:t>
      </w:r>
      <w:r w:rsidRPr="001E0BEE">
        <w:rPr>
          <w:rFonts w:eastAsiaTheme="minorEastAsia"/>
          <w:b/>
          <w:bCs/>
        </w:rPr>
        <w:t>the</w:t>
      </w:r>
      <w:r>
        <w:rPr>
          <w:rFonts w:eastAsiaTheme="minorEastAsia"/>
        </w:rPr>
        <w:t xml:space="preserve"> </w:t>
      </w:r>
      <w:r w:rsidRPr="001E0BEE">
        <w:rPr>
          <w:rFonts w:eastAsiaTheme="minorEastAsia"/>
          <w:b/>
          <w:bCs/>
        </w:rPr>
        <w:t>instability goes away</w:t>
      </w:r>
      <w:r>
        <w:rPr>
          <w:rFonts w:eastAsiaTheme="minorEastAsia"/>
        </w:rPr>
        <w:t>.</w:t>
      </w:r>
    </w:p>
    <w:p w:rsidR="004F40F3" w:rsidRDefault="004F40F3">
      <w:pPr>
        <w:rPr>
          <w:rFonts w:eastAsiaTheme="minorEastAsia"/>
        </w:rPr>
      </w:pPr>
    </w:p>
    <w:p w:rsidR="004F40F3" w:rsidRDefault="004F40F3">
      <w:pPr>
        <w:rPr>
          <w:rFonts w:eastAsiaTheme="minorEastAsia"/>
        </w:rPr>
      </w:pPr>
      <w:r>
        <w:rPr>
          <w:rFonts w:eastAsiaTheme="minorEastAsia"/>
        </w:rPr>
        <w:t xml:space="preserve">If this thinking is correct, then we can </w:t>
      </w:r>
      <w:r w:rsidR="00252577">
        <w:rPr>
          <w:rFonts w:eastAsiaTheme="minorEastAsia"/>
        </w:rPr>
        <w:t>predict</w:t>
      </w:r>
      <w:r>
        <w:rPr>
          <w:rFonts w:eastAsiaTheme="minorEastAsia"/>
        </w:rPr>
        <w:t xml:space="preserve"> that instability is caused by:</w:t>
      </w:r>
    </w:p>
    <w:p w:rsidR="004F40F3" w:rsidRDefault="004F40F3">
      <w:pPr>
        <w:rPr>
          <w:rFonts w:eastAsiaTheme="minorEastAsia"/>
        </w:rPr>
      </w:pPr>
    </w:p>
    <w:p w:rsidR="004F40F3" w:rsidRPr="004F40F3" w:rsidRDefault="004F40F3" w:rsidP="004F40F3">
      <w:pPr>
        <w:pStyle w:val="ListParagraph"/>
        <w:numPr>
          <w:ilvl w:val="0"/>
          <w:numId w:val="2"/>
        </w:numPr>
      </w:pPr>
      <w:r>
        <w:t xml:space="preserve">Low </w:t>
      </w:r>
      <m:oMath>
        <m:r>
          <w:rPr>
            <w:rFonts w:ascii="Cambria Math" w:eastAsiaTheme="minorEastAsia" w:hAnsi="Cambria Math"/>
          </w:rPr>
          <m:t>D</m:t>
        </m:r>
      </m:oMath>
    </w:p>
    <w:p w:rsidR="004F40F3" w:rsidRPr="004F40F3" w:rsidRDefault="004F40F3" w:rsidP="004F40F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High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</m:oMath>
    </w:p>
    <w:p w:rsidR="004F40F3" w:rsidRPr="004F40F3" w:rsidRDefault="004F40F3" w:rsidP="004F40F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Low </w:t>
      </w:r>
      <m:oMath>
        <m:r>
          <w:rPr>
            <w:rFonts w:ascii="Cambria Math" w:eastAsiaTheme="minorEastAsia" w:hAnsi="Cambria Math"/>
          </w:rPr>
          <m:t>τ</m:t>
        </m:r>
      </m:oMath>
    </w:p>
    <w:p w:rsidR="004F40F3" w:rsidRPr="0019129C" w:rsidRDefault="004F40F3" w:rsidP="004F40F3">
      <w:pPr>
        <w:pStyle w:val="ListParagraph"/>
      </w:pPr>
    </w:p>
    <w:sectPr w:rsidR="004F40F3" w:rsidRPr="0019129C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3B56C0"/>
    <w:multiLevelType w:val="hybridMultilevel"/>
    <w:tmpl w:val="88E4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711629">
    <w:abstractNumId w:val="0"/>
  </w:num>
  <w:num w:numId="2" w16cid:durableId="659238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CE"/>
    <w:rsid w:val="0019129C"/>
    <w:rsid w:val="001E0BEE"/>
    <w:rsid w:val="00252577"/>
    <w:rsid w:val="002B6906"/>
    <w:rsid w:val="003066CE"/>
    <w:rsid w:val="004B79D2"/>
    <w:rsid w:val="004F40F3"/>
    <w:rsid w:val="0052160E"/>
    <w:rsid w:val="00573529"/>
    <w:rsid w:val="00752948"/>
    <w:rsid w:val="00924684"/>
    <w:rsid w:val="00B9464F"/>
    <w:rsid w:val="00D933FD"/>
    <w:rsid w:val="00E37105"/>
    <w:rsid w:val="00F7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5DF6"/>
  <w15:chartTrackingRefBased/>
  <w15:docId w15:val="{F32BD37E-D10F-CB42-B364-CCC54526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9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129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9129C"/>
    <w:rPr>
      <w:color w:val="666666"/>
    </w:rPr>
  </w:style>
  <w:style w:type="paragraph" w:styleId="ListParagraph">
    <w:name w:val="List Paragraph"/>
    <w:basedOn w:val="Normal"/>
    <w:uiPriority w:val="34"/>
    <w:qFormat/>
    <w:rsid w:val="004F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7</cp:revision>
  <dcterms:created xsi:type="dcterms:W3CDTF">2024-03-26T15:11:00Z</dcterms:created>
  <dcterms:modified xsi:type="dcterms:W3CDTF">2024-03-26T17:09:00Z</dcterms:modified>
</cp:coreProperties>
</file>