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0C3" w:rsidRDefault="00CC5162">
      <w:r>
        <w:t>I think that diffusive slowdown -- which allows steady-state</w:t>
      </w:r>
      <w:r w:rsidR="00F400C3">
        <w:t xml:space="preserve"> profiles</w:t>
      </w:r>
      <w:r>
        <w:t xml:space="preserve"> to </w:t>
      </w:r>
      <w:r w:rsidR="00F400C3">
        <w:t>occur</w:t>
      </w:r>
      <w:r>
        <w:t xml:space="preserve"> – is </w:t>
      </w:r>
      <w:r w:rsidR="00E253C5">
        <w:t>controlled</w:t>
      </w:r>
      <w:r>
        <w:t xml:space="preserve"> by</w:t>
      </w:r>
      <w:r w:rsidR="00E253C5">
        <w:t xml:space="preserve"> the ratio of the rate of ice/QLL equilibration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equil</m:t>
            </m:r>
          </m:sub>
        </m:sSub>
      </m:oMath>
      <w:r w:rsidR="00E253C5">
        <w:t>) to the rate of diffusion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E253C5">
        <w:t>):</w:t>
      </w:r>
    </w:p>
    <w:p w:rsidR="00F400C3" w:rsidRDefault="00F400C3"/>
    <w:p w:rsidR="003437C7" w:rsidRDefault="00000000" w:rsidP="003437C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steps</m:t>
            </m:r>
          </m:sub>
        </m:sSub>
        <m:r>
          <w:rPr>
            <w:rFonts w:ascii="Cambria Math" w:hAnsi="Cambria Math"/>
          </w:rPr>
          <m:t xml:space="preserve"> 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equil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dif</m:t>
                </m:r>
              </m:sub>
            </m:sSub>
          </m:den>
        </m:f>
      </m:oMath>
      <w:r w:rsidR="003437C7" w:rsidRPr="003437C7">
        <w:rPr>
          <w:rFonts w:eastAsiaTheme="minorEastAsia"/>
        </w:rPr>
        <w:t xml:space="preserve"> </w:t>
      </w:r>
      <w:r w:rsidR="003437C7">
        <w:rPr>
          <w:rFonts w:eastAsiaTheme="minorEastAsia"/>
        </w:rPr>
        <w:tab/>
        <w:t>(at steady state)</w:t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  <w:t>(1)</w:t>
      </w:r>
    </w:p>
    <w:p w:rsidR="003437C7" w:rsidRDefault="003437C7" w:rsidP="003437C7"/>
    <w:p w:rsidR="00594D68" w:rsidRDefault="00594D68" w:rsidP="003437C7">
      <w:r>
        <w:t xml:space="preserve">or </w:t>
      </w:r>
    </w:p>
    <w:p w:rsidR="00594D68" w:rsidRDefault="00594D68" w:rsidP="003437C7"/>
    <w:p w:rsidR="00594D68" w:rsidRDefault="00594D68" w:rsidP="00594D68">
      <w:pPr>
        <w:jc w:val="right"/>
      </w:pPr>
      <m:oMath>
        <m:r>
          <w:rPr>
            <w:rFonts w:ascii="Cambria Math" w:eastAsiaTheme="minorEastAsia" w:hAnsi="Cambria Math"/>
          </w:rPr>
          <m:t>λ 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dif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equil</m:t>
                </m:r>
              </m:sub>
            </m:sSub>
          </m:den>
        </m:f>
      </m:oMath>
      <w:r w:rsidRPr="003437C7">
        <w:rPr>
          <w:rFonts w:eastAsiaTheme="minorEastAsia"/>
        </w:rPr>
        <w:t xml:space="preserve"> </w:t>
      </w:r>
      <w:r>
        <w:rPr>
          <w:rFonts w:eastAsiaTheme="minorEastAsia"/>
        </w:rPr>
        <w:tab/>
        <w:t>(at steady state)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594D68" w:rsidRDefault="00594D68" w:rsidP="003437C7"/>
    <w:p w:rsidR="00AD231F" w:rsidRPr="00AD231F" w:rsidRDefault="00AD231F" w:rsidP="003437C7">
      <w:pPr>
        <w:rPr>
          <w:b/>
          <w:bCs/>
        </w:rPr>
      </w:pPr>
      <w:r w:rsidRPr="00AD231F">
        <w:rPr>
          <w:b/>
          <w:bCs/>
        </w:rPr>
        <w:t>The 2-variable system</w:t>
      </w:r>
    </w:p>
    <w:p w:rsidR="00594D68" w:rsidRDefault="005B533F" w:rsidP="003437C7">
      <w:pPr>
        <w:rPr>
          <w:rFonts w:eastAsiaTheme="minorEastAsia"/>
        </w:rPr>
      </w:pPr>
      <w:r>
        <w:t>Let’s c</w:t>
      </w:r>
      <w:r w:rsidR="00030157">
        <w:t>onsider first the original, 2-variable system</w:t>
      </w:r>
      <w:r>
        <w:t>. We know that</w:t>
      </w:r>
      <w:r w:rsidR="00030157">
        <w:t xml:space="preserve"> a</w:t>
      </w:r>
      <w:r w:rsidR="003437C7">
        <w:t xml:space="preserve"> small diffusion coefficient </w:t>
      </w:r>
      <m:oMath>
        <m:r>
          <w:rPr>
            <w:rFonts w:ascii="Cambria Math" w:hAnsi="Cambria Math"/>
          </w:rPr>
          <m:t>D</m:t>
        </m:r>
      </m:oMath>
      <w:r w:rsidR="003437C7">
        <w:rPr>
          <w:rFonts w:eastAsiaTheme="minorEastAsia"/>
        </w:rPr>
        <w:t xml:space="preserve"> tends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3437C7">
        <w:rPr>
          <w:rFonts w:eastAsiaTheme="minorEastAsia"/>
          <w:b/>
          <w:bCs/>
        </w:rPr>
        <w:t xml:space="preserve"> </w:t>
      </w:r>
      <w:r w:rsidR="003437C7">
        <w:rPr>
          <w:rFonts w:eastAsiaTheme="minorEastAsia"/>
        </w:rPr>
        <w:t>small</w:t>
      </w:r>
      <w:r>
        <w:rPr>
          <w:rFonts w:eastAsiaTheme="minorEastAsia"/>
        </w:rPr>
        <w:t xml:space="preserve">. </w:t>
      </w:r>
      <w:r w:rsidR="00594D68">
        <w:rPr>
          <w:rFonts w:eastAsiaTheme="minorEastAsia"/>
        </w:rPr>
        <w:t>That</w:t>
      </w:r>
      <w:r>
        <w:rPr>
          <w:rFonts w:eastAsiaTheme="minorEastAsia"/>
        </w:rPr>
        <w:t xml:space="preserve"> </w:t>
      </w:r>
      <w:r w:rsidR="003437C7">
        <w:rPr>
          <w:rFonts w:eastAsiaTheme="minorEastAsia"/>
        </w:rPr>
        <w:t>leads to steady-state profiles with more steps (“steeper steady-state profiles”)</w:t>
      </w:r>
      <w:r w:rsidR="00594D68">
        <w:rPr>
          <w:rFonts w:eastAsiaTheme="minorEastAsia"/>
        </w:rPr>
        <w:t xml:space="preserve">, or equivalently, smaller </w:t>
      </w:r>
      <m:oMath>
        <m:r>
          <w:rPr>
            <w:rFonts w:ascii="Cambria Math" w:eastAsiaTheme="minorEastAsia" w:hAnsi="Cambria Math"/>
          </w:rPr>
          <m:t>λ</m:t>
        </m:r>
      </m:oMath>
      <w:r w:rsidR="00594D68">
        <w:rPr>
          <w:rFonts w:eastAsiaTheme="minorEastAsia"/>
        </w:rPr>
        <w:t xml:space="preserve">. </w:t>
      </w:r>
      <w:r w:rsidR="003437C7">
        <w:rPr>
          <w:rFonts w:eastAsiaTheme="minorEastAsia"/>
        </w:rPr>
        <w:t xml:space="preserve">For example, </w:t>
      </w:r>
      <w:r w:rsidR="00901A17">
        <w:rPr>
          <w:rFonts w:eastAsiaTheme="minorEastAsia"/>
        </w:rPr>
        <w:t>the simulation shown in</w:t>
      </w:r>
      <w:r w:rsidR="00A24526">
        <w:rPr>
          <w:rFonts w:eastAsiaTheme="minorEastAsia"/>
        </w:rPr>
        <w:t xml:space="preserve"> the top panel of</w:t>
      </w:r>
      <w:r w:rsidR="00901A17">
        <w:rPr>
          <w:rFonts w:eastAsiaTheme="minorEastAsia"/>
        </w:rPr>
        <w:t xml:space="preserve"> </w:t>
      </w:r>
      <w:r w:rsidR="00594D68">
        <w:rPr>
          <w:rFonts w:eastAsiaTheme="minorEastAsia"/>
        </w:rPr>
        <w:t>Fig. 1,</w:t>
      </w:r>
      <w:r w:rsidR="00901A17">
        <w:rPr>
          <w:rFonts w:eastAsiaTheme="minorEastAsia"/>
        </w:rPr>
        <w:t xml:space="preserve"> employing a small diffusion coefficient (hence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901A17" w:rsidRPr="00901A17">
        <w:rPr>
          <w:rFonts w:eastAsiaTheme="minorEastAsia"/>
        </w:rPr>
        <w:t>)</w:t>
      </w:r>
      <w:r w:rsidR="00901A17">
        <w:rPr>
          <w:rFonts w:eastAsiaTheme="minorEastAsia"/>
        </w:rPr>
        <w:t xml:space="preserve"> is characterized by</w:t>
      </w:r>
      <w:r w:rsidR="003437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λ≈15 μm</m:t>
        </m:r>
      </m:oMath>
      <w:r w:rsidR="000B63F0">
        <w:rPr>
          <w:rFonts w:eastAsiaTheme="minorEastAsia"/>
        </w:rPr>
        <w:t xml:space="preserve">. By contrast, the simulation shown in </w:t>
      </w:r>
      <w:r w:rsidR="00A24526">
        <w:rPr>
          <w:rFonts w:eastAsiaTheme="minorEastAsia"/>
        </w:rPr>
        <w:t>the bottom panel,</w:t>
      </w:r>
      <w:r w:rsidR="000B63F0">
        <w:rPr>
          <w:rFonts w:eastAsiaTheme="minorEastAsia"/>
        </w:rPr>
        <w:t xml:space="preserve"> employing a larger diffusion coefficient (hence bigger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0B63F0" w:rsidRPr="00901A17">
        <w:rPr>
          <w:rFonts w:eastAsiaTheme="minorEastAsia"/>
        </w:rPr>
        <w:t>)</w:t>
      </w:r>
      <w:r w:rsidR="000B63F0">
        <w:rPr>
          <w:rFonts w:eastAsiaTheme="minorEastAsia"/>
        </w:rPr>
        <w:t xml:space="preserve">, is characterized by </w:t>
      </w:r>
      <m:oMath>
        <m:r>
          <w:rPr>
            <w:rFonts w:ascii="Cambria Math" w:eastAsiaTheme="minorEastAsia" w:hAnsi="Cambria Math"/>
          </w:rPr>
          <m:t>λ≈40 μm</m:t>
        </m:r>
      </m:oMath>
      <w:r w:rsidR="000B63F0">
        <w:rPr>
          <w:rFonts w:eastAsiaTheme="minorEastAsia"/>
        </w:rPr>
        <w:t xml:space="preserve">. </w:t>
      </w:r>
    </w:p>
    <w:p w:rsidR="00594D68" w:rsidRDefault="00594D68" w:rsidP="003437C7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4D68" w:rsidTr="008D44A8">
        <w:trPr>
          <w:cantSplit/>
        </w:trPr>
        <w:tc>
          <w:tcPr>
            <w:tcW w:w="4675" w:type="dxa"/>
            <w:vAlign w:val="center"/>
          </w:tcPr>
          <w:p w:rsidR="00594D68" w:rsidRDefault="00594D68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2F2BB2A" wp14:editId="45030E37">
                  <wp:extent cx="2445806" cy="1834355"/>
                  <wp:effectExtent l="0" t="0" r="5715" b="0"/>
                  <wp:docPr id="8050811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315" cy="1855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94D68" w:rsidRDefault="00594D68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1452EF2" wp14:editId="7626C105">
                  <wp:extent cx="2409083" cy="1806812"/>
                  <wp:effectExtent l="0" t="0" r="4445" b="0"/>
                  <wp:docPr id="6470600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922" cy="182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526" w:rsidTr="008D44A8">
        <w:trPr>
          <w:cantSplit/>
        </w:trPr>
        <w:tc>
          <w:tcPr>
            <w:tcW w:w="4675" w:type="dxa"/>
            <w:vAlign w:val="center"/>
          </w:tcPr>
          <w:p w:rsidR="00A24526" w:rsidRDefault="00A24526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C365FDD" wp14:editId="4D08AB4D">
                  <wp:extent cx="2324620" cy="1743465"/>
                  <wp:effectExtent l="0" t="0" r="0" b="0"/>
                  <wp:docPr id="5843061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55" cy="17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24526" w:rsidRDefault="00A24526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0A09923" wp14:editId="0C1FD0B3">
                  <wp:extent cx="2241588" cy="1653826"/>
                  <wp:effectExtent l="0" t="0" r="0" b="0"/>
                  <wp:docPr id="15113624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435" cy="167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A17" w:rsidTr="008D44A8">
        <w:trPr>
          <w:cantSplit/>
        </w:trPr>
        <w:tc>
          <w:tcPr>
            <w:tcW w:w="9350" w:type="dxa"/>
            <w:gridSpan w:val="2"/>
          </w:tcPr>
          <w:p w:rsidR="00901A17" w:rsidRPr="00CA541B" w:rsidRDefault="00901A17" w:rsidP="008D44A8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1</w:t>
            </w:r>
            <w:r>
              <w:t xml:space="preserve">. </w:t>
            </w:r>
            <w:r w:rsidR="000B63F0">
              <w:t>The</w:t>
            </w:r>
            <w:r>
              <w:t xml:space="preserve"> </w:t>
            </w:r>
            <w:r w:rsidR="000B63F0">
              <w:t>2</w:t>
            </w:r>
            <w:r>
              <w:t xml:space="preserve">-variable formulation </w:t>
            </w:r>
            <w:r>
              <w:rPr>
                <w:rFonts w:eastAsiaTheme="minorEastAsia"/>
              </w:rPr>
              <w:t xml:space="preserve">using LSODA, using </w:t>
            </w:r>
            <m:oMath>
              <m:r>
                <w:rPr>
                  <w:rFonts w:ascii="Cambria Math" w:hAnsi="Cambria Math"/>
                </w:rPr>
                <m:t>D=2×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μs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A24526">
              <w:rPr>
                <w:rFonts w:eastAsiaTheme="minorEastAsia"/>
              </w:rPr>
              <w:t xml:space="preserve">(top panel) and </w:t>
            </w:r>
            <m:oMath>
              <m:r>
                <w:rPr>
                  <w:rFonts w:ascii="Cambria Math" w:hAnsi="Cambria Math"/>
                </w:rPr>
                <m:t>D=1.6×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μs</m:t>
                  </m:r>
                </m:den>
              </m:f>
            </m:oMath>
            <w:r w:rsidR="00A24526">
              <w:rPr>
                <w:rFonts w:eastAsiaTheme="minorEastAsia"/>
              </w:rPr>
              <w:t xml:space="preserve"> (bottom).</w:t>
            </w:r>
            <w:r>
              <w:rPr>
                <w:rFonts w:eastAsiaTheme="minorEastAsia"/>
              </w:rPr>
              <w:t xml:space="preserve"> </w:t>
            </w:r>
            <w:r w:rsidR="000B63F0">
              <w:rPr>
                <w:rFonts w:eastAsiaTheme="minorEastAsia"/>
              </w:rPr>
              <w:t>Taken from Fig</w:t>
            </w:r>
            <w:r w:rsidR="00A24526">
              <w:rPr>
                <w:rFonts w:eastAsiaTheme="minorEastAsia"/>
              </w:rPr>
              <w:t>s</w:t>
            </w:r>
            <w:r w:rsidR="000B63F0">
              <w:rPr>
                <w:rFonts w:eastAsiaTheme="minorEastAsia"/>
              </w:rPr>
              <w:t>. 1</w:t>
            </w:r>
            <w:r w:rsidR="00A24526">
              <w:rPr>
                <w:rFonts w:eastAsiaTheme="minorEastAsia"/>
              </w:rPr>
              <w:t xml:space="preserve"> and 2</w:t>
            </w:r>
            <w:r w:rsidR="000B63F0">
              <w:rPr>
                <w:rFonts w:eastAsiaTheme="minorEastAsia"/>
              </w:rPr>
              <w:t xml:space="preserve"> of </w:t>
            </w:r>
            <w:r w:rsidR="000B63F0" w:rsidRPr="00D96074">
              <w:rPr>
                <w:rFonts w:eastAsiaTheme="minorEastAsia"/>
                <w:i/>
                <w:iCs/>
              </w:rPr>
              <w:t>Neshyba Notes, 23 June</w:t>
            </w:r>
            <w:r w:rsidR="000B63F0">
              <w:rPr>
                <w:rFonts w:eastAsiaTheme="minorEastAsia"/>
              </w:rPr>
              <w:t>.</w:t>
            </w:r>
          </w:p>
        </w:tc>
      </w:tr>
    </w:tbl>
    <w:p w:rsidR="001C1D91" w:rsidRDefault="001C1D91" w:rsidP="001C1D91">
      <w:pPr>
        <w:rPr>
          <w:rFonts w:eastAsiaTheme="minorEastAsia"/>
        </w:rPr>
      </w:pPr>
    </w:p>
    <w:p w:rsidR="000B63F0" w:rsidRDefault="000B63F0" w:rsidP="000B63F0">
      <w:r>
        <w:rPr>
          <w:rFonts w:eastAsiaTheme="minorEastAsia"/>
        </w:rPr>
        <w:t xml:space="preserve">Both parameterizations </w:t>
      </w:r>
      <w:r>
        <w:t xml:space="preserve">exhibit an oscillating, </w:t>
      </w:r>
      <w:r>
        <w:rPr>
          <w:rFonts w:eastAsiaTheme="minorEastAsia"/>
        </w:rPr>
        <w:t>“</w:t>
      </w:r>
      <w:r>
        <w:t>V/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” pattern, in which an initial “V” profile evolves into a 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>” profile, and back</w:t>
      </w:r>
      <w:r>
        <w:t xml:space="preserve">. </w:t>
      </w:r>
    </w:p>
    <w:p w:rsidR="00AD231F" w:rsidRPr="00AD231F" w:rsidRDefault="00AD231F" w:rsidP="00AD231F">
      <w:pPr>
        <w:rPr>
          <w:b/>
          <w:bCs/>
        </w:rPr>
      </w:pPr>
      <w:r>
        <w:rPr>
          <w:b/>
          <w:bCs/>
        </w:rPr>
        <w:lastRenderedPageBreak/>
        <w:t xml:space="preserve">Comparison of 1-variable </w:t>
      </w:r>
      <w:r w:rsidR="000B63F0">
        <w:rPr>
          <w:b/>
          <w:bCs/>
        </w:rPr>
        <w:t>and</w:t>
      </w:r>
      <w:r>
        <w:rPr>
          <w:b/>
          <w:bCs/>
        </w:rPr>
        <w:t xml:space="preserve"> </w:t>
      </w:r>
      <w:r w:rsidR="00FC4FB9">
        <w:rPr>
          <w:b/>
          <w:bCs/>
        </w:rPr>
        <w:t>2</w:t>
      </w:r>
      <w:r w:rsidRPr="00AD231F">
        <w:rPr>
          <w:b/>
          <w:bCs/>
        </w:rPr>
        <w:t xml:space="preserve">-variable </w:t>
      </w:r>
      <w:r w:rsidR="000B63F0">
        <w:rPr>
          <w:b/>
          <w:bCs/>
        </w:rPr>
        <w:t>formulations</w:t>
      </w:r>
    </w:p>
    <w:p w:rsidR="00AD231F" w:rsidRDefault="00F65A4C">
      <w:pPr>
        <w:rPr>
          <w:rFonts w:eastAsiaTheme="minorEastAsia"/>
        </w:rPr>
      </w:pPr>
      <w:r>
        <w:t xml:space="preserve">In Ella’s 1-variable system, </w:t>
      </w:r>
      <w:r w:rsidRPr="008E6524">
        <w:rPr>
          <w:b/>
          <w:bCs/>
        </w:rPr>
        <w:t>equilibration is</w:t>
      </w:r>
      <w:r w:rsidR="00E04076">
        <w:rPr>
          <w:b/>
          <w:bCs/>
        </w:rPr>
        <w:t xml:space="preserve"> </w:t>
      </w:r>
      <w:r w:rsidR="00E82F2D" w:rsidRPr="008E6524">
        <w:rPr>
          <w:b/>
          <w:bCs/>
        </w:rPr>
        <w:t>accelerated</w:t>
      </w:r>
      <w:r w:rsidRPr="008E6524">
        <w:rPr>
          <w:b/>
          <w:bCs/>
        </w:rPr>
        <w:t xml:space="preserve"> compared to diffusion</w:t>
      </w:r>
      <w:r w:rsidR="005B0A0F">
        <w:t>, because</w:t>
      </w:r>
      <w:r w:rsidR="00E04076">
        <w:t xml:space="preserve"> </w:t>
      </w:r>
      <w:r w:rsidR="005B0A0F">
        <w:t xml:space="preserve">that equilibration is built in. </w:t>
      </w:r>
      <w:r w:rsidR="00AD231F">
        <w:rPr>
          <w:rFonts w:eastAsiaTheme="minorEastAsia"/>
        </w:rPr>
        <w:t xml:space="preserve">According to </w:t>
      </w:r>
      <w:r w:rsidR="00E04076">
        <w:rPr>
          <w:rFonts w:eastAsiaTheme="minorEastAsia"/>
        </w:rPr>
        <w:t xml:space="preserve">Eq. </w:t>
      </w:r>
      <w:r w:rsidR="000B63F0">
        <w:rPr>
          <w:rFonts w:eastAsiaTheme="minorEastAsia"/>
        </w:rPr>
        <w:t>2</w:t>
      </w:r>
      <w:r w:rsidR="00E04076">
        <w:rPr>
          <w:rFonts w:eastAsiaTheme="minorEastAsia"/>
        </w:rPr>
        <w:t>,</w:t>
      </w:r>
      <w:r w:rsidR="00AD231F">
        <w:rPr>
          <w:rFonts w:eastAsiaTheme="minorEastAsia"/>
        </w:rPr>
        <w:t xml:space="preserve"> this should lead to </w:t>
      </w:r>
      <w:r w:rsidR="00016CA9">
        <w:rPr>
          <w:rFonts w:eastAsiaTheme="minorEastAsia"/>
        </w:rPr>
        <w:t>smaller</w:t>
      </w:r>
      <w:r w:rsidR="00AD23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AD231F">
        <w:rPr>
          <w:rFonts w:eastAsiaTheme="minorEastAsia"/>
        </w:rPr>
        <w:t xml:space="preserve"> at steady state. </w:t>
      </w:r>
      <w:r w:rsidR="005B0A0F">
        <w:rPr>
          <w:rFonts w:eastAsiaTheme="minorEastAsia"/>
        </w:rPr>
        <w:t>Comparisons are shown in</w:t>
      </w:r>
      <w:r w:rsidR="003D1E31">
        <w:rPr>
          <w:rFonts w:eastAsiaTheme="minorEastAsia"/>
        </w:rPr>
        <w:t xml:space="preserve"> </w:t>
      </w:r>
      <w:r w:rsidR="00EF6C83">
        <w:rPr>
          <w:rFonts w:eastAsiaTheme="minorEastAsia"/>
        </w:rPr>
        <w:t xml:space="preserve">Fig. </w:t>
      </w:r>
      <w:r w:rsidR="00A24526">
        <w:rPr>
          <w:rFonts w:eastAsiaTheme="minorEastAsia"/>
        </w:rPr>
        <w:t>2</w:t>
      </w:r>
      <w:r w:rsidR="00016CA9">
        <w:rPr>
          <w:rFonts w:eastAsiaTheme="minorEastAsia"/>
        </w:rPr>
        <w:t xml:space="preserve">. </w:t>
      </w:r>
      <w:r w:rsidR="005B0A0F">
        <w:rPr>
          <w:rFonts w:eastAsiaTheme="minorEastAsia"/>
        </w:rPr>
        <w:t xml:space="preserve">The 2-variable formulation is characterized by </w:t>
      </w:r>
      <m:oMath>
        <m:r>
          <w:rPr>
            <w:rFonts w:ascii="Cambria Math" w:eastAsiaTheme="minorEastAsia" w:hAnsi="Cambria Math"/>
          </w:rPr>
          <m:t>λ≈40 μm</m:t>
        </m:r>
      </m:oMath>
      <w:r w:rsidR="005B0A0F">
        <w:rPr>
          <w:rFonts w:eastAsiaTheme="minorEastAsia"/>
        </w:rPr>
        <w:t xml:space="preserve">, whereas the 1-variable formulation is characterized by </w:t>
      </w:r>
      <m:oMath>
        <m:r>
          <w:rPr>
            <w:rFonts w:ascii="Cambria Math" w:eastAsiaTheme="minorEastAsia" w:hAnsi="Cambria Math"/>
          </w:rPr>
          <m:t>λ≈5 μm</m:t>
        </m:r>
      </m:oMath>
      <w:r w:rsidR="005B0A0F">
        <w:rPr>
          <w:rFonts w:eastAsiaTheme="minorEastAsia"/>
        </w:rPr>
        <w:t xml:space="preserve"> (and shrinking).</w:t>
      </w:r>
    </w:p>
    <w:p w:rsidR="00AD231F" w:rsidRDefault="00AD231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231F" w:rsidTr="008D44A8">
        <w:trPr>
          <w:cantSplit/>
        </w:trPr>
        <w:tc>
          <w:tcPr>
            <w:tcW w:w="4675" w:type="dxa"/>
            <w:vAlign w:val="center"/>
          </w:tcPr>
          <w:p w:rsidR="00AD231F" w:rsidRDefault="00AD231F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749E11B" wp14:editId="284DA679">
                  <wp:extent cx="2438461" cy="1828846"/>
                  <wp:effectExtent l="0" t="0" r="0" b="0"/>
                  <wp:docPr id="949493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549" cy="184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231F" w:rsidRDefault="005B0A0F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4758EA5" wp14:editId="6CEE28F4">
                  <wp:extent cx="2423772" cy="1817829"/>
                  <wp:effectExtent l="0" t="0" r="2540" b="0"/>
                  <wp:docPr id="11776853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026" cy="18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31F" w:rsidTr="008D44A8">
        <w:trPr>
          <w:cantSplit/>
        </w:trPr>
        <w:tc>
          <w:tcPr>
            <w:tcW w:w="4675" w:type="dxa"/>
            <w:vAlign w:val="center"/>
          </w:tcPr>
          <w:p w:rsidR="00AD231F" w:rsidRDefault="00AD231F" w:rsidP="008D44A8">
            <w:pPr>
              <w:keepNext/>
              <w:keepLines/>
              <w:jc w:val="center"/>
              <w:rPr>
                <w:rFonts w:eastAsiaTheme="minorEastAsia"/>
              </w:rPr>
            </w:pPr>
          </w:p>
        </w:tc>
        <w:tc>
          <w:tcPr>
            <w:tcW w:w="4675" w:type="dxa"/>
            <w:vAlign w:val="center"/>
          </w:tcPr>
          <w:p w:rsidR="00AD231F" w:rsidRDefault="00AD231F" w:rsidP="008D44A8">
            <w:pPr>
              <w:keepNext/>
              <w:keepLines/>
              <w:jc w:val="center"/>
              <w:rPr>
                <w:rFonts w:eastAsiaTheme="minorEastAsia"/>
              </w:rPr>
            </w:pPr>
          </w:p>
        </w:tc>
      </w:tr>
      <w:tr w:rsidR="00AD231F" w:rsidTr="008D44A8">
        <w:trPr>
          <w:cantSplit/>
        </w:trPr>
        <w:tc>
          <w:tcPr>
            <w:tcW w:w="9350" w:type="dxa"/>
            <w:gridSpan w:val="2"/>
          </w:tcPr>
          <w:p w:rsidR="00AD231F" w:rsidRPr="00CA541B" w:rsidRDefault="00AD231F" w:rsidP="008D44A8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 w:rsidR="00A24526">
              <w:rPr>
                <w:b/>
                <w:bCs/>
              </w:rPr>
              <w:t>2</w:t>
            </w:r>
            <w:r>
              <w:t>. T</w:t>
            </w:r>
            <w:r w:rsidR="005B0A0F">
              <w:t>he 2</w:t>
            </w:r>
            <w:r>
              <w:t xml:space="preserve">-variable formulation </w:t>
            </w:r>
            <w:r>
              <w:rPr>
                <w:rFonts w:eastAsiaTheme="minorEastAsia"/>
              </w:rPr>
              <w:t>(</w:t>
            </w:r>
            <w:r w:rsidR="005B0A0F">
              <w:rPr>
                <w:rFonts w:eastAsiaTheme="minorEastAsia"/>
              </w:rPr>
              <w:t>left</w:t>
            </w:r>
            <w:r>
              <w:rPr>
                <w:rFonts w:eastAsiaTheme="minorEastAsia"/>
              </w:rPr>
              <w:t xml:space="preserve"> panel) </w:t>
            </w:r>
            <w:r w:rsidR="005B0A0F">
              <w:rPr>
                <w:rFonts w:eastAsiaTheme="minorEastAsia"/>
              </w:rPr>
              <w:t>compared to</w:t>
            </w:r>
            <w:r>
              <w:rPr>
                <w:rFonts w:eastAsiaTheme="minorEastAsia"/>
              </w:rPr>
              <w:t xml:space="preserve"> 1-variable formulation (</w:t>
            </w:r>
            <w:r w:rsidR="005B0A0F">
              <w:rPr>
                <w:rFonts w:eastAsiaTheme="minorEastAsia"/>
              </w:rPr>
              <w:t>right</w:t>
            </w:r>
            <w:r>
              <w:rPr>
                <w:rFonts w:eastAsiaTheme="minorEastAsia"/>
              </w:rPr>
              <w:t xml:space="preserve">), both using LSODA integration, and both having </w:t>
            </w:r>
            <m:oMath>
              <m:r>
                <w:rPr>
                  <w:rFonts w:ascii="Cambria Math" w:hAnsi="Cambria Math"/>
                </w:rPr>
                <m:t>D=1.6×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μs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  <w:r w:rsidR="000B63F0">
              <w:rPr>
                <w:rFonts w:eastAsiaTheme="minorEastAsia"/>
              </w:rPr>
              <w:t xml:space="preserve"> Taken from Fig. 3 of </w:t>
            </w:r>
            <w:r w:rsidR="000B63F0" w:rsidRPr="00D96074">
              <w:rPr>
                <w:rFonts w:eastAsiaTheme="minorEastAsia"/>
                <w:i/>
                <w:iCs/>
              </w:rPr>
              <w:t>Neshyba Notes, 23 June</w:t>
            </w:r>
            <w:r w:rsidR="000B63F0">
              <w:rPr>
                <w:rFonts w:eastAsiaTheme="minorEastAsia"/>
              </w:rPr>
              <w:t>.</w:t>
            </w:r>
          </w:p>
        </w:tc>
      </w:tr>
    </w:tbl>
    <w:p w:rsidR="00D96074" w:rsidRDefault="00D96074">
      <w:pPr>
        <w:rPr>
          <w:rFonts w:eastAsiaTheme="minorEastAsia"/>
        </w:rPr>
      </w:pPr>
    </w:p>
    <w:p w:rsidR="008E6524" w:rsidRDefault="000B63F0" w:rsidP="00016CA9">
      <w:pPr>
        <w:rPr>
          <w:rFonts w:eastAsiaTheme="minorEastAsia"/>
        </w:rPr>
      </w:pPr>
      <w:r>
        <w:rPr>
          <w:rFonts w:eastAsiaTheme="minorEastAsia"/>
        </w:rPr>
        <w:t>When the diffusion coefficient is increased even more</w:t>
      </w:r>
      <w:r w:rsidR="00D96074">
        <w:rPr>
          <w:rFonts w:eastAsiaTheme="minorEastAsia"/>
        </w:rPr>
        <w:t xml:space="preserve">, </w:t>
      </w:r>
      <w:r w:rsidR="00016CA9">
        <w:rPr>
          <w:rFonts w:eastAsiaTheme="minorEastAsia"/>
        </w:rPr>
        <w:t xml:space="preserve">Eq. 2 predicts that </w:t>
      </w:r>
      <m:oMath>
        <m:r>
          <w:rPr>
            <w:rFonts w:ascii="Cambria Math" w:eastAsiaTheme="minorEastAsia" w:hAnsi="Cambria Math"/>
          </w:rPr>
          <m:t>λ</m:t>
        </m:r>
      </m:oMath>
      <w:r w:rsidR="00016CA9">
        <w:rPr>
          <w:rFonts w:eastAsiaTheme="minorEastAsia"/>
        </w:rPr>
        <w:t xml:space="preserve"> should increase. Figure </w:t>
      </w:r>
      <w:r w:rsidR="00A24526">
        <w:rPr>
          <w:rFonts w:eastAsiaTheme="minorEastAsia"/>
        </w:rPr>
        <w:t>3</w:t>
      </w:r>
      <w:r w:rsidR="00016CA9">
        <w:rPr>
          <w:rFonts w:eastAsiaTheme="minorEastAsia"/>
        </w:rPr>
        <w:t xml:space="preserve"> shows </w:t>
      </w:r>
      <w:r w:rsidR="00A24526">
        <w:rPr>
          <w:rFonts w:eastAsiaTheme="minorEastAsia"/>
        </w:rPr>
        <w:t>that when the</w:t>
      </w:r>
      <w:r w:rsidR="00016CA9">
        <w:rPr>
          <w:rFonts w:eastAsiaTheme="minorEastAsia"/>
        </w:rPr>
        <w:t xml:space="preserve"> diffusion coefficient is increased by about an order of magnitude over the results shown in Fig. </w:t>
      </w:r>
      <w:r w:rsidR="00A24526">
        <w:rPr>
          <w:rFonts w:eastAsiaTheme="minorEastAsia"/>
        </w:rPr>
        <w:t>2</w:t>
      </w:r>
      <w:r w:rsidR="00016CA9">
        <w:rPr>
          <w:rFonts w:eastAsiaTheme="minorEastAsia"/>
        </w:rPr>
        <w:t xml:space="preserve">, the wavelength increases to </w:t>
      </w:r>
      <m:oMath>
        <m:r>
          <w:rPr>
            <w:rFonts w:ascii="Cambria Math" w:eastAsiaTheme="minorEastAsia" w:hAnsi="Cambria Math"/>
          </w:rPr>
          <m:t>λ≈9 μm</m:t>
        </m:r>
      </m:oMath>
      <w:r w:rsidR="00016CA9">
        <w:rPr>
          <w:rFonts w:eastAsiaTheme="minorEastAsia"/>
        </w:rPr>
        <w:t xml:space="preserve">. In this case, the steady state </w:t>
      </w:r>
      <w:r w:rsidR="00330BDE">
        <w:rPr>
          <w:rFonts w:eastAsiaTheme="minorEastAsia"/>
        </w:rPr>
        <w:t xml:space="preserve">is </w:t>
      </w:r>
      <w:r w:rsidR="00016CA9">
        <w:rPr>
          <w:rFonts w:eastAsiaTheme="minorEastAsia"/>
        </w:rPr>
        <w:t xml:space="preserve">numerically </w:t>
      </w:r>
      <w:r w:rsidR="00330BDE">
        <w:rPr>
          <w:rFonts w:eastAsiaTheme="minorEastAsia"/>
        </w:rPr>
        <w:t>unstable</w:t>
      </w:r>
      <w:r w:rsidR="003B326F">
        <w:rPr>
          <w:rFonts w:eastAsiaTheme="minorEastAsia"/>
        </w:rPr>
        <w:t>, however.</w:t>
      </w:r>
      <w:r w:rsidR="00016CA9">
        <w:rPr>
          <w:rFonts w:eastAsiaTheme="minorEastAsia"/>
        </w:rPr>
        <w:t xml:space="preserve"> </w:t>
      </w:r>
    </w:p>
    <w:p w:rsidR="004B494F" w:rsidRDefault="004B494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B63F0" w:rsidTr="008D44A8">
        <w:trPr>
          <w:cantSplit/>
        </w:trPr>
        <w:tc>
          <w:tcPr>
            <w:tcW w:w="4675" w:type="dxa"/>
            <w:vAlign w:val="center"/>
          </w:tcPr>
          <w:p w:rsidR="000B63F0" w:rsidRDefault="000B63F0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BCAC33D" wp14:editId="5CB0FD4F">
                  <wp:extent cx="2629420" cy="1972065"/>
                  <wp:effectExtent l="0" t="0" r="0" b="0"/>
                  <wp:docPr id="6291401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642" cy="1988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0B63F0" w:rsidRDefault="000B63F0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CF2AD2C" wp14:editId="54EA32EC">
                  <wp:extent cx="2655065" cy="1991299"/>
                  <wp:effectExtent l="0" t="0" r="0" b="3175"/>
                  <wp:docPr id="55835200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369" cy="202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3F0" w:rsidTr="008D44A8">
        <w:trPr>
          <w:cantSplit/>
        </w:trPr>
        <w:tc>
          <w:tcPr>
            <w:tcW w:w="9350" w:type="dxa"/>
            <w:gridSpan w:val="2"/>
          </w:tcPr>
          <w:p w:rsidR="000B63F0" w:rsidRPr="00CA541B" w:rsidRDefault="000B63F0" w:rsidP="008D44A8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4</w:t>
            </w:r>
            <w:r>
              <w:t xml:space="preserve">. The 1-variable formulation </w:t>
            </w:r>
            <w:r>
              <w:rPr>
                <w:rFonts w:eastAsiaTheme="minorEastAsia"/>
              </w:rPr>
              <w:t xml:space="preserve">using DOP853, with an enhanced diffusion coefficient of </w:t>
            </w:r>
            <m:oMath>
              <m:r>
                <w:rPr>
                  <w:rFonts w:ascii="Cambria Math" w:hAnsi="Cambria Math"/>
                </w:rPr>
                <m:t>D=2×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rPr>
                <w:rFonts w:eastAsiaTheme="minorEastAsia"/>
              </w:rPr>
              <w:t xml:space="preserve">. Taken from Fig. 4 of </w:t>
            </w:r>
            <w:r w:rsidRPr="00D96074">
              <w:rPr>
                <w:rFonts w:eastAsiaTheme="minorEastAsia"/>
                <w:i/>
                <w:iCs/>
              </w:rPr>
              <w:t>Neshyba Notes, 23 June</w:t>
            </w:r>
            <w:r>
              <w:rPr>
                <w:rFonts w:eastAsiaTheme="minorEastAsia"/>
              </w:rPr>
              <w:t>.</w:t>
            </w:r>
          </w:p>
        </w:tc>
      </w:tr>
    </w:tbl>
    <w:p w:rsidR="000B63F0" w:rsidRDefault="000B63F0">
      <w:pPr>
        <w:rPr>
          <w:rFonts w:eastAsiaTheme="minorEastAsia"/>
        </w:rPr>
      </w:pPr>
    </w:p>
    <w:p w:rsidR="003B326F" w:rsidRPr="003B326F" w:rsidRDefault="003B326F">
      <w:pPr>
        <w:rPr>
          <w:rFonts w:eastAsiaTheme="minorEastAsia"/>
          <w:b/>
          <w:bCs/>
        </w:rPr>
      </w:pPr>
      <w:r w:rsidRPr="003B326F">
        <w:rPr>
          <w:rFonts w:eastAsiaTheme="minorEastAsia"/>
          <w:b/>
          <w:bCs/>
        </w:rPr>
        <w:t xml:space="preserve">Moving </w:t>
      </w:r>
      <w:proofErr w:type="spellStart"/>
      <w:r w:rsidRPr="003B326F">
        <w:rPr>
          <w:rFonts w:eastAsiaTheme="minorEastAsia"/>
          <w:b/>
          <w:bCs/>
        </w:rPr>
        <w:t>forward</w:t>
      </w:r>
      <w:proofErr w:type="spellEnd"/>
    </w:p>
    <w:p w:rsidR="004B494F" w:rsidRDefault="003B326F">
      <w:pPr>
        <w:rPr>
          <w:rFonts w:eastAsiaTheme="minorEastAsia"/>
        </w:rPr>
      </w:pPr>
      <w:r>
        <w:rPr>
          <w:rFonts w:eastAsiaTheme="minorEastAsia"/>
        </w:rPr>
        <w:t xml:space="preserve">The conclusion from the foregoing is that </w:t>
      </w:r>
      <w:r w:rsidR="004B494F">
        <w:rPr>
          <w:rFonts w:eastAsiaTheme="minorEastAsia"/>
        </w:rPr>
        <w:t>the 1-variable system</w:t>
      </w:r>
      <w:r>
        <w:rPr>
          <w:rFonts w:eastAsiaTheme="minorEastAsia"/>
        </w:rPr>
        <w:t xml:space="preserve"> produces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values that are small compared to the 2-variable system, because ice/QLL equilibration is fast</w:t>
      </w:r>
      <w:r w:rsidR="004B494F">
        <w:rPr>
          <w:rFonts w:eastAsiaTheme="minorEastAsia"/>
        </w:rPr>
        <w:t xml:space="preserve"> compared to </w:t>
      </w:r>
      <w:r>
        <w:rPr>
          <w:rFonts w:eastAsiaTheme="minorEastAsia"/>
        </w:rPr>
        <w:t>diffusion.</w:t>
      </w:r>
      <w:r w:rsidR="004B494F">
        <w:rPr>
          <w:rFonts w:eastAsiaTheme="minorEastAsia"/>
        </w:rPr>
        <w:t xml:space="preserve"> But what to do about it? </w:t>
      </w:r>
    </w:p>
    <w:p w:rsidR="00B271AA" w:rsidRDefault="00B271AA" w:rsidP="00B271AA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B271AA" w:rsidRDefault="00B271AA" w:rsidP="00B271AA">
      <w:pPr>
        <w:jc w:val="right"/>
      </w:pPr>
    </w:p>
    <w:p w:rsidR="00B8220C" w:rsidRDefault="00B8220C" w:rsidP="00B8220C">
      <w:pPr>
        <w:rPr>
          <w:rFonts w:eastAsiaTheme="minorEastAsia"/>
        </w:rPr>
      </w:pPr>
      <w:r>
        <w:rPr>
          <w:rFonts w:eastAsiaTheme="minorEastAsia"/>
        </w:rPr>
        <w:t>Here’s the original formulation:</w:t>
      </w:r>
    </w:p>
    <w:p w:rsidR="00B8220C" w:rsidRDefault="00B8220C" w:rsidP="00B271AA">
      <w:pPr>
        <w:jc w:val="right"/>
        <w:rPr>
          <w:rFonts w:eastAsiaTheme="minorEastAsia"/>
        </w:rPr>
      </w:pPr>
    </w:p>
    <w:p w:rsidR="00B271AA" w:rsidRDefault="00B271AA" w:rsidP="00B271AA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B271AA" w:rsidRDefault="00B271AA" w:rsidP="00B271AA"/>
    <w:p w:rsidR="00B8220C" w:rsidRDefault="00B8220C" w:rsidP="00B271AA">
      <w:r>
        <w:t>And here’s a possible modification:</w:t>
      </w:r>
    </w:p>
    <w:p w:rsidR="00B8220C" w:rsidRDefault="00B8220C" w:rsidP="00B271AA"/>
    <w:p w:rsidR="00B271AA" w:rsidRDefault="00B271AA" w:rsidP="00B271AA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B8220C">
        <w:rPr>
          <w:rFonts w:eastAsiaTheme="minorEastAsia"/>
        </w:rPr>
        <w:t>5</w:t>
      </w:r>
      <w:r>
        <w:rPr>
          <w:rFonts w:eastAsiaTheme="minorEastAsia"/>
        </w:rPr>
        <w:t>)</w:t>
      </w:r>
    </w:p>
    <w:p w:rsidR="00CC5162" w:rsidRPr="00CC5162" w:rsidRDefault="00CC5162"/>
    <w:sectPr w:rsidR="00CC5162" w:rsidRPr="00CC5162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C"/>
    <w:rsid w:val="00016CA9"/>
    <w:rsid w:val="00030157"/>
    <w:rsid w:val="000B63F0"/>
    <w:rsid w:val="000B7603"/>
    <w:rsid w:val="00147901"/>
    <w:rsid w:val="00191009"/>
    <w:rsid w:val="001B6AD9"/>
    <w:rsid w:val="001C1D91"/>
    <w:rsid w:val="001D241F"/>
    <w:rsid w:val="00217E93"/>
    <w:rsid w:val="002B6906"/>
    <w:rsid w:val="00330BDE"/>
    <w:rsid w:val="003437C7"/>
    <w:rsid w:val="003A601A"/>
    <w:rsid w:val="003B326F"/>
    <w:rsid w:val="003C01DD"/>
    <w:rsid w:val="003D1E31"/>
    <w:rsid w:val="003F1E07"/>
    <w:rsid w:val="004A7146"/>
    <w:rsid w:val="004B494F"/>
    <w:rsid w:val="004B79D2"/>
    <w:rsid w:val="0050061C"/>
    <w:rsid w:val="00530548"/>
    <w:rsid w:val="00594D68"/>
    <w:rsid w:val="005B0A0F"/>
    <w:rsid w:val="005B533F"/>
    <w:rsid w:val="00784F83"/>
    <w:rsid w:val="00867462"/>
    <w:rsid w:val="008E6524"/>
    <w:rsid w:val="00901A17"/>
    <w:rsid w:val="00913669"/>
    <w:rsid w:val="00924684"/>
    <w:rsid w:val="009D6080"/>
    <w:rsid w:val="00A13CCA"/>
    <w:rsid w:val="00A24526"/>
    <w:rsid w:val="00AB2DC1"/>
    <w:rsid w:val="00AD231F"/>
    <w:rsid w:val="00B271AA"/>
    <w:rsid w:val="00B8220C"/>
    <w:rsid w:val="00C52E56"/>
    <w:rsid w:val="00CC5162"/>
    <w:rsid w:val="00D27468"/>
    <w:rsid w:val="00D96074"/>
    <w:rsid w:val="00E04076"/>
    <w:rsid w:val="00E253C5"/>
    <w:rsid w:val="00E37105"/>
    <w:rsid w:val="00E82F2D"/>
    <w:rsid w:val="00EC70C1"/>
    <w:rsid w:val="00EF6C83"/>
    <w:rsid w:val="00F34AEC"/>
    <w:rsid w:val="00F400C3"/>
    <w:rsid w:val="00F52900"/>
    <w:rsid w:val="00F6129C"/>
    <w:rsid w:val="00F65A4C"/>
    <w:rsid w:val="00F72199"/>
    <w:rsid w:val="00F8775E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9F56B"/>
  <w15:chartTrackingRefBased/>
  <w15:docId w15:val="{4444B244-3BF6-0A45-8CFB-8DD67686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F400C3"/>
    <w:rPr>
      <w:color w:val="666666"/>
    </w:rPr>
  </w:style>
  <w:style w:type="table" w:styleId="TableGrid">
    <w:name w:val="Table Grid"/>
    <w:basedOn w:val="TableNormal"/>
    <w:uiPriority w:val="39"/>
    <w:rsid w:val="00594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dcterms:created xsi:type="dcterms:W3CDTF">2024-01-03T18:28:00Z</dcterms:created>
  <dcterms:modified xsi:type="dcterms:W3CDTF">2024-01-03T20:30:00Z</dcterms:modified>
</cp:coreProperties>
</file>