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2CE0" w:rsidRPr="006A2CE0" w:rsidRDefault="006A2CE0" w:rsidP="00403CF1">
      <w:pPr>
        <w:rPr>
          <w:b/>
          <w:bCs/>
        </w:rPr>
      </w:pPr>
      <w:r w:rsidRPr="006A2CE0">
        <w:rPr>
          <w:b/>
          <w:bCs/>
        </w:rPr>
        <w:t>Abstract</w:t>
      </w:r>
    </w:p>
    <w:p w:rsidR="00403CF1" w:rsidRDefault="00403CF1" w:rsidP="00403CF1">
      <w:r>
        <w:t xml:space="preserve">Existing </w:t>
      </w:r>
      <w:r w:rsidR="00B45096">
        <w:t>theor</w:t>
      </w:r>
      <w:r>
        <w:t>ies</w:t>
      </w:r>
      <w:r w:rsidR="0096545B">
        <w:t xml:space="preserve"> describing</w:t>
      </w:r>
      <w:r w:rsidR="00B31E9E">
        <w:t xml:space="preserve"> faceted growth and ablation</w:t>
      </w:r>
      <w:r w:rsidR="006A2CE0">
        <w:t xml:space="preserve"> of ice crystals</w:t>
      </w:r>
      <w:r w:rsidR="0096545B">
        <w:t xml:space="preserve"> </w:t>
      </w:r>
      <w:r>
        <w:t>have significant limitations in terms of the connection to the underlying physical processes.</w:t>
      </w:r>
      <w:r w:rsidR="0096545B">
        <w:t xml:space="preserve"> </w:t>
      </w:r>
      <w:r>
        <w:t xml:space="preserve">In filling that knowledge gap, the </w:t>
      </w:r>
      <w:r w:rsidR="00B24595">
        <w:t xml:space="preserve">present </w:t>
      </w:r>
      <w:r>
        <w:t>model provides insight</w:t>
      </w:r>
      <w:r w:rsidR="00B24595">
        <w:t>s and predictive power</w:t>
      </w:r>
      <w:r>
        <w:t xml:space="preserve"> </w:t>
      </w:r>
      <w:r w:rsidR="00B24595">
        <w:t xml:space="preserve">about faceted growth and ablation </w:t>
      </w:r>
      <w:r>
        <w:t xml:space="preserve">that </w:t>
      </w:r>
      <w:r w:rsidR="005A25CA">
        <w:t>have not been possible previously.</w:t>
      </w:r>
      <w:r>
        <w:t xml:space="preserve"> For example, the </w:t>
      </w:r>
      <w:r w:rsidR="0096545B">
        <w:t xml:space="preserve">model </w:t>
      </w:r>
      <w:r w:rsidR="00535E37">
        <w:t xml:space="preserve">exhibits Turing-like pattern behavior, in the sense that the horizontal distance between successive ice layers atop a growing facet is </w:t>
      </w:r>
      <w:r>
        <w:t>predict</w:t>
      </w:r>
      <w:r w:rsidR="00535E37">
        <w:t xml:space="preserve">ed to </w:t>
      </w:r>
      <w:r w:rsidR="00535E37">
        <w:t>will increase in proportion to the square root of the surface diffusivity</w:t>
      </w:r>
      <w:r w:rsidR="00535E37">
        <w:t xml:space="preserve">, consistent with a slight concavity observable in scanning electron images of growing </w:t>
      </w:r>
      <w:r w:rsidR="005A25CA">
        <w:t>facet</w:t>
      </w:r>
      <w:r w:rsidR="00535E37">
        <w:t>s.</w:t>
      </w:r>
    </w:p>
    <w:p w:rsidR="00116B00" w:rsidRDefault="00116B00" w:rsidP="00403CF1"/>
    <w:p w:rsidR="006A2CE0" w:rsidRPr="00565742" w:rsidRDefault="001C7B11" w:rsidP="00565742">
      <w:pPr>
        <w:pStyle w:val="ListParagraph"/>
        <w:numPr>
          <w:ilvl w:val="0"/>
          <w:numId w:val="5"/>
        </w:numPr>
        <w:rPr>
          <w:b/>
          <w:bCs/>
        </w:rPr>
      </w:pPr>
      <w:r w:rsidRPr="00565742">
        <w:rPr>
          <w:b/>
          <w:bCs/>
        </w:rPr>
        <w:t>Prior</w:t>
      </w:r>
      <w:r w:rsidR="006A2CE0" w:rsidRPr="00565742">
        <w:rPr>
          <w:b/>
          <w:bCs/>
        </w:rPr>
        <w:t xml:space="preserve"> theories</w:t>
      </w:r>
      <w:r w:rsidRPr="00565742">
        <w:rPr>
          <w:b/>
          <w:bCs/>
        </w:rPr>
        <w:t xml:space="preserve"> of faceted ice crystal growth and ablation</w:t>
      </w:r>
    </w:p>
    <w:p w:rsidR="002F7B11" w:rsidRDefault="006A2CE0" w:rsidP="006A2CE0">
      <w:r>
        <w:t>The BCF picture is clearly wrong between 240 K and melting, in that the surface</w:t>
      </w:r>
      <w:r w:rsidR="00C8742D">
        <w:t xml:space="preserve"> of real ice</w:t>
      </w:r>
      <w:r>
        <w:t xml:space="preserve"> is covered by a quasi-liquid layer </w:t>
      </w:r>
      <w:r w:rsidR="00D7372D">
        <w:t xml:space="preserve">(QLL) </w:t>
      </w:r>
      <w:r>
        <w:t xml:space="preserve">whose efficiency at capturing incoming water vapor molecules is close to 100%. </w:t>
      </w:r>
    </w:p>
    <w:p w:rsidR="002F7B11" w:rsidRDefault="002F7B11" w:rsidP="006A2CE0"/>
    <w:p w:rsidR="002F7B11" w:rsidRDefault="006A2CE0" w:rsidP="006A2CE0">
      <w:r>
        <w:t xml:space="preserve">The quasi-liquid </w:t>
      </w:r>
      <w:r w:rsidR="001C7B11">
        <w:t>continuum model</w:t>
      </w:r>
      <w:r>
        <w:t xml:space="preserve"> introduce</w:t>
      </w:r>
      <w:r w:rsidR="00D7372D">
        <w:t>d</w:t>
      </w:r>
      <w:r>
        <w:t xml:space="preserve"> by some of the authors in 2016</w:t>
      </w:r>
      <w:r w:rsidR="00D7372D">
        <w:t xml:space="preserve"> (N2016) </w:t>
      </w:r>
      <w:r w:rsidR="00C8742D">
        <w:t xml:space="preserve">therefore </w:t>
      </w:r>
      <w:r w:rsidR="00B77A49">
        <w:t>recast the surface as two</w:t>
      </w:r>
      <w:r w:rsidR="002F7B11">
        <w:t xml:space="preserve"> </w:t>
      </w:r>
      <w:r w:rsidR="00B77A49">
        <w:t xml:space="preserve">spatial variables that interact with one another over time. </w:t>
      </w:r>
      <w:r w:rsidR="00C8742D">
        <w:t>In that formalism, o</w:t>
      </w:r>
      <w:r w:rsidR="002F7B11">
        <w:t>ne</w:t>
      </w:r>
      <w:r w:rsidR="00B77A49">
        <w:t xml:space="preserve"> variable, </w:t>
      </w:r>
      <m:oMath>
        <m:sSub>
          <m:sSubPr>
            <m:ctrlPr>
              <w:rPr>
                <w:rFonts w:ascii="Cambria Math" w:hAnsi="Cambria Math"/>
                <w:i/>
              </w:rPr>
            </m:ctrlPr>
          </m:sSubPr>
          <m:e>
            <m:r>
              <w:rPr>
                <w:rFonts w:ascii="Cambria Math" w:hAnsi="Cambria Math"/>
              </w:rPr>
              <m:t>N</m:t>
            </m:r>
          </m:e>
          <m:sub>
            <m:r>
              <w:rPr>
                <w:rFonts w:ascii="Cambria Math" w:hAnsi="Cambria Math"/>
              </w:rPr>
              <m:t>tot</m:t>
            </m:r>
          </m:sub>
        </m:sSub>
      </m:oMath>
      <w:r w:rsidR="00B77A49">
        <w:t xml:space="preserve">, </w:t>
      </w:r>
      <w:r w:rsidR="002F7B11">
        <w:t>represent</w:t>
      </w:r>
      <w:r w:rsidR="00B77A49">
        <w:t>s</w:t>
      </w:r>
      <w:r w:rsidR="002F7B11">
        <w:t xml:space="preserve"> the </w:t>
      </w:r>
      <w:r w:rsidR="00B77A49">
        <w:t xml:space="preserve">total </w:t>
      </w:r>
      <w:r w:rsidR="002F7B11">
        <w:t xml:space="preserve">thickness </w:t>
      </w:r>
      <w:r w:rsidR="00B77A49">
        <w:t xml:space="preserve">of the ice surface (black curve in Fig. 1). A second variable, </w:t>
      </w:r>
      <m:oMath>
        <m:sSub>
          <m:sSubPr>
            <m:ctrlPr>
              <w:rPr>
                <w:rFonts w:ascii="Cambria Math" w:hAnsi="Cambria Math"/>
                <w:i/>
              </w:rPr>
            </m:ctrlPr>
          </m:sSubPr>
          <m:e>
            <m:r>
              <w:rPr>
                <w:rFonts w:ascii="Cambria Math" w:hAnsi="Cambria Math"/>
              </w:rPr>
              <m:t>N</m:t>
            </m:r>
          </m:e>
          <m:sub>
            <m:r>
              <w:rPr>
                <w:rFonts w:ascii="Cambria Math" w:hAnsi="Cambria Math"/>
              </w:rPr>
              <m:t>QLL</m:t>
            </m:r>
          </m:sub>
        </m:sSub>
      </m:oMath>
      <w:r w:rsidR="00B77A49">
        <w:t xml:space="preserve">, represents the thickness </w:t>
      </w:r>
      <w:r w:rsidR="002F7B11">
        <w:t xml:space="preserve">of </w:t>
      </w:r>
      <w:r w:rsidR="00B77A49">
        <w:t>just</w:t>
      </w:r>
      <w:r w:rsidR="002F7B11">
        <w:t xml:space="preserve"> </w:t>
      </w:r>
      <w:r w:rsidR="00B77A49">
        <w:t xml:space="preserve">the </w:t>
      </w:r>
      <w:r w:rsidR="002F7B11">
        <w:t>qu</w:t>
      </w:r>
      <w:r w:rsidR="00B77A49">
        <w:t xml:space="preserve">asi-liquid part of </w:t>
      </w:r>
      <m:oMath>
        <m:sSub>
          <m:sSubPr>
            <m:ctrlPr>
              <w:rPr>
                <w:rFonts w:ascii="Cambria Math" w:hAnsi="Cambria Math"/>
                <w:i/>
              </w:rPr>
            </m:ctrlPr>
          </m:sSubPr>
          <m:e>
            <m:r>
              <w:rPr>
                <w:rFonts w:ascii="Cambria Math" w:hAnsi="Cambria Math"/>
              </w:rPr>
              <m:t>N</m:t>
            </m:r>
          </m:e>
          <m:sub>
            <m:r>
              <w:rPr>
                <w:rFonts w:ascii="Cambria Math" w:hAnsi="Cambria Math"/>
              </w:rPr>
              <m:t>tot</m:t>
            </m:r>
          </m:sub>
        </m:sSub>
      </m:oMath>
      <w:r w:rsidR="00B77A49">
        <w:t xml:space="preserve"> (vertical distance between curves in Fig. 1</w:t>
      </w:r>
      <w:r w:rsidR="00F8256C">
        <w:t>).</w:t>
      </w:r>
      <w:r w:rsidR="00C8742D">
        <w:t xml:space="preserve"> </w:t>
      </w:r>
    </w:p>
    <w:p w:rsidR="00C8742D" w:rsidRDefault="00C8742D" w:rsidP="006A2CE0"/>
    <w:p w:rsidR="002F7B11" w:rsidRDefault="002F7B11" w:rsidP="002F7B11">
      <w:pPr>
        <w:jc w:val="center"/>
      </w:pPr>
      <w:r>
        <w:rPr>
          <w:noProof/>
        </w:rPr>
        <w:drawing>
          <wp:inline distT="0" distB="0" distL="0" distR="0">
            <wp:extent cx="4249430" cy="2832627"/>
            <wp:effectExtent l="0" t="0" r="5080" b="0"/>
            <wp:docPr id="1052281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t="11073"/>
                    <a:stretch/>
                  </pic:blipFill>
                  <pic:spPr bwMode="auto">
                    <a:xfrm>
                      <a:off x="0" y="0"/>
                      <a:ext cx="4278506" cy="2852009"/>
                    </a:xfrm>
                    <a:prstGeom prst="rect">
                      <a:avLst/>
                    </a:prstGeom>
                    <a:noFill/>
                    <a:ln>
                      <a:noFill/>
                    </a:ln>
                    <a:extLst>
                      <a:ext uri="{53640926-AAD7-44D8-BBD7-CCE9431645EC}">
                        <a14:shadowObscured xmlns:a14="http://schemas.microsoft.com/office/drawing/2010/main"/>
                      </a:ext>
                    </a:extLst>
                  </pic:spPr>
                </pic:pic>
              </a:graphicData>
            </a:graphic>
          </wp:inline>
        </w:drawing>
      </w:r>
    </w:p>
    <w:p w:rsidR="002F7B11" w:rsidRDefault="002F7B11" w:rsidP="006A2CE0">
      <w:pPr>
        <w:rPr>
          <w:b/>
          <w:bCs/>
        </w:rPr>
      </w:pPr>
    </w:p>
    <w:p w:rsidR="002F7B11" w:rsidRDefault="002F7B11" w:rsidP="006A2CE0">
      <w:r w:rsidRPr="00DC2BA8">
        <w:rPr>
          <w:b/>
          <w:bCs/>
        </w:rPr>
        <w:t xml:space="preserve">Fig. </w:t>
      </w:r>
      <w:r>
        <w:rPr>
          <w:b/>
          <w:bCs/>
        </w:rPr>
        <w:t>1</w:t>
      </w:r>
      <w:r>
        <w:t xml:space="preserve">. Visual representation of </w:t>
      </w:r>
      <m:oMath>
        <m:sSub>
          <m:sSubPr>
            <m:ctrlPr>
              <w:rPr>
                <w:rFonts w:ascii="Cambria Math" w:hAnsi="Cambria Math"/>
                <w:i/>
              </w:rPr>
            </m:ctrlPr>
          </m:sSubPr>
          <m:e>
            <m:r>
              <w:rPr>
                <w:rFonts w:ascii="Cambria Math" w:hAnsi="Cambria Math"/>
              </w:rPr>
              <m:t>N</m:t>
            </m:r>
          </m:e>
          <m:sub>
            <m:r>
              <w:rPr>
                <w:rFonts w:ascii="Cambria Math" w:hAnsi="Cambria Math"/>
              </w:rPr>
              <m:t>tot</m:t>
            </m:r>
          </m:sub>
        </m:sSub>
      </m:oMath>
      <w:r w:rsidR="00B77A49">
        <w:t xml:space="preserve"> and </w:t>
      </w:r>
      <m:oMath>
        <m:sSub>
          <m:sSubPr>
            <m:ctrlPr>
              <w:rPr>
                <w:rFonts w:ascii="Cambria Math" w:hAnsi="Cambria Math"/>
                <w:i/>
              </w:rPr>
            </m:ctrlPr>
          </m:sSubPr>
          <m:e>
            <m:r>
              <w:rPr>
                <w:rFonts w:ascii="Cambria Math" w:hAnsi="Cambria Math"/>
              </w:rPr>
              <m:t>N</m:t>
            </m:r>
          </m:e>
          <m:sub>
            <m:r>
              <w:rPr>
                <w:rFonts w:ascii="Cambria Math" w:hAnsi="Cambria Math"/>
              </w:rPr>
              <m:t>QLL</m:t>
            </m:r>
          </m:sub>
        </m:sSub>
      </m:oMath>
      <w:r w:rsidR="00B77A49">
        <w:t xml:space="preserve"> </w:t>
      </w:r>
      <w:r>
        <w:t>in the N2016</w:t>
      </w:r>
      <w:r w:rsidR="00B77A49">
        <w:t xml:space="preserve"> (and present)</w:t>
      </w:r>
      <w:r>
        <w:t xml:space="preserve"> model. </w:t>
      </w:r>
    </w:p>
    <w:p w:rsidR="002F7B11" w:rsidRDefault="002F7B11" w:rsidP="006A2CE0"/>
    <w:p w:rsidR="00C8742D" w:rsidRDefault="00C8742D" w:rsidP="006A2CE0">
      <w:r>
        <w:t>Key atomistic processes introduced in N2016 were: (</w:t>
      </w:r>
      <w:proofErr w:type="spellStart"/>
      <w:r>
        <w:t>i</w:t>
      </w:r>
      <w:proofErr w:type="spellEnd"/>
      <w:r>
        <w:t>) surface diffusion of the quasi-liquid across the facet, and (ii) partial freezing and melting of the quasi-liquid in response to the addition of water from the vapor phase.</w:t>
      </w:r>
    </w:p>
    <w:p w:rsidR="00C8742D" w:rsidRDefault="00C8742D" w:rsidP="006A2CE0"/>
    <w:p w:rsidR="006A2CE0" w:rsidRDefault="001C7B11" w:rsidP="006A2CE0">
      <w:r>
        <w:lastRenderedPageBreak/>
        <w:t>The N2016</w:t>
      </w:r>
      <w:r w:rsidR="00D7372D">
        <w:t xml:space="preserve"> model suffered from </w:t>
      </w:r>
      <w:r>
        <w:t xml:space="preserve">several limitations, however, of which the most important for our present purpose is that the time scale of process (ii) was implicitly fixed, whereas in actuality that time scale can be expected to vary with temperature and with the nature of the underlying </w:t>
      </w:r>
      <w:r w:rsidR="00565742">
        <w:t>facet.</w:t>
      </w:r>
    </w:p>
    <w:p w:rsidR="006A2CE0" w:rsidRDefault="006A2CE0" w:rsidP="00403CF1"/>
    <w:p w:rsidR="00D7372D" w:rsidRPr="00565742" w:rsidRDefault="00565742" w:rsidP="00565742">
      <w:pPr>
        <w:pStyle w:val="ListParagraph"/>
        <w:numPr>
          <w:ilvl w:val="0"/>
          <w:numId w:val="5"/>
        </w:numPr>
        <w:rPr>
          <w:b/>
          <w:bCs/>
        </w:rPr>
      </w:pPr>
      <w:r w:rsidRPr="00565742">
        <w:rPr>
          <w:b/>
          <w:bCs/>
        </w:rPr>
        <w:t>A</w:t>
      </w:r>
      <w:r w:rsidR="00D7372D" w:rsidRPr="00565742">
        <w:rPr>
          <w:b/>
          <w:bCs/>
        </w:rPr>
        <w:t xml:space="preserve"> revised quasi-liquid continuum model</w:t>
      </w:r>
    </w:p>
    <w:p w:rsidR="00C27A6A" w:rsidRDefault="00C27A6A" w:rsidP="00403CF1">
      <w:pPr>
        <w:rPr>
          <w:rFonts w:eastAsiaTheme="minorEastAsia"/>
        </w:rPr>
      </w:pPr>
      <w:r>
        <w:rPr>
          <w:rFonts w:eastAsiaTheme="minorEastAsia"/>
        </w:rPr>
        <w:t xml:space="preserve">The model </w:t>
      </w:r>
      <w:r w:rsidR="002F7B11">
        <w:rPr>
          <w:rFonts w:eastAsiaTheme="minorEastAsia"/>
        </w:rPr>
        <w:t>introduced</w:t>
      </w:r>
      <w:r w:rsidR="00565742">
        <w:rPr>
          <w:rFonts w:eastAsiaTheme="minorEastAsia"/>
        </w:rPr>
        <w:t xml:space="preserve"> here </w:t>
      </w:r>
      <w:r>
        <w:rPr>
          <w:rFonts w:eastAsiaTheme="minorEastAsia"/>
        </w:rPr>
        <w:t>is defined by</w:t>
      </w:r>
    </w:p>
    <w:p w:rsidR="00C27A6A" w:rsidRDefault="00C27A6A" w:rsidP="00403CF1">
      <w:pPr>
        <w:rPr>
          <w:rFonts w:eastAsiaTheme="minorEastAsia"/>
        </w:rPr>
      </w:pPr>
    </w:p>
    <w:p w:rsidR="00C27A6A" w:rsidRDefault="00000000" w:rsidP="00C27A6A">
      <w:pPr>
        <w:jc w:val="right"/>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dN</m:t>
                </m:r>
              </m:e>
              <m:sub>
                <m:r>
                  <w:rPr>
                    <w:rFonts w:ascii="Cambria Math" w:hAnsi="Cambria Math"/>
                  </w:rPr>
                  <m:t>tot</m:t>
                </m:r>
              </m:sub>
            </m:sSub>
          </m:num>
          <m:den>
            <m:r>
              <w:rPr>
                <w:rFonts w:ascii="Cambria Math" w:hAnsi="Cambria Math"/>
              </w:rPr>
              <m:t>dt</m:t>
            </m:r>
          </m:den>
        </m:f>
        <m:r>
          <w:rPr>
            <w:rFonts w:ascii="Cambria Math" w:hAnsi="Cambria Math"/>
          </w:rPr>
          <m:t>=</m:t>
        </m:r>
        <m:r>
          <w:rPr>
            <w:rFonts w:ascii="Cambria Math" w:eastAsiaTheme="minorEastAsia" w:hAnsi="Cambria Math"/>
          </w:rPr>
          <m:t>D</m:t>
        </m:r>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QLL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kin</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t>(1</w:t>
      </w:r>
      <w:r w:rsidR="00565742">
        <w:rPr>
          <w:rFonts w:eastAsiaTheme="minorEastAsia"/>
        </w:rPr>
        <w:t>a</w:t>
      </w:r>
      <w:r w:rsidR="00C27A6A">
        <w:rPr>
          <w:rFonts w:eastAsiaTheme="minorEastAsia"/>
        </w:rPr>
        <w:t>)</w:t>
      </w:r>
    </w:p>
    <w:p w:rsidR="00C27A6A" w:rsidRDefault="00C27A6A" w:rsidP="00C27A6A"/>
    <w:p w:rsidR="00DC2BA8" w:rsidRDefault="00000000" w:rsidP="00C27A6A">
      <w:pPr>
        <w:jc w:val="right"/>
      </w:pPr>
      <m:oMath>
        <m:f>
          <m:fPr>
            <m:ctrlPr>
              <w:rPr>
                <w:rFonts w:ascii="Cambria Math" w:hAnsi="Cambria Math"/>
                <w:i/>
              </w:rPr>
            </m:ctrlPr>
          </m:fPr>
          <m:num>
            <m:sSub>
              <m:sSubPr>
                <m:ctrlPr>
                  <w:rPr>
                    <w:rFonts w:ascii="Cambria Math" w:hAnsi="Cambria Math"/>
                    <w:i/>
                  </w:rPr>
                </m:ctrlPr>
              </m:sSubPr>
              <m:e>
                <m:r>
                  <w:rPr>
                    <w:rFonts w:ascii="Cambria Math" w:hAnsi="Cambria Math"/>
                  </w:rPr>
                  <m:t>dN</m:t>
                </m:r>
              </m:e>
              <m:sub>
                <m:r>
                  <w:rPr>
                    <w:rFonts w:ascii="Cambria Math" w:hAnsi="Cambria Math"/>
                  </w:rPr>
                  <m:t>QLL</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dN</m:t>
                </m:r>
              </m:e>
              <m:sub>
                <m:r>
                  <w:rPr>
                    <w:rFonts w:ascii="Cambria Math" w:hAnsi="Cambria Math"/>
                  </w:rPr>
                  <m:t>tot</m:t>
                </m:r>
              </m:sub>
            </m:sSub>
          </m:num>
          <m:den>
            <m:r>
              <w:rPr>
                <w:rFonts w:ascii="Cambria Math" w:hAnsi="Cambria Math"/>
              </w:rPr>
              <m:t>dt</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QLL</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QLL</m:t>
                </m:r>
              </m:sub>
              <m:sup>
                <m:r>
                  <w:rPr>
                    <w:rFonts w:ascii="Cambria Math" w:eastAsiaTheme="minorEastAsia" w:hAnsi="Cambria Math"/>
                  </w:rPr>
                  <m:t>eq</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r>
              <w:rPr>
                <w:rFonts w:ascii="Cambria Math" w:eastAsiaTheme="minorEastAsia"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eq</m:t>
            </m:r>
          </m:sub>
        </m:sSub>
      </m:oMath>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t>(</w:t>
      </w:r>
      <w:r w:rsidR="00565742">
        <w:rPr>
          <w:rFonts w:eastAsiaTheme="minorEastAsia"/>
        </w:rPr>
        <w:t>1b</w:t>
      </w:r>
      <w:r w:rsidR="00C27A6A">
        <w:rPr>
          <w:rFonts w:eastAsiaTheme="minorEastAsia"/>
        </w:rPr>
        <w:t>)</w:t>
      </w:r>
    </w:p>
    <w:p w:rsidR="00C27A6A" w:rsidRPr="00C27A6A" w:rsidRDefault="00C27A6A" w:rsidP="00C27A6A">
      <w:pPr>
        <w:jc w:val="right"/>
      </w:pPr>
    </w:p>
    <w:p w:rsidR="00565742" w:rsidRDefault="00565742" w:rsidP="002234B4">
      <w:pPr>
        <w:rPr>
          <w:rFonts w:eastAsiaTheme="minorEastAsia"/>
        </w:rPr>
      </w:pPr>
      <w:r>
        <w:rPr>
          <w:rFonts w:eastAsiaTheme="minorEastAsia"/>
        </w:rPr>
        <w:t>Some notes about this model</w:t>
      </w:r>
      <w:r w:rsidR="002F7B11">
        <w:rPr>
          <w:rFonts w:eastAsiaTheme="minorEastAsia"/>
        </w:rPr>
        <w:t xml:space="preserve"> are as follows:</w:t>
      </w:r>
    </w:p>
    <w:p w:rsidR="00565742" w:rsidRDefault="00565742" w:rsidP="002234B4">
      <w:pPr>
        <w:rPr>
          <w:rFonts w:eastAsiaTheme="minorEastAsia"/>
        </w:rPr>
      </w:pPr>
    </w:p>
    <w:p w:rsidR="002F7B11" w:rsidRDefault="002F7B11" w:rsidP="00565742">
      <w:pPr>
        <w:pStyle w:val="ListParagraph"/>
        <w:numPr>
          <w:ilvl w:val="1"/>
          <w:numId w:val="3"/>
        </w:numPr>
        <w:rPr>
          <w:rFonts w:eastAsiaTheme="minorEastAsia"/>
        </w:rPr>
      </w:pPr>
      <m:oMath>
        <m:r>
          <w:rPr>
            <w:rFonts w:ascii="Cambria Math" w:eastAsiaTheme="minorEastAsia" w:hAnsi="Cambria Math"/>
          </w:rPr>
          <m:t>D</m:t>
        </m:r>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QLL</m:t>
            </m:r>
          </m:sub>
        </m:sSub>
      </m:oMath>
      <w:r>
        <w:rPr>
          <w:rFonts w:eastAsiaTheme="minorEastAsia"/>
        </w:rPr>
        <w:t xml:space="preserve"> represents the idea that </w:t>
      </w:r>
      <w:r>
        <w:t xml:space="preserve">surface diffusion </w:t>
      </w:r>
      <w:r>
        <w:rPr>
          <w:rFonts w:eastAsiaTheme="minorEastAsia"/>
        </w:rPr>
        <w:t xml:space="preserve">depends on the thickness of the quasi-liquid only; the underlying ice is considered immobile on time scales considered here.  </w:t>
      </w:r>
    </w:p>
    <w:p w:rsidR="00AC7714" w:rsidRDefault="00000000" w:rsidP="00BF4CB5">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kin</m:t>
            </m:r>
          </m:sub>
        </m:sSub>
      </m:oMath>
      <w:r w:rsidR="00F8256C">
        <w:rPr>
          <w:rFonts w:eastAsiaTheme="minorEastAsia"/>
        </w:rPr>
        <w:t xml:space="preserve"> is the rate of exchange of water between the facet and the vapor phase </w:t>
      </w:r>
    </w:p>
    <w:p w:rsidR="00BF4CB5" w:rsidRDefault="00000000" w:rsidP="00BF4CB5">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sidR="00F8256C">
        <w:rPr>
          <w:rFonts w:eastAsiaTheme="minorEastAsia"/>
        </w:rPr>
        <w:t xml:space="preserve"> is the fractional difference between these values (i.e., the surface supersaturation)</w:t>
      </w:r>
      <w:r w:rsidR="00AC7714">
        <w:rPr>
          <w:rFonts w:eastAsiaTheme="minorEastAsia"/>
        </w:rPr>
        <w:t>, given by …</w:t>
      </w:r>
    </w:p>
    <w:p w:rsidR="00BF4CB5" w:rsidRPr="00BF4CB5" w:rsidRDefault="00000000" w:rsidP="00BF4CB5">
      <w:pPr>
        <w:pStyle w:val="ListParagraph"/>
        <w:numPr>
          <w:ilvl w:val="1"/>
          <w:numId w:val="3"/>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QLL</m:t>
            </m:r>
          </m:sub>
          <m:sup>
            <m:r>
              <w:rPr>
                <w:rFonts w:ascii="Cambria Math" w:eastAsiaTheme="minorEastAsia" w:hAnsi="Cambria Math"/>
              </w:rPr>
              <m:t>eq</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r>
          <w:rPr>
            <w:rFonts w:ascii="Cambria Math" w:eastAsiaTheme="minorEastAsia" w:hAnsi="Cambria Math"/>
          </w:rPr>
          <m:t>)</m:t>
        </m:r>
      </m:oMath>
      <w:r w:rsidR="00BF4CB5" w:rsidRPr="00BF4CB5">
        <w:rPr>
          <w:rFonts w:eastAsiaTheme="minorEastAsia"/>
        </w:rPr>
        <w:t xml:space="preserve"> defines the thickness of quasi-liquid</w:t>
      </w:r>
      <w:r w:rsidR="004A3525">
        <w:rPr>
          <w:rFonts w:eastAsiaTheme="minorEastAsia"/>
        </w:rPr>
        <w:t xml:space="preserve"> when it is in equilibrium with the underlying ice</w:t>
      </w:r>
      <w:r w:rsidR="00BF4CB5">
        <w:rPr>
          <w:rFonts w:eastAsiaTheme="minorEastAsia"/>
        </w:rPr>
        <w:t>. Here (as in N2016) we use the sinusoidal form</w:t>
      </w:r>
    </w:p>
    <w:p w:rsidR="00BF4CB5" w:rsidRDefault="00BF4CB5" w:rsidP="00BF4CB5">
      <w:pPr>
        <w:rPr>
          <w:rFonts w:eastAsiaTheme="minorEastAsia"/>
        </w:rPr>
      </w:pPr>
    </w:p>
    <w:p w:rsidR="00BF4CB5" w:rsidRDefault="00000000" w:rsidP="00BF4CB5">
      <w:pPr>
        <w:jc w:val="right"/>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QLL</m:t>
            </m:r>
          </m:sub>
          <m:sup>
            <m:r>
              <w:rPr>
                <w:rFonts w:ascii="Cambria Math" w:eastAsiaTheme="minorEastAsia" w:hAnsi="Cambria Math"/>
              </w:rPr>
              <m:t>eq</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m:rPr>
            <m:sty m:val="p"/>
          </m:rPr>
          <w:rPr>
            <w:rFonts w:ascii="Cambria Math" w:eastAsiaTheme="minorEastAsia" w:hAnsi="Cambria Math"/>
          </w:rPr>
          <m:t>sin⁡</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r>
          <w:rPr>
            <w:rFonts w:ascii="Cambria Math" w:eastAsiaTheme="minorEastAsia" w:hAnsi="Cambria Math"/>
          </w:rPr>
          <m:t>)</m:t>
        </m:r>
      </m:oMath>
      <w:r w:rsidR="00BF4CB5">
        <w:rPr>
          <w:rFonts w:eastAsiaTheme="minorEastAsia"/>
        </w:rPr>
        <w:tab/>
      </w:r>
      <w:r w:rsidR="00BF4CB5">
        <w:rPr>
          <w:rFonts w:eastAsiaTheme="minorEastAsia"/>
        </w:rPr>
        <w:tab/>
      </w:r>
      <w:r w:rsidR="00BF4CB5">
        <w:rPr>
          <w:rFonts w:eastAsiaTheme="minorEastAsia"/>
        </w:rPr>
        <w:tab/>
      </w:r>
      <w:r w:rsidR="00BF4CB5">
        <w:rPr>
          <w:rFonts w:eastAsiaTheme="minorEastAsia"/>
        </w:rPr>
        <w:tab/>
      </w:r>
      <w:r w:rsidR="00BF4CB5">
        <w:rPr>
          <w:rFonts w:eastAsiaTheme="minorEastAsia"/>
        </w:rPr>
        <w:tab/>
      </w:r>
      <w:r w:rsidR="00BF4CB5">
        <w:rPr>
          <w:rFonts w:eastAsiaTheme="minorEastAsia"/>
        </w:rPr>
        <w:tab/>
      </w:r>
      <w:r w:rsidR="00BF4CB5">
        <w:rPr>
          <w:rFonts w:eastAsiaTheme="minorEastAsia"/>
        </w:rPr>
        <w:tab/>
        <w:t>(2)</w:t>
      </w:r>
    </w:p>
    <w:p w:rsidR="00BF4CB5" w:rsidRPr="00BF4CB5" w:rsidRDefault="00BF4CB5" w:rsidP="00BF4CB5">
      <w:pPr>
        <w:rPr>
          <w:rFonts w:eastAsiaTheme="minorEastAsia"/>
        </w:rPr>
      </w:pPr>
    </w:p>
    <w:p w:rsidR="002234B4" w:rsidRPr="00BF4CB5" w:rsidRDefault="00000000" w:rsidP="00BF4CB5">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eq</m:t>
            </m:r>
          </m:sub>
        </m:sSub>
      </m:oMath>
      <w:r w:rsidR="00ED7C57" w:rsidRPr="00BF4CB5">
        <w:rPr>
          <w:rFonts w:eastAsiaTheme="minorEastAsia"/>
        </w:rPr>
        <w:t xml:space="preserve"> </w:t>
      </w:r>
      <w:r w:rsidR="00C9224E" w:rsidRPr="00BF4CB5">
        <w:rPr>
          <w:rFonts w:eastAsiaTheme="minorEastAsia"/>
        </w:rPr>
        <w:t xml:space="preserve">is </w:t>
      </w:r>
      <w:r w:rsidR="004D4B3A">
        <w:rPr>
          <w:rFonts w:eastAsiaTheme="minorEastAsia"/>
        </w:rPr>
        <w:t>a</w:t>
      </w:r>
      <w:r w:rsidR="00C9224E" w:rsidRPr="00BF4CB5">
        <w:rPr>
          <w:rFonts w:eastAsiaTheme="minorEastAsia"/>
        </w:rPr>
        <w:t xml:space="preserve"> </w:t>
      </w:r>
      <w:r w:rsidR="00ED7C57" w:rsidRPr="00BF4CB5">
        <w:rPr>
          <w:rFonts w:eastAsiaTheme="minorEastAsia"/>
        </w:rPr>
        <w:t xml:space="preserve">first-order relaxation constant </w:t>
      </w:r>
      <w:r w:rsidR="004A3525">
        <w:rPr>
          <w:rFonts w:eastAsiaTheme="minorEastAsia"/>
        </w:rPr>
        <w:t xml:space="preserve">describing the </w:t>
      </w:r>
      <w:r w:rsidR="004D4B3A">
        <w:rPr>
          <w:rFonts w:eastAsiaTheme="minorEastAsia"/>
        </w:rPr>
        <w:t>time scale</w:t>
      </w:r>
      <w:r w:rsidR="004A3525">
        <w:rPr>
          <w:rFonts w:eastAsiaTheme="minorEastAsia"/>
        </w:rPr>
        <w:t xml:space="preserve"> at which </w:t>
      </w:r>
      <w:r w:rsidR="004D4B3A">
        <w:rPr>
          <w:rFonts w:eastAsiaTheme="minorEastAsia"/>
        </w:rPr>
        <w:t>quasi-liquid/ice</w:t>
      </w:r>
      <w:r w:rsidR="00ED7C57" w:rsidRPr="00BF4CB5">
        <w:rPr>
          <w:rFonts w:eastAsiaTheme="minorEastAsia"/>
        </w:rPr>
        <w:t xml:space="preserve"> </w:t>
      </w:r>
      <w:r w:rsidR="004A3525">
        <w:rPr>
          <w:rFonts w:eastAsiaTheme="minorEastAsia"/>
        </w:rPr>
        <w:t>equilibrium is achieved</w:t>
      </w:r>
      <w:r w:rsidR="00BF4CB5">
        <w:rPr>
          <w:rFonts w:eastAsiaTheme="minorEastAsia"/>
        </w:rPr>
        <w:t>.</w:t>
      </w:r>
      <w:r w:rsidR="00C9224E" w:rsidRPr="00BF4CB5">
        <w:rPr>
          <w:rFonts w:eastAsiaTheme="minorEastAsia"/>
        </w:rPr>
        <w:t xml:space="preserve"> </w:t>
      </w:r>
      <w:r w:rsidR="00ED7C57" w:rsidRPr="00BF4CB5">
        <w:rPr>
          <w:rFonts w:eastAsiaTheme="minorEastAsia"/>
        </w:rPr>
        <w:t xml:space="preserve">That is, if we imagine an initial situation having an amount of quasi-liquid given by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QLL</m:t>
            </m:r>
          </m:sub>
          <m:sup>
            <m:r>
              <w:rPr>
                <w:rFonts w:ascii="Cambria Math" w:eastAsiaTheme="minorEastAsia" w:hAnsi="Cambria Math"/>
              </w:rPr>
              <m:t>o</m:t>
            </m:r>
          </m:sup>
        </m:sSubSup>
      </m:oMath>
      <w:r w:rsidR="00ED7C57" w:rsidRPr="00BF4CB5">
        <w:rPr>
          <w:rFonts w:eastAsiaTheme="minorEastAsia"/>
        </w:rPr>
        <w:t>, then</w:t>
      </w:r>
      <w:r w:rsidR="00502A61" w:rsidRPr="00BF4CB5">
        <w:rPr>
          <w:rFonts w:eastAsiaTheme="minorEastAsia"/>
        </w:rPr>
        <w:t xml:space="preserve"> (</w:t>
      </w:r>
      <w:r w:rsidR="00C9224E" w:rsidRPr="00BF4CB5">
        <w:rPr>
          <w:rFonts w:eastAsiaTheme="minorEastAsia"/>
        </w:rPr>
        <w:t>in the absence of</w:t>
      </w:r>
      <w:r w:rsidR="00ED7C57" w:rsidRPr="00BF4CB5">
        <w:rPr>
          <w:rFonts w:eastAsiaTheme="minorEastAsia"/>
        </w:rPr>
        <w:t xml:space="preserve"> diffusion</w:t>
      </w:r>
      <w:r w:rsidR="00502A61" w:rsidRPr="00BF4CB5">
        <w:rPr>
          <w:rFonts w:eastAsiaTheme="minorEastAsia"/>
        </w:rPr>
        <w:t>)</w:t>
      </w:r>
      <w:r w:rsidR="00ED7C57" w:rsidRPr="00BF4CB5">
        <w:rPr>
          <w:rFonts w:eastAsiaTheme="minorEastAsia"/>
        </w:rPr>
        <w:t xml:space="preserve"> it is assumed that equilibration </w:t>
      </w:r>
      <w:r w:rsidR="00C9224E" w:rsidRPr="00BF4CB5">
        <w:rPr>
          <w:rFonts w:eastAsiaTheme="minorEastAsia"/>
        </w:rPr>
        <w:t xml:space="preserve">after a time </w:t>
      </w:r>
      <m:oMath>
        <m:r>
          <m:rPr>
            <m:sty m:val="p"/>
          </m:rPr>
          <w:rPr>
            <w:rFonts w:ascii="Cambria Math" w:eastAsiaTheme="minorEastAsia" w:hAnsi="Cambria Math"/>
          </w:rPr>
          <m:t>Δ</m:t>
        </m:r>
        <m:r>
          <w:rPr>
            <w:rFonts w:ascii="Cambria Math" w:eastAsiaTheme="minorEastAsia" w:hAnsi="Cambria Math"/>
          </w:rPr>
          <m:t>t</m:t>
        </m:r>
      </m:oMath>
      <w:r w:rsidR="00C9224E" w:rsidRPr="00BF4CB5">
        <w:rPr>
          <w:rFonts w:eastAsiaTheme="minorEastAsia"/>
        </w:rPr>
        <w:t xml:space="preserve"> </w:t>
      </w:r>
      <w:r w:rsidR="00ED7C57" w:rsidRPr="00BF4CB5">
        <w:rPr>
          <w:rFonts w:eastAsiaTheme="minorEastAsia"/>
        </w:rPr>
        <w:t xml:space="preserve">occurs according to </w:t>
      </w:r>
    </w:p>
    <w:p w:rsidR="00ED7C57" w:rsidRDefault="00ED7C57" w:rsidP="002234B4">
      <w:pPr>
        <w:rPr>
          <w:rFonts w:eastAsiaTheme="minorEastAsia"/>
        </w:rPr>
      </w:pPr>
    </w:p>
    <w:p w:rsidR="004A3525" w:rsidRPr="004A3525" w:rsidRDefault="00000000" w:rsidP="004A3525">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QLL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QLL</m:t>
            </m:r>
          </m:sub>
          <m:sup>
            <m:r>
              <w:rPr>
                <w:rFonts w:ascii="Cambria Math" w:eastAsiaTheme="minorEastAsia" w:hAnsi="Cambria Math"/>
              </w:rPr>
              <m:t>eq</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QLL</m:t>
                </m:r>
              </m:sub>
              <m:sup>
                <m:r>
                  <w:rPr>
                    <w:rFonts w:ascii="Cambria Math" w:eastAsiaTheme="minorEastAsia" w:hAnsi="Cambria Math"/>
                  </w:rPr>
                  <m:t>o</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QLL</m:t>
                </m:r>
              </m:sub>
              <m:sup>
                <m:r>
                  <w:rPr>
                    <w:rFonts w:ascii="Cambria Math" w:eastAsiaTheme="minorEastAsia" w:hAnsi="Cambria Math"/>
                  </w:rPr>
                  <m:t>eq</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eq</m:t>
                    </m:r>
                  </m:sub>
                </m:sSub>
              </m:den>
            </m:f>
          </m:sup>
        </m:sSup>
      </m:oMath>
      <w:r w:rsidR="00C9224E">
        <w:rPr>
          <w:rFonts w:eastAsiaTheme="minorEastAsia"/>
        </w:rPr>
        <w:tab/>
      </w:r>
      <w:r w:rsidR="00C9224E">
        <w:rPr>
          <w:rFonts w:eastAsiaTheme="minorEastAsia"/>
        </w:rPr>
        <w:tab/>
      </w:r>
      <w:r w:rsidR="00C9224E">
        <w:rPr>
          <w:rFonts w:eastAsiaTheme="minorEastAsia"/>
        </w:rPr>
        <w:tab/>
      </w:r>
      <w:r w:rsidR="00C9224E">
        <w:rPr>
          <w:rFonts w:eastAsiaTheme="minorEastAsia"/>
        </w:rPr>
        <w:tab/>
        <w:t>(</w:t>
      </w:r>
      <w:r w:rsidR="00565742">
        <w:rPr>
          <w:rFonts w:eastAsiaTheme="minorEastAsia"/>
        </w:rPr>
        <w:t>3</w:t>
      </w:r>
      <w:r w:rsidR="00C9224E">
        <w:rPr>
          <w:rFonts w:eastAsiaTheme="minorEastAsia"/>
        </w:rPr>
        <w:t>)</w:t>
      </w:r>
    </w:p>
    <w:p w:rsidR="00565742" w:rsidRDefault="00565742" w:rsidP="002234B4"/>
    <w:p w:rsidR="004A3525" w:rsidRDefault="004A3525" w:rsidP="004A3525">
      <w:pPr>
        <w:ind w:left="1080"/>
      </w:pPr>
      <w:r>
        <w:t xml:space="preserve">If one takes the time derivative of Eq. (3), and assumes that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is small, the second term on the right-hand side of Eq. (1b) results.</w:t>
      </w:r>
    </w:p>
    <w:p w:rsidR="004A3525" w:rsidRDefault="004A3525" w:rsidP="002234B4"/>
    <w:p w:rsidR="00565742" w:rsidRDefault="004A3525" w:rsidP="004A3525">
      <w:r>
        <w:t>T</w:t>
      </w:r>
      <w:r w:rsidR="00565742">
        <w:t>he difference</w:t>
      </w:r>
      <w:r>
        <w:t xml:space="preserve"> between the present model and N2016</w:t>
      </w:r>
      <w:r w:rsidR="00565742">
        <w:t xml:space="preserve"> lies in the treatment of </w:t>
      </w:r>
      <w:r>
        <w:t>the</w:t>
      </w:r>
      <w:r w:rsidR="00565742">
        <w:t xml:space="preserve"> quasi-liquid</w:t>
      </w:r>
      <w:r>
        <w:t xml:space="preserve"> equilibration just described. In practice, this means that the expression for </w:t>
      </w:r>
      <m:oMath>
        <m:f>
          <m:fPr>
            <m:ctrlPr>
              <w:rPr>
                <w:rFonts w:ascii="Cambria Math" w:hAnsi="Cambria Math"/>
                <w:i/>
              </w:rPr>
            </m:ctrlPr>
          </m:fPr>
          <m:num>
            <m:sSub>
              <m:sSubPr>
                <m:ctrlPr>
                  <w:rPr>
                    <w:rFonts w:ascii="Cambria Math" w:hAnsi="Cambria Math"/>
                    <w:i/>
                  </w:rPr>
                </m:ctrlPr>
              </m:sSubPr>
              <m:e>
                <m:r>
                  <w:rPr>
                    <w:rFonts w:ascii="Cambria Math" w:hAnsi="Cambria Math"/>
                  </w:rPr>
                  <m:t>dN</m:t>
                </m:r>
              </m:e>
              <m:sub>
                <m:r>
                  <w:rPr>
                    <w:rFonts w:ascii="Cambria Math" w:hAnsi="Cambria Math"/>
                  </w:rPr>
                  <m:t>QLL</m:t>
                </m:r>
              </m:sub>
            </m:sSub>
          </m:num>
          <m:den>
            <m:r>
              <w:rPr>
                <w:rFonts w:ascii="Cambria Math" w:hAnsi="Cambria Math"/>
              </w:rPr>
              <m:t>dt</m:t>
            </m:r>
          </m:den>
        </m:f>
      </m:oMath>
      <w:r>
        <w:rPr>
          <w:rFonts w:eastAsiaTheme="minorEastAsia"/>
        </w:rPr>
        <w:t xml:space="preserve"> given in Eq. (1b) here is different from</w:t>
      </w:r>
      <w:r w:rsidR="003F1882">
        <w:rPr>
          <w:rFonts w:eastAsiaTheme="minorEastAsia"/>
        </w:rPr>
        <w:t xml:space="preserve"> the corresponding expression in</w:t>
      </w:r>
      <w:r>
        <w:rPr>
          <w:rFonts w:eastAsiaTheme="minorEastAsia"/>
        </w:rPr>
        <w:t xml:space="preserve"> N2016</w:t>
      </w:r>
      <w:r w:rsidR="003F1882">
        <w:rPr>
          <w:rFonts w:eastAsiaTheme="minorEastAsia"/>
        </w:rPr>
        <w:t xml:space="preserve"> (Eq. (5b))</w:t>
      </w:r>
      <w:r>
        <w:rPr>
          <w:rFonts w:eastAsiaTheme="minorEastAsia"/>
        </w:rPr>
        <w:t xml:space="preserve">. </w:t>
      </w:r>
      <w:r w:rsidR="00AC7714">
        <w:rPr>
          <w:rFonts w:eastAsiaTheme="minorEastAsia"/>
        </w:rPr>
        <w:t>The strength of the present formulation is that we are able to parameterize the relative rates of diffusion and quasi-liquid/ice equilibration; i</w:t>
      </w:r>
      <w:r>
        <w:rPr>
          <w:rFonts w:eastAsiaTheme="minorEastAsia"/>
        </w:rPr>
        <w:t>t also means that we have an additional parameter</w:t>
      </w:r>
      <w:r w:rsidR="004D4B3A">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eq</m:t>
            </m:r>
          </m:sub>
        </m:sSub>
      </m:oMath>
      <w:r w:rsidR="004D4B3A">
        <w:rPr>
          <w:rFonts w:eastAsiaTheme="minorEastAsia"/>
        </w:rPr>
        <w:t>,</w:t>
      </w:r>
      <w:r w:rsidR="00A97378">
        <w:rPr>
          <w:rFonts w:eastAsiaTheme="minorEastAsia"/>
        </w:rPr>
        <w:t xml:space="preserve"> </w:t>
      </w:r>
      <w:r w:rsidR="004D4B3A">
        <w:rPr>
          <w:rFonts w:eastAsiaTheme="minorEastAsia"/>
        </w:rPr>
        <w:t xml:space="preserve">that we must determine. </w:t>
      </w:r>
      <w:r w:rsidR="00A97378">
        <w:rPr>
          <w:rFonts w:eastAsiaTheme="minorEastAsia"/>
        </w:rPr>
        <w:t xml:space="preserve">Although we do not have reliable independent guides for determining a physically </w:t>
      </w:r>
      <w:r w:rsidR="00A97378">
        <w:rPr>
          <w:rFonts w:eastAsiaTheme="minorEastAsia"/>
        </w:rPr>
        <w:lastRenderedPageBreak/>
        <w:t xml:space="preserve">realistic range of value for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eq</m:t>
            </m:r>
          </m:sub>
        </m:sSub>
      </m:oMath>
      <w:r w:rsidR="00A97378">
        <w:rPr>
          <w:rFonts w:eastAsiaTheme="minorEastAsia"/>
        </w:rPr>
        <w:t xml:space="preserve">, we do have a guidepost: because the “diffusive slowdown” mechanism for stabilization of faceted ice </w:t>
      </w:r>
      <w:r w:rsidR="00D45E44">
        <w:rPr>
          <w:rFonts w:eastAsiaTheme="minorEastAsia"/>
        </w:rPr>
        <w:t xml:space="preserve">growth </w:t>
      </w:r>
      <w:r w:rsidR="00A97378">
        <w:rPr>
          <w:rFonts w:eastAsiaTheme="minorEastAsia"/>
        </w:rPr>
        <w:t xml:space="preserve">described in N2016 required that quasi-liquid/ice equilibration be slow compared to surface diffusion, we should </w:t>
      </w:r>
      <w:r w:rsidR="00D45E44">
        <w:rPr>
          <w:rFonts w:eastAsiaTheme="minorEastAsia"/>
        </w:rPr>
        <w:t>not be surprised if large</w:t>
      </w:r>
      <w:r w:rsidR="00A9737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eq</m:t>
            </m:r>
          </m:sub>
        </m:sSub>
      </m:oMath>
      <w:r w:rsidR="00A97378">
        <w:rPr>
          <w:rFonts w:eastAsiaTheme="minorEastAsia"/>
        </w:rPr>
        <w:t xml:space="preserve"> </w:t>
      </w:r>
      <w:r w:rsidR="00D45E44">
        <w:rPr>
          <w:rFonts w:eastAsiaTheme="minorEastAsia"/>
        </w:rPr>
        <w:t>leads to stable growth scenarios</w:t>
      </w:r>
      <w:r w:rsidR="00A97378">
        <w:rPr>
          <w:rFonts w:eastAsiaTheme="minorEastAsia"/>
        </w:rPr>
        <w:t>.</w:t>
      </w:r>
      <w:r w:rsidR="00D45E44">
        <w:rPr>
          <w:rFonts w:eastAsiaTheme="minorEastAsia"/>
        </w:rPr>
        <w:t xml:space="preserve"> We return to this topic presently.</w:t>
      </w:r>
    </w:p>
    <w:p w:rsidR="00565742" w:rsidRDefault="00565742" w:rsidP="002234B4"/>
    <w:p w:rsidR="00E42A2E" w:rsidRPr="00FB39EC" w:rsidRDefault="00E42A2E" w:rsidP="002234B4">
      <w:pPr>
        <w:pStyle w:val="ListParagraph"/>
        <w:numPr>
          <w:ilvl w:val="0"/>
          <w:numId w:val="5"/>
        </w:numPr>
        <w:rPr>
          <w:b/>
          <w:bCs/>
        </w:rPr>
      </w:pPr>
      <w:r>
        <w:rPr>
          <w:b/>
          <w:bCs/>
        </w:rPr>
        <w:t>Questions</w:t>
      </w:r>
    </w:p>
    <w:p w:rsidR="00535E37" w:rsidRDefault="00FB39EC" w:rsidP="002234B4">
      <w:r>
        <w:t xml:space="preserve">Although faceted surfaces appear flat on a mesoscale (e.g., in an SEM image), how flat </w:t>
      </w:r>
      <w:r w:rsidRPr="00FB39EC">
        <w:t>are</w:t>
      </w:r>
      <w:r>
        <w:t xml:space="preserve"> they at a molecular scale? What governs the transition from faceted growth to dendritic growth</w:t>
      </w:r>
      <w:r w:rsidR="00535E37">
        <w:t xml:space="preserve"> on the one hand</w:t>
      </w:r>
      <w:r>
        <w:t xml:space="preserve">, </w:t>
      </w:r>
      <w:r w:rsidR="00535E37">
        <w:t>and</w:t>
      </w:r>
      <w:r>
        <w:t xml:space="preserve"> to roughness</w:t>
      </w:r>
      <w:r w:rsidR="00535E37">
        <w:t xml:space="preserve"> on the other</w:t>
      </w:r>
      <w:r>
        <w:t xml:space="preserve">? </w:t>
      </w:r>
      <w:r w:rsidR="00535E37">
        <w:t>Given that there is such a thing as faceted ablation, what does the model tell us about it?</w:t>
      </w:r>
      <w:r w:rsidR="00535E37">
        <w:t xml:space="preserve"> What can we learn about</w:t>
      </w:r>
      <w:r>
        <w:t xml:space="preserve"> difference</w:t>
      </w:r>
      <w:r w:rsidR="00535E37">
        <w:t>s</w:t>
      </w:r>
      <w:r>
        <w:t xml:space="preserve"> between </w:t>
      </w:r>
      <w:r>
        <w:t>roughness</w:t>
      </w:r>
      <w:r w:rsidR="00535E37">
        <w:t xml:space="preserve"> that</w:t>
      </w:r>
      <w:r w:rsidR="00535E37">
        <w:t xml:space="preserve"> appears under barely-supersaturated conditions</w:t>
      </w:r>
      <w:r w:rsidR="00535E37">
        <w:t>, vs</w:t>
      </w:r>
      <w:r w:rsidR="00535E37">
        <w:t xml:space="preserve"> subsaturated conditions</w:t>
      </w:r>
      <w:r w:rsidR="00535E37">
        <w:t>?</w:t>
      </w:r>
    </w:p>
    <w:p w:rsidR="00535E37" w:rsidRDefault="00535E37" w:rsidP="002234B4"/>
    <w:p w:rsidR="00535E37" w:rsidRDefault="00535E37" w:rsidP="002234B4"/>
    <w:p w:rsidR="003F1882" w:rsidRPr="00565742" w:rsidRDefault="003F1882" w:rsidP="003F1882">
      <w:pPr>
        <w:pStyle w:val="ListParagraph"/>
        <w:numPr>
          <w:ilvl w:val="0"/>
          <w:numId w:val="5"/>
        </w:numPr>
        <w:rPr>
          <w:b/>
          <w:bCs/>
        </w:rPr>
      </w:pPr>
      <w:r>
        <w:rPr>
          <w:b/>
          <w:bCs/>
        </w:rPr>
        <w:t>Implementation details</w:t>
      </w:r>
    </w:p>
    <w:p w:rsidR="00565742" w:rsidRDefault="003F1882" w:rsidP="002234B4">
      <w:r>
        <w:t xml:space="preserve">Python, accelerated with </w:t>
      </w:r>
      <w:proofErr w:type="spellStart"/>
      <w:r>
        <w:t>Numby</w:t>
      </w:r>
      <w:proofErr w:type="spellEnd"/>
      <w:r>
        <w:t>.</w:t>
      </w:r>
    </w:p>
    <w:p w:rsidR="003F1882" w:rsidRDefault="003F1882" w:rsidP="002234B4"/>
    <w:p w:rsidR="003F1882" w:rsidRPr="00565742" w:rsidRDefault="003F1882" w:rsidP="003F1882">
      <w:pPr>
        <w:pStyle w:val="ListParagraph"/>
        <w:numPr>
          <w:ilvl w:val="0"/>
          <w:numId w:val="5"/>
        </w:numPr>
        <w:rPr>
          <w:b/>
          <w:bCs/>
        </w:rPr>
      </w:pPr>
      <w:r>
        <w:rPr>
          <w:b/>
          <w:bCs/>
        </w:rPr>
        <w:t>Results</w:t>
      </w:r>
    </w:p>
    <w:p w:rsidR="00565742" w:rsidRDefault="00565742" w:rsidP="002234B4"/>
    <w:p w:rsidR="00565742" w:rsidRDefault="00565742" w:rsidP="002234B4"/>
    <w:p w:rsidR="000B16ED" w:rsidRDefault="00502A61" w:rsidP="002234B4">
      <w:r>
        <w:rPr>
          <w:noProof/>
        </w:rPr>
        <w:drawing>
          <wp:inline distT="0" distB="0" distL="0" distR="0">
            <wp:extent cx="2683708" cy="2011680"/>
            <wp:effectExtent l="0" t="0" r="0" b="0"/>
            <wp:docPr id="136221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9677" cy="2016155"/>
                    </a:xfrm>
                    <a:prstGeom prst="rect">
                      <a:avLst/>
                    </a:prstGeom>
                    <a:noFill/>
                    <a:ln>
                      <a:noFill/>
                    </a:ln>
                  </pic:spPr>
                </pic:pic>
              </a:graphicData>
            </a:graphic>
          </wp:inline>
        </w:drawing>
      </w:r>
      <w:r>
        <w:rPr>
          <w:noProof/>
        </w:rPr>
        <w:drawing>
          <wp:inline distT="0" distB="0" distL="0" distR="0">
            <wp:extent cx="2683792" cy="2011744"/>
            <wp:effectExtent l="0" t="0" r="0" b="0"/>
            <wp:docPr id="488538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4413" cy="2034697"/>
                    </a:xfrm>
                    <a:prstGeom prst="rect">
                      <a:avLst/>
                    </a:prstGeom>
                    <a:noFill/>
                    <a:ln>
                      <a:noFill/>
                    </a:ln>
                  </pic:spPr>
                </pic:pic>
              </a:graphicData>
            </a:graphic>
          </wp:inline>
        </w:drawing>
      </w:r>
    </w:p>
    <w:p w:rsidR="008711C6" w:rsidRDefault="008711C6" w:rsidP="002234B4">
      <w:r w:rsidRPr="00DC2BA8">
        <w:rPr>
          <w:b/>
          <w:bCs/>
        </w:rPr>
        <w:t xml:space="preserve">Fig. </w:t>
      </w:r>
      <w:r w:rsidR="003F1882">
        <w:rPr>
          <w:b/>
          <w:bCs/>
        </w:rPr>
        <w:t>2</w:t>
      </w:r>
      <w:r>
        <w:t>. …</w:t>
      </w:r>
    </w:p>
    <w:p w:rsidR="00565742" w:rsidRDefault="00565742" w:rsidP="002234B4"/>
    <w:p w:rsidR="00565742" w:rsidRDefault="00565742" w:rsidP="002234B4"/>
    <w:p w:rsidR="008711C6" w:rsidRDefault="008711C6" w:rsidP="008711C6">
      <w:pPr>
        <w:jc w:val="center"/>
      </w:pPr>
      <w:r>
        <w:rPr>
          <w:noProof/>
        </w:rPr>
        <w:drawing>
          <wp:inline distT="0" distB="0" distL="0" distR="0" wp14:anchorId="0F3D92E4" wp14:editId="4838F0D8">
            <wp:extent cx="2561832" cy="1911269"/>
            <wp:effectExtent l="0" t="0" r="3810" b="0"/>
            <wp:docPr id="184297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70984" name=""/>
                    <pic:cNvPicPr/>
                  </pic:nvPicPr>
                  <pic:blipFill rotWithShape="1">
                    <a:blip r:embed="rId8"/>
                    <a:srcRect t="8816"/>
                    <a:stretch/>
                  </pic:blipFill>
                  <pic:spPr bwMode="auto">
                    <a:xfrm>
                      <a:off x="0" y="0"/>
                      <a:ext cx="2574191" cy="1920490"/>
                    </a:xfrm>
                    <a:prstGeom prst="rect">
                      <a:avLst/>
                    </a:prstGeom>
                    <a:ln>
                      <a:noFill/>
                    </a:ln>
                    <a:extLst>
                      <a:ext uri="{53640926-AAD7-44D8-BBD7-CCE9431645EC}">
                        <a14:shadowObscured xmlns:a14="http://schemas.microsoft.com/office/drawing/2010/main"/>
                      </a:ext>
                    </a:extLst>
                  </pic:spPr>
                </pic:pic>
              </a:graphicData>
            </a:graphic>
          </wp:inline>
        </w:drawing>
      </w:r>
      <w:r w:rsidRPr="00DC2BA8">
        <w:rPr>
          <w:noProof/>
        </w:rPr>
        <w:t xml:space="preserve"> </w:t>
      </w:r>
      <w:r>
        <w:rPr>
          <w:noProof/>
        </w:rPr>
        <w:drawing>
          <wp:inline distT="0" distB="0" distL="0" distR="0" wp14:anchorId="4B7C7B44" wp14:editId="0191AFA8">
            <wp:extent cx="3301465" cy="1893998"/>
            <wp:effectExtent l="0" t="0" r="635" b="0"/>
            <wp:docPr id="24618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80242" name=""/>
                    <pic:cNvPicPr/>
                  </pic:nvPicPr>
                  <pic:blipFill>
                    <a:blip r:embed="rId9"/>
                    <a:stretch>
                      <a:fillRect/>
                    </a:stretch>
                  </pic:blipFill>
                  <pic:spPr>
                    <a:xfrm>
                      <a:off x="0" y="0"/>
                      <a:ext cx="3311288" cy="1899633"/>
                    </a:xfrm>
                    <a:prstGeom prst="rect">
                      <a:avLst/>
                    </a:prstGeom>
                  </pic:spPr>
                </pic:pic>
              </a:graphicData>
            </a:graphic>
          </wp:inline>
        </w:drawing>
      </w:r>
    </w:p>
    <w:p w:rsidR="008711C6" w:rsidRDefault="008711C6" w:rsidP="008711C6">
      <w:pPr>
        <w:jc w:val="center"/>
      </w:pPr>
    </w:p>
    <w:p w:rsidR="008711C6" w:rsidRDefault="008711C6" w:rsidP="008711C6">
      <w:pPr>
        <w:rPr>
          <w:rFonts w:eastAsiaTheme="minorEastAsia"/>
        </w:rPr>
      </w:pPr>
      <w:r w:rsidRPr="00DC2BA8">
        <w:rPr>
          <w:b/>
          <w:bCs/>
        </w:rPr>
        <w:lastRenderedPageBreak/>
        <w:t xml:space="preserve">Fig. </w:t>
      </w:r>
      <w:r w:rsidR="003F1882">
        <w:rPr>
          <w:b/>
          <w:bCs/>
        </w:rPr>
        <w:t>3</w:t>
      </w:r>
      <w:r>
        <w:t>. Left: Surface layer wavelength (</w:t>
      </w:r>
      <m:oMath>
        <m:r>
          <w:rPr>
            <w:rFonts w:ascii="Cambria Math" w:hAnsi="Cambria Math"/>
          </w:rPr>
          <m:t>λ</m:t>
        </m:r>
      </m:oMath>
      <w:r>
        <w:t xml:space="preserve">) as a function of the dimensionless parameter </w:t>
      </w:r>
      <m:oMath>
        <m:sSup>
          <m:sSupPr>
            <m:ctrlPr>
              <w:rPr>
                <w:rFonts w:ascii="Cambria Math" w:hAnsi="Cambria Math"/>
                <w:i/>
              </w:rPr>
            </m:ctrlPr>
          </m:sSupPr>
          <m:e>
            <m:r>
              <w:rPr>
                <w:rFonts w:ascii="Cambria Math" w:hAnsi="Cambria Math"/>
              </w:rPr>
              <m:t>z≡</m:t>
            </m:r>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c</m:t>
                        </m:r>
                      </m:e>
                      <m:sub>
                        <m:r>
                          <w:rPr>
                            <w:rFonts w:ascii="Cambria Math" w:hAnsi="Cambria Math"/>
                          </w:rPr>
                          <m:t>r</m:t>
                        </m:r>
                      </m:sub>
                    </m:sSub>
                    <m:sSub>
                      <m:sSubPr>
                        <m:ctrlPr>
                          <w:rPr>
                            <w:rFonts w:ascii="Cambria Math" w:hAnsi="Cambria Math"/>
                            <w:i/>
                          </w:rPr>
                        </m:ctrlPr>
                      </m:sSubPr>
                      <m:e>
                        <m:r>
                          <w:rPr>
                            <w:rFonts w:ascii="Cambria Math" w:hAnsi="Cambria Math"/>
                          </w:rPr>
                          <m:t>ν</m:t>
                        </m:r>
                      </m:e>
                      <m:sub>
                        <m:r>
                          <w:rPr>
                            <w:rFonts w:ascii="Cambria Math" w:hAnsi="Cambria Math"/>
                          </w:rPr>
                          <m:t>kin</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eastAsiaTheme="minorEastAsia" w:hAnsi="Cambria Math"/>
          </w:rPr>
          <m:t>×10</m:t>
        </m:r>
      </m:oMath>
      <w:r>
        <w:rPr>
          <w:rFonts w:eastAsiaTheme="minorEastAsia"/>
        </w:rPr>
        <w:t xml:space="preserve">. Right: </w:t>
      </w:r>
      <m:oMath>
        <m:r>
          <w:rPr>
            <w:rFonts w:ascii="Cambria Math" w:hAnsi="Cambria Math"/>
          </w:rPr>
          <m:t>λ</m:t>
        </m:r>
      </m:oMath>
      <w:r>
        <w:t xml:space="preserve"> as a function of the corner supersaturation </w:t>
      </w:r>
      <m:oMath>
        <m:sSub>
          <m:sSubPr>
            <m:ctrlPr>
              <w:rPr>
                <w:rFonts w:ascii="Cambria Math" w:hAnsi="Cambria Math"/>
                <w:i/>
              </w:rPr>
            </m:ctrlPr>
          </m:sSubPr>
          <m:e>
            <m:r>
              <w:rPr>
                <w:rFonts w:ascii="Cambria Math" w:hAnsi="Cambria Math"/>
              </w:rPr>
              <m:t>σ</m:t>
            </m:r>
          </m:e>
          <m:sub>
            <m:r>
              <w:rPr>
                <w:rFonts w:ascii="Cambria Math" w:hAnsi="Cambria Math"/>
              </w:rPr>
              <m:t>corner</m:t>
            </m:r>
          </m:sub>
        </m:sSub>
      </m:oMath>
      <w:r>
        <w:rPr>
          <w:rFonts w:eastAsiaTheme="minorEastAsia"/>
        </w:rPr>
        <w:t>.</w:t>
      </w:r>
    </w:p>
    <w:p w:rsidR="006A2CE0" w:rsidRDefault="006A2CE0" w:rsidP="008711C6">
      <w:pPr>
        <w:rPr>
          <w:rFonts w:eastAsiaTheme="minorEastAsia"/>
        </w:rPr>
      </w:pPr>
    </w:p>
    <w:p w:rsidR="008711C6" w:rsidRDefault="008711C6" w:rsidP="008711C6">
      <w:pPr>
        <w:rPr>
          <w:rFonts w:eastAsiaTheme="minorEastAsia"/>
        </w:rPr>
      </w:pPr>
    </w:p>
    <w:p w:rsidR="008711C6" w:rsidRDefault="008711C6" w:rsidP="002234B4"/>
    <w:sectPr w:rsidR="008711C6" w:rsidSect="002B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D3B"/>
    <w:multiLevelType w:val="multilevel"/>
    <w:tmpl w:val="9CD644E6"/>
    <w:styleLink w:val="negativ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32565D18"/>
    <w:multiLevelType w:val="hybridMultilevel"/>
    <w:tmpl w:val="59824D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2D29D2"/>
    <w:multiLevelType w:val="hybridMultilevel"/>
    <w:tmpl w:val="ACFA98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78E2F86"/>
    <w:multiLevelType w:val="hybridMultilevel"/>
    <w:tmpl w:val="E3723A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264A6A"/>
    <w:multiLevelType w:val="hybridMultilevel"/>
    <w:tmpl w:val="F68AD54C"/>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142D41"/>
    <w:multiLevelType w:val="hybridMultilevel"/>
    <w:tmpl w:val="B2EA4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711629">
    <w:abstractNumId w:val="0"/>
  </w:num>
  <w:num w:numId="2" w16cid:durableId="1918588286">
    <w:abstractNumId w:val="5"/>
  </w:num>
  <w:num w:numId="3" w16cid:durableId="858588217">
    <w:abstractNumId w:val="4"/>
  </w:num>
  <w:num w:numId="4" w16cid:durableId="1013603938">
    <w:abstractNumId w:val="1"/>
  </w:num>
  <w:num w:numId="5" w16cid:durableId="700133087">
    <w:abstractNumId w:val="2"/>
  </w:num>
  <w:num w:numId="6" w16cid:durableId="1433667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8C"/>
    <w:rsid w:val="00031FC4"/>
    <w:rsid w:val="000B16ED"/>
    <w:rsid w:val="00116B00"/>
    <w:rsid w:val="001C7B11"/>
    <w:rsid w:val="002070C6"/>
    <w:rsid w:val="002234B4"/>
    <w:rsid w:val="002B6906"/>
    <w:rsid w:val="002F7B11"/>
    <w:rsid w:val="003F1882"/>
    <w:rsid w:val="00403CF1"/>
    <w:rsid w:val="004A3525"/>
    <w:rsid w:val="004B79D2"/>
    <w:rsid w:val="004D4B3A"/>
    <w:rsid w:val="00502A61"/>
    <w:rsid w:val="00535E37"/>
    <w:rsid w:val="00565742"/>
    <w:rsid w:val="005A25CA"/>
    <w:rsid w:val="006A2CE0"/>
    <w:rsid w:val="006B337B"/>
    <w:rsid w:val="00827F8C"/>
    <w:rsid w:val="008711C6"/>
    <w:rsid w:val="00924684"/>
    <w:rsid w:val="0096545B"/>
    <w:rsid w:val="00A17C17"/>
    <w:rsid w:val="00A97378"/>
    <w:rsid w:val="00AC7714"/>
    <w:rsid w:val="00B24595"/>
    <w:rsid w:val="00B2614B"/>
    <w:rsid w:val="00B31E9E"/>
    <w:rsid w:val="00B45096"/>
    <w:rsid w:val="00B77A49"/>
    <w:rsid w:val="00BF4CB5"/>
    <w:rsid w:val="00C27A6A"/>
    <w:rsid w:val="00C8742D"/>
    <w:rsid w:val="00C9224E"/>
    <w:rsid w:val="00D45E44"/>
    <w:rsid w:val="00D7372D"/>
    <w:rsid w:val="00DA7EB5"/>
    <w:rsid w:val="00DC2BA8"/>
    <w:rsid w:val="00E24A3B"/>
    <w:rsid w:val="00E37105"/>
    <w:rsid w:val="00E42A2E"/>
    <w:rsid w:val="00E9776E"/>
    <w:rsid w:val="00ED7C57"/>
    <w:rsid w:val="00F55611"/>
    <w:rsid w:val="00F6291B"/>
    <w:rsid w:val="00F72199"/>
    <w:rsid w:val="00F8256C"/>
    <w:rsid w:val="00FB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7C98"/>
  <w15:chartTrackingRefBased/>
  <w15:docId w15:val="{DEC16D3E-9AA8-C849-959F-5E13FB28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egative">
    <w:name w:val="negative"/>
    <w:uiPriority w:val="99"/>
    <w:rsid w:val="004B79D2"/>
    <w:pPr>
      <w:numPr>
        <w:numId w:val="1"/>
      </w:numPr>
    </w:pPr>
  </w:style>
  <w:style w:type="paragraph" w:styleId="ListParagraph">
    <w:name w:val="List Paragraph"/>
    <w:basedOn w:val="Normal"/>
    <w:uiPriority w:val="34"/>
    <w:qFormat/>
    <w:rsid w:val="00B31E9E"/>
    <w:pPr>
      <w:ind w:left="720"/>
      <w:contextualSpacing/>
    </w:pPr>
  </w:style>
  <w:style w:type="character" w:styleId="PlaceholderText">
    <w:name w:val="Placeholder Text"/>
    <w:basedOn w:val="DefaultParagraphFont"/>
    <w:uiPriority w:val="99"/>
    <w:semiHidden/>
    <w:rsid w:val="00116B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898</Words>
  <Characters>4367</Characters>
  <Application>Microsoft Office Word</Application>
  <DocSecurity>0</DocSecurity>
  <Lines>198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5</cp:revision>
  <dcterms:created xsi:type="dcterms:W3CDTF">2024-01-07T18:07:00Z</dcterms:created>
  <dcterms:modified xsi:type="dcterms:W3CDTF">2024-01-09T19:46:00Z</dcterms:modified>
</cp:coreProperties>
</file>