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BE448D">
        <w:rPr>
          <w:i/>
          <w:iCs/>
        </w:rPr>
        <w:t>thawing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6A2CE0" w:rsidRPr="00565742" w:rsidRDefault="007523F3" w:rsidP="00565742">
      <w:pPr>
        <w:pStyle w:val="ListParagraph"/>
        <w:numPr>
          <w:ilvl w:val="0"/>
          <w:numId w:val="5"/>
        </w:numPr>
        <w:rPr>
          <w:b/>
          <w:bCs/>
        </w:rPr>
      </w:pPr>
      <w:r>
        <w:rPr>
          <w:b/>
          <w:bCs/>
        </w:rPr>
        <w:t>Introduction</w:t>
      </w:r>
    </w:p>
    <w:p w:rsidR="00D6125F" w:rsidRDefault="0004256F" w:rsidP="006A2CE0">
      <w:r>
        <w:t>Numerous</w:t>
      </w:r>
      <w:r>
        <w:t xml:space="preserve"> frameworks for thinking about ice surface morphology and dynamics during vapor depositional growth have been presented</w:t>
      </w:r>
      <w:r>
        <w:t xml:space="preserve"> (</w:t>
      </w:r>
      <w:r>
        <w:t xml:space="preserve">Harrington and </w:t>
      </w:r>
      <w:proofErr w:type="spellStart"/>
      <w:r>
        <w:t>Pokrifka</w:t>
      </w:r>
      <w:proofErr w:type="spellEnd"/>
      <w:r>
        <w:t xml:space="preserve"> [2021] provide an excellent review</w:t>
      </w:r>
      <w:r>
        <w:t xml:space="preserve"> of these)</w:t>
      </w:r>
      <w:r>
        <w:t xml:space="preserve">. </w:t>
      </w:r>
      <w:r>
        <w:t>These frameworks range from empirical to atomistic</w:t>
      </w:r>
      <w:r w:rsidR="00D11F9D">
        <w:t xml:space="preserve">, and are often focused on specific conditions and crystal surface types. The </w:t>
      </w:r>
      <w:r w:rsidR="0034754C">
        <w:t xml:space="preserve">so-called </w:t>
      </w:r>
      <w:r w:rsidR="00D11F9D">
        <w:t>capacitance model, for example, makes the assumption that the efficiency with which an ice surface captures water vapor that strike it is 100%, render</w:t>
      </w:r>
      <w:r w:rsidR="00DD4C79">
        <w:t>ing</w:t>
      </w:r>
      <w:r w:rsidR="00D11F9D">
        <w:t xml:space="preserve"> it applicable to </w:t>
      </w:r>
      <w:r w:rsidR="00DD4C79">
        <w:t xml:space="preserve">rough ice surfaces, but not </w:t>
      </w:r>
      <w:r w:rsidR="00D11F9D">
        <w:t xml:space="preserve">faceted </w:t>
      </w:r>
      <w:r w:rsidR="00DD4C79">
        <w:t>ones</w:t>
      </w:r>
      <w:r w:rsidR="00D11F9D">
        <w:t xml:space="preserve">. </w:t>
      </w:r>
    </w:p>
    <w:p w:rsidR="00D6125F" w:rsidRDefault="00D6125F" w:rsidP="006A2CE0"/>
    <w:p w:rsidR="006976F9" w:rsidRDefault="00D6125F" w:rsidP="006A2CE0">
      <w:r>
        <w:t>Of these, models rooted in a</w:t>
      </w:r>
      <w:r w:rsidR="00D11F9D">
        <w:t>tomistic</w:t>
      </w:r>
      <w:r>
        <w:t xml:space="preserve"> structure and processes</w:t>
      </w:r>
      <w:r w:rsidR="00D11F9D">
        <w:t xml:space="preserve"> are appealing because of the </w:t>
      </w:r>
      <w:r w:rsidR="00A65914">
        <w:t>evident</w:t>
      </w:r>
      <w:r w:rsidR="00D11F9D">
        <w:t xml:space="preserve"> connection between </w:t>
      </w:r>
      <w:r>
        <w:t xml:space="preserve">molecular </w:t>
      </w:r>
      <w:r w:rsidR="00A65914">
        <w:t xml:space="preserve">structure </w:t>
      </w:r>
      <w:r w:rsidR="00DD4C79">
        <w:t>on the one hand,</w:t>
      </w:r>
      <w:r w:rsidR="00A65914">
        <w:t xml:space="preserve"> and high-resolution microscopic </w:t>
      </w:r>
      <w:r w:rsidR="00DD4C79">
        <w:t>observations (</w:t>
      </w:r>
      <w:r w:rsidR="00DD4C79">
        <w:t>such as scanning electron microscopy</w:t>
      </w:r>
      <w:r w:rsidR="00DD4C79">
        <w:t>)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t>to</w:t>
      </w:r>
      <w:r w:rsidR="00D11F9D">
        <w:t xml:space="preserve"> </w:t>
      </w:r>
      <w:r w:rsidR="00A65914">
        <w:t>the hexagonal</w:t>
      </w:r>
      <w:r w:rsidR="00D11F9D">
        <w:t xml:space="preserve"> structure of the unit cell. </w:t>
      </w:r>
      <w:r>
        <w:t>Another</w:t>
      </w:r>
      <w:r w:rsidR="00A65914">
        <w:t xml:space="preserve"> is the </w:t>
      </w:r>
      <w:r w:rsidR="00A65914">
        <w:t>Burton-Cabrera-Frank model of crystal growth</w:t>
      </w:r>
      <w:r>
        <w:t xml:space="preserve"> (</w:t>
      </w:r>
      <w:r w:rsidR="00A65914">
        <w:t>also called classical nucleation</w:t>
      </w:r>
      <w:r w:rsidR="00454D26">
        <w:t xml:space="preserve"> </w:t>
      </w:r>
      <w:r w:rsidR="00A65914">
        <w:t>theor</w:t>
      </w:r>
      <w:r w:rsidR="00454D26">
        <w:t>y</w:t>
      </w:r>
      <w:r>
        <w:t>),</w:t>
      </w:r>
      <w:r w:rsidR="00A65914">
        <w:t xml:space="preserve"> which takes into account </w:t>
      </w:r>
      <w:r w:rsidR="00A65914" w:rsidRPr="00A65914">
        <w:t>gas-phase diffusion and surface kinetic effects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D6125F" w:rsidRDefault="007D0631" w:rsidP="006A2CE0">
      <w:r>
        <w:t xml:space="preserve">As appealing as </w:t>
      </w:r>
      <w:r w:rsidR="00454D26">
        <w:t>classical nucleation theory</w:t>
      </w:r>
      <w:r>
        <w:t xml:space="preserve"> </w:t>
      </w:r>
      <w:r w:rsidR="001C58EE">
        <w:t>is</w:t>
      </w:r>
      <w:r>
        <w:t>,</w:t>
      </w:r>
      <w:r w:rsidR="00C82F0C">
        <w:t xml:space="preserve"> </w:t>
      </w:r>
      <w:r w:rsidR="00C35025">
        <w:t xml:space="preserve">there are </w:t>
      </w:r>
      <w:r w:rsidR="00D6125F">
        <w:t>numerous challenges</w:t>
      </w:r>
      <w:r w:rsidR="00C82F0C">
        <w:t xml:space="preserve">. </w:t>
      </w:r>
      <w:r w:rsidR="00D6125F">
        <w:t xml:space="preserve">One is an effect we may call the “scale problem,” namely, that atomistic time and distance scales are vastly smaller than mesoscopic ones. </w:t>
      </w:r>
      <w:r w:rsidR="002661B3">
        <w:t xml:space="preserve">Bridging that gap requires that one make judgements as to what </w:t>
      </w:r>
      <w:r w:rsidR="002661B3">
        <w:lastRenderedPageBreak/>
        <w:t>is important, and what may be ignored.</w:t>
      </w:r>
      <w:r w:rsidR="00D6125F">
        <w:t xml:space="preserve"> </w:t>
      </w:r>
      <w:r w:rsidR="002661B3">
        <w:t>A great deal of progress has been made of late addressing this type of problem, although not specifically as applied to ice crystal dynamics.</w:t>
      </w:r>
    </w:p>
    <w:p w:rsidR="002661B3" w:rsidRDefault="002661B3" w:rsidP="006A2CE0"/>
    <w:p w:rsidR="000D1FCD" w:rsidRDefault="002661B3" w:rsidP="006A2CE0">
      <w:r>
        <w:t>A second challenge</w:t>
      </w:r>
      <w:r w:rsidR="00356BBD">
        <w:t xml:space="preserve"> concerns </w:t>
      </w:r>
      <w:r w:rsidR="009C114D">
        <w:t xml:space="preserve">an </w:t>
      </w:r>
      <w:r w:rsidR="00C35025">
        <w:t xml:space="preserve">effect </w:t>
      </w:r>
      <w:r w:rsidR="009C114D">
        <w:t xml:space="preserve">we shall term the “corner dispersal problem,” which </w:t>
      </w:r>
      <w:r>
        <w:t xml:space="preserve">is specific to </w:t>
      </w:r>
      <w:r>
        <w:t>ice crystal dynamics</w:t>
      </w:r>
      <w:r>
        <w:t xml:space="preserve">. It </w:t>
      </w:r>
      <w:r w:rsidR="009C114D">
        <w:t xml:space="preserve">arises when </w:t>
      </w:r>
      <w:r w:rsidR="000D1FCD">
        <w:t xml:space="preserve">a </w:t>
      </w:r>
      <w:r w:rsidR="00C82F0C">
        <w:t xml:space="preserve">faceted </w:t>
      </w:r>
      <w:r w:rsidR="00DE3C4C">
        <w:t xml:space="preserve">ice </w:t>
      </w:r>
      <w:r w:rsidR="00C82F0C">
        <w:t>crystal</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 experience</w:t>
      </w:r>
      <w:r w:rsidR="009C114D">
        <w:t>s</w:t>
      </w:r>
      <w:r w:rsidR="00A52DC2">
        <w:t xml:space="preserve"> persistently higher</w:t>
      </w:r>
      <w:r w:rsidR="00356BBD">
        <w:t xml:space="preserve"> vapor pressure</w:t>
      </w:r>
      <w:r w:rsidR="00A52DC2">
        <w:t>s</w:t>
      </w:r>
      <w:r w:rsidR="00C35025">
        <w:t xml:space="preserve"> at</w:t>
      </w:r>
      <w:r w:rsidR="00356BBD">
        <w:t xml:space="preserve"> </w:t>
      </w:r>
      <w:r w:rsidR="00C35025">
        <w:t xml:space="preserve">protruding </w:t>
      </w:r>
      <w:r w:rsidR="00454D26">
        <w:t xml:space="preserve">facet </w:t>
      </w:r>
      <w:r w:rsidR="003511FF">
        <w:t>corners</w:t>
      </w:r>
      <w:r w:rsidR="00DE3C4C">
        <w:t xml:space="preserve">. </w:t>
      </w:r>
      <w:r>
        <w:t>In</w:t>
      </w:r>
      <w:r w:rsidR="009345EB">
        <w:t xml:space="preserve"> some </w:t>
      </w:r>
      <w:r>
        <w:t>cases</w:t>
      </w:r>
      <w:r w:rsidR="00F2619E">
        <w:t>,</w:t>
      </w:r>
      <w:r w:rsidR="006D4271">
        <w:t xml:space="preserve"> </w:t>
      </w:r>
      <w:r w:rsidR="00454D26">
        <w:t xml:space="preserve">it is believed, </w:t>
      </w:r>
      <w:r w:rsidR="006D4271">
        <w:t>th</w:t>
      </w:r>
      <w:r w:rsidR="00A52DC2">
        <w:t xml:space="preserve">is </w:t>
      </w:r>
      <w:r>
        <w:t>results in</w:t>
      </w:r>
      <w:r w:rsidR="00A52DC2">
        <w:t xml:space="preserve"> faster growth at</w:t>
      </w:r>
      <w:r w:rsidR="00920BA2">
        <w:t xml:space="preserve"> </w:t>
      </w:r>
      <w:r w:rsidR="00C35025">
        <w:t>those</w:t>
      </w:r>
      <w:r w:rsidR="00F2619E">
        <w:t xml:space="preserve"> </w:t>
      </w:r>
      <w:r w:rsidR="006D4271">
        <w:t>corners</w:t>
      </w:r>
      <w:r w:rsidR="00A52DC2">
        <w:t xml:space="preserve">, </w:t>
      </w:r>
      <w:r w:rsidR="009345EB">
        <w:t xml:space="preserve">eventually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t xml:space="preserve">In other </w:t>
      </w:r>
      <w:proofErr w:type="spellStart"/>
      <w:r>
        <w:t>cases</w:t>
      </w:r>
      <w:r w:rsidR="009345EB">
        <w:t xml:space="preserve">, </w:t>
      </w:r>
      <w:proofErr w:type="spellEnd"/>
      <w:r w:rsidR="009345EB">
        <w:t>however,</w:t>
      </w:r>
      <w:r w:rsidR="00314674">
        <w:t xml:space="preserve"> </w:t>
      </w:r>
      <w:r w:rsidR="00920BA2">
        <w:t xml:space="preserve">faceted </w:t>
      </w:r>
      <w:r w:rsidR="00A52DC2">
        <w:t xml:space="preserve">morphology </w:t>
      </w:r>
      <w:r w:rsidR="008B03B6">
        <w:t>is maintained</w:t>
      </w:r>
      <w:r w:rsidR="00F2619E">
        <w:t xml:space="preserve"> </w:t>
      </w:r>
      <w:r w:rsidR="00454D26">
        <w:t>in the presence of</w:t>
      </w:r>
      <w:r w:rsidR="00F2619E">
        <w:t xml:space="preserve"> </w:t>
      </w:r>
      <w:r w:rsidR="00454D26">
        <w:t>such</w:t>
      </w:r>
      <w:r w:rsidR="00F2619E">
        <w:t xml:space="preserve"> inhomogeneity</w:t>
      </w:r>
      <w:r w:rsidR="00E04F82">
        <w:t xml:space="preserve"> </w:t>
      </w:r>
      <w:r w:rsidR="00A52DC2">
        <w:t>–</w:t>
      </w:r>
      <w:r w:rsidR="009C114D">
        <w:t xml:space="preserve"> </w:t>
      </w:r>
      <w:r w:rsidR="00A52DC2">
        <w:t>example</w:t>
      </w:r>
      <w:r w:rsidR="009C114D">
        <w:t>s</w:t>
      </w:r>
      <w:r w:rsidR="00A52DC2">
        <w:t xml:space="preserve"> being t</w:t>
      </w:r>
      <w:r w:rsidR="00F2619E">
        <w:t xml:space="preserve">he faceted ice crystals </w:t>
      </w:r>
      <w:r w:rsidR="00A52DC2">
        <w:t xml:space="preserve">found </w:t>
      </w:r>
      <w:r w:rsidR="00F2619E">
        <w:t xml:space="preserve">in </w:t>
      </w:r>
      <w:r w:rsidR="00C35025">
        <w:t>high</w:t>
      </w:r>
      <w:r w:rsidR="000D1FCD">
        <w:t>-altitude</w:t>
      </w:r>
      <w:r w:rsidR="00C35025">
        <w:t xml:space="preserve"> </w:t>
      </w:r>
      <w:r w:rsidR="00F2619E">
        <w:t>cirrus clouds</w:t>
      </w:r>
      <w:r w:rsidR="00C35025">
        <w:t xml:space="preserve">, and in </w:t>
      </w:r>
      <w:r w:rsidR="00454D26">
        <w:t xml:space="preserve">low-pressure </w:t>
      </w:r>
      <w:r w:rsidR="00C35025">
        <w:t>SEM experiments</w:t>
      </w:r>
      <w:r w:rsidR="009C114D">
        <w:t xml:space="preserve"> –</w:t>
      </w:r>
      <w:r w:rsidR="00454D26">
        <w:t xml:space="preserve"> even when </w:t>
      </w:r>
      <w:r w:rsidR="00C35025">
        <w:t>facets</w:t>
      </w:r>
      <w:r w:rsidR="006D4271">
        <w:t xml:space="preserve"> </w:t>
      </w:r>
      <w:r w:rsidR="00C35025">
        <w:t>are large enough that</w:t>
      </w:r>
      <w:r w:rsidR="006D4271">
        <w:t xml:space="preserve"> </w:t>
      </w:r>
      <w:r w:rsidR="009345EB">
        <w:t xml:space="preserve">admolecule surface diffusion </w:t>
      </w:r>
      <w:r w:rsidR="00C35025">
        <w:t>alone cannot</w:t>
      </w:r>
      <w:r w:rsidR="003D0C5C">
        <w:t xml:space="preserve"> </w:t>
      </w:r>
      <w:r w:rsidR="00C35025">
        <w:t>disperse</w:t>
      </w:r>
      <w:r w:rsidR="003D0C5C">
        <w:t xml:space="preserve"> </w:t>
      </w:r>
      <w:r w:rsidR="000D1FCD">
        <w:t>excess admolecules</w:t>
      </w:r>
      <w:r>
        <w:t xml:space="preserve"> deposited at facet corners,</w:t>
      </w:r>
      <w:r w:rsidR="000D1FCD">
        <w:t xml:space="preserve"> in </w:t>
      </w:r>
      <w:r w:rsidR="00C35025">
        <w:t>to</w:t>
      </w:r>
      <w:r w:rsidR="000D1FCD">
        <w:t>ward</w:t>
      </w:r>
      <w:r w:rsidR="00C35025">
        <w:t xml:space="preserve"> facet centers. </w:t>
      </w:r>
      <w:r w:rsidR="00454D26">
        <w:t>There is also an analogous “rounding problem,” which applies</w:t>
      </w:r>
      <w:r w:rsidR="009345EB">
        <w:t xml:space="preserve"> to subsaturated conditions</w:t>
      </w:r>
      <w:r w:rsidR="009C114D">
        <w:t xml:space="preserve">, in which </w:t>
      </w:r>
      <w:r w:rsidR="009345EB">
        <w:t>a</w:t>
      </w:r>
      <w:r w:rsidR="00FD06D6">
        <w:t xml:space="preserve">n initially-faceted </w:t>
      </w:r>
      <w:r w:rsidR="009345EB">
        <w:t xml:space="preserve">crystal </w:t>
      </w:r>
      <w:r w:rsidR="009C114D">
        <w:t xml:space="preserve">in a subsaturated environment experiences persistently lower vapor pressure at protruding facet corners. </w:t>
      </w:r>
      <w:r>
        <w:t>In</w:t>
      </w:r>
      <w:r w:rsidR="009C114D">
        <w:t xml:space="preserve"> some </w:t>
      </w:r>
      <w:r>
        <w:t>cases</w:t>
      </w:r>
      <w:r w:rsidR="009C114D">
        <w:t>, the crystal re</w:t>
      </w:r>
      <w:r w:rsidR="00FD06D6">
        <w:t xml:space="preserve">sponds </w:t>
      </w:r>
      <w:r w:rsidR="009C114D">
        <w:t xml:space="preserve">by </w:t>
      </w:r>
      <w:r w:rsidR="009345EB">
        <w:t>adopt</w:t>
      </w:r>
      <w:r w:rsidR="00FD06D6">
        <w:t>ing</w:t>
      </w:r>
      <w:r w:rsidR="009345EB">
        <w:t xml:space="preserve"> a rounded geometry</w:t>
      </w:r>
      <w:r w:rsidR="00FD06D6">
        <w:t xml:space="preserve">, </w:t>
      </w:r>
      <w:r w:rsidR="009C114D">
        <w:t>but</w:t>
      </w:r>
      <w:r w:rsidR="00FD06D6">
        <w:t xml:space="preserve"> </w:t>
      </w:r>
      <w:r>
        <w:t>in other cases</w:t>
      </w:r>
      <w:r w:rsidR="009C114D">
        <w:t xml:space="preserve"> </w:t>
      </w:r>
      <w:r w:rsidR="009C114D">
        <w:t>faceted morphology is</w:t>
      </w:r>
      <w:r w:rsidR="009C114D">
        <w:t>, again,</w:t>
      </w:r>
      <w:r w:rsidR="009C114D">
        <w:t xml:space="preserve"> stubbornly</w:t>
      </w:r>
      <w:r w:rsidR="009C114D">
        <w:t xml:space="preserve"> </w:t>
      </w:r>
      <w:r w:rsidR="009C114D">
        <w:t>maintained</w:t>
      </w:r>
      <w:r w:rsidR="00FD06D6">
        <w:t xml:space="preserve">. </w:t>
      </w:r>
    </w:p>
    <w:p w:rsidR="000D1FCD" w:rsidRDefault="000D1FCD" w:rsidP="006A2CE0"/>
    <w:p w:rsidR="00CE6387" w:rsidRDefault="009C114D" w:rsidP="006A2CE0">
      <w:r>
        <w:t>Th</w:t>
      </w:r>
      <w:r>
        <w:t>e</w:t>
      </w:r>
      <w:r>
        <w:t xml:space="preserve"> corner dispersal </w:t>
      </w:r>
      <w:r>
        <w:t>and rounding problems are</w:t>
      </w:r>
      <w:r>
        <w:t xml:space="preserve"> not resolved by classical nucleation theory. </w:t>
      </w:r>
      <w:r>
        <w:t xml:space="preserve">To add to that criticism is </w:t>
      </w:r>
      <w:r w:rsidR="000D1FCD">
        <w:t>the fealty (or lack of it) of the theory to what we believe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w:t>
      </w:r>
      <w:r w:rsidR="000D1FCD">
        <w:t>have shown that</w:t>
      </w:r>
      <w:r w:rsidR="000D1FCD">
        <w:t xml:space="preserve">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p>
    <w:p w:rsidR="0004256F" w:rsidRDefault="0004256F" w:rsidP="0004256F"/>
    <w:p w:rsidR="00AA443B" w:rsidRDefault="0034754C" w:rsidP="006A2CE0">
      <w:r>
        <w:t>To</w:t>
      </w:r>
      <w:r w:rsidR="0004256F">
        <w:t xml:space="preserve"> bridg</w:t>
      </w:r>
      <w:r>
        <w:t>e</w:t>
      </w:r>
      <w:r w:rsidR="0004256F">
        <w:t xml:space="preserve"> the gap between atomistic </w:t>
      </w:r>
      <w:r>
        <w:t>and</w:t>
      </w:r>
      <w:r w:rsidR="0004256F">
        <w:t xml:space="preserve"> mesosc</w:t>
      </w:r>
      <w:r>
        <w:t>ale</w:t>
      </w:r>
      <w:r w:rsidR="0004256F">
        <w:t xml:space="preserve"> level</w:t>
      </w:r>
      <w:r>
        <w:t xml:space="preserve">s, therefore, it would seem that we require an atomistic model that is faithful to the existence of a QLL (above </w:t>
      </w:r>
      <m:oMath>
        <m:r>
          <w:rPr>
            <w:rFonts w:ascii="Cambria Math" w:hAnsi="Cambria Math"/>
          </w:rPr>
          <m:t>240 K</m:t>
        </m:r>
      </m:oMath>
      <w:r>
        <w:t>), and that overcomes the multi-scaling problem.</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9A7AAB">
        <w:t xml:space="preserve"> </w:t>
      </w:r>
      <w:r w:rsidR="008C5BCD">
        <w:t xml:space="preserve">referred to here as </w:t>
      </w:r>
      <w:r w:rsidR="00C45FB5">
        <w:t>QLC</w:t>
      </w:r>
      <w:r w:rsidR="009A7AAB">
        <w:t>-1</w:t>
      </w:r>
      <w:r w:rsidR="00AF2A7D">
        <w:t xml:space="preserve">. </w:t>
      </w:r>
      <w:r w:rsidR="00AA443B">
        <w:t>Because that model forms the foundation for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w:t>
      </w:r>
      <w:r w:rsidR="00796D5B">
        <w:t>its</w:t>
      </w:r>
      <w:r w:rsidR="003F54A7">
        <w:t xml:space="preserve"> quasi-liquid part</w:t>
      </w:r>
      <w:r w:rsidR="002C7420">
        <w:t>.</w:t>
      </w:r>
      <w:r w:rsidR="003F54A7">
        <w:t xml:space="preserve"> </w:t>
      </w:r>
      <w:r w:rsidR="00265AC7">
        <w:t>Time evolution of these variables is governed by a pair of reaction-diffusion differential equations that represent the three processes indicated in Fig. 1, namely, (</w:t>
      </w:r>
      <w:proofErr w:type="spellStart"/>
      <w:r w:rsidR="00265AC7">
        <w:t>i</w:t>
      </w:r>
      <w:proofErr w:type="spellEnd"/>
      <w:r w:rsidR="00265AC7">
        <w:t xml:space="preserve">) </w:t>
      </w:r>
      <w:r w:rsidR="00DC42A9">
        <w:t xml:space="preserve">exchanges (deposition and ablation) with the vapor phase, </w:t>
      </w:r>
      <w:r w:rsidR="00265AC7">
        <w:t>(ii) horizontal diffusion of the QLL</w:t>
      </w:r>
      <w:r w:rsidR="00DC42A9">
        <w:t xml:space="preserve"> across the ice surface</w:t>
      </w:r>
      <w:r w:rsidR="00265AC7">
        <w:t>, and (iii) interconversion of QLL molecules to/from the underlying ice.</w:t>
      </w:r>
    </w:p>
    <w:p w:rsidR="00264E12" w:rsidRDefault="00264E12"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162420" w:rsidP="00B96C79">
            <w:pPr>
              <w:keepNext/>
            </w:pPr>
            <w:r w:rsidRPr="00162420">
              <w:rPr>
                <w:noProof/>
              </w:rPr>
              <w:lastRenderedPageBreak/>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is that it provides a mechanism by which faceted ice crystal growth occur</w:t>
      </w:r>
      <w:r w:rsidR="005E796C">
        <w:t>s</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lastRenderedPageBreak/>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 xml:space="preserve">I-like regions,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 of the surface.</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 xml:space="preserve">e. </w:t>
      </w:r>
      <w:r w:rsidR="00F132FD">
        <w:rPr>
          <w:rFonts w:eastAsiaTheme="minorEastAsia"/>
        </w:rPr>
        <w:t>(</w:t>
      </w:r>
      <w:r>
        <w:rPr>
          <w:rFonts w:eastAsiaTheme="minorEastAsia"/>
        </w:rPr>
        <w:t>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w:t>
      </w:r>
      <w:r w:rsidR="00F132FD">
        <w:rPr>
          <w:rFonts w:eastAsiaTheme="minorEastAsia"/>
        </w:rPr>
        <w:t>)</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we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lastRenderedPageBreak/>
        <w:t>In summary,</w:t>
      </w:r>
      <w:r w:rsidR="00603757">
        <w:t xml:space="preserve"> </w:t>
      </w:r>
      <w:r>
        <w:t xml:space="preserve">the corners of </w:t>
      </w:r>
      <w:r w:rsidR="009F032C">
        <w:t>an initially flat facet</w:t>
      </w:r>
      <w:r w:rsidR="00D36F23">
        <w:t xml:space="preserve"> exposed </w:t>
      </w:r>
      <w:r w:rsidR="009F032C">
        <w:t>to supersatura</w:t>
      </w:r>
      <w:r w:rsidR="00D36F23">
        <w:t>ted vapor</w:t>
      </w:r>
      <w:r w:rsidR="009F032C">
        <w:t xml:space="preserve"> </w:t>
      </w:r>
      <w:r w:rsidR="00E16D1E">
        <w:t>will</w:t>
      </w:r>
      <w:r w:rsidR="00603757">
        <w:t xml:space="preserve"> </w:t>
      </w:r>
      <w:r w:rsidR="00E16D1E">
        <w:t xml:space="preserve">experience an enhancement in </w:t>
      </w:r>
      <w:r>
        <w:t>grow</w:t>
      </w:r>
      <w:r w:rsidR="00E16D1E">
        <w:t>th rate</w:t>
      </w:r>
      <w:r>
        <w:t xml:space="preserve"> because of </w:t>
      </w:r>
      <w:r w:rsidR="00E16D1E">
        <w:t>increased</w:t>
      </w:r>
      <w:r w:rsidR="00CC7A08">
        <w:t xml:space="preserve"> </w:t>
      </w:r>
      <w:r>
        <w:t>vapor</w:t>
      </w:r>
      <w:r w:rsidR="00E16D1E">
        <w:t xml:space="preserve"> concentration above it</w:t>
      </w:r>
      <w:r>
        <w:t xml:space="preserve">, but that same enhancement </w:t>
      </w:r>
      <w:r w:rsidR="00E16D1E">
        <w:t>leads to a compensating</w:t>
      </w:r>
      <w:r w:rsidR="00CC7A08">
        <w:t xml:space="preserve"> </w:t>
      </w:r>
      <w:r w:rsidR="00E16D1E">
        <w:t>increase in</w:t>
      </w:r>
      <w:r w:rsidR="00CC7A08">
        <w:t xml:space="preserve"> diffusive slowdown</w:t>
      </w:r>
      <w:r w:rsidR="00F132FD">
        <w:t xml:space="preserve"> because layers of ice are more tightly spaced.</w:t>
      </w:r>
      <w:r w:rsidR="00CC7A08">
        <w:t xml:space="preserve"> </w:t>
      </w:r>
      <w:r w:rsidR="00E16D1E">
        <w:t>When these effects are in dynamic balance,</w:t>
      </w:r>
      <w:r>
        <w:t xml:space="preserve"> </w:t>
      </w:r>
      <w:r w:rsidR="00E16D1E">
        <w:t>the result is</w:t>
      </w:r>
      <w:r>
        <w:t xml:space="preserve"> </w:t>
      </w:r>
      <w:r w:rsidR="00E16D1E">
        <w:t xml:space="preserve">a steady state characterized by equal growth rates of all regions of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several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work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structure of the vapor field in contact with growing ice crystals</w:t>
      </w:r>
      <w:r w:rsidR="00F44472">
        <w:t>.</w:t>
      </w:r>
      <w:r w:rsidR="00C73424">
        <w:t xml:space="preserve"> Section </w:t>
      </w:r>
      <w:r w:rsidR="00A8191A">
        <w:t xml:space="preserve">4 presents </w:t>
      </w:r>
      <w:proofErr w:type="gramStart"/>
      <w:r w:rsidR="00A8191A">
        <w:t>results</w:t>
      </w:r>
      <w:proofErr w:type="gramEnd"/>
      <w:r w:rsidR="00A8191A">
        <w:t xml:space="preserve"> of simulations and SEM experiments, along five lines of investigation. Section 5 summarizes and</w:t>
      </w:r>
      <w:r w:rsidR="00C73424">
        <w:t xml:space="preserve"> 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 xml:space="preserve">The present </w:t>
      </w:r>
      <w:r w:rsidR="00854B18">
        <w:t>model</w:t>
      </w:r>
      <w:r w:rsidR="00DD29EF">
        <w:t>, QLC</w:t>
      </w:r>
      <w:r w:rsidR="00854B18">
        <w:t>-</w:t>
      </w:r>
      <w:r w:rsidR="00DD29EF">
        <w:t>2</w:t>
      </w:r>
      <w:r w:rsidR="00854B18">
        <w:t>,</w:t>
      </w:r>
      <w:r>
        <w:t xml:space="preserve"> has much in common with </w:t>
      </w:r>
      <w:r w:rsidR="00DD29EF">
        <w:t>QLC</w:t>
      </w:r>
      <w:r w:rsidR="00854B18">
        <w:t>-</w:t>
      </w:r>
      <w:r w:rsidR="00DD29EF">
        <w:t>1</w:t>
      </w:r>
      <w:r>
        <w:t xml:space="preserve">,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E535E9">
      <w:pPr>
        <w:pStyle w:val="ListParagraph"/>
        <w:numPr>
          <w:ilvl w:val="0"/>
          <w:numId w:val="8"/>
        </w:numPr>
        <w:ind w:left="360"/>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7523F3" w:rsidRDefault="007523F3" w:rsidP="007523F3">
      <w:pPr>
        <w:pStyle w:val="ListParagraph"/>
        <w:ind w:left="360"/>
        <w:rPr>
          <w:rFonts w:eastAsiaTheme="minorEastAsia"/>
        </w:rPr>
      </w:pPr>
    </w:p>
    <w:p w:rsidR="00AC7714"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p>
    <w:p w:rsidR="007523F3" w:rsidRPr="007523F3" w:rsidRDefault="007523F3" w:rsidP="007523F3">
      <w:pPr>
        <w:rPr>
          <w:rFonts w:eastAsiaTheme="minorEastAsia"/>
        </w:rPr>
      </w:pPr>
    </w:p>
    <w:p w:rsidR="00CC4957" w:rsidRPr="00BF4CB5" w:rsidRDefault="00000000" w:rsidP="00CC4957">
      <w:pPr>
        <w:pStyle w:val="ListParagraph"/>
        <w:numPr>
          <w:ilvl w:val="0"/>
          <w:numId w:val="8"/>
        </w:numPr>
        <w:ind w:left="36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(2)</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DD29EF" w:rsidP="00DD29EF">
      <w:pPr>
        <w:pStyle w:val="ListParagraph"/>
        <w:numPr>
          <w:ilvl w:val="0"/>
          <w:numId w:val="8"/>
        </w:numPr>
        <w:ind w:left="360"/>
        <w:rPr>
          <w:rFonts w:eastAsiaTheme="minorEastAsia"/>
        </w:rPr>
      </w:pPr>
      <w:r>
        <w:rPr>
          <w:rFonts w:eastAsiaTheme="minorEastAsia"/>
        </w:rPr>
        <w:t>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 designated as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EC00D0">
        <w:rPr>
          <w:rFonts w:eastAsiaTheme="minorEastAsia"/>
        </w:rPr>
        <w:t>,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Pr>
          <w:rFonts w:eastAsiaTheme="minorEastAsia"/>
        </w:rPr>
        <w:t xml:space="preserve"> </w:t>
      </w:r>
      <w:r w:rsidR="00FE58F2">
        <w:rPr>
          <w:rFonts w:eastAsiaTheme="minorEastAsia"/>
        </w:rPr>
        <w:t>above it</w:t>
      </w:r>
      <w:r w:rsidR="004504B2">
        <w:rPr>
          <w:rFonts w:eastAsiaTheme="minorEastAsia"/>
        </w:rPr>
        <w:t>.</w:t>
      </w:r>
      <w:r>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(3)</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BF2D57" w:rsidRPr="00293A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293A08">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104DAA" w:rsidRDefault="00C60FC2" w:rsidP="00AD5D5A">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6F080C">
        <w:rPr>
          <w:rFonts w:eastAsiaTheme="minorEastAsia"/>
        </w:rPr>
        <w:t>, as previously described,</w:t>
      </w:r>
      <w:r w:rsidR="005C7A6A">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4 is at slight variance with, and simpler than, the corresponding expression in </w:t>
      </w:r>
      <w:r w:rsidR="00DD29EF">
        <w:t>QLC</w:t>
      </w:r>
      <w:r w:rsidR="00067568">
        <w:t>-</w:t>
      </w:r>
      <w:r w:rsidR="00DD29EF">
        <w:t>1</w:t>
      </w:r>
      <w:r w:rsidR="00104DAA" w:rsidRPr="004D44EE">
        <w:rPr>
          <w:rFonts w:eastAsiaTheme="minorEastAsia"/>
        </w:rPr>
        <w:t>.</w:t>
      </w:r>
    </w:p>
    <w:p w:rsidR="007523F3" w:rsidRPr="00AD5D5A" w:rsidRDefault="007523F3" w:rsidP="00AD5D5A">
      <w:pPr>
        <w:pStyle w:val="ListParagraph"/>
        <w:ind w:left="360"/>
        <w:rPr>
          <w:rFonts w:eastAsiaTheme="minorEastAsia"/>
        </w:rPr>
      </w:pPr>
    </w:p>
    <w:p w:rsidR="002234B4" w:rsidRPr="00BF4CB5"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EC55DA">
        <w:rPr>
          <w:rFonts w:eastAsiaTheme="minorEastAsia"/>
        </w:rPr>
        <w:t>5</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EC55DA">
        <w:t>5</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5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w:t>
      </w:r>
      <w:r w:rsidR="00A97378" w:rsidRPr="00275FDE">
        <w:rPr>
          <w:rFonts w:eastAsiaTheme="minorEastAsia"/>
        </w:rPr>
        <w:lastRenderedPageBreak/>
        <w:t>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activity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is the development of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D3182D" w:rsidP="00F44472">
      <w:pPr>
        <w:pStyle w:val="ListParagraph"/>
        <w:numPr>
          <w:ilvl w:val="0"/>
          <w:numId w:val="5"/>
        </w:numPr>
        <w:rPr>
          <w:b/>
          <w:bCs/>
        </w:rPr>
      </w:pPr>
      <w:r>
        <w:rPr>
          <w:b/>
          <w:bCs/>
        </w:rPr>
        <w:t>Gas-phase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is the power </w:t>
      </w:r>
      <w:r w:rsidR="00DE61AF">
        <w:rPr>
          <w:rFonts w:eastAsiaTheme="minorEastAsia"/>
        </w:rPr>
        <w:t xml:space="preserve">of </w:t>
      </w:r>
      <w:r w:rsidR="003671E3">
        <w:rPr>
          <w:rFonts w:eastAsiaTheme="minorEastAsia"/>
        </w:rPr>
        <w:t xml:space="preserve">vapor-phase simulations to constrain properties of the vapor field </w:t>
      </w:r>
      <w:r w:rsidR="00DE61AF">
        <w:rPr>
          <w:rFonts w:eastAsiaTheme="minorEastAsia"/>
        </w:rPr>
        <w:t>over</w:t>
      </w:r>
      <w:r w:rsidR="003671E3">
        <w:rPr>
          <w:rFonts w:eastAsiaTheme="minorEastAsia"/>
        </w:rPr>
        <w:t>lying a given ice surface. Details are given in Appendix 2, of which the main conclusions may be summarized as follows …</w:t>
      </w:r>
    </w:p>
    <w:p w:rsidR="00D3182D" w:rsidRPr="00F44472" w:rsidRDefault="00D3182D" w:rsidP="00F44472">
      <w:pPr>
        <w:rPr>
          <w:rFonts w:eastAsiaTheme="minorEastAsia"/>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E8785D" w:rsidTr="00147BEE">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147BEE">
        <w:tc>
          <w:tcPr>
            <w:tcW w:w="0" w:type="auto"/>
          </w:tcPr>
          <w:p w:rsidR="00E8785D" w:rsidRDefault="00E8785D" w:rsidP="00147BEE">
            <w:pPr>
              <w:keepNext/>
            </w:pPr>
            <w:r w:rsidRPr="00E8785D">
              <w:rPr>
                <w:b/>
                <w:bCs/>
              </w:rPr>
              <w:t>Figure 3</w:t>
            </w:r>
            <w:r>
              <w:t>. Effect of varying the ice-QLL equilibration timescale</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lastRenderedPageBreak/>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The model results shown in Fig. 4 also suggest the following general pattern: growing ice facets possesses concave curvature, whereas ablating ice facets possess convex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(6)</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concavity,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convexity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 xml:space="preserve">Thus, the pattern predicted by QLC-2 is borne out: growing ice facets do indeed exhibit facet concavity, while ablating ice facets exhibit facet convexity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Pr="008B0EE2" w:rsidRDefault="00072DC4" w:rsidP="006E097D">
      <w:pPr>
        <w:rPr>
          <w:i/>
          <w:iCs/>
        </w:rPr>
      </w:pPr>
    </w:p>
    <w:p w:rsidR="00EF53B8" w:rsidRDefault="00262F8E" w:rsidP="009B359F">
      <w:r>
        <w:t xml:space="preserve">Focusing </w:t>
      </w:r>
      <w:r w:rsidR="00403183">
        <w:t>next</w:t>
      </w:r>
      <w:r>
        <w:t xml:space="preserve"> on the model, </w:t>
      </w:r>
      <w:r w:rsidR="00403183">
        <w:t xml:space="preserve">we show in Fig. </w:t>
      </w:r>
      <w:r w:rsidR="00072DC4">
        <w:t>7</w:t>
      </w:r>
      <w:r w:rsidR="00403183">
        <w:t xml:space="preserve"> </w:t>
      </w:r>
      <w:r>
        <w:t>v</w:t>
      </w:r>
      <w:r w:rsidR="006E097D">
        <w:t>alues of</w:t>
      </w:r>
      <w:r w:rsidR="00F0549C">
        <w:t xml:space="preserve"> the </w:t>
      </w:r>
      <w:r w:rsidR="00854D47">
        <w:t xml:space="preserve">mean horizontal layer separation, </w:t>
      </w:r>
      <m:oMath>
        <m:acc>
          <m:accPr>
            <m:chr m:val="̅"/>
            <m:ctrlPr>
              <w:rPr>
                <w:rFonts w:ascii="Cambria Math" w:hAnsi="Cambria Math"/>
                <w:i/>
              </w:rPr>
            </m:ctrlPr>
          </m:accPr>
          <m:e>
            <m:r>
              <w:rPr>
                <w:rFonts w:ascii="Cambria Math" w:hAnsi="Cambria Math"/>
              </w:rPr>
              <m:t>λ</m:t>
            </m:r>
          </m:e>
        </m:acc>
      </m:oMath>
      <w:r w:rsidR="00854D47">
        <w:rPr>
          <w:rFonts w:eastAsiaTheme="minorEastAsia"/>
        </w:rPr>
        <w:t xml:space="preserve"> </w:t>
      </w:r>
      <w:r w:rsidR="00F0549C">
        <w:rPr>
          <w:rFonts w:eastAsiaTheme="minorEastAsia"/>
        </w:rPr>
        <w:t xml:space="preserve">(introduced </w:t>
      </w:r>
      <w:r w:rsidR="00072DC4">
        <w:rPr>
          <w:rFonts w:eastAsiaTheme="minorEastAsia"/>
        </w:rPr>
        <w:t>above</w:t>
      </w:r>
      <w:r w:rsidR="00F0549C">
        <w:rPr>
          <w:rFonts w:eastAsiaTheme="minorEastAsia"/>
        </w:rPr>
        <w:t>)</w:t>
      </w:r>
      <w:r w:rsidR="00403183">
        <w:t xml:space="preserve">, for a range of corner </w:t>
      </w:r>
      <w:r w:rsidR="006E097D">
        <w:t>supersaturation</w:t>
      </w:r>
      <w:r w:rsidR="00403183">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sidR="006E097D">
        <w:t xml:space="preserve">). </w:t>
      </w:r>
      <w:r>
        <w:t>On</w:t>
      </w:r>
      <w:r w:rsidR="006E097D">
        <w:t xml:space="preserve"> the right-hand side, we see that when conditions </w:t>
      </w:r>
      <w:r w:rsidR="00297343">
        <w:t>begin to become</w:t>
      </w:r>
      <w:r w:rsidR="006E097D">
        <w:t xml:space="preserve"> supersaturated</w:t>
      </w:r>
      <w:r w:rsidR="00F0549C">
        <w:t>,</w:t>
      </w:r>
      <w:r w:rsidR="00303819">
        <w:t xml:space="preserve"> </w:t>
      </w:r>
      <w:r>
        <w:t>the</w:t>
      </w:r>
      <w:r w:rsidR="00303819">
        <w:t xml:space="preserve"> </w:t>
      </w:r>
      <w:r w:rsidR="001819D6">
        <w:t xml:space="preserve">maximum </w:t>
      </w:r>
      <w:r w:rsidR="00303819">
        <w:t xml:space="preserve">distance </w:t>
      </w:r>
      <w:r>
        <w:t xml:space="preserve">that </w:t>
      </w:r>
      <w:r w:rsidR="00303819">
        <w:t xml:space="preserve">appears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sidR="00EF53B8">
        <w:rPr>
          <w:rFonts w:eastAsiaTheme="minorEastAsia"/>
        </w:rPr>
        <w:t xml:space="preserve">, declining with yet more supersaturation. …. As supersaturation increases, further to the right in the figure, </w:t>
      </w:r>
      <m:oMath>
        <m:acc>
          <m:accPr>
            <m:chr m:val="̅"/>
            <m:ctrlPr>
              <w:rPr>
                <w:rFonts w:ascii="Cambria Math" w:hAnsi="Cambria Math"/>
                <w:i/>
              </w:rPr>
            </m:ctrlPr>
          </m:accPr>
          <m:e>
            <m:r>
              <w:rPr>
                <w:rFonts w:ascii="Cambria Math" w:hAnsi="Cambria Math"/>
              </w:rPr>
              <m:t>λ</m:t>
            </m:r>
          </m:e>
        </m:acc>
      </m:oMath>
      <w:r w:rsidR="00EF53B8">
        <w:rPr>
          <w:rFonts w:eastAsiaTheme="minorEastAsia"/>
        </w:rPr>
        <w:t xml:space="preserve"> declines monotonically, ultimately leading (we surmise) </w:t>
      </w:r>
      <w:r w:rsidR="00EF53B8">
        <w:t>to dendritic growth.</w:t>
      </w:r>
    </w:p>
    <w:p w:rsidR="00EF53B8" w:rsidRDefault="00EF53B8" w:rsidP="009B359F"/>
    <w:p w:rsidR="00EF53B8" w:rsidRDefault="006E097D" w:rsidP="00EF53B8">
      <w:pPr>
        <w:rPr>
          <w:rFonts w:eastAsiaTheme="minorEastAsia"/>
        </w:rPr>
      </w:pPr>
      <w:r>
        <w:t xml:space="preserve">On the left-hand side of Fig. </w:t>
      </w:r>
      <w:r w:rsidR="00072DC4">
        <w:t>7</w:t>
      </w:r>
      <w:r>
        <w:t xml:space="preserve"> are results when conditions are subsaturated</w:t>
      </w:r>
      <w:r w:rsidR="00403183">
        <w:t>.</w:t>
      </w:r>
      <w:r>
        <w:t xml:space="preserve"> We see that under these conditions,</w:t>
      </w:r>
      <w:r w:rsidR="00297343">
        <w:t xml:space="preserve"> the first</w:t>
      </w:r>
      <w:r>
        <w:t xml:space="preserve"> </w:t>
      </w:r>
      <m:oMath>
        <m:acc>
          <m:accPr>
            <m:chr m:val="̅"/>
            <m:ctrlPr>
              <w:rPr>
                <w:rFonts w:ascii="Cambria Math" w:hAnsi="Cambria Math"/>
                <w:i/>
              </w:rPr>
            </m:ctrlPr>
          </m:accPr>
          <m:e>
            <m:r>
              <w:rPr>
                <w:rFonts w:ascii="Cambria Math" w:hAnsi="Cambria Math"/>
              </w:rPr>
              <m:t>λ</m:t>
            </m:r>
          </m:e>
        </m:acc>
      </m:oMath>
      <w:r w:rsidR="00297343">
        <w:rPr>
          <w:rFonts w:eastAsiaTheme="minorEastAsia"/>
        </w:rPr>
        <w:t xml:space="preserve"> values</w:t>
      </w:r>
      <w:r>
        <w:t xml:space="preserve"> </w:t>
      </w:r>
      <w:r w:rsidR="00297343">
        <w:t>that</w:t>
      </w:r>
      <w:r w:rsidR="004E1F9F">
        <w:t xml:space="preserve"> </w:t>
      </w:r>
      <w:r w:rsidR="00C27E57">
        <w:t xml:space="preserve">appear </w:t>
      </w:r>
      <w:r w:rsidR="00297343">
        <w:t xml:space="preserve">are </w:t>
      </w:r>
      <w:r>
        <w:t xml:space="preserve">over </w:t>
      </w:r>
      <m:oMath>
        <m:r>
          <w:rPr>
            <w:rFonts w:ascii="Cambria Math" w:hAnsi="Cambria Math"/>
          </w:rPr>
          <m:t>40 μm</m:t>
        </m:r>
      </m:oMath>
      <w:r>
        <w:rPr>
          <w:rFonts w:eastAsiaTheme="minorEastAsia"/>
        </w:rPr>
        <w:t xml:space="preserve"> – </w:t>
      </w:r>
      <w:r w:rsidR="00297343">
        <w:rPr>
          <w:rFonts w:eastAsiaTheme="minorEastAsia"/>
        </w:rPr>
        <w:t xml:space="preserve">much higher than on the supersaturated side of the figure. </w:t>
      </w:r>
      <m:oMath>
        <m:acc>
          <m:accPr>
            <m:chr m:val="̅"/>
            <m:ctrlPr>
              <w:rPr>
                <w:rFonts w:ascii="Cambria Math" w:hAnsi="Cambria Math"/>
                <w:i/>
              </w:rPr>
            </m:ctrlPr>
          </m:accPr>
          <m:e>
            <m:r>
              <w:rPr>
                <w:rFonts w:ascii="Cambria Math" w:hAnsi="Cambria Math"/>
              </w:rPr>
              <m:t>λ</m:t>
            </m:r>
          </m:e>
        </m:acc>
      </m:oMath>
      <w:r w:rsidR="00297343">
        <w:rPr>
          <w:rFonts w:eastAsiaTheme="minorEastAsia"/>
        </w:rPr>
        <w:t xml:space="preserve"> values</w:t>
      </w:r>
      <w:r w:rsidR="00297343">
        <w:t xml:space="preserve"> </w:t>
      </w:r>
      <w:r w:rsidR="00297343">
        <w:rPr>
          <w:rFonts w:eastAsiaTheme="minorEastAsia"/>
        </w:rPr>
        <w:t xml:space="preserve">are seen to </w:t>
      </w:r>
      <w:r>
        <w:t xml:space="preserve">decrease </w:t>
      </w:r>
      <w:r w:rsidR="00297343">
        <w:t>with greater</w:t>
      </w:r>
      <w:r>
        <w:t xml:space="preserve"> subsaturation</w:t>
      </w:r>
      <w:r w:rsidR="00297343">
        <w:t xml:space="preserve"> </w:t>
      </w:r>
      <w:r>
        <w:t xml:space="preserve">to the left. </w:t>
      </w:r>
      <w:r w:rsidR="00EF53B8">
        <w:t>We surmise that eventually, at sufficiently high subsaturation, ablation must cease to be faceted, and transition to rounded.</w:t>
      </w:r>
    </w:p>
    <w:p w:rsidR="006E097D" w:rsidRDefault="006E097D" w:rsidP="009B359F"/>
    <w:p w:rsidR="008B0EE2" w:rsidRDefault="008B0EE2" w:rsidP="009B359F">
      <w:pPr>
        <w:rPr>
          <w:rFonts w:eastAsiaTheme="minorEastAsia"/>
        </w:rPr>
      </w:pPr>
    </w:p>
    <w:tbl>
      <w:tblPr>
        <w:tblStyle w:val="TableGrid"/>
        <w:tblW w:w="0" w:type="auto"/>
        <w:tblLook w:val="04A0" w:firstRow="1" w:lastRow="0" w:firstColumn="1" w:lastColumn="0" w:noHBand="0" w:noVBand="1"/>
      </w:tblPr>
      <w:tblGrid>
        <w:gridCol w:w="9324"/>
      </w:tblGrid>
      <w:tr w:rsidR="00014B8B" w:rsidTr="00014B8B">
        <w:tc>
          <w:tcPr>
            <w:tcW w:w="0" w:type="auto"/>
          </w:tcPr>
          <w:p w:rsidR="00014B8B" w:rsidRDefault="00014B8B" w:rsidP="008B0EE2">
            <w:pPr>
              <w:keepNext/>
              <w:keepLines/>
              <w:jc w:val="center"/>
            </w:pPr>
            <w:r w:rsidRPr="001E63C5">
              <w:rPr>
                <w:noProof/>
              </w:rPr>
              <w:drawing>
                <wp:inline distT="0" distB="0" distL="0" distR="0" wp14:anchorId="708A5C9C" wp14:editId="070FBD98">
                  <wp:extent cx="4503420" cy="2242087"/>
                  <wp:effectExtent l="0" t="0" r="5080" b="6350"/>
                  <wp:docPr id="55064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8761" name=""/>
                          <pic:cNvPicPr/>
                        </pic:nvPicPr>
                        <pic:blipFill>
                          <a:blip r:embed="rId18"/>
                          <a:stretch>
                            <a:fillRect/>
                          </a:stretch>
                        </pic:blipFill>
                        <pic:spPr>
                          <a:xfrm>
                            <a:off x="0" y="0"/>
                            <a:ext cx="4516479" cy="2248589"/>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072DC4">
              <w:rPr>
                <w:b/>
                <w:bCs/>
              </w:rPr>
              <w:t>7</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p>
        </w:tc>
      </w:tr>
    </w:tbl>
    <w:p w:rsidR="00014B8B" w:rsidRDefault="00014B8B" w:rsidP="002234B4"/>
    <w:p w:rsidR="002F050A" w:rsidRDefault="002F050A" w:rsidP="002F050A">
      <w:pPr>
        <w:keepNext/>
      </w:pPr>
      <w:r>
        <w:t xml:space="preserve">Figure </w:t>
      </w:r>
      <w:r w:rsidR="00072DC4">
        <w:t>8</w:t>
      </w:r>
      <w:r>
        <w:t xml:space="preserve"> shows the dependence of </w:t>
      </w:r>
      <m:oMath>
        <m:acc>
          <m:accPr>
            <m:chr m:val="̅"/>
            <m:ctrlPr>
              <w:rPr>
                <w:rFonts w:ascii="Cambria Math" w:hAnsi="Cambria Math"/>
                <w:i/>
              </w:rPr>
            </m:ctrlPr>
          </m:accPr>
          <m:e>
            <m:r>
              <w:rPr>
                <w:rFonts w:ascii="Cambria Math" w:hAnsi="Cambria Math"/>
              </w:rPr>
              <m:t>λ</m:t>
            </m:r>
          </m:e>
        </m:acc>
      </m:oMath>
      <w:r>
        <w:t xml:space="preserve"> on a parameter </w:t>
      </w:r>
      <m:oMath>
        <m:r>
          <w:rPr>
            <w:rFonts w:ascii="Cambria Math" w:hAnsi="Cambria Math"/>
          </w:rPr>
          <m:t>z</m:t>
        </m:r>
      </m:oMath>
      <w:r>
        <w:rPr>
          <w:rFonts w:eastAsiaTheme="minorEastAsia"/>
        </w:rPr>
        <w:t>, defined by</w:t>
      </w:r>
      <w:r>
        <w:t xml:space="preserve"> </w:t>
      </w:r>
    </w:p>
    <w:p w:rsidR="002F050A" w:rsidRDefault="002F050A" w:rsidP="002F050A">
      <w:pPr>
        <w:keepNext/>
      </w:pPr>
    </w:p>
    <w:p w:rsidR="002F050A" w:rsidRDefault="00000000" w:rsidP="002F050A">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t>(</w:t>
      </w:r>
      <w:r w:rsidR="00C27E57">
        <w:rPr>
          <w:rFonts w:eastAsiaTheme="minorEastAsia"/>
        </w:rPr>
        <w:t>7</w:t>
      </w:r>
      <w:r w:rsidR="002F050A">
        <w:rPr>
          <w:rFonts w:eastAsiaTheme="minorEastAsia"/>
        </w:rPr>
        <w:t>)</w:t>
      </w:r>
    </w:p>
    <w:p w:rsidR="002F050A" w:rsidRDefault="002F050A" w:rsidP="002F050A"/>
    <w:p w:rsidR="009B359F" w:rsidRDefault="005763F2" w:rsidP="002F050A">
      <w:pPr>
        <w:rPr>
          <w:rFonts w:eastAsiaTheme="minorEastAsia"/>
        </w:rPr>
      </w:pPr>
      <w:r>
        <w:t>w</w:t>
      </w:r>
      <w:r w:rsidR="002F050A">
        <w:t>here</w:t>
      </w:r>
      <w:r w:rsidR="00510CA3">
        <w:t xml:space="preserve"> (as described above)</w:t>
      </w:r>
      <w:r w:rsidR="002F050A">
        <w:t xml:space="preserve"> </w:t>
      </w:r>
      <m:oMath>
        <m:r>
          <w:rPr>
            <w:rFonts w:ascii="Cambria Math" w:hAnsi="Cambria Math"/>
          </w:rPr>
          <m:t>D</m:t>
        </m:r>
      </m:oMath>
      <w:r w:rsidR="002F050A">
        <w:t xml:space="preserve"> is the surface diffusion coefficient, </w:t>
      </w:r>
      <m:oMath>
        <m:r>
          <w:rPr>
            <w:rFonts w:ascii="Cambria Math" w:hAnsi="Cambria Math"/>
          </w:rPr>
          <m:t>L</m:t>
        </m:r>
      </m:oMath>
      <w:r w:rsidR="002F050A">
        <w:rPr>
          <w:rFonts w:eastAsiaTheme="minorEastAsia"/>
        </w:rPr>
        <w:t xml:space="preserve"> is </w:t>
      </w:r>
      <w:r w:rsidR="002F050A">
        <w:t xml:space="preserve">the </w:t>
      </w:r>
      <w:r>
        <w:t>edge length of the crystal</w:t>
      </w:r>
      <w:r w:rsidR="002F050A">
        <w:t>,</w:t>
      </w:r>
      <w:r w:rsidR="002F050A">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2F050A">
        <w:rPr>
          <w:rFonts w:eastAsiaTheme="minorEastAsia"/>
        </w:rPr>
        <w:t xml:space="preserve"> is the </w:t>
      </w:r>
      <w:r w:rsidR="002F050A">
        <w:t xml:space="preserve">kinetic deposition velocity. </w:t>
      </w:r>
      <w:r w:rsidR="002F050A">
        <w:rPr>
          <w:rFonts w:eastAsiaTheme="minorEastAsia"/>
        </w:rPr>
        <w:t xml:space="preserve">We see that … </w:t>
      </w:r>
    </w:p>
    <w:p w:rsidR="009B359F" w:rsidRDefault="009B359F" w:rsidP="002F050A">
      <w:pPr>
        <w:rPr>
          <w:rFonts w:eastAsiaTheme="minorEastAsia"/>
        </w:rPr>
      </w:pPr>
    </w:p>
    <w:tbl>
      <w:tblPr>
        <w:tblStyle w:val="TableGrid"/>
        <w:tblW w:w="0" w:type="auto"/>
        <w:tblLayout w:type="fixed"/>
        <w:tblLook w:val="04A0" w:firstRow="1" w:lastRow="0" w:firstColumn="1" w:lastColumn="0" w:noHBand="0" w:noVBand="1"/>
      </w:tblPr>
      <w:tblGrid>
        <w:gridCol w:w="4585"/>
        <w:gridCol w:w="4765"/>
      </w:tblGrid>
      <w:tr w:rsidR="009B359F" w:rsidTr="009B359F">
        <w:trPr>
          <w:trHeight w:val="1458"/>
        </w:trPr>
        <w:tc>
          <w:tcPr>
            <w:tcW w:w="4585" w:type="dxa"/>
            <w:vAlign w:val="center"/>
          </w:tcPr>
          <w:p w:rsidR="009B359F" w:rsidRDefault="009B359F" w:rsidP="009B359F">
            <w:pPr>
              <w:keepNext/>
              <w:keepLines/>
            </w:pPr>
            <w:r w:rsidRPr="00DC2BA8">
              <w:rPr>
                <w:b/>
                <w:bCs/>
              </w:rPr>
              <w:lastRenderedPageBreak/>
              <w:t>Fig</w:t>
            </w:r>
            <w:r>
              <w:rPr>
                <w:b/>
                <w:bCs/>
              </w:rPr>
              <w:t>ure</w:t>
            </w:r>
            <w:r w:rsidRPr="00DC2BA8">
              <w:rPr>
                <w:b/>
                <w:bCs/>
              </w:rPr>
              <w:t xml:space="preserve"> </w:t>
            </w:r>
            <w:r w:rsidR="00072DC4">
              <w:rPr>
                <w:b/>
                <w:bCs/>
              </w:rPr>
              <w:t>8</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a range of values of </w:t>
            </w:r>
            <m:oMath>
              <m:r>
                <w:rPr>
                  <w:rFonts w:ascii="Cambria Math" w:hAnsi="Cambria Math"/>
                </w:rPr>
                <m:t>D</m:t>
              </m:r>
            </m:oMath>
            <w:r>
              <w:rPr>
                <w:rFonts w:eastAsiaTheme="minorEastAsia"/>
              </w:rPr>
              <w:t xml:space="preserve">, </w:t>
            </w:r>
            <m:oMath>
              <m:r>
                <w:rPr>
                  <w:rFonts w:ascii="Cambria Math" w:hAnsi="Cambria Math"/>
                </w:rPr>
                <m:t>L</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The corner supersaturation is fixed at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Pr>
                <w:rFonts w:eastAsiaTheme="minorEastAsia"/>
              </w:rPr>
              <w:t xml:space="preserve"> for all simulation runs.</w:t>
            </w:r>
          </w:p>
        </w:tc>
        <w:tc>
          <w:tcPr>
            <w:tcW w:w="4765" w:type="dxa"/>
          </w:tcPr>
          <w:p w:rsidR="009B359F" w:rsidRDefault="009B359F" w:rsidP="009B359F">
            <w:pPr>
              <w:keepNext/>
              <w:keepLines/>
              <w:jc w:val="center"/>
              <w:rPr>
                <w:noProof/>
              </w:rPr>
            </w:pPr>
            <w:r>
              <w:rPr>
                <w:noProof/>
              </w:rPr>
              <w:drawing>
                <wp:inline distT="0" distB="0" distL="0" distR="0" wp14:anchorId="69CE8E8E" wp14:editId="343FBDF2">
                  <wp:extent cx="2870974" cy="2154457"/>
                  <wp:effectExtent l="0" t="0" r="0" b="5080"/>
                  <wp:docPr id="1846356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7808" cy="2174594"/>
                          </a:xfrm>
                          <a:prstGeom prst="rect">
                            <a:avLst/>
                          </a:prstGeom>
                          <a:noFill/>
                          <a:ln>
                            <a:noFill/>
                          </a:ln>
                        </pic:spPr>
                      </pic:pic>
                    </a:graphicData>
                  </a:graphic>
                </wp:inline>
              </w:drawing>
            </w:r>
          </w:p>
        </w:tc>
      </w:tr>
    </w:tbl>
    <w:p w:rsidR="001819D6" w:rsidRDefault="001819D6" w:rsidP="001819D6"/>
    <w:p w:rsidR="008B0EE2" w:rsidRDefault="008B0EE2" w:rsidP="001819D6">
      <w:pPr>
        <w:rPr>
          <w:rFonts w:eastAsiaTheme="minorEastAsia"/>
        </w:rPr>
      </w:pPr>
      <w:r>
        <w:rPr>
          <w:rFonts w:eastAsiaTheme="minorEastAsia"/>
        </w:rPr>
        <w:t xml:space="preserve">It is of interest to </w:t>
      </w:r>
      <w:r w:rsidR="00BD1FC8">
        <w:rPr>
          <w:rFonts w:eastAsiaTheme="minorEastAsia"/>
        </w:rPr>
        <w:t>note at this point</w:t>
      </w:r>
      <w:r>
        <w:rPr>
          <w:rFonts w:eastAsiaTheme="minorEastAsia"/>
        </w:rPr>
        <w:t xml:space="preserve"> </w:t>
      </w:r>
      <w:r w:rsidR="00BD1FC8">
        <w:rPr>
          <w:rFonts w:eastAsiaTheme="minorEastAsia"/>
        </w:rPr>
        <w:t>a few broader</w:t>
      </w:r>
      <w:r>
        <w:rPr>
          <w:rFonts w:eastAsiaTheme="minorEastAsia"/>
        </w:rPr>
        <w:t xml:space="preserve"> implications of Fig</w:t>
      </w:r>
      <w:r w:rsidR="00BD1FC8">
        <w:rPr>
          <w:rFonts w:eastAsiaTheme="minorEastAsia"/>
        </w:rPr>
        <w:t>s</w:t>
      </w:r>
      <w:r>
        <w:rPr>
          <w:rFonts w:eastAsiaTheme="minorEastAsia"/>
        </w:rPr>
        <w:t>.</w:t>
      </w:r>
      <w:r w:rsidR="00BD1FC8">
        <w:rPr>
          <w:rFonts w:eastAsiaTheme="minorEastAsia"/>
        </w:rPr>
        <w:t xml:space="preserve"> 6 and</w:t>
      </w:r>
      <w:r>
        <w:rPr>
          <w:rFonts w:eastAsiaTheme="minorEastAsia"/>
        </w:rPr>
        <w:t xml:space="preserve"> 7</w:t>
      </w:r>
      <w:r w:rsidR="00BD1FC8">
        <w:rPr>
          <w:rFonts w:eastAsiaTheme="minorEastAsia"/>
        </w:rPr>
        <w:t xml:space="preserve">. </w:t>
      </w:r>
      <w:r>
        <w:rPr>
          <w:rFonts w:eastAsiaTheme="minorEastAsia"/>
        </w:rPr>
        <w:t>According to</w:t>
      </w:r>
      <w:r w:rsidR="00BD1FC8">
        <w:rPr>
          <w:rFonts w:eastAsiaTheme="minorEastAsia"/>
        </w:rPr>
        <w:t xml:space="preserve"> the vapor modeling results described in Appendix 2,</w:t>
      </w:r>
      <w:r>
        <w:rPr>
          <w:rFonts w:eastAsiaTheme="minorEastAsia"/>
        </w:rPr>
        <w:t xml:space="preserve"> lower</w:t>
      </w:r>
      <w:r w:rsidRPr="00D64A87">
        <w:rPr>
          <w:rFonts w:eastAsiaTheme="minorEastAsia"/>
        </w:rPr>
        <w:t xml:space="preserve"> ambient temperatures and </w:t>
      </w:r>
      <w:r>
        <w:rPr>
          <w:rFonts w:eastAsiaTheme="minorEastAsia"/>
        </w:rPr>
        <w:t>higher</w:t>
      </w:r>
      <w:r w:rsidRPr="00D64A87">
        <w:rPr>
          <w:rFonts w:eastAsiaTheme="minorEastAsia"/>
        </w:rPr>
        <w:t xml:space="preserve"> ambient pressures</w:t>
      </w:r>
      <w:r>
        <w:rPr>
          <w:rFonts w:eastAsiaTheme="minorEastAsia"/>
        </w:rPr>
        <w:t xml:space="preserve"> are both associated with smaller </w:t>
      </w:r>
      <w:r w:rsidRPr="00D64A87">
        <w:rPr>
          <w:rFonts w:eastAsiaTheme="minorEastAsia"/>
        </w:rPr>
        <w:t xml:space="preserve">vapor diffusion coefficients,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w:t>
      </w:r>
      <w:r w:rsidRPr="00D64A87">
        <w:rPr>
          <w:rFonts w:eastAsiaTheme="minorEastAsia"/>
        </w:rPr>
        <w:t xml:space="preserve"> </w:t>
      </w:r>
      <w:r>
        <w:rPr>
          <w:rFonts w:eastAsiaTheme="minorEastAsia"/>
        </w:rPr>
        <w:t>Smaller</w:t>
      </w:r>
      <w:r w:rsidRPr="00D64A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in turn, </w:t>
      </w:r>
      <w:r w:rsidRPr="00D64A87">
        <w:rPr>
          <w:rFonts w:eastAsiaTheme="minorEastAsia"/>
        </w:rPr>
        <w:t>manifest</w:t>
      </w:r>
      <w:r>
        <w:rPr>
          <w:rFonts w:eastAsiaTheme="minorEastAsia"/>
        </w:rPr>
        <w:t>s</w:t>
      </w:r>
      <w:r w:rsidRPr="00D64A87">
        <w:rPr>
          <w:rFonts w:eastAsiaTheme="minorEastAsia"/>
        </w:rPr>
        <w:t xml:space="preserve"> as </w:t>
      </w:r>
      <w:r>
        <w:rPr>
          <w:rFonts w:eastAsiaTheme="minorEastAsia"/>
        </w:rPr>
        <w:t>a more steeply curved</w:t>
      </w:r>
      <w:r w:rsidRPr="00D64A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D64A87">
        <w:rPr>
          <w:rFonts w:eastAsiaTheme="minorEastAsia"/>
        </w:rPr>
        <w:t xml:space="preserve"> profile across the crystal surface</w:t>
      </w:r>
      <w:r>
        <w:rPr>
          <w:rFonts w:eastAsiaTheme="minorEastAsia"/>
        </w:rPr>
        <w:t xml:space="preserve">, compared to the example shown in Fig. A1(b): it is harder for water vapor to diffuse across the facet surface when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small. The expected consequence is that lower</w:t>
      </w:r>
      <w:r w:rsidRPr="00D64A87">
        <w:rPr>
          <w:rFonts w:eastAsiaTheme="minorEastAsia"/>
        </w:rPr>
        <w:t xml:space="preserve"> ambient temperatures and </w:t>
      </w:r>
      <w:r>
        <w:rPr>
          <w:rFonts w:eastAsiaTheme="minorEastAsia"/>
        </w:rPr>
        <w:t>higher</w:t>
      </w:r>
      <w:r w:rsidRPr="00D64A87">
        <w:rPr>
          <w:rFonts w:eastAsiaTheme="minorEastAsia"/>
        </w:rPr>
        <w:t xml:space="preserve"> ambient pressures</w:t>
      </w:r>
      <w:r>
        <w:rPr>
          <w:rFonts w:eastAsiaTheme="minorEastAsia"/>
        </w:rPr>
        <w:t xml:space="preserve"> will increase the tendency for excess growth at facet corners, ultimately leading to highly indented, hollowed crystal morphologies, and even</w:t>
      </w:r>
      <w:r w:rsidR="00DD6CF4">
        <w:rPr>
          <w:rFonts w:eastAsiaTheme="minorEastAsia"/>
        </w:rPr>
        <w:t xml:space="preserve">, at sufficiently small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DD6CF4">
        <w:rPr>
          <w:rFonts w:eastAsiaTheme="minorEastAsia"/>
        </w:rPr>
        <w:t xml:space="preserve">, </w:t>
      </w:r>
      <w:r>
        <w:rPr>
          <w:rFonts w:eastAsiaTheme="minorEastAsia"/>
        </w:rPr>
        <w:t xml:space="preserve">dendritic forms, such as snowflakes. </w:t>
      </w:r>
    </w:p>
    <w:p w:rsidR="008B0EE2" w:rsidRDefault="008B0EE2" w:rsidP="001819D6">
      <w:pPr>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 (e.g., by higher temperature</w:t>
      </w:r>
      <w:r w:rsidR="00F962DC">
        <w:t xml:space="preserve"> or a lower supersaturation</w:t>
      </w:r>
      <w:r w:rsidR="00CD6C65">
        <w:t>)</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p>
    <w:p w:rsidR="003E1569" w:rsidRDefault="003E1569" w:rsidP="00403F3A"/>
    <w:tbl>
      <w:tblPr>
        <w:tblStyle w:val="TableGrid"/>
        <w:tblW w:w="0" w:type="auto"/>
        <w:tblLook w:val="04A0" w:firstRow="1" w:lastRow="0" w:firstColumn="1" w:lastColumn="0" w:noHBand="0" w:noVBand="1"/>
      </w:tblPr>
      <w:tblGrid>
        <w:gridCol w:w="6216"/>
      </w:tblGrid>
      <w:tr w:rsidR="00245452" w:rsidTr="00072DC4">
        <w:tc>
          <w:tcPr>
            <w:tcW w:w="0" w:type="auto"/>
          </w:tcPr>
          <w:p w:rsidR="00245452" w:rsidRDefault="00245452" w:rsidP="003E1569">
            <w:pPr>
              <w:keepNext/>
            </w:pPr>
            <w:r w:rsidRPr="00CD6C65">
              <w:rPr>
                <w:noProof/>
              </w:rPr>
              <w:drawing>
                <wp:inline distT="0" distB="0" distL="0" distR="0" wp14:anchorId="3E522BDD" wp14:editId="7169A1FC">
                  <wp:extent cx="3584448" cy="1455608"/>
                  <wp:effectExtent l="0" t="0" r="0" b="5080"/>
                  <wp:docPr id="79795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3715570" cy="1508855"/>
                          </a:xfrm>
                          <a:prstGeom prst="rect">
                            <a:avLst/>
                          </a:prstGeom>
                        </pic:spPr>
                      </pic:pic>
                    </a:graphicData>
                  </a:graphic>
                </wp:inline>
              </w:drawing>
            </w:r>
          </w:p>
        </w:tc>
      </w:tr>
      <w:tr w:rsidR="00245452" w:rsidTr="00072DC4">
        <w:tc>
          <w:tcPr>
            <w:tcW w:w="0" w:type="auto"/>
          </w:tcPr>
          <w:p w:rsidR="00CD6C65" w:rsidRDefault="00CD6C65" w:rsidP="00D52174">
            <w:pPr>
              <w:keepNext/>
            </w:pPr>
            <w:r w:rsidRPr="00DC2BA8">
              <w:rPr>
                <w:b/>
                <w:bCs/>
              </w:rPr>
              <w:t>Fig</w:t>
            </w:r>
            <w:r>
              <w:rPr>
                <w:b/>
                <w:bCs/>
              </w:rPr>
              <w:t>ure</w:t>
            </w:r>
            <w:r w:rsidRPr="00DC2BA8">
              <w:rPr>
                <w:b/>
                <w:bCs/>
              </w:rPr>
              <w:t xml:space="preserve"> </w:t>
            </w:r>
            <w:r w:rsidR="00072DC4">
              <w:rPr>
                <w:b/>
                <w:bCs/>
              </w:rPr>
              <w:t>9</w:t>
            </w:r>
            <w:r>
              <w:t>. SEM image of a rough facet restored to smoothness.</w:t>
            </w:r>
          </w:p>
        </w:tc>
      </w:tr>
    </w:tbl>
    <w:p w:rsidR="00CD6C65" w:rsidRDefault="00CD6C65" w:rsidP="00403F3A"/>
    <w:p w:rsidR="003B1635" w:rsidRDefault="00257A19" w:rsidP="003B1635">
      <w:r>
        <w:lastRenderedPageBreak/>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0"/>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 xml:space="preserve">exhibits resilience analogous to that of a real crystal facet,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w:t>
      </w:r>
      <w:r w:rsidR="008E28D1">
        <w:lastRenderedPageBreak/>
        <w:t xml:space="preserve">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CA73D7" w:rsidRDefault="00557561" w:rsidP="001323F9">
      <w:pPr>
        <w:rPr>
          <w:rFonts w:eastAsiaTheme="minorEastAsia"/>
        </w:rPr>
      </w:pPr>
      <w:r>
        <w:rPr>
          <w:rFonts w:eastAsiaTheme="minorEastAsia"/>
        </w:rPr>
        <w:t xml:space="preserve">The </w:t>
      </w:r>
      <w:r w:rsidR="00400DB5">
        <w:rPr>
          <w:rFonts w:eastAsiaTheme="minorEastAsia"/>
        </w:rPr>
        <w:t xml:space="preserve">QLC-2 model </w:t>
      </w:r>
      <w:r>
        <w:rPr>
          <w:rFonts w:eastAsiaTheme="minorEastAsia"/>
        </w:rPr>
        <w:t>presented here</w:t>
      </w:r>
      <w:r w:rsidR="00400DB5">
        <w:rPr>
          <w:rFonts w:eastAsiaTheme="minorEastAsia"/>
        </w:rPr>
        <w:t xml:space="preserve"> represents significant improvements over the QLC-1 </w:t>
      </w:r>
      <w:r w:rsidR="00B32BC8">
        <w:rPr>
          <w:rFonts w:eastAsiaTheme="minorEastAsia"/>
        </w:rPr>
        <w:t xml:space="preserve">model </w:t>
      </w:r>
      <w:r w:rsidR="00400DB5">
        <w:rPr>
          <w:rFonts w:eastAsiaTheme="minorEastAsia"/>
        </w:rPr>
        <w:t>reported in N2016</w:t>
      </w:r>
      <w:r>
        <w:rPr>
          <w:rFonts w:eastAsiaTheme="minorEastAsia"/>
        </w:rPr>
        <w:t xml:space="preserve">. </w:t>
      </w:r>
      <w:r w:rsidR="00400DB5">
        <w:rPr>
          <w:rFonts w:eastAsiaTheme="minorEastAsia"/>
        </w:rPr>
        <w:t>Its</w:t>
      </w:r>
      <w:r w:rsidR="0035248C">
        <w:rPr>
          <w:rFonts w:eastAsiaTheme="minorEastAsia"/>
        </w:rPr>
        <w:t xml:space="preserve"> equations of </w:t>
      </w:r>
      <w:r w:rsidR="00400DB5">
        <w:rPr>
          <w:rFonts w:eastAsiaTheme="minorEastAsia"/>
        </w:rPr>
        <w:t>motion</w:t>
      </w:r>
      <w:r>
        <w:rPr>
          <w:rFonts w:eastAsiaTheme="minorEastAsia"/>
        </w:rPr>
        <w:t xml:space="preserve"> </w:t>
      </w:r>
      <w:r w:rsidR="0035248C">
        <w:rPr>
          <w:rFonts w:eastAsiaTheme="minorEastAsia"/>
        </w:rPr>
        <w:t>embody a more faithful</w:t>
      </w:r>
      <w:r>
        <w:rPr>
          <w:rFonts w:eastAsiaTheme="minorEastAsia"/>
        </w:rPr>
        <w:t xml:space="preserve"> </w:t>
      </w:r>
      <w:r w:rsidR="00B32BC8">
        <w:rPr>
          <w:rFonts w:eastAsiaTheme="minorEastAsia"/>
        </w:rPr>
        <w:t xml:space="preserve">atomistic </w:t>
      </w:r>
      <w:r w:rsidR="0035248C">
        <w:rPr>
          <w:rFonts w:eastAsiaTheme="minorEastAsia"/>
        </w:rPr>
        <w:t xml:space="preserve">representation </w:t>
      </w:r>
      <w:r>
        <w:rPr>
          <w:rFonts w:eastAsiaTheme="minorEastAsia"/>
        </w:rPr>
        <w:t xml:space="preserve">of ice/QLL </w:t>
      </w:r>
      <w:r w:rsidR="0010546F">
        <w:rPr>
          <w:rFonts w:eastAsiaTheme="minorEastAsia"/>
        </w:rPr>
        <w:t xml:space="preserve">freeze/thaw </w:t>
      </w:r>
      <w:r>
        <w:rPr>
          <w:rFonts w:eastAsiaTheme="minorEastAsia"/>
        </w:rPr>
        <w:t>equilibration</w:t>
      </w:r>
      <w:r w:rsidR="00400DB5">
        <w:rPr>
          <w:rFonts w:eastAsiaTheme="minorEastAsia"/>
        </w:rPr>
        <w:t>, and i</w:t>
      </w:r>
      <w:r>
        <w:rPr>
          <w:rFonts w:eastAsiaTheme="minorEastAsia"/>
        </w:rPr>
        <w:t xml:space="preserve">ts </w:t>
      </w:r>
      <w:r w:rsidR="0035248C">
        <w:rPr>
          <w:rFonts w:eastAsiaTheme="minorEastAsia"/>
        </w:rPr>
        <w:t xml:space="preserve">numerical </w:t>
      </w:r>
      <w:r>
        <w:rPr>
          <w:rFonts w:eastAsiaTheme="minorEastAsia"/>
        </w:rPr>
        <w:t>solution</w:t>
      </w:r>
      <w:r w:rsidR="00400DB5">
        <w:rPr>
          <w:rFonts w:eastAsiaTheme="minorEastAsia"/>
        </w:rPr>
        <w:t>s</w:t>
      </w:r>
      <w:r>
        <w:rPr>
          <w:rFonts w:eastAsiaTheme="minorEastAsia"/>
        </w:rPr>
        <w:t xml:space="preserve"> </w:t>
      </w:r>
      <w:r w:rsidR="00400DB5">
        <w:rPr>
          <w:rFonts w:eastAsiaTheme="minorEastAsia"/>
        </w:rPr>
        <w:t>are</w:t>
      </w:r>
      <w:r>
        <w:rPr>
          <w:rFonts w:eastAsiaTheme="minorEastAsia"/>
        </w:rPr>
        <w:t xml:space="preserve"> more stable. Parameterizations of </w:t>
      </w:r>
      <w:r w:rsidR="00400DB5">
        <w:rPr>
          <w:rFonts w:eastAsiaTheme="minorEastAsia"/>
        </w:rPr>
        <w:t xml:space="preserve">QLC-2 </w:t>
      </w:r>
      <w:r>
        <w:rPr>
          <w:rFonts w:eastAsiaTheme="minorEastAsia"/>
        </w:rPr>
        <w:t xml:space="preserve">are better constrained by </w:t>
      </w:r>
      <w:r w:rsidR="00EF4456">
        <w:rPr>
          <w:rFonts w:eastAsiaTheme="minorEastAsia"/>
        </w:rPr>
        <w:t>microscop</w:t>
      </w:r>
      <w:r w:rsidR="0010546F">
        <w:rPr>
          <w:rFonts w:eastAsiaTheme="minorEastAsia"/>
        </w:rPr>
        <w:t xml:space="preserve">y </w:t>
      </w:r>
      <w:r>
        <w:rPr>
          <w:rFonts w:eastAsiaTheme="minorEastAsia"/>
        </w:rPr>
        <w:t>(ESEM/GNBF)</w:t>
      </w:r>
      <w:r w:rsidR="00EF4456">
        <w:rPr>
          <w:rFonts w:eastAsiaTheme="minorEastAsia"/>
        </w:rPr>
        <w:t>,</w:t>
      </w:r>
      <w:r>
        <w:rPr>
          <w:rFonts w:eastAsiaTheme="minorEastAsia"/>
        </w:rPr>
        <w:t xml:space="preserve"> and by </w:t>
      </w:r>
      <w:r w:rsidR="00EF4456">
        <w:rPr>
          <w:rFonts w:eastAsiaTheme="minorEastAsia"/>
        </w:rPr>
        <w:t>independent</w:t>
      </w:r>
      <w:r>
        <w:rPr>
          <w:rFonts w:eastAsiaTheme="minorEastAsia"/>
        </w:rPr>
        <w:t xml:space="preserve"> numerical simulations of the overlying vapor field. </w:t>
      </w:r>
    </w:p>
    <w:p w:rsidR="00CA73D7" w:rsidRDefault="00CA73D7" w:rsidP="001323F9">
      <w:pPr>
        <w:rPr>
          <w:rFonts w:eastAsiaTheme="minorEastAsia"/>
        </w:rPr>
      </w:pPr>
    </w:p>
    <w:p w:rsidR="00CA764E" w:rsidRPr="001323F9" w:rsidRDefault="00CA73D7" w:rsidP="001323F9">
      <w:pPr>
        <w:rPr>
          <w:rFonts w:eastAsiaTheme="minorEastAsia"/>
        </w:rPr>
      </w:pPr>
      <w:r>
        <w:rPr>
          <w:rFonts w:eastAsiaTheme="minorEastAsia"/>
        </w:rPr>
        <w:t>More broadly, t</w:t>
      </w:r>
      <w:r w:rsidR="001323F9">
        <w:rPr>
          <w:rFonts w:eastAsiaTheme="minorEastAsia"/>
        </w:rPr>
        <w:t xml:space="preserve">he </w:t>
      </w:r>
      <w:r w:rsidR="002D21C1">
        <w:rPr>
          <w:rFonts w:eastAsiaTheme="minorEastAsia"/>
        </w:rPr>
        <w:t>theory presented here</w:t>
      </w:r>
      <w:r w:rsidR="001323F9">
        <w:rPr>
          <w:rFonts w:eastAsiaTheme="minorEastAsia"/>
        </w:rPr>
        <w:t xml:space="preserve"> </w:t>
      </w:r>
      <w:r w:rsidR="003D54AF" w:rsidRPr="001323F9">
        <w:rPr>
          <w:rFonts w:eastAsiaTheme="minorEastAsia"/>
        </w:rPr>
        <w:t xml:space="preserve">provides a </w:t>
      </w:r>
      <w:r w:rsidR="007F487D" w:rsidRPr="001323F9">
        <w:rPr>
          <w:rFonts w:eastAsiaTheme="minorEastAsia"/>
        </w:rPr>
        <w:t xml:space="preserve">unified </w:t>
      </w:r>
      <w:r w:rsidR="003D54AF" w:rsidRPr="001323F9">
        <w:rPr>
          <w:rFonts w:eastAsiaTheme="minorEastAsia"/>
        </w:rPr>
        <w:t>mechanism</w:t>
      </w:r>
      <w:r w:rsidR="007F487D" w:rsidRPr="001323F9">
        <w:rPr>
          <w:rFonts w:eastAsiaTheme="minorEastAsia"/>
        </w:rPr>
        <w:t xml:space="preserve"> that explains </w:t>
      </w:r>
      <w:r w:rsidR="003D54AF" w:rsidRPr="001323F9">
        <w:rPr>
          <w:rFonts w:eastAsiaTheme="minorEastAsia"/>
        </w:rPr>
        <w:t>not only</w:t>
      </w:r>
      <w:r w:rsidR="007F487D" w:rsidRPr="001323F9">
        <w:rPr>
          <w:rFonts w:eastAsiaTheme="minorEastAsia"/>
        </w:rPr>
        <w:t xml:space="preserve"> </w:t>
      </w:r>
      <w:r w:rsidR="00D604E4" w:rsidRPr="001323F9">
        <w:rPr>
          <w:rFonts w:eastAsiaTheme="minorEastAsia"/>
        </w:rPr>
        <w:t>faceted growth (</w:t>
      </w:r>
      <w:r w:rsidR="003D54AF" w:rsidRPr="001323F9">
        <w:rPr>
          <w:rFonts w:eastAsiaTheme="minorEastAsia"/>
        </w:rPr>
        <w:t>how crystals resist dendritic geometries when subjected to supersaturation conditions</w:t>
      </w:r>
      <w:r w:rsidR="00D604E4" w:rsidRPr="001323F9">
        <w:rPr>
          <w:rFonts w:eastAsiaTheme="minorEastAsia"/>
        </w:rPr>
        <w:t>)</w:t>
      </w:r>
      <w:r w:rsidR="003D54AF" w:rsidRPr="001323F9">
        <w:rPr>
          <w:rFonts w:eastAsiaTheme="minorEastAsia"/>
        </w:rPr>
        <w:t xml:space="preserve">, but also </w:t>
      </w:r>
      <w:r w:rsidR="00D604E4" w:rsidRPr="001323F9">
        <w:rPr>
          <w:rFonts w:eastAsiaTheme="minorEastAsia"/>
        </w:rPr>
        <w:t>faceted ablation (</w:t>
      </w:r>
      <w:r w:rsidR="003D54AF" w:rsidRPr="001323F9">
        <w:rPr>
          <w:rFonts w:eastAsiaTheme="minorEastAsia"/>
        </w:rPr>
        <w:t>how they resist rounding when subjected to subsaturation conditions</w:t>
      </w:r>
      <w:r w:rsidR="00D604E4" w:rsidRPr="001323F9">
        <w:rPr>
          <w:rFonts w:eastAsiaTheme="minorEastAsia"/>
        </w:rPr>
        <w:t>)</w:t>
      </w:r>
      <w:r w:rsidR="003D54AF" w:rsidRPr="001323F9">
        <w:rPr>
          <w:rFonts w:eastAsiaTheme="minorEastAsia"/>
        </w:rPr>
        <w:t xml:space="preserve">. </w:t>
      </w:r>
      <w:r w:rsidR="002D21C1">
        <w:rPr>
          <w:rFonts w:eastAsiaTheme="minorEastAsia"/>
        </w:rPr>
        <w:t>We find that the steady states of the model are surprisingly resilient to perturbations.</w:t>
      </w:r>
    </w:p>
    <w:p w:rsidR="00751669" w:rsidRPr="00751669" w:rsidRDefault="00751669" w:rsidP="00751669">
      <w:pPr>
        <w:rPr>
          <w:rFonts w:eastAsiaTheme="minorEastAsia"/>
        </w:rPr>
      </w:pPr>
    </w:p>
    <w:p w:rsidR="00AD3DB6" w:rsidRDefault="00AD3DB6" w:rsidP="00AD3DB6">
      <w:pPr>
        <w:rPr>
          <w:rFonts w:eastAsiaTheme="minorEastAsia"/>
        </w:rPr>
      </w:pPr>
      <w:r w:rsidRPr="00AD3DB6">
        <w:t>We</w:t>
      </w:r>
      <w:r w:rsidRPr="001323F9">
        <w:rPr>
          <w:i/>
          <w:iCs/>
        </w:rPr>
        <w:t xml:space="preserve"> </w:t>
      </w:r>
      <w:r w:rsidR="00CA73D7">
        <w:t>also</w:t>
      </w:r>
      <w:r>
        <w:t xml:space="preserve"> presented </w:t>
      </w:r>
      <w:r w:rsidR="00CC27C6">
        <w:t>evidence</w:t>
      </w:r>
      <w:r>
        <w:t xml:space="preserve"> </w:t>
      </w:r>
      <w:r w:rsidR="00CC27C6">
        <w:t xml:space="preserve">that </w:t>
      </w:r>
      <w:r>
        <w:t>the characteristic distance between adjacent layers of ice (</w:t>
      </w:r>
      <m:oMath>
        <m:r>
          <w:rPr>
            <w:rFonts w:ascii="Cambria Math" w:hAnsi="Cambria Math"/>
          </w:rPr>
          <m:t>λ</m:t>
        </m:r>
      </m:oMath>
      <w:r>
        <w:t xml:space="preserve">) </w:t>
      </w:r>
      <w:r w:rsidR="00CC27C6">
        <w:t xml:space="preserve">in the QLC-2 model </w:t>
      </w:r>
      <w:r>
        <w:t xml:space="preserve">increases in proportion to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00973B9D" w:rsidRPr="001323F9">
        <w:rPr>
          <w:rFonts w:eastAsiaTheme="minorEastAsia"/>
        </w:rPr>
        <w:t xml:space="preserve">. Moreover, we find that </w:t>
      </w:r>
      <w:r w:rsidR="00CC27C6" w:rsidRPr="001323F9">
        <w:rPr>
          <w:rFonts w:eastAsiaTheme="minorEastAsia"/>
        </w:rPr>
        <w:t>there exists an asymmetry between those intrinsic distances</w:t>
      </w:r>
      <w:r w:rsidR="006F4DC7">
        <w:rPr>
          <w:rFonts w:eastAsiaTheme="minorEastAsia"/>
        </w:rPr>
        <w:t>,</w:t>
      </w:r>
      <w:r w:rsidR="00CC27C6" w:rsidRPr="001323F9">
        <w:rPr>
          <w:rFonts w:eastAsiaTheme="minorEastAsia"/>
        </w:rPr>
        <w:t xml:space="preserve"> </w:t>
      </w:r>
      <w:r w:rsidR="00973B9D" w:rsidRPr="001323F9">
        <w:rPr>
          <w:rFonts w:eastAsiaTheme="minorEastAsia"/>
        </w:rPr>
        <w:t xml:space="preserve">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973B9D" w:rsidRPr="001323F9">
        <w:rPr>
          <w:rFonts w:ascii="Cambria Math" w:hAnsi="Cambria Math"/>
          <w:i/>
        </w:rPr>
        <w:t xml:space="preserve"> </w:t>
      </w:r>
      <m:oMath>
        <m:r>
          <w:rPr>
            <w:rFonts w:ascii="Cambria Math" w:hAnsi="Cambria Math"/>
          </w:rPr>
          <m:t>λ</m:t>
        </m:r>
      </m:oMath>
      <w:r w:rsidR="00973B9D" w:rsidRPr="001323F9">
        <w:rPr>
          <w:rFonts w:eastAsiaTheme="minorEastAsia"/>
        </w:rPr>
        <w:t xml:space="preserve"> values</w:t>
      </w:r>
      <w:r w:rsidR="00650AE6">
        <w:rPr>
          <w:rFonts w:eastAsiaTheme="minorEastAsia"/>
        </w:rPr>
        <w:t>,</w:t>
      </w:r>
      <w:r w:rsidR="00973B9D" w:rsidRPr="001323F9">
        <w:rPr>
          <w:rFonts w:eastAsiaTheme="minorEastAsia"/>
        </w:rPr>
        <w:t xml:space="preserve"> </w:t>
      </w:r>
      <w:r w:rsidR="00CC27C6" w:rsidRPr="001323F9">
        <w:rPr>
          <w:rFonts w:eastAsiaTheme="minorEastAsia"/>
        </w:rPr>
        <w:t>ablation conditions</w:t>
      </w:r>
      <w:r w:rsidR="00650AE6">
        <w:rPr>
          <w:rFonts w:eastAsiaTheme="minorEastAsia"/>
        </w:rPr>
        <w:t xml:space="preserve"> lead to larger values</w:t>
      </w:r>
      <w:r w:rsidR="00973B9D" w:rsidRPr="001323F9">
        <w:rPr>
          <w:rFonts w:eastAsiaTheme="minorEastAsia"/>
        </w:rPr>
        <w:t>.</w:t>
      </w:r>
      <w:r w:rsidR="00CC27C6" w:rsidRPr="001323F9">
        <w:rPr>
          <w:rFonts w:eastAsiaTheme="minorEastAsia"/>
        </w:rPr>
        <w:t xml:space="preserve"> </w:t>
      </w:r>
      <w:r w:rsidR="005C5AA9">
        <w:rPr>
          <w:rFonts w:eastAsiaTheme="minorEastAsia"/>
        </w:rPr>
        <w:t xml:space="preserve">Our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6F4DC7">
        <w:rPr>
          <w:rFonts w:eastAsiaTheme="minorEastAsia"/>
        </w:rPr>
        <w:t>,</w:t>
      </w:r>
      <w:r w:rsidR="00CC27C6" w:rsidRPr="001323F9">
        <w:rPr>
          <w:rFonts w:eastAsiaTheme="minorEastAsia"/>
        </w:rPr>
        <w:t xml:space="preserve"> in the sense that </w:t>
      </w:r>
      <w:r w:rsidR="00973B9D" w:rsidRPr="001323F9">
        <w:rPr>
          <w:rFonts w:eastAsiaTheme="minorEastAsia"/>
        </w:rPr>
        <w:t xml:space="preserve">horizontal distances associated with facet roughening exhibit a similar asymmetry between growth and ablation conditions. </w:t>
      </w:r>
      <w:r w:rsidR="005C5AA9">
        <w:rPr>
          <w:rFonts w:eastAsiaTheme="minorEastAsia"/>
        </w:rPr>
        <w:t>As noted above</w:t>
      </w:r>
      <w:r w:rsidR="00973B9D" w:rsidRPr="001323F9">
        <w:rPr>
          <w:rFonts w:eastAsiaTheme="minorEastAsia"/>
        </w:rPr>
        <w:t xml:space="preserve">, however,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as compared to experiment: in the former it is a few monolayers, while in the latter it is thousands of monolayers.</w:t>
      </w:r>
    </w:p>
    <w:p w:rsidR="00973B9D" w:rsidRDefault="00973B9D" w:rsidP="00AD3DB6">
      <w:pPr>
        <w:rPr>
          <w:rFonts w:eastAsiaTheme="minorEastAsia"/>
        </w:rPr>
      </w:pPr>
    </w:p>
    <w:p w:rsidR="00973B9D" w:rsidRPr="001323F9" w:rsidRDefault="00973B9D" w:rsidP="001323F9">
      <w:r>
        <w:t xml:space="preserve">Some of our findings have implications beyond the immediate context that are worth noting. One concerns the morphological </w:t>
      </w:r>
      <w:r w:rsidR="001323F9">
        <w:rPr>
          <w:rFonts w:eastAsiaTheme="minorEastAsia"/>
        </w:rPr>
        <w:t>changes</w:t>
      </w:r>
      <w:r w:rsidRPr="00973B9D">
        <w:rPr>
          <w:rFonts w:eastAsiaTheme="minorEastAsia"/>
        </w:rPr>
        <w:t xml:space="preserve"> cirrus cloud particles </w:t>
      </w:r>
      <w:r w:rsidR="001323F9">
        <w:rPr>
          <w:rFonts w:eastAsiaTheme="minorEastAsia"/>
        </w:rPr>
        <w:t xml:space="preserve">undergo </w:t>
      </w:r>
      <w:r w:rsidRPr="00973B9D">
        <w:rPr>
          <w:rFonts w:eastAsiaTheme="minorEastAsia"/>
        </w:rPr>
        <w:t xml:space="preserve">as they fall through Earth’s atmosphere. Such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we can expect more greater enhancements in growth at facet corners. When the effect of increased temperature dominates, however, we can expect greater persistence of smooth facets. </w:t>
      </w:r>
      <w:r>
        <w:rPr>
          <w:rFonts w:eastAsiaTheme="minorEastAsia"/>
        </w:rPr>
        <w:t>Although there is no single observational datum that would help us resolve these different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 and roughened</w:t>
      </w:r>
      <w:r>
        <w:rPr>
          <w:rFonts w:eastAsiaTheme="minorEastAsia"/>
        </w:rPr>
        <w:t xml:space="preserve">, suggesting dominance of </w:t>
      </w:r>
      <w:r w:rsidRPr="00751669">
        <w:rPr>
          <w:rFonts w:eastAsiaTheme="minorEastAsia"/>
        </w:rPr>
        <w:t>increased pressure</w:t>
      </w:r>
      <w:r>
        <w:rPr>
          <w:rFonts w:eastAsiaTheme="minorEastAsia"/>
        </w:rPr>
        <w:t xml:space="preserve"> as cirrus cloud particles descend through the atmosphere.</w:t>
      </w:r>
    </w:p>
    <w:p w:rsidR="00973B9D" w:rsidRDefault="00973B9D" w:rsidP="00973B9D"/>
    <w:p w:rsidR="00973B9D" w:rsidRDefault="006C0913" w:rsidP="00973B9D">
      <w:r>
        <w:t>Going further afield,</w:t>
      </w:r>
      <w:r w:rsidR="00973B9D">
        <w:t xml:space="preserve"> </w:t>
      </w:r>
      <w:r>
        <w:t>we can speculate that</w:t>
      </w:r>
      <w:r w:rsidR="00973B9D">
        <w:t xml:space="preserve"> because facets have distinct underlying crystal cell structures, we can expect that their quasi-liquid properties will also be distinctive. Exploratory numerical studies varying the thickness of a single “layer” of ice has shown that a proportional increase in </w:t>
      </w:r>
      <m:oMath>
        <m:r>
          <w:rPr>
            <w:rFonts w:ascii="Cambria Math" w:hAnsi="Cambria Math"/>
          </w:rPr>
          <m:t>λ</m:t>
        </m:r>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fact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r>
          <w:rPr>
            <w:rFonts w:ascii="Cambria Math" w:hAnsi="Cambria Math"/>
          </w:rPr>
          <m:t>λ</m:t>
        </m:r>
      </m:oMath>
      <w:r>
        <w:rPr>
          <w:rFonts w:eastAsiaTheme="minorEastAsia"/>
        </w:rPr>
        <w:t xml:space="preserve"> values documented here, in both theory and experiment,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perturbations to an initially homogeneous distribution of chemical species, whereas the patterns in QLC-2 steady states emerge as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as other workers have shown possible [e.g., Jake’s </w:t>
      </w:r>
      <w:r w:rsidRPr="00E94A9C">
        <w:rPr>
          <w:rFonts w:eastAsiaTheme="minorEastAsia"/>
        </w:rPr>
        <w:t>Heterogeneous multiscale</w:t>
      </w:r>
      <w:r>
        <w:rPr>
          <w:rFonts w:eastAsiaTheme="minorEastAsia"/>
        </w:rPr>
        <w:t xml:space="preserve"> approach].</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 phase simulations</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dx</m:t>
            </m:r>
          </m:den>
        </m:f>
      </m:oMath>
      <w:r w:rsidR="001D7EDA">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22"/>
        <w:gridCol w:w="5028"/>
      </w:tblGrid>
      <w:tr w:rsidR="009C3ABF"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9C3ABF" w:rsidTr="004108A9">
        <w:tc>
          <w:tcPr>
            <w:tcW w:w="0" w:type="auto"/>
          </w:tcPr>
          <w:p w:rsidR="009C3ABF" w:rsidRDefault="009C3ABF" w:rsidP="004108A9">
            <w:pPr>
              <w:keepNext/>
              <w:jc w:val="center"/>
              <w:rPr>
                <w:rFonts w:eastAsiaTheme="minorEastAsia"/>
              </w:rPr>
            </w:pPr>
            <w:r>
              <w:rPr>
                <w:noProof/>
              </w:rPr>
              <w:drawing>
                <wp:inline distT="0" distB="0" distL="0" distR="0" wp14:anchorId="17240385" wp14:editId="5BA7CA06">
                  <wp:extent cx="2120630" cy="1731847"/>
                  <wp:effectExtent l="0" t="0" r="635" b="0"/>
                  <wp:docPr id="937235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7634" cy="1753900"/>
                          </a:xfrm>
                          <a:prstGeom prst="rect">
                            <a:avLst/>
                          </a:prstGeom>
                          <a:noFill/>
                          <a:ln>
                            <a:noFill/>
                          </a:ln>
                        </pic:spPr>
                      </pic:pic>
                    </a:graphicData>
                  </a:graphic>
                </wp:inline>
              </w:drawing>
            </w:r>
          </w:p>
        </w:tc>
        <w:tc>
          <w:tcPr>
            <w:tcW w:w="0" w:type="auto"/>
            <w:vAlign w:val="center"/>
          </w:tcPr>
          <w:p w:rsidR="009C3ABF" w:rsidRDefault="009C3ABF" w:rsidP="004108A9">
            <w:pPr>
              <w:keepNext/>
              <w:jc w:val="center"/>
              <w:rPr>
                <w:rFonts w:eastAsiaTheme="minorEastAsia"/>
              </w:rPr>
            </w:pPr>
            <w:r>
              <w:rPr>
                <w:noProof/>
              </w:rPr>
              <w:drawing>
                <wp:inline distT="0" distB="0" distL="0" distR="0" wp14:anchorId="4EFE37AC" wp14:editId="09AAA61E">
                  <wp:extent cx="2490281" cy="1783637"/>
                  <wp:effectExtent l="0" t="0" r="0" b="0"/>
                  <wp:docPr id="18034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935" cy="1804877"/>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±85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=0</m:t>
        </m:r>
      </m:oMath>
      <w:r w:rsidR="003D23D3">
        <w:rPr>
          <w:rFonts w:eastAsiaTheme="minorEastAsia"/>
        </w:rPr>
        <w:t xml:space="preserve"> except at the surface of the ice crystal, where</w:t>
      </w:r>
      <w:r w:rsidR="00DE0D1B">
        <w:rPr>
          <w:rFonts w:eastAsiaTheme="minorEastAsia"/>
        </w:rPr>
        <w:t xml:space="preserve"> it equals</w:t>
      </w:r>
      <w:r w:rsidR="003D23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003D23D3">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oMath>
      <w:r w:rsidR="003D23D3">
        <w:rPr>
          <w:rFonts w:eastAsiaTheme="minorEastAsia"/>
        </w:rPr>
        <w:t xml:space="preserve"> is the mass density of ice;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3D23D3">
        <w:rPr>
          <w:rFonts w:eastAsiaTheme="minorEastAsia"/>
        </w:rPr>
        <w:t xml:space="preserve"> is the mass density of water vapor (computed using the ideal gas law and the molar mass of water,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3D23D3">
        <w:rPr>
          <w:rFonts w:eastAsiaTheme="minorEastAsia"/>
        </w:rPr>
        <w:t>); and</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3D23D3" w:rsidRPr="00D5545F">
        <w:rPr>
          <w:rFonts w:eastAsiaTheme="minorEastAsia"/>
        </w:rPr>
        <w:t xml:space="preserve"> is the specified growth rate of the ice surface</w:t>
      </w:r>
      <w:r w:rsidR="003D23D3">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Dirichlet conditions, representing a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w:rPr>
            <w:rFonts w:ascii="Cambria Math" w:eastAsiaTheme="minorEastAsia" w:hAnsi="Cambria Math"/>
          </w:rPr>
          <m:t>dx</m:t>
        </m:r>
      </m:oMath>
      <w:r w:rsidR="003D23D3">
        <w:rPr>
          <w:rFonts w:eastAsiaTheme="minorEastAsia"/>
        </w:rPr>
        <w:t xml:space="preserve"> (which equals </w:t>
      </w:r>
      <m:oMath>
        <m:r>
          <w:rPr>
            <w:rFonts w:ascii="Cambria Math" w:eastAsiaTheme="minorEastAsia" w:hAnsi="Cambria Math"/>
          </w:rPr>
          <m:t>dy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dx</m:t>
            </m:r>
          </m:den>
        </m:f>
      </m:oMath>
      <w:r>
        <w:rPr>
          <w:rFonts w:eastAsiaTheme="minorEastAsia"/>
        </w:rPr>
        <w:tab/>
      </w:r>
      <w:r w:rsidR="00D47544">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Fig. A1(b). </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It will be of interest to quantify this reduction in relative terms, as the “center reduction”,</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96"/>
        <w:gridCol w:w="329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dt=4.5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=0.14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=50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=36.5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=0.235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=1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FE3648" w:rsidRDefault="00246993" w:rsidP="0008219B">
            <w:pPr>
              <w:keepNext/>
              <w:keepLines/>
              <w:rPr>
                <w:rFonts w:eastAsiaTheme="minorEastAsia"/>
              </w:rPr>
            </w:pPr>
            <w:r>
              <w:rPr>
                <w:rFonts w:eastAsiaTheme="minorEastAsia"/>
              </w:rPr>
              <w:t>Mass density of water vapor</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P/RT</m:t>
                </m:r>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=2 μm/s</m:t>
                </m:r>
              </m:oMath>
            </m:oMathPara>
          </w:p>
        </w:tc>
      </w:tr>
      <w:tr w:rsidR="00EA651E" w:rsidTr="004108A9">
        <w:tc>
          <w:tcPr>
            <w:tcW w:w="0" w:type="auto"/>
          </w:tcPr>
          <w:p w:rsidR="00EA651E" w:rsidRPr="00EA651E" w:rsidRDefault="00681423" w:rsidP="004108A9">
            <w:r>
              <w:t>Parameters</w:t>
            </w:r>
            <w:r w:rsidR="00EA651E">
              <w:t xml:space="preser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t>:</w:t>
            </w:r>
          </w:p>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=-3.78×</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-2</m:t>
                    </m:r>
                  </m:sup>
                </m:sSup>
              </m:oMath>
            </m:oMathPara>
          </w:p>
        </w:tc>
      </w:tr>
      <w:tr w:rsidR="00EA651E" w:rsidTr="004108A9">
        <w:tc>
          <w:tcPr>
            <w:tcW w:w="0" w:type="auto"/>
          </w:tcPr>
          <w:p w:rsidR="00EA651E" w:rsidRPr="00EA651E" w:rsidRDefault="00EA651E" w:rsidP="004108A9"/>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=7.09×</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r w:rsidR="00EA651E" w:rsidTr="00665AA0">
        <w:tc>
          <w:tcPr>
            <w:tcW w:w="0" w:type="auto"/>
          </w:tcPr>
          <w:p w:rsidR="00EA651E" w:rsidRPr="00EA651E" w:rsidRDefault="00EA651E" w:rsidP="00EA651E"/>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r>
                  <w:rPr>
                    <w:rFonts w:ascii="Cambria Math" w:eastAsiaTheme="minorEastAsia" w:hAnsi="Cambria Math"/>
                  </w:rPr>
                  <m:t>=-2.21×</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oMath>
            </m:oMathPara>
          </w:p>
        </w:tc>
      </w:tr>
    </w:tbl>
    <w:p w:rsidR="00FE3648" w:rsidRDefault="00FE3648" w:rsidP="00F67EF6">
      <w:pPr>
        <w:ind w:left="360"/>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556"/>
        <w:gridCol w:w="4794"/>
      </w:tblGrid>
      <w:tr w:rsidR="00FE3648"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FE3648" w:rsidTr="009F6FE6">
        <w:tc>
          <w:tcPr>
            <w:tcW w:w="0" w:type="auto"/>
          </w:tcPr>
          <w:p w:rsidR="002E7814" w:rsidRDefault="00FE3648" w:rsidP="004108A9">
            <w:pPr>
              <w:keepNext/>
              <w:jc w:val="center"/>
              <w:rPr>
                <w:rFonts w:eastAsiaTheme="minorEastAsia"/>
              </w:rPr>
            </w:pPr>
            <w:r>
              <w:rPr>
                <w:noProof/>
              </w:rPr>
              <w:drawing>
                <wp:inline distT="0" distB="0" distL="0" distR="0">
                  <wp:extent cx="2419426" cy="1847397"/>
                  <wp:effectExtent l="0" t="0" r="0" b="0"/>
                  <wp:docPr id="125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501" cy="1882578"/>
                          </a:xfrm>
                          <a:prstGeom prst="rect">
                            <a:avLst/>
                          </a:prstGeom>
                          <a:noFill/>
                          <a:ln>
                            <a:noFill/>
                          </a:ln>
                        </pic:spPr>
                      </pic:pic>
                    </a:graphicData>
                  </a:graphic>
                </wp:inline>
              </w:drawing>
            </w:r>
          </w:p>
        </w:tc>
        <w:tc>
          <w:tcPr>
            <w:tcW w:w="0" w:type="auto"/>
          </w:tcPr>
          <w:p w:rsidR="002E7814" w:rsidRDefault="00FE3648" w:rsidP="004108A9">
            <w:pPr>
              <w:keepNext/>
              <w:jc w:val="center"/>
              <w:rPr>
                <w:rFonts w:eastAsiaTheme="minorEastAsia"/>
              </w:rPr>
            </w:pPr>
            <w:r>
              <w:rPr>
                <w:noProof/>
              </w:rPr>
              <w:drawing>
                <wp:inline distT="0" distB="0" distL="0" distR="0">
                  <wp:extent cx="2553904" cy="1847215"/>
                  <wp:effectExtent l="0" t="0" r="0" b="0"/>
                  <wp:docPr id="8902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1370" cy="1874314"/>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26073F">
              <w:rPr>
                <w:rFonts w:eastAsiaTheme="minorEastAsia"/>
              </w:rPr>
              <w:t>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sidR="001C5BBB">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 results</w:t>
      </w:r>
      <w:r w:rsidR="00E33CD5">
        <w:rPr>
          <w:rFonts w:eastAsiaTheme="minorEastAsia"/>
        </w:rPr>
        <w:t xml:space="preserve"> (not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EA651E">
        <w:rPr>
          <w:rFonts w:eastAsiaTheme="minorEastAsia"/>
          <w:i/>
          <w:iCs/>
        </w:rPr>
        <w:t>not</w:t>
      </w:r>
      <w:r>
        <w:rPr>
          <w:rFonts w:eastAsiaTheme="minorEastAsia"/>
        </w:rPr>
        <w:t xml:space="preserve"> alter this parameterization</w:t>
      </w:r>
      <w:r w:rsidRPr="00C477E5">
        <w:rPr>
          <w:rFonts w:eastAsiaTheme="minorEastAsia"/>
        </w:rPr>
        <w:t>.</w:t>
      </w:r>
      <w:r w:rsidR="005500F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Fonts w:eastAsiaTheme="minorEastAsia"/>
        </w:rPr>
      </w:pPr>
      <w:r>
        <w:rPr>
          <w:rFonts w:eastAsiaTheme="minorEastAsia"/>
        </w:rPr>
        <w:t xml:space="preserve">The temperature dependence of the diffusion coefficient was based on </w:t>
      </w:r>
      <w:r>
        <w:t xml:space="preserve">data from </w:t>
      </w:r>
      <w:hyperlink r:id="rId25" w:tgtFrame="_blank" w:history="1">
        <w:r>
          <w:rPr>
            <w:rStyle w:val="Hyperlink"/>
          </w:rPr>
          <w:t>https://www.engineeringtoolbox.com/air-diffusion-coefficient-gas-mixture-temperature-d_2010.html</w:t>
        </w:r>
      </w:hyperlink>
    </w:p>
    <w:sectPr w:rsidR="00834C83" w:rsidSect="001647A8">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1657" w:rsidRDefault="004E1657" w:rsidP="001647A8">
      <w:r>
        <w:separator/>
      </w:r>
    </w:p>
  </w:endnote>
  <w:endnote w:type="continuationSeparator" w:id="0">
    <w:p w:rsidR="004E1657" w:rsidRDefault="004E1657"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1657" w:rsidRDefault="004E1657" w:rsidP="001647A8">
      <w:r>
        <w:separator/>
      </w:r>
    </w:p>
  </w:footnote>
  <w:footnote w:type="continuationSeparator" w:id="0">
    <w:p w:rsidR="004E1657" w:rsidRDefault="004E1657"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28"/>
  </w:num>
  <w:num w:numId="3" w16cid:durableId="858588217">
    <w:abstractNumId w:val="25"/>
  </w:num>
  <w:num w:numId="4" w16cid:durableId="1013603938">
    <w:abstractNumId w:val="9"/>
  </w:num>
  <w:num w:numId="5" w16cid:durableId="700133087">
    <w:abstractNumId w:val="19"/>
  </w:num>
  <w:num w:numId="6" w16cid:durableId="1433667749">
    <w:abstractNumId w:val="20"/>
  </w:num>
  <w:num w:numId="7" w16cid:durableId="205335628">
    <w:abstractNumId w:val="3"/>
  </w:num>
  <w:num w:numId="8" w16cid:durableId="783424871">
    <w:abstractNumId w:val="8"/>
  </w:num>
  <w:num w:numId="9" w16cid:durableId="1161121561">
    <w:abstractNumId w:val="10"/>
  </w:num>
  <w:num w:numId="10" w16cid:durableId="1833570303">
    <w:abstractNumId w:val="15"/>
  </w:num>
  <w:num w:numId="11" w16cid:durableId="1060056665">
    <w:abstractNumId w:val="11"/>
  </w:num>
  <w:num w:numId="12" w16cid:durableId="1353724262">
    <w:abstractNumId w:val="17"/>
  </w:num>
  <w:num w:numId="13" w16cid:durableId="1950578582">
    <w:abstractNumId w:val="0"/>
  </w:num>
  <w:num w:numId="14" w16cid:durableId="1203245152">
    <w:abstractNumId w:val="23"/>
  </w:num>
  <w:num w:numId="15" w16cid:durableId="25909152">
    <w:abstractNumId w:val="4"/>
  </w:num>
  <w:num w:numId="16" w16cid:durableId="1272543928">
    <w:abstractNumId w:val="12"/>
  </w:num>
  <w:num w:numId="17" w16cid:durableId="969356483">
    <w:abstractNumId w:val="16"/>
  </w:num>
  <w:num w:numId="18" w16cid:durableId="1581794431">
    <w:abstractNumId w:val="21"/>
  </w:num>
  <w:num w:numId="19" w16cid:durableId="1795520364">
    <w:abstractNumId w:val="14"/>
  </w:num>
  <w:num w:numId="20" w16cid:durableId="309402172">
    <w:abstractNumId w:val="7"/>
  </w:num>
  <w:num w:numId="21" w16cid:durableId="246696933">
    <w:abstractNumId w:val="27"/>
  </w:num>
  <w:num w:numId="22" w16cid:durableId="1219435110">
    <w:abstractNumId w:val="26"/>
  </w:num>
  <w:num w:numId="23" w16cid:durableId="1090809669">
    <w:abstractNumId w:val="2"/>
  </w:num>
  <w:num w:numId="24" w16cid:durableId="95030618">
    <w:abstractNumId w:val="24"/>
  </w:num>
  <w:num w:numId="25" w16cid:durableId="413210070">
    <w:abstractNumId w:val="18"/>
  </w:num>
  <w:num w:numId="26" w16cid:durableId="1144856516">
    <w:abstractNumId w:val="6"/>
  </w:num>
  <w:num w:numId="27" w16cid:durableId="1748922356">
    <w:abstractNumId w:val="13"/>
  </w:num>
  <w:num w:numId="28" w16cid:durableId="1446969704">
    <w:abstractNumId w:val="5"/>
  </w:num>
  <w:num w:numId="29" w16cid:durableId="3069316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61080"/>
    <w:rsid w:val="000666E3"/>
    <w:rsid w:val="00066D78"/>
    <w:rsid w:val="00067568"/>
    <w:rsid w:val="00072DC4"/>
    <w:rsid w:val="00073C87"/>
    <w:rsid w:val="000755FB"/>
    <w:rsid w:val="00077FBA"/>
    <w:rsid w:val="0008219B"/>
    <w:rsid w:val="0008525E"/>
    <w:rsid w:val="000856B7"/>
    <w:rsid w:val="000954B8"/>
    <w:rsid w:val="000A0239"/>
    <w:rsid w:val="000A6134"/>
    <w:rsid w:val="000A6F52"/>
    <w:rsid w:val="000A7534"/>
    <w:rsid w:val="000B16ED"/>
    <w:rsid w:val="000B3C63"/>
    <w:rsid w:val="000B63AE"/>
    <w:rsid w:val="000C2A33"/>
    <w:rsid w:val="000D07A7"/>
    <w:rsid w:val="000D1FCD"/>
    <w:rsid w:val="000E1388"/>
    <w:rsid w:val="000E266E"/>
    <w:rsid w:val="000E2E82"/>
    <w:rsid w:val="000E50F8"/>
    <w:rsid w:val="000E63E0"/>
    <w:rsid w:val="000E779E"/>
    <w:rsid w:val="000F1961"/>
    <w:rsid w:val="000F1A57"/>
    <w:rsid w:val="000F74EE"/>
    <w:rsid w:val="0010155F"/>
    <w:rsid w:val="00104DAA"/>
    <w:rsid w:val="0010546F"/>
    <w:rsid w:val="00116B00"/>
    <w:rsid w:val="00120065"/>
    <w:rsid w:val="00121AFC"/>
    <w:rsid w:val="001323F9"/>
    <w:rsid w:val="00133FB4"/>
    <w:rsid w:val="00134888"/>
    <w:rsid w:val="00135882"/>
    <w:rsid w:val="00137AA8"/>
    <w:rsid w:val="00142F9A"/>
    <w:rsid w:val="00147BD3"/>
    <w:rsid w:val="001508B6"/>
    <w:rsid w:val="00154B7C"/>
    <w:rsid w:val="00156807"/>
    <w:rsid w:val="0016075B"/>
    <w:rsid w:val="00161F0F"/>
    <w:rsid w:val="00162420"/>
    <w:rsid w:val="00162D82"/>
    <w:rsid w:val="001647A8"/>
    <w:rsid w:val="00170729"/>
    <w:rsid w:val="00173AC8"/>
    <w:rsid w:val="00174A7C"/>
    <w:rsid w:val="001819D6"/>
    <w:rsid w:val="0018266C"/>
    <w:rsid w:val="00182881"/>
    <w:rsid w:val="00184A36"/>
    <w:rsid w:val="00191B24"/>
    <w:rsid w:val="00191DD3"/>
    <w:rsid w:val="001975ED"/>
    <w:rsid w:val="001A244E"/>
    <w:rsid w:val="001A4D5A"/>
    <w:rsid w:val="001B2697"/>
    <w:rsid w:val="001C2C0F"/>
    <w:rsid w:val="001C58EE"/>
    <w:rsid w:val="001C5BBB"/>
    <w:rsid w:val="001C7B11"/>
    <w:rsid w:val="001D11D6"/>
    <w:rsid w:val="001D19C1"/>
    <w:rsid w:val="001D34E4"/>
    <w:rsid w:val="001D57C0"/>
    <w:rsid w:val="001D7EDA"/>
    <w:rsid w:val="001E033F"/>
    <w:rsid w:val="001E1FDB"/>
    <w:rsid w:val="001E63C5"/>
    <w:rsid w:val="00200523"/>
    <w:rsid w:val="002070C6"/>
    <w:rsid w:val="00212494"/>
    <w:rsid w:val="002124BD"/>
    <w:rsid w:val="00216A8A"/>
    <w:rsid w:val="002179AF"/>
    <w:rsid w:val="002208E8"/>
    <w:rsid w:val="002234B4"/>
    <w:rsid w:val="0022435D"/>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941"/>
    <w:rsid w:val="00275FDE"/>
    <w:rsid w:val="00276410"/>
    <w:rsid w:val="00276A05"/>
    <w:rsid w:val="00276B17"/>
    <w:rsid w:val="00276C0C"/>
    <w:rsid w:val="002825E0"/>
    <w:rsid w:val="00283081"/>
    <w:rsid w:val="002830E9"/>
    <w:rsid w:val="002831EF"/>
    <w:rsid w:val="00283EC9"/>
    <w:rsid w:val="0028791A"/>
    <w:rsid w:val="00293A08"/>
    <w:rsid w:val="00297343"/>
    <w:rsid w:val="002A7DE8"/>
    <w:rsid w:val="002B169C"/>
    <w:rsid w:val="002B3FD7"/>
    <w:rsid w:val="002B5BF1"/>
    <w:rsid w:val="002B6906"/>
    <w:rsid w:val="002C11F4"/>
    <w:rsid w:val="002C7420"/>
    <w:rsid w:val="002D21C1"/>
    <w:rsid w:val="002D6FB3"/>
    <w:rsid w:val="002E7814"/>
    <w:rsid w:val="002E7E44"/>
    <w:rsid w:val="002F050A"/>
    <w:rsid w:val="002F1B7C"/>
    <w:rsid w:val="002F1C78"/>
    <w:rsid w:val="002F272A"/>
    <w:rsid w:val="002F7B11"/>
    <w:rsid w:val="00303819"/>
    <w:rsid w:val="00304816"/>
    <w:rsid w:val="00306079"/>
    <w:rsid w:val="00306656"/>
    <w:rsid w:val="00314674"/>
    <w:rsid w:val="00315B28"/>
    <w:rsid w:val="00322FE2"/>
    <w:rsid w:val="003243DF"/>
    <w:rsid w:val="00332F4B"/>
    <w:rsid w:val="0033688A"/>
    <w:rsid w:val="00340E1B"/>
    <w:rsid w:val="00343C14"/>
    <w:rsid w:val="003467FA"/>
    <w:rsid w:val="0034754C"/>
    <w:rsid w:val="003511FF"/>
    <w:rsid w:val="0035248C"/>
    <w:rsid w:val="00356BBD"/>
    <w:rsid w:val="00361A4D"/>
    <w:rsid w:val="00362DD2"/>
    <w:rsid w:val="00364627"/>
    <w:rsid w:val="003671E3"/>
    <w:rsid w:val="00372BF9"/>
    <w:rsid w:val="00381179"/>
    <w:rsid w:val="0038206A"/>
    <w:rsid w:val="00382778"/>
    <w:rsid w:val="003838BB"/>
    <w:rsid w:val="0038400C"/>
    <w:rsid w:val="00386619"/>
    <w:rsid w:val="003914A6"/>
    <w:rsid w:val="00393B23"/>
    <w:rsid w:val="003A0CCA"/>
    <w:rsid w:val="003A43E8"/>
    <w:rsid w:val="003A66F8"/>
    <w:rsid w:val="003A6E57"/>
    <w:rsid w:val="003B1160"/>
    <w:rsid w:val="003B1635"/>
    <w:rsid w:val="003C1539"/>
    <w:rsid w:val="003D0C5C"/>
    <w:rsid w:val="003D23D3"/>
    <w:rsid w:val="003D291C"/>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5A45"/>
    <w:rsid w:val="00426D85"/>
    <w:rsid w:val="00431322"/>
    <w:rsid w:val="0043227D"/>
    <w:rsid w:val="004326AF"/>
    <w:rsid w:val="00444F1A"/>
    <w:rsid w:val="004504B2"/>
    <w:rsid w:val="00450514"/>
    <w:rsid w:val="004528ED"/>
    <w:rsid w:val="00454D26"/>
    <w:rsid w:val="00461528"/>
    <w:rsid w:val="00464ED3"/>
    <w:rsid w:val="004678FC"/>
    <w:rsid w:val="004758CA"/>
    <w:rsid w:val="004767C3"/>
    <w:rsid w:val="00483DE2"/>
    <w:rsid w:val="00485704"/>
    <w:rsid w:val="004865DF"/>
    <w:rsid w:val="00486AE4"/>
    <w:rsid w:val="00492E13"/>
    <w:rsid w:val="004A1B30"/>
    <w:rsid w:val="004A3525"/>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502A61"/>
    <w:rsid w:val="00510CA3"/>
    <w:rsid w:val="005140B4"/>
    <w:rsid w:val="0051514E"/>
    <w:rsid w:val="00524C75"/>
    <w:rsid w:val="00532C18"/>
    <w:rsid w:val="00535E37"/>
    <w:rsid w:val="005402AA"/>
    <w:rsid w:val="00547579"/>
    <w:rsid w:val="005500FA"/>
    <w:rsid w:val="00552D6D"/>
    <w:rsid w:val="00557561"/>
    <w:rsid w:val="00563262"/>
    <w:rsid w:val="00564F8B"/>
    <w:rsid w:val="00565742"/>
    <w:rsid w:val="005763F2"/>
    <w:rsid w:val="00576F96"/>
    <w:rsid w:val="005819C8"/>
    <w:rsid w:val="00583CD2"/>
    <w:rsid w:val="0058486D"/>
    <w:rsid w:val="005850D4"/>
    <w:rsid w:val="00592D6C"/>
    <w:rsid w:val="00593793"/>
    <w:rsid w:val="005A25CA"/>
    <w:rsid w:val="005A26F6"/>
    <w:rsid w:val="005A60E9"/>
    <w:rsid w:val="005B5C4F"/>
    <w:rsid w:val="005C5AA9"/>
    <w:rsid w:val="005C7806"/>
    <w:rsid w:val="005C7A6A"/>
    <w:rsid w:val="005D1519"/>
    <w:rsid w:val="005D20DD"/>
    <w:rsid w:val="005D65DB"/>
    <w:rsid w:val="005D6A3B"/>
    <w:rsid w:val="005E0CC3"/>
    <w:rsid w:val="005E30A2"/>
    <w:rsid w:val="005E491F"/>
    <w:rsid w:val="005E796C"/>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1486"/>
    <w:rsid w:val="00642282"/>
    <w:rsid w:val="006445B9"/>
    <w:rsid w:val="00644DDD"/>
    <w:rsid w:val="00650AE6"/>
    <w:rsid w:val="00653137"/>
    <w:rsid w:val="00656FA2"/>
    <w:rsid w:val="00665217"/>
    <w:rsid w:val="00665AA0"/>
    <w:rsid w:val="00675E2D"/>
    <w:rsid w:val="00680025"/>
    <w:rsid w:val="00681423"/>
    <w:rsid w:val="00691822"/>
    <w:rsid w:val="0069585B"/>
    <w:rsid w:val="006967EB"/>
    <w:rsid w:val="00696B41"/>
    <w:rsid w:val="006976F9"/>
    <w:rsid w:val="006A0828"/>
    <w:rsid w:val="006A11FF"/>
    <w:rsid w:val="006A1754"/>
    <w:rsid w:val="006A2CE0"/>
    <w:rsid w:val="006B2C14"/>
    <w:rsid w:val="006B337B"/>
    <w:rsid w:val="006B39CF"/>
    <w:rsid w:val="006B39E1"/>
    <w:rsid w:val="006B7A49"/>
    <w:rsid w:val="006C0226"/>
    <w:rsid w:val="006C0913"/>
    <w:rsid w:val="006C3AE9"/>
    <w:rsid w:val="006D4271"/>
    <w:rsid w:val="006D604B"/>
    <w:rsid w:val="006E097D"/>
    <w:rsid w:val="006E2F8E"/>
    <w:rsid w:val="006E5186"/>
    <w:rsid w:val="006F080C"/>
    <w:rsid w:val="006F4DC7"/>
    <w:rsid w:val="00704B20"/>
    <w:rsid w:val="00707D47"/>
    <w:rsid w:val="00712E4A"/>
    <w:rsid w:val="007151E5"/>
    <w:rsid w:val="0071780E"/>
    <w:rsid w:val="00721FFB"/>
    <w:rsid w:val="0072411A"/>
    <w:rsid w:val="00730BCC"/>
    <w:rsid w:val="0074162E"/>
    <w:rsid w:val="00743D37"/>
    <w:rsid w:val="00747071"/>
    <w:rsid w:val="007505AB"/>
    <w:rsid w:val="00751669"/>
    <w:rsid w:val="007523F3"/>
    <w:rsid w:val="00757BBD"/>
    <w:rsid w:val="00760860"/>
    <w:rsid w:val="007738EF"/>
    <w:rsid w:val="00773F62"/>
    <w:rsid w:val="00774A55"/>
    <w:rsid w:val="0077579E"/>
    <w:rsid w:val="00776F4C"/>
    <w:rsid w:val="00782A9D"/>
    <w:rsid w:val="00785A93"/>
    <w:rsid w:val="00785E9E"/>
    <w:rsid w:val="007904DC"/>
    <w:rsid w:val="0079330A"/>
    <w:rsid w:val="00796D5B"/>
    <w:rsid w:val="007A2036"/>
    <w:rsid w:val="007A5D24"/>
    <w:rsid w:val="007A6F7F"/>
    <w:rsid w:val="007B3AFE"/>
    <w:rsid w:val="007B55C3"/>
    <w:rsid w:val="007B5647"/>
    <w:rsid w:val="007C057C"/>
    <w:rsid w:val="007C3E49"/>
    <w:rsid w:val="007C6626"/>
    <w:rsid w:val="007D0631"/>
    <w:rsid w:val="007D7951"/>
    <w:rsid w:val="007E0E9E"/>
    <w:rsid w:val="007E38A9"/>
    <w:rsid w:val="007F1651"/>
    <w:rsid w:val="007F487D"/>
    <w:rsid w:val="00806D0C"/>
    <w:rsid w:val="00810A67"/>
    <w:rsid w:val="00811D65"/>
    <w:rsid w:val="008125FA"/>
    <w:rsid w:val="00821408"/>
    <w:rsid w:val="00827F8C"/>
    <w:rsid w:val="00830982"/>
    <w:rsid w:val="00831420"/>
    <w:rsid w:val="0083482A"/>
    <w:rsid w:val="00834C83"/>
    <w:rsid w:val="00843222"/>
    <w:rsid w:val="00854B18"/>
    <w:rsid w:val="00854D47"/>
    <w:rsid w:val="00856A8D"/>
    <w:rsid w:val="00863D4A"/>
    <w:rsid w:val="00863DA8"/>
    <w:rsid w:val="008711C6"/>
    <w:rsid w:val="00876171"/>
    <w:rsid w:val="00880316"/>
    <w:rsid w:val="00880C1E"/>
    <w:rsid w:val="008942A8"/>
    <w:rsid w:val="008A1289"/>
    <w:rsid w:val="008A24F2"/>
    <w:rsid w:val="008B03B6"/>
    <w:rsid w:val="008B0EE2"/>
    <w:rsid w:val="008B4E3B"/>
    <w:rsid w:val="008B652E"/>
    <w:rsid w:val="008C5BCD"/>
    <w:rsid w:val="008C7B9F"/>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774D"/>
    <w:rsid w:val="00927A05"/>
    <w:rsid w:val="00930A78"/>
    <w:rsid w:val="009345EB"/>
    <w:rsid w:val="00935A6B"/>
    <w:rsid w:val="00937A84"/>
    <w:rsid w:val="00944345"/>
    <w:rsid w:val="00950E88"/>
    <w:rsid w:val="00955865"/>
    <w:rsid w:val="00955868"/>
    <w:rsid w:val="009650CB"/>
    <w:rsid w:val="0096545B"/>
    <w:rsid w:val="00970EF4"/>
    <w:rsid w:val="00973775"/>
    <w:rsid w:val="00973B9D"/>
    <w:rsid w:val="00974254"/>
    <w:rsid w:val="00974ED0"/>
    <w:rsid w:val="00985134"/>
    <w:rsid w:val="00986414"/>
    <w:rsid w:val="00987C86"/>
    <w:rsid w:val="00990DA0"/>
    <w:rsid w:val="00993F0E"/>
    <w:rsid w:val="00995786"/>
    <w:rsid w:val="00996FB3"/>
    <w:rsid w:val="009A016B"/>
    <w:rsid w:val="009A33D2"/>
    <w:rsid w:val="009A7AAB"/>
    <w:rsid w:val="009B359F"/>
    <w:rsid w:val="009C114D"/>
    <w:rsid w:val="009C3ABF"/>
    <w:rsid w:val="009C4BA2"/>
    <w:rsid w:val="009D09E0"/>
    <w:rsid w:val="009D2E89"/>
    <w:rsid w:val="009D6309"/>
    <w:rsid w:val="009E230A"/>
    <w:rsid w:val="009E380A"/>
    <w:rsid w:val="009F032C"/>
    <w:rsid w:val="009F4D9D"/>
    <w:rsid w:val="009F6863"/>
    <w:rsid w:val="00A00A4A"/>
    <w:rsid w:val="00A010DB"/>
    <w:rsid w:val="00A07CD1"/>
    <w:rsid w:val="00A14DA2"/>
    <w:rsid w:val="00A1641A"/>
    <w:rsid w:val="00A1734A"/>
    <w:rsid w:val="00A17C17"/>
    <w:rsid w:val="00A20AD6"/>
    <w:rsid w:val="00A275F0"/>
    <w:rsid w:val="00A27FCC"/>
    <w:rsid w:val="00A300C0"/>
    <w:rsid w:val="00A3322C"/>
    <w:rsid w:val="00A362F7"/>
    <w:rsid w:val="00A52208"/>
    <w:rsid w:val="00A52DC2"/>
    <w:rsid w:val="00A56331"/>
    <w:rsid w:val="00A56910"/>
    <w:rsid w:val="00A64D3E"/>
    <w:rsid w:val="00A65914"/>
    <w:rsid w:val="00A66C1A"/>
    <w:rsid w:val="00A737AA"/>
    <w:rsid w:val="00A753AD"/>
    <w:rsid w:val="00A8112B"/>
    <w:rsid w:val="00A8191A"/>
    <w:rsid w:val="00A83AC6"/>
    <w:rsid w:val="00A9261D"/>
    <w:rsid w:val="00A9447F"/>
    <w:rsid w:val="00A97378"/>
    <w:rsid w:val="00AA443B"/>
    <w:rsid w:val="00AB1889"/>
    <w:rsid w:val="00AB240D"/>
    <w:rsid w:val="00AB6528"/>
    <w:rsid w:val="00AC2E67"/>
    <w:rsid w:val="00AC4256"/>
    <w:rsid w:val="00AC664E"/>
    <w:rsid w:val="00AC7714"/>
    <w:rsid w:val="00AC7E93"/>
    <w:rsid w:val="00AD3DB6"/>
    <w:rsid w:val="00AD4C26"/>
    <w:rsid w:val="00AD5D5A"/>
    <w:rsid w:val="00AD6EDC"/>
    <w:rsid w:val="00AF2A7D"/>
    <w:rsid w:val="00B009F5"/>
    <w:rsid w:val="00B00B03"/>
    <w:rsid w:val="00B02E32"/>
    <w:rsid w:val="00B11218"/>
    <w:rsid w:val="00B137C4"/>
    <w:rsid w:val="00B24595"/>
    <w:rsid w:val="00B2614B"/>
    <w:rsid w:val="00B31E9E"/>
    <w:rsid w:val="00B32BC8"/>
    <w:rsid w:val="00B369D2"/>
    <w:rsid w:val="00B426E5"/>
    <w:rsid w:val="00B45096"/>
    <w:rsid w:val="00B45EE4"/>
    <w:rsid w:val="00B47A47"/>
    <w:rsid w:val="00B518D6"/>
    <w:rsid w:val="00B63BA0"/>
    <w:rsid w:val="00B63CE8"/>
    <w:rsid w:val="00B644FE"/>
    <w:rsid w:val="00B66555"/>
    <w:rsid w:val="00B672B3"/>
    <w:rsid w:val="00B70ACD"/>
    <w:rsid w:val="00B72845"/>
    <w:rsid w:val="00B77A49"/>
    <w:rsid w:val="00B907A2"/>
    <w:rsid w:val="00B961CE"/>
    <w:rsid w:val="00B96C79"/>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7A6A"/>
    <w:rsid w:val="00C27E57"/>
    <w:rsid w:val="00C330D9"/>
    <w:rsid w:val="00C35025"/>
    <w:rsid w:val="00C36D30"/>
    <w:rsid w:val="00C42454"/>
    <w:rsid w:val="00C42B92"/>
    <w:rsid w:val="00C451FB"/>
    <w:rsid w:val="00C45FB5"/>
    <w:rsid w:val="00C477E5"/>
    <w:rsid w:val="00C50402"/>
    <w:rsid w:val="00C5497B"/>
    <w:rsid w:val="00C570D9"/>
    <w:rsid w:val="00C604B5"/>
    <w:rsid w:val="00C60A9E"/>
    <w:rsid w:val="00C60FC2"/>
    <w:rsid w:val="00C639D6"/>
    <w:rsid w:val="00C66905"/>
    <w:rsid w:val="00C677B2"/>
    <w:rsid w:val="00C724B0"/>
    <w:rsid w:val="00C731FC"/>
    <w:rsid w:val="00C73424"/>
    <w:rsid w:val="00C7620E"/>
    <w:rsid w:val="00C82F0C"/>
    <w:rsid w:val="00C8742D"/>
    <w:rsid w:val="00C87A56"/>
    <w:rsid w:val="00C90EAF"/>
    <w:rsid w:val="00C9224E"/>
    <w:rsid w:val="00C97B39"/>
    <w:rsid w:val="00CA73D7"/>
    <w:rsid w:val="00CA764E"/>
    <w:rsid w:val="00CA7D93"/>
    <w:rsid w:val="00CC27C6"/>
    <w:rsid w:val="00CC4957"/>
    <w:rsid w:val="00CC6AC6"/>
    <w:rsid w:val="00CC7A08"/>
    <w:rsid w:val="00CD283C"/>
    <w:rsid w:val="00CD38B2"/>
    <w:rsid w:val="00CD6C65"/>
    <w:rsid w:val="00CE078E"/>
    <w:rsid w:val="00CE2369"/>
    <w:rsid w:val="00CE32BC"/>
    <w:rsid w:val="00CE6387"/>
    <w:rsid w:val="00CF09A2"/>
    <w:rsid w:val="00CF0D6E"/>
    <w:rsid w:val="00CF1569"/>
    <w:rsid w:val="00CF6281"/>
    <w:rsid w:val="00CF6963"/>
    <w:rsid w:val="00D015CC"/>
    <w:rsid w:val="00D0212A"/>
    <w:rsid w:val="00D032B5"/>
    <w:rsid w:val="00D11F9D"/>
    <w:rsid w:val="00D17E72"/>
    <w:rsid w:val="00D2016B"/>
    <w:rsid w:val="00D2051E"/>
    <w:rsid w:val="00D3182D"/>
    <w:rsid w:val="00D36F23"/>
    <w:rsid w:val="00D405AF"/>
    <w:rsid w:val="00D42064"/>
    <w:rsid w:val="00D42CBF"/>
    <w:rsid w:val="00D45E44"/>
    <w:rsid w:val="00D47544"/>
    <w:rsid w:val="00D50443"/>
    <w:rsid w:val="00D5545F"/>
    <w:rsid w:val="00D55ECF"/>
    <w:rsid w:val="00D604E4"/>
    <w:rsid w:val="00D6125F"/>
    <w:rsid w:val="00D62513"/>
    <w:rsid w:val="00D62D01"/>
    <w:rsid w:val="00D64A87"/>
    <w:rsid w:val="00D7372D"/>
    <w:rsid w:val="00D77B5E"/>
    <w:rsid w:val="00D82099"/>
    <w:rsid w:val="00D962B0"/>
    <w:rsid w:val="00DA3E0F"/>
    <w:rsid w:val="00DA7EB5"/>
    <w:rsid w:val="00DB70D2"/>
    <w:rsid w:val="00DB79B1"/>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6D1E"/>
    <w:rsid w:val="00E24A3B"/>
    <w:rsid w:val="00E30732"/>
    <w:rsid w:val="00E30D9B"/>
    <w:rsid w:val="00E33CD5"/>
    <w:rsid w:val="00E351CB"/>
    <w:rsid w:val="00E35219"/>
    <w:rsid w:val="00E35E08"/>
    <w:rsid w:val="00E37105"/>
    <w:rsid w:val="00E42A2E"/>
    <w:rsid w:val="00E441F7"/>
    <w:rsid w:val="00E4741B"/>
    <w:rsid w:val="00E532AC"/>
    <w:rsid w:val="00E535E9"/>
    <w:rsid w:val="00E615B8"/>
    <w:rsid w:val="00E666B9"/>
    <w:rsid w:val="00E80AB6"/>
    <w:rsid w:val="00E8785D"/>
    <w:rsid w:val="00E9186C"/>
    <w:rsid w:val="00E9238B"/>
    <w:rsid w:val="00E94A9C"/>
    <w:rsid w:val="00E9776E"/>
    <w:rsid w:val="00EA1AC4"/>
    <w:rsid w:val="00EA49BD"/>
    <w:rsid w:val="00EA5DAA"/>
    <w:rsid w:val="00EA651E"/>
    <w:rsid w:val="00EA697D"/>
    <w:rsid w:val="00EA6A21"/>
    <w:rsid w:val="00EB6A81"/>
    <w:rsid w:val="00EC00D0"/>
    <w:rsid w:val="00EC55DA"/>
    <w:rsid w:val="00EC779A"/>
    <w:rsid w:val="00ED085D"/>
    <w:rsid w:val="00ED2E2A"/>
    <w:rsid w:val="00ED7C57"/>
    <w:rsid w:val="00EF2BF9"/>
    <w:rsid w:val="00EF4456"/>
    <w:rsid w:val="00EF53B8"/>
    <w:rsid w:val="00EF5E01"/>
    <w:rsid w:val="00F02D15"/>
    <w:rsid w:val="00F02FDF"/>
    <w:rsid w:val="00F040EE"/>
    <w:rsid w:val="00F0549C"/>
    <w:rsid w:val="00F10C84"/>
    <w:rsid w:val="00F132FD"/>
    <w:rsid w:val="00F13765"/>
    <w:rsid w:val="00F13928"/>
    <w:rsid w:val="00F145BE"/>
    <w:rsid w:val="00F16A1E"/>
    <w:rsid w:val="00F16EA3"/>
    <w:rsid w:val="00F2207F"/>
    <w:rsid w:val="00F2619E"/>
    <w:rsid w:val="00F266DF"/>
    <w:rsid w:val="00F337C5"/>
    <w:rsid w:val="00F40640"/>
    <w:rsid w:val="00F419B8"/>
    <w:rsid w:val="00F43903"/>
    <w:rsid w:val="00F44472"/>
    <w:rsid w:val="00F467F7"/>
    <w:rsid w:val="00F46BFB"/>
    <w:rsid w:val="00F55611"/>
    <w:rsid w:val="00F6264D"/>
    <w:rsid w:val="00F6291B"/>
    <w:rsid w:val="00F654D2"/>
    <w:rsid w:val="00F67745"/>
    <w:rsid w:val="00F67EF6"/>
    <w:rsid w:val="00F70AB6"/>
    <w:rsid w:val="00F72199"/>
    <w:rsid w:val="00F73BAE"/>
    <w:rsid w:val="00F774E5"/>
    <w:rsid w:val="00F807C2"/>
    <w:rsid w:val="00F80E6B"/>
    <w:rsid w:val="00F8256C"/>
    <w:rsid w:val="00F834FC"/>
    <w:rsid w:val="00F92FC6"/>
    <w:rsid w:val="00F944CD"/>
    <w:rsid w:val="00F94937"/>
    <w:rsid w:val="00F962DC"/>
    <w:rsid w:val="00FA16E8"/>
    <w:rsid w:val="00FA2906"/>
    <w:rsid w:val="00FB39EC"/>
    <w:rsid w:val="00FC3092"/>
    <w:rsid w:val="00FC5CEB"/>
    <w:rsid w:val="00FD06D6"/>
    <w:rsid w:val="00FD52F2"/>
    <w:rsid w:val="00FD692B"/>
    <w:rsid w:val="00FE3648"/>
    <w:rsid w:val="00FE58F2"/>
    <w:rsid w:val="00FE7717"/>
    <w:rsid w:val="00FF0A27"/>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0C1BD"/>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ngineeringtoolbox.com/air-diffusion-coefficient-gas-mixture-temperature-d_2010.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18</Pages>
  <Words>5129</Words>
  <Characters>29240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66</cp:revision>
  <cp:lastPrinted>2024-01-23T22:09:00Z</cp:lastPrinted>
  <dcterms:created xsi:type="dcterms:W3CDTF">2024-01-22T19:48:00Z</dcterms:created>
  <dcterms:modified xsi:type="dcterms:W3CDTF">2024-01-24T18:58:00Z</dcterms:modified>
</cp:coreProperties>
</file>