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the-english-hub-legal-compliance-report"/>
    <w:p>
      <w:pPr>
        <w:pStyle w:val="Heading1"/>
      </w:pPr>
      <w:r>
        <w:t xml:space="preserve">The English Hub – Legal Compliance Report</w:t>
      </w:r>
    </w:p>
    <w:bookmarkStart w:id="10" w:name="Xc66ff597dac14c158700f1ef0f99ac1a11548a5"/>
    <w:p>
      <w:pPr>
        <w:pStyle w:val="Heading2"/>
      </w:pPr>
      <w:r>
        <w:t xml:space="preserve">UK and Qatar Dual-Jurisdiction Requirements</w:t>
      </w:r>
    </w:p>
    <w:bookmarkStart w:id="9" w:name="X5f2a8ff5af0e0233ee77ccfe5934f83dbbb7b09"/>
    <w:p>
      <w:pPr>
        <w:pStyle w:val="Heading3"/>
      </w:pPr>
      <w:r>
        <w:t xml:space="preserve">Platform: EdTech SaaS | GCSE/IGCSE English | Ages 14-18 | AI Essay Feedback | Stripe Payments | Affiliate Program</w:t>
      </w:r>
    </w:p>
    <w:p>
      <w:pPr>
        <w:pStyle w:val="FirstParagraph"/>
      </w:pPr>
      <w:r>
        <w:rPr>
          <w:b/>
          <w:bCs/>
        </w:rPr>
        <w:t xml:space="preserve">Report Date:</w:t>
      </w:r>
      <w:r>
        <w:t xml:space="preserve"> </w:t>
      </w:r>
      <w:r>
        <w:t xml:space="preserve">22 March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Pre-launch compliance checklist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cd253bc8dc991e5e528298fb85d7fc4377da42">
        <w:r>
          <w:rPr>
            <w:rStyle w:val="Hyperlink"/>
          </w:rPr>
          <w:t xml:space="preserve">UK Legal Requirements</w:t>
        </w:r>
      </w:hyperlink>
    </w:p>
    <w:p>
      <w:pPr>
        <w:pStyle w:val="Compact"/>
        <w:numPr>
          <w:ilvl w:val="0"/>
          <w:numId w:val="1001"/>
        </w:numPr>
      </w:pPr>
      <w:hyperlink w:anchor="X2be528f28245ad571cea750ec4f12ab6ddd062d">
        <w:r>
          <w:rPr>
            <w:rStyle w:val="Hyperlink"/>
          </w:rPr>
          <w:t xml:space="preserve">Qatar Legal Requirements</w:t>
        </w:r>
      </w:hyperlink>
    </w:p>
    <w:p>
      <w:pPr>
        <w:pStyle w:val="Compact"/>
        <w:numPr>
          <w:ilvl w:val="0"/>
          <w:numId w:val="1001"/>
        </w:numPr>
      </w:pPr>
      <w:hyperlink w:anchor="Xfb90ba266c7b45f793640689cbb60dcef044127">
        <w:r>
          <w:rPr>
            <w:rStyle w:val="Hyperlink"/>
          </w:rPr>
          <w:t xml:space="preserve">Cross-Border Considerations</w:t>
        </w:r>
      </w:hyperlink>
    </w:p>
    <w:p>
      <w:pPr>
        <w:pStyle w:val="Compact"/>
        <w:numPr>
          <w:ilvl w:val="0"/>
          <w:numId w:val="1001"/>
        </w:numPr>
      </w:pPr>
      <w:hyperlink w:anchor="Xad9e0704890f074fcae931287920b4376cd66ef">
        <w:r>
          <w:rPr>
            <w:rStyle w:val="Hyperlink"/>
          </w:rPr>
          <w:t xml:space="preserve">Master Action Item Checklist</w:t>
        </w:r>
      </w:hyperlink>
    </w:p>
    <w:p>
      <w:pPr>
        <w:pStyle w:val="Compact"/>
        <w:numPr>
          <w:ilvl w:val="0"/>
          <w:numId w:val="1001"/>
        </w:numPr>
      </w:pPr>
      <w:hyperlink w:anchor="X3cc2f24a2e1f8ad9ae3a148a2c6397f3ea0bcd9">
        <w:r>
          <w:rPr>
            <w:rStyle w:val="Hyperlink"/>
          </w:rPr>
          <w:t xml:space="preserve">Estimated Total Costs</w:t>
        </w:r>
      </w:hyperlink>
    </w:p>
    <w:p>
      <w:pPr>
        <w:pStyle w:val="Compact"/>
        <w:numPr>
          <w:ilvl w:val="0"/>
          <w:numId w:val="1001"/>
        </w:numPr>
      </w:pPr>
      <w:hyperlink w:anchor="Xca6167432033adae54b261b1bfa4b83faa382ae">
        <w:r>
          <w:rPr>
            <w:rStyle w:val="Hyperlink"/>
          </w:rPr>
          <w:t xml:space="preserve">Recommended Timeline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23" w:name="uk-legal-requirements"/>
    <w:p>
      <w:pPr>
        <w:pStyle w:val="Heading2"/>
      </w:pPr>
      <w:r>
        <w:t xml:space="preserve">1. UK LEGAL REQUIREMENTS</w:t>
      </w:r>
    </w:p>
    <w:bookmarkStart w:id="12" w:name="ico-registration-data-protection-fee"/>
    <w:p>
      <w:pPr>
        <w:pStyle w:val="Heading3"/>
      </w:pPr>
      <w:r>
        <w:t xml:space="preserve">1.1 ICO Registration (Data Protection Fee)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All organisations that process personal data must pay a data protection fee to the ICO, unless exempt.</w:t>
      </w:r>
    </w:p>
    <w:p>
      <w:pPr>
        <w:pStyle w:val="BodyText"/>
      </w:pPr>
      <w:r>
        <w:rPr>
          <w:b/>
          <w:bCs/>
        </w:rPr>
        <w:t xml:space="preserve">Fee Tiers (as of February 2025 increase of 29.8%):</w:t>
      </w:r>
      <w:r>
        <w:t xml:space="preserve"> </w:t>
      </w:r>
      <w:r>
        <w:t xml:space="preserve">| Tier | Criteria | Annual Fee |</w:t>
      </w:r>
      <w:r>
        <w:t xml:space="preserve"> </w:t>
      </w:r>
      <w:r>
        <w:t xml:space="preserve">|——|———-|————|</w:t>
      </w:r>
      <w:r>
        <w:t xml:space="preserve"> </w:t>
      </w:r>
      <w:r>
        <w:t xml:space="preserve">| Tier 1 (Micro) | Turnover &lt; GBP 632,000 OR &lt; 10 staff | GBP 52/year |</w:t>
      </w:r>
      <w:r>
        <w:t xml:space="preserve"> </w:t>
      </w:r>
      <w:r>
        <w:t xml:space="preserve">| Tier 2 (SME) | Turnover &lt; GBP 36m OR &lt; 250 staff | GBP 78/year |</w:t>
      </w:r>
      <w:r>
        <w:t xml:space="preserve"> </w:t>
      </w:r>
      <w:r>
        <w:t xml:space="preserve">| Tier 3 (Large) | Turnover &gt; GBP 36m OR 250+ staff | GBP 3,763/year |</w:t>
      </w:r>
    </w:p>
    <w:p>
      <w:pPr>
        <w:pStyle w:val="Compact"/>
        <w:numPr>
          <w:ilvl w:val="0"/>
          <w:numId w:val="1002"/>
        </w:numPr>
      </w:pPr>
      <w:r>
        <w:t xml:space="preserve">GBP 5 discount for Direct Debit payment.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English Hub will likely start at Tier 1 (GBP 52/year).</w:t>
      </w:r>
    </w:p>
    <w:p>
      <w:pPr>
        <w:pStyle w:val="FirstParagraph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Register and pay the data protection fee online</w:t>
      </w:r>
      <w:r>
        <w:t xml:space="preserve"> </w:t>
      </w:r>
      <w:r>
        <w:t xml:space="preserve">- [ ] Set up Direct Debit for annual renewal</w:t>
      </w:r>
    </w:p>
    <w:p>
      <w:pPr>
        <w:pStyle w:val="BodyText"/>
      </w:pPr>
      <w:r>
        <w:rPr>
          <w:b/>
          <w:bCs/>
        </w:rPr>
        <w:t xml:space="preserve">Portal:</w:t>
      </w:r>
      <w:r>
        <w:t xml:space="preserve"> </w:t>
      </w:r>
      <w:r>
        <w:t xml:space="preserve">https://ico.org.uk/for-organisations/data-protection-fee/</w:t>
      </w:r>
      <w:r>
        <w:t xml:space="preserve"> </w:t>
      </w:r>
      <w:r>
        <w:rPr>
          <w:b/>
          <w:bCs/>
        </w:rPr>
        <w:t xml:space="preserve">Processing Time:</w:t>
      </w:r>
      <w:r>
        <w:t xml:space="preserve"> </w:t>
      </w:r>
      <w:r>
        <w:t xml:space="preserve">Immediate upon online payment</w:t>
      </w:r>
      <w:r>
        <w:t xml:space="preserve"> </w:t>
      </w:r>
      <w:r>
        <w:rPr>
          <w:b/>
          <w:bCs/>
        </w:rPr>
        <w:t xml:space="preserve">Estimated Cost:</w:t>
      </w:r>
      <w:r>
        <w:t xml:space="preserve"> </w:t>
      </w:r>
      <w:r>
        <w:t xml:space="preserve">GBP 47/year (Tier 1 with Direct Debit discount)</w:t>
      </w:r>
    </w:p>
    <w:p>
      <w:r>
        <w:pict>
          <v:rect style="width:0;height:1.5pt" o:hralign="center" o:hrstd="t" o:hr="t"/>
        </w:pict>
      </w:r>
    </w:p>
    <w:bookmarkEnd w:id="12"/>
    <w:bookmarkStart w:id="13" w:name="uk-gdpr-compliance-for-minors-under-18"/>
    <w:p>
      <w:pPr>
        <w:pStyle w:val="Heading3"/>
      </w:pPr>
      <w:r>
        <w:t xml:space="preserve">1.2 UK GDPR Compliance for Minors (Under 18)</w:t>
      </w:r>
    </w:p>
    <w:p>
      <w:pPr>
        <w:pStyle w:val="FirstParagraph"/>
      </w:pPr>
      <w:r>
        <w:rPr>
          <w:b/>
          <w:bCs/>
        </w:rPr>
        <w:t xml:space="preserve">Key Rules:</w:t>
      </w:r>
      <w:r>
        <w:t xml:space="preserve"> </w:t>
      </w:r>
      <w:r>
        <w:t xml:space="preserve">- Under UK GDPR, the age of consent for data processing via information society services (ISS) is</w:t>
      </w:r>
      <w:r>
        <w:t xml:space="preserve"> </w:t>
      </w:r>
      <w:r>
        <w:rPr>
          <w:b/>
          <w:bCs/>
        </w:rPr>
        <w:t xml:space="preserve">13 years old</w:t>
      </w:r>
      <w:r>
        <w:t xml:space="preserve"> </w:t>
      </w:r>
      <w:r>
        <w:t xml:space="preserve">in the UK.</w:t>
      </w:r>
      <w:r>
        <w:t xml:space="preserve"> </w:t>
      </w:r>
      <w:r>
        <w:t xml:space="preserve">- Since your users are 14-18, those aged 14+ can consent to data processing themselves without parental consent under UK GDPR Article 8.</w:t>
      </w:r>
      <w:r>
        <w:t xml:space="preserve"> </w:t>
      </w:r>
      <w:r>
        <w:t xml:space="preserve">- However, children still</w:t>
      </w:r>
      <w:r>
        <w:t xml:space="preserve"> </w:t>
      </w:r>
      <w:r>
        <w:t xml:space="preserve">“merit specific protection”</w:t>
      </w:r>
      <w:r>
        <w:t xml:space="preserve"> </w:t>
      </w:r>
      <w:r>
        <w:t xml:space="preserve">– you must use clear, plain language in privacy notices.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You must NOT use children’s data for marketing purposes or user profiling</w:t>
      </w:r>
      <w:r>
        <w:t xml:space="preserve"> </w:t>
      </w:r>
      <w:r>
        <w:t xml:space="preserve">unless there is a compelling justification.</w:t>
      </w:r>
      <w:r>
        <w:t xml:space="preserve"> </w:t>
      </w:r>
      <w:r>
        <w:t xml:space="preserve">- Automated decision-making (your AI essay feedback) must allow users to understand the logic behind it and request human review.</w:t>
      </w:r>
    </w:p>
    <w:p>
      <w:pPr>
        <w:pStyle w:val="BodyText"/>
      </w:pPr>
      <w:r>
        <w:rPr>
          <w:b/>
          <w:bCs/>
        </w:rPr>
        <w:t xml:space="preserve">AI Essay Feedback – Specific Requirements (Data Use and Access Act 2025, in force 5 February 2026):</w:t>
      </w:r>
      <w:r>
        <w:t xml:space="preserve"> </w:t>
      </w:r>
      <w:r>
        <w:t xml:space="preserve">- The UK has moved from a prohibition-based to permission-based regime for automated decision-making, but with safeguards.</w:t>
      </w:r>
      <w:r>
        <w:t xml:space="preserve"> </w:t>
      </w:r>
      <w:r>
        <w:t xml:space="preserve">- You must provide: (a) right to human intervention, (b) ability to contest the AI decision, (c) transparency about the logic and criteria used.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Data Protection Impact Assessment (DPIA)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mandatory</w:t>
      </w:r>
      <w:r>
        <w:t xml:space="preserve"> </w:t>
      </w:r>
      <w:r>
        <w:t xml:space="preserve">because you are processing children’s data via AI/automated means.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Draft a child-friendly privacy notice in plain English</w:t>
      </w:r>
      <w:r>
        <w:t xml:space="preserve"> </w:t>
      </w:r>
      <w:r>
        <w:t xml:space="preserve">- [ ] Implement age verification at registration (self-declaration minimum; consider more robust methods)</w:t>
      </w:r>
      <w:r>
        <w:t xml:space="preserve"> </w:t>
      </w:r>
      <w:r>
        <w:t xml:space="preserve">- [ ] Conduct and document a full DPIA covering AI essay feedback, children’s data, and cross-border transfers</w:t>
      </w:r>
      <w:r>
        <w:t xml:space="preserve"> </w:t>
      </w:r>
      <w:r>
        <w:t xml:space="preserve">- [ ] Build a</w:t>
      </w:r>
      <w:r>
        <w:t xml:space="preserve"> </w:t>
      </w:r>
      <w:r>
        <w:t xml:space="preserve">“request human review”</w:t>
      </w:r>
      <w:r>
        <w:t xml:space="preserve"> </w:t>
      </w:r>
      <w:r>
        <w:t xml:space="preserve">mechanism for AI essay feedback</w:t>
      </w:r>
      <w:r>
        <w:t xml:space="preserve"> </w:t>
      </w:r>
      <w:r>
        <w:t xml:space="preserve">- [ ] Implement transparency page explaining how the AI essay feedback works (logic, criteria, limitations)</w:t>
      </w:r>
      <w:r>
        <w:t xml:space="preserve"> </w:t>
      </w:r>
      <w:r>
        <w:t xml:space="preserve">- [ ] Ensure marketing/profiling of under-18 users is either disabled or strongly justified</w:t>
      </w:r>
    </w:p>
    <w:p>
      <w:pPr>
        <w:pStyle w:val="BodyText"/>
      </w:pPr>
      <w:r>
        <w:rPr>
          <w:b/>
          <w:bCs/>
        </w:rPr>
        <w:t xml:space="preserve">Portal:</w:t>
      </w:r>
      <w:r>
        <w:t xml:space="preserve"> </w:t>
      </w:r>
      <w:r>
        <w:t xml:space="preserve">https://ico.org.uk/for-organisations/uk-gdpr-guidance-and-resources/childrens-information/</w:t>
      </w:r>
      <w:r>
        <w:t xml:space="preserve"> </w:t>
      </w:r>
      <w:r>
        <w:rPr>
          <w:b/>
          <w:bCs/>
        </w:rPr>
        <w:t xml:space="preserve">Estimated Cost:</w:t>
      </w:r>
      <w:r>
        <w:t xml:space="preserve"> </w:t>
      </w:r>
      <w:r>
        <w:t xml:space="preserve">GBP 0 (self-service) to GBP 2,000-5,000 if using a data protection consultant for DPIA</w:t>
      </w:r>
    </w:p>
    <w:p>
      <w:r>
        <w:pict>
          <v:rect style="width:0;height:1.5pt" o:hralign="center" o:hrstd="t" o:hr="t"/>
        </w:pict>
      </w:r>
    </w:p>
    <w:bookmarkEnd w:id="13"/>
    <w:bookmarkStart w:id="14" w:name="X3e417cb1605d13d5a6f13d5d643baf903275613"/>
    <w:p>
      <w:pPr>
        <w:pStyle w:val="Heading3"/>
      </w:pPr>
      <w:r>
        <w:t xml:space="preserve">1.3 Age Appropriate Design Code (Children’s Code)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The ICO’s Children’s Code contains</w:t>
      </w:r>
      <w:r>
        <w:t xml:space="preserve"> </w:t>
      </w:r>
      <w:r>
        <w:rPr>
          <w:b/>
          <w:bCs/>
        </w:rPr>
        <w:t xml:space="preserve">15 mandatory standards</w:t>
      </w:r>
      <w:r>
        <w:t xml:space="preserve"> </w:t>
      </w:r>
      <w:r>
        <w:t xml:space="preserve">for online services likely to be accessed by children. EdTech platforms are explicitly in scope.</w:t>
      </w:r>
    </w:p>
    <w:p>
      <w:pPr>
        <w:pStyle w:val="BodyText"/>
      </w:pPr>
      <w:r>
        <w:rPr>
          <w:b/>
          <w:bCs/>
        </w:rPr>
        <w:t xml:space="preserve">The 15 Standards (key ones for The English Hub):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Best interests of the child</w:t>
      </w:r>
      <w:r>
        <w:t xml:space="preserve"> </w:t>
      </w:r>
      <w:r>
        <w:t xml:space="preserve">– primary consideration in all design decisions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Protection Impact Assessments</w:t>
      </w:r>
      <w:r>
        <w:t xml:space="preserve"> </w:t>
      </w:r>
      <w:r>
        <w:t xml:space="preserve">– mandatory (see 1.2 above)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Age-appropriate application</w:t>
      </w:r>
      <w:r>
        <w:t xml:space="preserve"> </w:t>
      </w:r>
      <w:r>
        <w:t xml:space="preserve">– tailor data handling to the age range (14-18)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Transparency</w:t>
      </w:r>
      <w:r>
        <w:t xml:space="preserve"> </w:t>
      </w:r>
      <w:r>
        <w:t xml:space="preserve">– privacy info must be concise, prominent, and in clear language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Detrimental use of data</w:t>
      </w:r>
      <w:r>
        <w:t xml:space="preserve"> </w:t>
      </w:r>
      <w:r>
        <w:t xml:space="preserve">– do not use children’s data in ways detrimental to their wellbeing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Policies and community standards</w:t>
      </w:r>
      <w:r>
        <w:t xml:space="preserve"> </w:t>
      </w:r>
      <w:r>
        <w:t xml:space="preserve">– uphold published T&amp;Cs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Default settings</w:t>
      </w:r>
      <w:r>
        <w:t xml:space="preserve"> </w:t>
      </w:r>
      <w:r>
        <w:t xml:space="preserve">– must be</w:t>
      </w:r>
      <w:r>
        <w:t xml:space="preserve"> </w:t>
      </w:r>
      <w:r>
        <w:t xml:space="preserve">“high privacy”</w:t>
      </w:r>
      <w:r>
        <w:t xml:space="preserve"> </w:t>
      </w:r>
      <w:r>
        <w:t xml:space="preserve">by default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minimisation</w:t>
      </w:r>
      <w:r>
        <w:t xml:space="preserve"> </w:t>
      </w:r>
      <w:r>
        <w:t xml:space="preserve">– collect only what is strictly necessary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sharing</w:t>
      </w:r>
      <w:r>
        <w:t xml:space="preserve"> </w:t>
      </w:r>
      <w:r>
        <w:t xml:space="preserve">– do not share children’s data unless there is a compelling reason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Geolocation</w:t>
      </w:r>
      <w:r>
        <w:t xml:space="preserve"> </w:t>
      </w:r>
      <w:r>
        <w:t xml:space="preserve">– switched off by default (likely N/A for The English Hub)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Parental controls</w:t>
      </w:r>
      <w:r>
        <w:t xml:space="preserve"> </w:t>
      </w:r>
      <w:r>
        <w:t xml:space="preserve">– provide age-appropriate controls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Profiling</w:t>
      </w:r>
      <w:r>
        <w:t xml:space="preserve"> </w:t>
      </w:r>
      <w:r>
        <w:t xml:space="preserve">– profiling must be off by default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Nudge techniques</w:t>
      </w:r>
      <w:r>
        <w:t xml:space="preserve"> </w:t>
      </w:r>
      <w:r>
        <w:t xml:space="preserve">– do not use dark patterns to weaken privacy settings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Connected toys/devices</w:t>
      </w:r>
      <w:r>
        <w:t xml:space="preserve"> </w:t>
      </w:r>
      <w:r>
        <w:t xml:space="preserve">– N/A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Online tools</w:t>
      </w:r>
      <w:r>
        <w:t xml:space="preserve"> </w:t>
      </w:r>
      <w:r>
        <w:t xml:space="preserve">– provide tools to help children exercise their data rights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The Data (Use and Access) Act 2025 may lead to updates to this code. Guidance is under review as of mid-2025.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Conduct a Children’s Code conformance audit across all 15 standards</w:t>
      </w:r>
      <w:r>
        <w:t xml:space="preserve"> </w:t>
      </w:r>
      <w:r>
        <w:t xml:space="preserve">- [ ] Set all privacy/data settings to HIGH by default</w:t>
      </w:r>
      <w:r>
        <w:t xml:space="preserve"> </w:t>
      </w:r>
      <w:r>
        <w:t xml:space="preserve">- [ ] Disable profiling and personalised marketing by default for all users</w:t>
      </w:r>
      <w:r>
        <w:t xml:space="preserve"> </w:t>
      </w:r>
      <w:r>
        <w:t xml:space="preserve">- [ ] Ensure no nudge techniques or dark patterns in the UI (especially around data consent)</w:t>
      </w:r>
      <w:r>
        <w:t xml:space="preserve"> </w:t>
      </w:r>
      <w:r>
        <w:t xml:space="preserve">- [ ] Provide accessible tools for students to access, download, and delete their data</w:t>
      </w:r>
      <w:r>
        <w:t xml:space="preserve"> </w:t>
      </w:r>
      <w:r>
        <w:t xml:space="preserve">- [ ] Document your conformance with each of the 15 standards</w:t>
      </w:r>
    </w:p>
    <w:p>
      <w:pPr>
        <w:pStyle w:val="BodyText"/>
      </w:pPr>
      <w:r>
        <w:rPr>
          <w:b/>
          <w:bCs/>
        </w:rPr>
        <w:t xml:space="preserve">Portal:</w:t>
      </w:r>
      <w:r>
        <w:t xml:space="preserve"> </w:t>
      </w:r>
      <w:r>
        <w:t xml:space="preserve">https://ico.org.uk/for-organisations/uk-gdpr-guidance-and-resources/childrens-information/childrens-code-guidance-and-resources/</w:t>
      </w:r>
      <w:r>
        <w:t xml:space="preserve"> </w:t>
      </w:r>
      <w:r>
        <w:rPr>
          <w:b/>
          <w:bCs/>
        </w:rPr>
        <w:t xml:space="preserve">Estimated Cost:</w:t>
      </w:r>
      <w:r>
        <w:t xml:space="preserve"> </w:t>
      </w:r>
      <w:r>
        <w:t xml:space="preserve">GBP 0 (self-assessment) to GBP 3,000-8,000 (external Children’s Code audit)</w:t>
      </w:r>
    </w:p>
    <w:p>
      <w:r>
        <w:pict>
          <v:rect style="width:0;height:1.5pt" o:hralign="center" o:hrstd="t" o:hr="t"/>
        </w:pict>
      </w:r>
    </w:p>
    <w:bookmarkEnd w:id="14"/>
    <w:bookmarkStart w:id="15" w:name="dbs-checks-and-safeguarding"/>
    <w:p>
      <w:pPr>
        <w:pStyle w:val="Heading3"/>
      </w:pPr>
      <w:r>
        <w:t xml:space="preserve">1.4 DBS Checks and Safeguarding</w:t>
      </w:r>
    </w:p>
    <w:p>
      <w:pPr>
        <w:pStyle w:val="FirstParagraph"/>
      </w:pPr>
      <w:r>
        <w:rPr>
          <w:b/>
          <w:bCs/>
        </w:rPr>
        <w:t xml:space="preserve">Requirement:</w:t>
      </w:r>
      <w:r>
        <w:t xml:space="preserve"> </w:t>
      </w:r>
      <w:r>
        <w:t xml:space="preserve">While not strictly a legal mandate for SaaS EdTech (no direct 1:1 contact with children), DBS checks are industry best practice and expected by parents.</w:t>
      </w:r>
    </w:p>
    <w:p>
      <w:pPr>
        <w:pStyle w:val="BodyText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From</w:t>
      </w:r>
      <w:r>
        <w:t xml:space="preserve"> </w:t>
      </w:r>
      <w:r>
        <w:rPr>
          <w:b/>
          <w:bCs/>
        </w:rPr>
        <w:t xml:space="preserve">January 2026</w:t>
      </w:r>
      <w:r>
        <w:t xml:space="preserve">, the previous</w:t>
      </w:r>
      <w:r>
        <w:t xml:space="preserve"> </w:t>
      </w:r>
      <w:r>
        <w:t xml:space="preserve">“safeguarding loophole”</w:t>
      </w:r>
      <w:r>
        <w:t xml:space="preserve"> </w:t>
      </w:r>
      <w:r>
        <w:t xml:space="preserve">for private tutors has been closed.</w:t>
      </w:r>
      <w:r>
        <w:t xml:space="preserve"> </w:t>
      </w:r>
      <w:r>
        <w:t xml:space="preserve">- If any staff members provide direct interaction with students (e.g., live feedback sessions, messaging), an</w:t>
      </w:r>
      <w:r>
        <w:t xml:space="preserve"> </w:t>
      </w:r>
      <w:r>
        <w:rPr>
          <w:b/>
          <w:bCs/>
        </w:rPr>
        <w:t xml:space="preserve">Enhanced DBS check</w:t>
      </w:r>
      <w:r>
        <w:t xml:space="preserve"> </w:t>
      </w:r>
      <w:r>
        <w:t xml:space="preserve">is strongly recommended.</w:t>
      </w:r>
      <w:r>
        <w:t xml:space="preserve"> </w:t>
      </w:r>
      <w:r>
        <w:t xml:space="preserve">- For a purely AI-driven platform with no live human interaction, DBS checks are less critical but still advisable for trust/credibility.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Safeguarding training</w:t>
      </w:r>
      <w:r>
        <w:t xml:space="preserve"> </w:t>
      </w:r>
      <w:r>
        <w:t xml:space="preserve">(Level 1 minimum) is recommended for all staff.</w:t>
      </w:r>
    </w:p>
    <w:p>
      <w:pPr>
        <w:pStyle w:val="BodyText"/>
      </w:pPr>
      <w:r>
        <w:rPr>
          <w:b/>
          <w:bCs/>
        </w:rPr>
        <w:t xml:space="preserve">Costs:</w:t>
      </w:r>
      <w:r>
        <w:t xml:space="preserve"> </w:t>
      </w:r>
      <w:r>
        <w:t xml:space="preserve">| Item | Cost |</w:t>
      </w:r>
      <w:r>
        <w:t xml:space="preserve"> </w:t>
      </w:r>
      <w:r>
        <w:t xml:space="preserve">|——|——|</w:t>
      </w:r>
      <w:r>
        <w:t xml:space="preserve"> </w:t>
      </w:r>
      <w:r>
        <w:t xml:space="preserve">| Enhanced DBS check (gov fee) | GBP 49.50 per person |</w:t>
      </w:r>
      <w:r>
        <w:t xml:space="preserve"> </w:t>
      </w:r>
      <w:r>
        <w:t xml:space="preserve">| Admin fee (umbrella body) | GBP 10-30 per person |</w:t>
      </w:r>
      <w:r>
        <w:t xml:space="preserve"> </w:t>
      </w:r>
      <w:r>
        <w:t xml:space="preserve">| Total per check | GBP 60-80 per person |</w:t>
      </w:r>
      <w:r>
        <w:t xml:space="preserve"> </w:t>
      </w:r>
      <w:r>
        <w:t xml:space="preserve">| Safeguarding training (Level 1) | Free (NSPCC/Educare) to GBP 20 |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Obtain Enhanced DBS checks for any staff with student contact</w:t>
      </w:r>
      <w:r>
        <w:t xml:space="preserve"> </w:t>
      </w:r>
      <w:r>
        <w:t xml:space="preserve">- [ ] Complete Level 1 Safeguarding training (free via NSPCC)</w:t>
      </w:r>
      <w:r>
        <w:t xml:space="preserve"> </w:t>
      </w:r>
      <w:r>
        <w:t xml:space="preserve">- [ ] Draft and publish a Safeguarding Policy on the website</w:t>
      </w:r>
      <w:r>
        <w:t xml:space="preserve"> </w:t>
      </w:r>
      <w:r>
        <w:t xml:space="preserve">- [ ] Implement a reporting mechanism for safeguarding concerns</w:t>
      </w:r>
    </w:p>
    <w:p>
      <w:pPr>
        <w:pStyle w:val="BodyText"/>
      </w:pPr>
      <w:r>
        <w:rPr>
          <w:b/>
          <w:bCs/>
        </w:rPr>
        <w:t xml:space="preserve">Processing Time:</w:t>
      </w:r>
      <w:r>
        <w:t xml:space="preserve"> </w:t>
      </w:r>
      <w:r>
        <w:t xml:space="preserve">7-14 days for Enhanced DBS checks</w:t>
      </w:r>
      <w:r>
        <w:t xml:space="preserve"> </w:t>
      </w:r>
      <w:r>
        <w:rPr>
          <w:b/>
          <w:bCs/>
        </w:rPr>
        <w:t xml:space="preserve">Portal:</w:t>
      </w:r>
      <w:r>
        <w:t xml:space="preserve"> </w:t>
      </w:r>
      <w:r>
        <w:t xml:space="preserve">https://www.gov.uk/request-copy-criminal-record</w:t>
      </w:r>
    </w:p>
    <w:p>
      <w:r>
        <w:pict>
          <v:rect style="width:0;height:1.5pt" o:hralign="center" o:hrstd="t" o:hr="t"/>
        </w:pict>
      </w:r>
    </w:p>
    <w:bookmarkEnd w:id="15"/>
    <w:bookmarkStart w:id="16" w:name="Xf122f710f41b7f73813702f5bf5f2e8f797e247"/>
    <w:p>
      <w:pPr>
        <w:pStyle w:val="Heading3"/>
      </w:pPr>
      <w:r>
        <w:t xml:space="preserve">1.5 Consumer Rights Act 2015 &amp; Distance Selling</w:t>
      </w:r>
    </w:p>
    <w:p>
      <w:pPr>
        <w:pStyle w:val="FirstParagraph"/>
      </w:pPr>
      <w:r>
        <w:rPr>
          <w:b/>
          <w:bCs/>
        </w:rPr>
        <w:t xml:space="preserve">Requirements for digital subscription services:</w:t>
      </w:r>
    </w:p>
    <w:p>
      <w:pPr>
        <w:pStyle w:val="BodyText"/>
      </w:pPr>
      <w:r>
        <w:rPr>
          <w:b/>
          <w:bCs/>
        </w:rPr>
        <w:t xml:space="preserve">Consumer Contracts Regulations 2013:</w:t>
      </w:r>
      <w:r>
        <w:t xml:space="preserve"> </w:t>
      </w:r>
      <w:r>
        <w:t xml:space="preserve">- 14-day cooling-off period from the date the contract is entered into.</w:t>
      </w:r>
      <w:r>
        <w:t xml:space="preserve"> </w:t>
      </w:r>
      <w:r>
        <w:t xml:space="preserve">- For digital content: if you want users to access content immediately, they must give explicit consent to waive the 14-day cooling-off period AND be informed they lose their right to cancel once the content is accessed.</w:t>
      </w:r>
      <w:r>
        <w:t xml:space="preserve"> </w:t>
      </w:r>
      <w:r>
        <w:t xml:space="preserve">- You must provide a model cancellation form.</w:t>
      </w:r>
    </w:p>
    <w:p>
      <w:pPr>
        <w:pStyle w:val="BodyText"/>
      </w:pPr>
      <w:r>
        <w:rPr>
          <w:b/>
          <w:bCs/>
        </w:rPr>
        <w:t xml:space="preserve">DMCC Act 2024 (Subscription Contract Rules – expected Autumn 2026):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Reminder notices</w:t>
      </w:r>
      <w:r>
        <w:t xml:space="preserve"> </w:t>
      </w:r>
      <w:r>
        <w:t xml:space="preserve">required before renewal payments.</w:t>
      </w:r>
      <w:r>
        <w:t xml:space="preserve"> </w:t>
      </w:r>
      <w:r>
        <w:t xml:space="preserve">- For monthly subscriptions: reminder before every 6th payment (twice per year).</w:t>
      </w:r>
      <w:r>
        <w:t xml:space="preserve"> </w:t>
      </w:r>
      <w:r>
        <w:t xml:space="preserve">- For annual subscriptions: reminder before each renewal (twice per year).</w:t>
      </w:r>
      <w:r>
        <w:t xml:space="preserve"> </w:t>
      </w:r>
      <w:r>
        <w:t xml:space="preserve">- Reminder must include: date due, amount, any price increase.</w:t>
      </w:r>
      <w:r>
        <w:t xml:space="preserve"> </w:t>
      </w:r>
      <w:r>
        <w:t xml:space="preserve">- Easy cancellation process must be provided (no dark patterns).</w:t>
      </w:r>
      <w:r>
        <w:t xml:space="preserve"> </w:t>
      </w:r>
      <w:r>
        <w:t xml:space="preserve">- Cooling-off period of 14 days applies to each renewal.</w:t>
      </w:r>
    </w:p>
    <w:p>
      <w:pPr>
        <w:pStyle w:val="BodyText"/>
      </w:pPr>
      <w:r>
        <w:rPr>
          <w:b/>
          <w:bCs/>
        </w:rPr>
        <w:t xml:space="preserve">Consumer Rights Act 2015 – Digital Content:</w:t>
      </w:r>
      <w:r>
        <w:t xml:space="preserve"> </w:t>
      </w:r>
      <w:r>
        <w:t xml:space="preserve">- Digital content must be of satisfactory quality, fit for purpose, and as described.</w:t>
      </w:r>
      <w:r>
        <w:t xml:space="preserve"> </w:t>
      </w:r>
      <w:r>
        <w:t xml:space="preserve">- If content is faulty, consumers have a right to repair or replacement.</w:t>
      </w:r>
      <w:r>
        <w:t xml:space="preserve"> </w:t>
      </w:r>
      <w:r>
        <w:t xml:space="preserve">- If repair/replacement is not possible, consumers can claim a price reduction.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Implement 14-day free trial or explicit cooling-off waiver consent flow</w:t>
      </w:r>
      <w:r>
        <w:t xml:space="preserve"> </w:t>
      </w:r>
      <w:r>
        <w:t xml:space="preserve">- [ ] Create a model cancellation form and make it easily accessible</w:t>
      </w:r>
      <w:r>
        <w:t xml:space="preserve"> </w:t>
      </w:r>
      <w:r>
        <w:t xml:space="preserve">- [ ] Build automated renewal reminder emails (prepare for DMCC Act requirements)</w:t>
      </w:r>
      <w:r>
        <w:t xml:space="preserve"> </w:t>
      </w:r>
      <w:r>
        <w:t xml:space="preserve">- [ ] Ensure cancellation is easy and prominently accessible (no hidden steps)</w:t>
      </w:r>
      <w:r>
        <w:t xml:space="preserve"> </w:t>
      </w:r>
      <w:r>
        <w:t xml:space="preserve">- [ ] Draft T&amp;Cs covering digital content quality guarantees</w:t>
      </w:r>
      <w:r>
        <w:t xml:space="preserve"> </w:t>
      </w:r>
      <w:r>
        <w:t xml:space="preserve">- [ ] Store records of consent to waive cooling-off period</w:t>
      </w:r>
    </w:p>
    <w:p>
      <w:pPr>
        <w:pStyle w:val="BodyText"/>
      </w:pPr>
      <w:r>
        <w:rPr>
          <w:b/>
          <w:bCs/>
        </w:rPr>
        <w:t xml:space="preserve">Estimated Cost:</w:t>
      </w:r>
      <w:r>
        <w:t xml:space="preserve"> </w:t>
      </w:r>
      <w:r>
        <w:t xml:space="preserve">GBP 500-1,500 (legal review of T&amp;Cs and cancellation flow)</w:t>
      </w:r>
    </w:p>
    <w:p>
      <w:r>
        <w:pict>
          <v:rect style="width:0;height:1.5pt" o:hralign="center" o:hrstd="t" o:hr="t"/>
        </w:pict>
      </w:r>
    </w:p>
    <w:bookmarkEnd w:id="16"/>
    <w:bookmarkStart w:id="17" w:name="asa-rules-for-educational-claims"/>
    <w:p>
      <w:pPr>
        <w:pStyle w:val="Heading3"/>
      </w:pPr>
      <w:r>
        <w:t xml:space="preserve">1.6 ASA Rules for Educational Claims</w:t>
      </w:r>
    </w:p>
    <w:p>
      <w:pPr>
        <w:pStyle w:val="FirstParagraph"/>
      </w:pPr>
      <w:r>
        <w:rPr>
          <w:b/>
          <w:bCs/>
        </w:rPr>
        <w:t xml:space="preserve">Key Rules:</w:t>
      </w:r>
      <w:r>
        <w:t xml:space="preserve"> </w:t>
      </w:r>
      <w:r>
        <w:t xml:space="preserve">- All advertising claims must be</w:t>
      </w:r>
      <w:r>
        <w:t xml:space="preserve"> </w:t>
      </w:r>
      <w:r>
        <w:rPr>
          <w:b/>
          <w:bCs/>
        </w:rPr>
        <w:t xml:space="preserve">substantiated with documentary evidence</w:t>
      </w:r>
      <w:r>
        <w:t xml:space="preserve"> </w:t>
      </w:r>
      <w:r>
        <w:t xml:space="preserve">held before publication.</w:t>
      </w:r>
      <w:r>
        <w:t xml:space="preserve"> </w:t>
      </w:r>
      <w:r>
        <w:t xml:space="preserve">- You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claim specific exam results improvements (e.g.,</w:t>
      </w:r>
      <w:r>
        <w:t xml:space="preserve"> </w:t>
      </w:r>
      <w:r>
        <w:t xml:space="preserve">“guaranteed grade 9”</w:t>
      </w:r>
      <w:r>
        <w:t xml:space="preserve">) without robust evidence.</w:t>
      </w:r>
      <w:r>
        <w:t xml:space="preserve"> </w:t>
      </w:r>
      <w:r>
        <w:t xml:space="preserve">- Comparative claims (e.g.,</w:t>
      </w:r>
      <w:r>
        <w:t xml:space="preserve"> </w:t>
      </w:r>
      <w:r>
        <w:t xml:space="preserve">“better than other platforms”</w:t>
      </w:r>
      <w:r>
        <w:t xml:space="preserve">) must cite the source, date, and basis.</w:t>
      </w:r>
      <w:r>
        <w:t xml:space="preserve"> </w:t>
      </w:r>
      <w:r>
        <w:t xml:space="preserve">- If offering a free trial that converts to a paid subscription, this must be clearly stated in the ad.</w:t>
      </w:r>
      <w:r>
        <w:t xml:space="preserve"> </w:t>
      </w:r>
      <w:r>
        <w:t xml:space="preserve">- Staff qualifications claimed in marketing must be verifiable.</w:t>
      </w:r>
      <w:r>
        <w:t xml:space="preserve"> </w:t>
      </w:r>
      <w:r>
        <w:t xml:space="preserve">- Testimonials must be genuine and reflect typical results, not exceptional cases.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Audit all marketing materials for unsubstantiated claims</w:t>
      </w:r>
      <w:r>
        <w:t xml:space="preserve"> </w:t>
      </w:r>
      <w:r>
        <w:t xml:space="preserve">- [ ] Hold documentary evidence for every objective claim</w:t>
      </w:r>
      <w:r>
        <w:t xml:space="preserve"> </w:t>
      </w:r>
      <w:r>
        <w:t xml:space="preserve">- [ ] Add disclaimers to testimonials (e.g.,</w:t>
      </w:r>
      <w:r>
        <w:t xml:space="preserve"> </w:t>
      </w:r>
      <w:r>
        <w:t xml:space="preserve">“Results may vary”</w:t>
      </w:r>
      <w:r>
        <w:t xml:space="preserve">)</w:t>
      </w:r>
      <w:r>
        <w:t xml:space="preserve"> </w:t>
      </w:r>
      <w:r>
        <w:t xml:space="preserve">- [ ] Ensure free trial terms are prominently disclosed in all ads</w:t>
      </w:r>
      <w:r>
        <w:t xml:space="preserve"> </w:t>
      </w:r>
      <w:r>
        <w:t xml:space="preserve">- [ ] Avoid absolute claims like</w:t>
      </w:r>
      <w:r>
        <w:t xml:space="preserve"> </w:t>
      </w:r>
      <w:r>
        <w:t xml:space="preserve">“guaranteed results”</w:t>
      </w:r>
      <w:r>
        <w:t xml:space="preserve"> </w:t>
      </w:r>
      <w:r>
        <w:t xml:space="preserve">unless backed by evidence</w:t>
      </w:r>
    </w:p>
    <w:p>
      <w:pPr>
        <w:pStyle w:val="BodyText"/>
      </w:pPr>
      <w:r>
        <w:rPr>
          <w:b/>
          <w:bCs/>
        </w:rPr>
        <w:t xml:space="preserve">Portal:</w:t>
      </w:r>
      <w:r>
        <w:t xml:space="preserve"> </w:t>
      </w:r>
      <w:r>
        <w:t xml:space="preserve">https://www.asa.org.uk/advice-and-resources/resource-library/advertising-guidance.html</w:t>
      </w:r>
      <w:r>
        <w:t xml:space="preserve"> </w:t>
      </w:r>
      <w:r>
        <w:rPr>
          <w:b/>
          <w:bCs/>
        </w:rPr>
        <w:t xml:space="preserve">Estimated Cost:</w:t>
      </w:r>
      <w:r>
        <w:t xml:space="preserve"> </w:t>
      </w:r>
      <w:r>
        <w:t xml:space="preserve">GBP 0 (self-review) to GBP 500-1,000 (ASA Copy Advice service)</w:t>
      </w:r>
    </w:p>
    <w:p>
      <w:r>
        <w:pict>
          <v:rect style="width:0;height:1.5pt" o:hralign="center" o:hrstd="t" o:hr="t"/>
        </w:pict>
      </w:r>
    </w:p>
    <w:bookmarkEnd w:id="17"/>
    <w:bookmarkStart w:id="18" w:name="ofqual-exam-board-trademark-copyright"/>
    <w:p>
      <w:pPr>
        <w:pStyle w:val="Heading3"/>
      </w:pPr>
      <w:r>
        <w:t xml:space="preserve">1.7 Ofqual / Exam Board Trademark &amp; Copyright</w:t>
      </w:r>
    </w:p>
    <w:p>
      <w:pPr>
        <w:pStyle w:val="FirstParagraph"/>
      </w:pPr>
      <w:r>
        <w:rPr>
          <w:b/>
          <w:bCs/>
        </w:rPr>
        <w:t xml:space="preserve">Critical Warning:</w:t>
      </w:r>
      <w:r>
        <w:t xml:space="preserve"> </w:t>
      </w:r>
      <w:r>
        <w:t xml:space="preserve">GCSE and IGCSE are trademarked terms owned by exam boards. Past papers, mark schemes, and specifications are copyrighted.</w:t>
      </w:r>
    </w:p>
    <w:p>
      <w:pPr>
        <w:pStyle w:val="BodyText"/>
      </w:pPr>
      <w:r>
        <w:rPr>
          <w:b/>
          <w:bCs/>
        </w:rPr>
        <w:t xml:space="preserve">Key Policies: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Exam Board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AQA</w:t>
            </w:r>
          </w:p>
        </w:tc>
        <w:tc>
          <w:tcPr/>
          <w:p>
            <w:pPr>
              <w:pStyle w:val="Compact"/>
            </w:pPr>
            <w:r>
              <w:t xml:space="preserve">Logo use not permitted by third parties. Copyrighted materials may not be reproduced without permission.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Pearson Edexcel</w:t>
            </w:r>
          </w:p>
        </w:tc>
        <w:tc>
          <w:tcPr/>
          <w:p>
            <w:pPr>
              <w:pStyle w:val="Compact"/>
            </w:pPr>
            <w:r>
              <w:t xml:space="preserve">All materials protected by copyright. Third-party commercial use requires explicit permission. Centres cannot charge students for copied materials.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Cambridge International</w:t>
            </w:r>
          </w:p>
        </w:tc>
        <w:tc>
          <w:tcPr/>
          <w:p>
            <w:pPr>
              <w:pStyle w:val="Compact"/>
            </w:pPr>
            <w:r>
              <w:t xml:space="preserve">Must apply for permission to use copyrighted material via their support portal.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you CAN do:</w:t>
      </w:r>
      <w:r>
        <w:t xml:space="preserve"> </w:t>
      </w:r>
      <w:r>
        <w:t xml:space="preserve">- Refer to</w:t>
      </w:r>
      <w:r>
        <w:t xml:space="preserve"> </w:t>
      </w:r>
      <w:r>
        <w:t xml:space="preserve">“GCSE English”</w:t>
      </w:r>
      <w:r>
        <w:t xml:space="preserve"> </w:t>
      </w:r>
      <w:r>
        <w:t xml:space="preserve">and</w:t>
      </w:r>
      <w:r>
        <w:t xml:space="preserve"> </w:t>
      </w:r>
      <w:r>
        <w:t xml:space="preserve">“IGCSE English”</w:t>
      </w:r>
      <w:r>
        <w:t xml:space="preserve"> </w:t>
      </w:r>
      <w:r>
        <w:t xml:space="preserve">descriptively (fair use of qualification names).</w:t>
      </w:r>
      <w:r>
        <w:t xml:space="preserve"> </w:t>
      </w:r>
      <w:r>
        <w:t xml:space="preserve">- Create original content aligned to the specifications (but not copy the specifications themselves).</w:t>
      </w:r>
      <w:r>
        <w:t xml:space="preserve"> </w:t>
      </w:r>
      <w:r>
        <w:t xml:space="preserve">- Link to freely available specification documents.</w:t>
      </w:r>
    </w:p>
    <w:p>
      <w:pPr>
        <w:pStyle w:val="BodyText"/>
      </w:pPr>
      <w:r>
        <w:rPr>
          <w:b/>
          <w:bCs/>
        </w:rPr>
        <w:t xml:space="preserve">What you CANNOT do:</w:t>
      </w:r>
      <w:r>
        <w:t xml:space="preserve"> </w:t>
      </w:r>
      <w:r>
        <w:t xml:space="preserve">- Use exam board logos without permission.</w:t>
      </w:r>
      <w:r>
        <w:t xml:space="preserve"> </w:t>
      </w:r>
      <w:r>
        <w:t xml:space="preserve">- Reproduce past papers, mark schemes, or specification content.</w:t>
      </w:r>
      <w:r>
        <w:t xml:space="preserve"> </w:t>
      </w:r>
      <w:r>
        <w:t xml:space="preserve">- Imply endorsement by any exam board.</w:t>
      </w:r>
      <w:r>
        <w:t xml:space="preserve"> </w:t>
      </w:r>
      <w:r>
        <w:t xml:space="preserve">- Use</w:t>
      </w:r>
      <w:r>
        <w:t xml:space="preserve"> </w:t>
      </w:r>
      <w:r>
        <w:t xml:space="preserve">“AQA”</w:t>
      </w:r>
      <w:r>
        <w:t xml:space="preserve">,</w:t>
      </w:r>
      <w:r>
        <w:t xml:space="preserve"> </w:t>
      </w:r>
      <w:r>
        <w:t xml:space="preserve">“Edexcel”</w:t>
      </w:r>
      <w:r>
        <w:t xml:space="preserve">,</w:t>
      </w:r>
      <w:r>
        <w:t xml:space="preserve"> </w:t>
      </w:r>
      <w:r>
        <w:t xml:space="preserve">“Cambridge”</w:t>
      </w:r>
      <w:r>
        <w:t xml:space="preserve"> </w:t>
      </w:r>
      <w:r>
        <w:t xml:space="preserve">in your branding/domain in a way that implies affiliation.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Add clear disclaimer:</w:t>
      </w:r>
      <w:r>
        <w:t xml:space="preserve"> </w:t>
      </w:r>
      <w:r>
        <w:t xml:space="preserve">“The English Hub is not affiliated with or endorsed by AQA, Pearson Edexcel, Cambridge International, or any exam board”</w:t>
      </w:r>
      <w:r>
        <w:t xml:space="preserve"> </w:t>
      </w:r>
      <w:r>
        <w:t xml:space="preserve">- [ ] Ensure no copyrighted exam board content is reproduced without licence</w:t>
      </w:r>
      <w:r>
        <w:t xml:space="preserve"> </w:t>
      </w:r>
      <w:r>
        <w:t xml:space="preserve">- [ ] If using specification references, link to official sources rather than reproducing</w:t>
      </w:r>
      <w:r>
        <w:t xml:space="preserve"> </w:t>
      </w:r>
      <w:r>
        <w:t xml:space="preserve">- [ ] Consider applying for a formal content licence from relevant exam boards if needed</w:t>
      </w:r>
      <w:r>
        <w:t xml:space="preserve"> </w:t>
      </w:r>
      <w:r>
        <w:t xml:space="preserve">- [ ] Review all marketing to remove any implied endorsement</w:t>
      </w:r>
    </w:p>
    <w:p>
      <w:pPr>
        <w:pStyle w:val="BodyText"/>
      </w:pPr>
      <w:r>
        <w:rPr>
          <w:b/>
          <w:bCs/>
        </w:rPr>
        <w:t xml:space="preserve">Estimated Cost:</w:t>
      </w:r>
      <w:r>
        <w:t xml:space="preserve"> </w:t>
      </w:r>
      <w:r>
        <w:t xml:space="preserve">GBP 0 (for compliance) to significant licensing fees if reproducing exam board materials</w:t>
      </w:r>
    </w:p>
    <w:p>
      <w:r>
        <w:pict>
          <v:rect style="width:0;height:1.5pt" o:hralign="center" o:hrstd="t" o:hr="t"/>
        </w:pict>
      </w:r>
    </w:p>
    <w:bookmarkEnd w:id="18"/>
    <w:bookmarkStart w:id="19" w:name="cookie-consent-pecr"/>
    <w:p>
      <w:pPr>
        <w:pStyle w:val="Heading3"/>
      </w:pPr>
      <w:r>
        <w:t xml:space="preserve">1.8 Cookie Consent (PECR)</w:t>
      </w:r>
    </w:p>
    <w:p>
      <w:pPr>
        <w:pStyle w:val="FirstParagraph"/>
      </w:pPr>
      <w:r>
        <w:rPr>
          <w:b/>
          <w:bCs/>
        </w:rPr>
        <w:t xml:space="preserve">Current Requirements:</w:t>
      </w:r>
      <w:r>
        <w:t xml:space="preserve"> </w:t>
      </w:r>
      <w:r>
        <w:t xml:space="preserve">- Obtain</w:t>
      </w:r>
      <w:r>
        <w:t xml:space="preserve"> </w:t>
      </w:r>
      <w:r>
        <w:rPr>
          <w:b/>
          <w:bCs/>
        </w:rPr>
        <w:t xml:space="preserve">prior informed consent</w:t>
      </w:r>
      <w:r>
        <w:t xml:space="preserve"> </w:t>
      </w:r>
      <w:r>
        <w:t xml:space="preserve">before setting any non-essential cookies.</w:t>
      </w:r>
      <w:r>
        <w:t xml:space="preserve"> </w:t>
      </w:r>
      <w:r>
        <w:t xml:space="preserve">-</w:t>
      </w:r>
      <w:r>
        <w:t xml:space="preserve"> </w:t>
      </w:r>
      <w:r>
        <w:t xml:space="preserve">“Strictly necessary”</w:t>
      </w:r>
      <w:r>
        <w:t xml:space="preserve"> </w:t>
      </w:r>
      <w:r>
        <w:t xml:space="preserve">cookies are exempt.</w:t>
      </w:r>
      <w:r>
        <w:t xml:space="preserve"> </w:t>
      </w:r>
      <w:r>
        <w:t xml:space="preserve">- Consent must be freely given, specific, informed, and unambiguous.</w:t>
      </w:r>
      <w:r>
        <w:t xml:space="preserve"> </w:t>
      </w:r>
      <w:r>
        <w:t xml:space="preserve">- No pre-ticked boxes. No</w:t>
      </w:r>
      <w:r>
        <w:t xml:space="preserve"> </w:t>
      </w:r>
      <w:r>
        <w:t xml:space="preserve">“cookie walls”</w:t>
      </w:r>
      <w:r>
        <w:t xml:space="preserve"> </w:t>
      </w:r>
      <w:r>
        <w:t xml:space="preserve">that force acceptance.</w:t>
      </w:r>
      <w:r>
        <w:t xml:space="preserve"> </w:t>
      </w:r>
      <w:r>
        <w:t xml:space="preserve">- Must provide clear information about what each cookie does.</w:t>
      </w:r>
      <w:r>
        <w:t xml:space="preserve"> </w:t>
      </w:r>
      <w:r>
        <w:t xml:space="preserve">- Must be as easy to reject cookies as to accept them.</w:t>
      </w:r>
    </w:p>
    <w:p>
      <w:pPr>
        <w:pStyle w:val="BodyText"/>
      </w:pPr>
      <w:r>
        <w:rPr>
          <w:b/>
          <w:bCs/>
        </w:rPr>
        <w:t xml:space="preserve">Upcoming Changes (Data Use and Access Act 2025):</w:t>
      </w:r>
      <w:r>
        <w:t xml:space="preserve"> </w:t>
      </w:r>
      <w:r>
        <w:t xml:space="preserve">- Increased maximum penalty from GBP 500,000 to GBP 17.5 million or 4% of global turnover.</w:t>
      </w:r>
      <w:r>
        <w:t xml:space="preserve"> </w:t>
      </w:r>
      <w:r>
        <w:t xml:space="preserve">- New exemptions being introduced for certain low-risk cookies (analytics).</w:t>
      </w:r>
      <w:r>
        <w:t xml:space="preserve"> </w:t>
      </w:r>
      <w:r>
        <w:t xml:space="preserve">- Final ICO guidance expected Spring 2026.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Implement a compliant cookie consent banner (no dark patterns)</w:t>
      </w:r>
      <w:r>
        <w:t xml:space="preserve"> </w:t>
      </w:r>
      <w:r>
        <w:t xml:space="preserve">- [ ] Categorise all cookies (strictly necessary, analytics, marketing)</w:t>
      </w:r>
      <w:r>
        <w:t xml:space="preserve"> </w:t>
      </w:r>
      <w:r>
        <w:t xml:space="preserve">- [ ] Provide granular consent options (not just</w:t>
      </w:r>
      <w:r>
        <w:t xml:space="preserve"> </w:t>
      </w:r>
      <w:r>
        <w:t xml:space="preserve">“accept all”</w:t>
      </w:r>
      <w:r>
        <w:t xml:space="preserve">)</w:t>
      </w:r>
      <w:r>
        <w:t xml:space="preserve"> </w:t>
      </w:r>
      <w:r>
        <w:t xml:space="preserve">- [ ] Maintain a cookie policy page listing all cookies, purposes, and durations</w:t>
      </w:r>
      <w:r>
        <w:t xml:space="preserve"> </w:t>
      </w:r>
      <w:r>
        <w:t xml:space="preserve">- [ ] Ensure reject option is equally prominent to accept option</w:t>
      </w:r>
      <w:r>
        <w:t xml:space="preserve"> </w:t>
      </w:r>
      <w:r>
        <w:t xml:space="preserve">- [ ] Review and update once new ICO guidance is published (Spring 2026)</w:t>
      </w:r>
    </w:p>
    <w:p>
      <w:pPr>
        <w:pStyle w:val="BodyText"/>
      </w:pPr>
      <w:r>
        <w:rPr>
          <w:b/>
          <w:bCs/>
        </w:rPr>
        <w:t xml:space="preserve">Estimated Cost:</w:t>
      </w:r>
      <w:r>
        <w:t xml:space="preserve"> </w:t>
      </w:r>
      <w:r>
        <w:t xml:space="preserve">GBP 0 (free tools like Cookiebot free tier) to GBP 10-50/month (paid CMP tools)</w:t>
      </w:r>
    </w:p>
    <w:p>
      <w:r>
        <w:pict>
          <v:rect style="width:0;height:1.5pt" o:hralign="center" o:hrstd="t" o:hr="t"/>
        </w:pict>
      </w:r>
    </w:p>
    <w:bookmarkEnd w:id="19"/>
    <w:bookmarkStart w:id="20" w:name="affiliate-marketing-disclosure-asacma"/>
    <w:p>
      <w:pPr>
        <w:pStyle w:val="Heading3"/>
      </w:pPr>
      <w:r>
        <w:t xml:space="preserve">1.9 Affiliate Marketing Disclosure (ASA/CMA)</w:t>
      </w:r>
    </w:p>
    <w:p>
      <w:pPr>
        <w:pStyle w:val="FirstParagraph"/>
      </w:pPr>
      <w:r>
        <w:rPr>
          <w:b/>
          <w:bCs/>
        </w:rPr>
        <w:t xml:space="preserve">Legal Requirements:</w:t>
      </w:r>
      <w:r>
        <w:t xml:space="preserve"> </w:t>
      </w:r>
      <w:r>
        <w:t xml:space="preserve">- Under the CAP Code and Consumer Protection from Unfair Trading Regulations 2008, affiliate content must be</w:t>
      </w:r>
      <w:r>
        <w:t xml:space="preserve"> </w:t>
      </w:r>
      <w:r>
        <w:rPr>
          <w:b/>
          <w:bCs/>
        </w:rPr>
        <w:t xml:space="preserve">obviously identifiable as advertising</w:t>
      </w:r>
      <w:r>
        <w:t xml:space="preserve">.</w:t>
      </w:r>
      <w:r>
        <w:t xml:space="preserve"> </w:t>
      </w:r>
      <w:r>
        <w:t xml:space="preserve">- The DMCC Act 2024 gives the CMA direct enforcement powers with severe penalties.</w:t>
      </w:r>
      <w:r>
        <w:t xml:space="preserve"> </w:t>
      </w:r>
      <w:r>
        <w:t xml:space="preserve">- Each piece of affiliate content must include its own disclosure – you cannot rely on a bio disclosure alone.</w:t>
      </w:r>
    </w:p>
    <w:p>
      <w:pPr>
        <w:pStyle w:val="BodyText"/>
      </w:pPr>
      <w:r>
        <w:rPr>
          <w:b/>
          <w:bCs/>
        </w:rPr>
        <w:t xml:space="preserve">Disclosure Rules:</w:t>
      </w:r>
      <w:r>
        <w:t xml:space="preserve"> </w:t>
      </w:r>
      <w:r>
        <w:t xml:space="preserve">- Use clear labels:</w:t>
      </w:r>
      <w:r>
        <w:t xml:space="preserve"> </w:t>
      </w:r>
      <w:r>
        <w:t xml:space="preserve">“#Ad”</w:t>
      </w:r>
      <w:r>
        <w:t xml:space="preserve">,</w:t>
      </w:r>
      <w:r>
        <w:t xml:space="preserve"> </w:t>
      </w:r>
      <w:r>
        <w:t xml:space="preserve">“Ad”</w:t>
      </w:r>
      <w:r>
        <w:t xml:space="preserve">,</w:t>
      </w:r>
      <w:r>
        <w:t xml:space="preserve"> </w:t>
      </w:r>
      <w:r>
        <w:t xml:space="preserve">“Advertisement”</w:t>
      </w:r>
      <w:r>
        <w:t xml:space="preserve">, or</w:t>
      </w:r>
      <w:r>
        <w:t xml:space="preserve"> </w:t>
      </w:r>
      <w:r>
        <w:t xml:space="preserve">“Paid partnership”</w:t>
      </w:r>
      <w:r>
        <w:t xml:space="preserve">.</w:t>
      </w:r>
      <w:r>
        <w:t xml:space="preserve"> </w:t>
      </w:r>
      <w:r>
        <w:t xml:space="preserve">- Disclosure must be</w:t>
      </w:r>
      <w:r>
        <w:t xml:space="preserve"> </w:t>
      </w:r>
      <w:r>
        <w:rPr>
          <w:b/>
          <w:bCs/>
        </w:rPr>
        <w:t xml:space="preserve">prominent and upfront</w:t>
      </w:r>
      <w:r>
        <w:t xml:space="preserve"> </w:t>
      </w:r>
      <w:r>
        <w:t xml:space="preserve">(not hidden at the end or in small print).</w:t>
      </w:r>
      <w:r>
        <w:t xml:space="preserve"> </w:t>
      </w:r>
      <w:r>
        <w:t xml:space="preserve">- Platform disclosure tools (e.g., Instagram</w:t>
      </w:r>
      <w:r>
        <w:t xml:space="preserve"> </w:t>
      </w:r>
      <w:r>
        <w:t xml:space="preserve">“Paid partnership”</w:t>
      </w:r>
      <w:r>
        <w:t xml:space="preserve"> </w:t>
      </w:r>
      <w:r>
        <w:t xml:space="preserve">label) should be used where available.</w:t>
      </w:r>
      <w:r>
        <w:t xml:space="preserve"> </w:t>
      </w:r>
      <w:r>
        <w:t xml:space="preserve">- The brand (The English Hub) is</w:t>
      </w:r>
      <w:r>
        <w:t xml:space="preserve"> </w:t>
      </w:r>
      <w:r>
        <w:rPr>
          <w:b/>
          <w:bCs/>
        </w:rPr>
        <w:t xml:space="preserve">jointly responsible</w:t>
      </w:r>
      <w:r>
        <w:t xml:space="preserve"> </w:t>
      </w:r>
      <w:r>
        <w:t xml:space="preserve">for affiliate content, even if not directly controlling it.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Draft affiliate marketing T&amp;Cs requiring proper disclosure</w:t>
      </w:r>
      <w:r>
        <w:t xml:space="preserve"> </w:t>
      </w:r>
      <w:r>
        <w:t xml:space="preserve">- [ ] Create affiliate guidelines document with examples of compliant disclosures</w:t>
      </w:r>
      <w:r>
        <w:t xml:space="preserve"> </w:t>
      </w:r>
      <w:r>
        <w:t xml:space="preserve">- [ ] Include compliance clause in all affiliate agreements</w:t>
      </w:r>
      <w:r>
        <w:t xml:space="preserve"> </w:t>
      </w:r>
      <w:r>
        <w:t xml:space="preserve">- [ ] Monitor affiliate content for compliance (spot checks)</w:t>
      </w:r>
      <w:r>
        <w:t xml:space="preserve"> </w:t>
      </w:r>
      <w:r>
        <w:t xml:space="preserve">- [ ] Train affiliate partners on ASA/CMA requirements</w:t>
      </w:r>
      <w:r>
        <w:t xml:space="preserve"> </w:t>
      </w:r>
      <w:r>
        <w:t xml:space="preserve">- [ ] Include termination clause for non-compliant affiliates</w:t>
      </w:r>
    </w:p>
    <w:p>
      <w:pPr>
        <w:pStyle w:val="BodyText"/>
      </w:pPr>
      <w:r>
        <w:rPr>
          <w:b/>
          <w:bCs/>
        </w:rPr>
        <w:t xml:space="preserve">Portal:</w:t>
      </w:r>
      <w:r>
        <w:t xml:space="preserve"> </w:t>
      </w:r>
      <w:r>
        <w:t xml:space="preserve">https://www.asa.org.uk/advice-online/recognising-ads-social-media.html</w:t>
      </w:r>
      <w:r>
        <w:t xml:space="preserve"> </w:t>
      </w:r>
      <w:r>
        <w:rPr>
          <w:b/>
          <w:bCs/>
        </w:rPr>
        <w:t xml:space="preserve">Estimated Cost:</w:t>
      </w:r>
      <w:r>
        <w:t xml:space="preserve"> </w:t>
      </w:r>
      <w:r>
        <w:t xml:space="preserve">GBP 0-500 (legal template for affiliate agreements)</w:t>
      </w:r>
    </w:p>
    <w:p>
      <w:r>
        <w:pict>
          <v:rect style="width:0;height:1.5pt" o:hralign="center" o:hrstd="t" o:hr="t"/>
        </w:pict>
      </w:r>
    </w:p>
    <w:bookmarkEnd w:id="20"/>
    <w:bookmarkStart w:id="21" w:name="company-registration"/>
    <w:p>
      <w:pPr>
        <w:pStyle w:val="Heading3"/>
      </w:pPr>
      <w:r>
        <w:t xml:space="preserve">1.10 Company Registration</w:t>
      </w:r>
    </w:p>
    <w:p>
      <w:pPr>
        <w:pStyle w:val="FirstParagraph"/>
      </w:pPr>
      <w:r>
        <w:rPr>
          <w:b/>
          <w:bCs/>
        </w:rPr>
        <w:t xml:space="preserve">Options: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04"/>
        <w:gridCol w:w="1638"/>
        <w:gridCol w:w="1638"/>
        <w:gridCol w:w="16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Pros</w:t>
            </w:r>
          </w:p>
        </w:tc>
        <w:tc>
          <w:tcPr/>
          <w:p>
            <w:pPr>
              <w:pStyle w:val="Compact"/>
            </w:pPr>
            <w:r>
              <w:t xml:space="preserve">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Sole Trader</w:t>
            </w:r>
          </w:p>
        </w:tc>
        <w:tc>
          <w:tcPr/>
          <w:p>
            <w:pPr>
              <w:pStyle w:val="Compact"/>
            </w:pPr>
            <w:r>
              <w:t xml:space="preserve">Free (register with HMRC)</w:t>
            </w:r>
          </w:p>
        </w:tc>
        <w:tc>
          <w:tcPr/>
          <w:p>
            <w:pPr>
              <w:pStyle w:val="Compact"/>
            </w:pPr>
            <w:r>
              <w:t xml:space="preserve">Simple, low cost, easy to set up</w:t>
            </w:r>
          </w:p>
        </w:tc>
        <w:tc>
          <w:tcPr/>
          <w:p>
            <w:pPr>
              <w:pStyle w:val="Compact"/>
            </w:pPr>
            <w:r>
              <w:t xml:space="preserve">Unlimited personal liability, less credible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Ltd Company</w:t>
            </w:r>
          </w:p>
        </w:tc>
        <w:tc>
          <w:tcPr/>
          <w:p>
            <w:pPr>
              <w:pStyle w:val="Compact"/>
            </w:pPr>
            <w:r>
              <w:t xml:space="preserve">GBP 100 (online, as of Feb 2026)</w:t>
            </w:r>
          </w:p>
        </w:tc>
        <w:tc>
          <w:tcPr/>
          <w:p>
            <w:pPr>
              <w:pStyle w:val="Compact"/>
            </w:pPr>
            <w:r>
              <w:t xml:space="preserve">Limited liability, tax efficient, professional</w:t>
            </w:r>
          </w:p>
        </w:tc>
        <w:tc>
          <w:tcPr/>
          <w:p>
            <w:pPr>
              <w:pStyle w:val="Compact"/>
            </w:pPr>
            <w:r>
              <w:t xml:space="preserve">More admin, accounts filing, confirmation statements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LLP</w:t>
            </w:r>
          </w:p>
        </w:tc>
        <w:tc>
          <w:tcPr/>
          <w:p>
            <w:pPr>
              <w:pStyle w:val="Compact"/>
            </w:pPr>
            <w:r>
              <w:t xml:space="preserve">GBP 100</w:t>
            </w:r>
          </w:p>
        </w:tc>
        <w:tc>
          <w:tcPr/>
          <w:p>
            <w:pPr>
              <w:pStyle w:val="Compact"/>
            </w:pPr>
            <w:r>
              <w:t xml:space="preserve">Limited liability for partners</w:t>
            </w:r>
          </w:p>
        </w:tc>
        <w:tc>
          <w:tcPr/>
          <w:p>
            <w:pPr>
              <w:pStyle w:val="Compact"/>
            </w:pPr>
            <w:r>
              <w:t xml:space="preserve">Requires 2+ members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Register as a</w:t>
      </w:r>
      <w:r>
        <w:t xml:space="preserve"> </w:t>
      </w:r>
      <w:r>
        <w:rPr>
          <w:b/>
          <w:bCs/>
        </w:rPr>
        <w:t xml:space="preserve">Private Limited Company (Ltd)</w:t>
      </w:r>
      <w:r>
        <w:t xml:space="preserve"> </w:t>
      </w:r>
      <w:r>
        <w:t xml:space="preserve">for liability protection and credibility, especially when handling children’s data and payment processing.</w:t>
      </w:r>
    </w:p>
    <w:p>
      <w:pPr>
        <w:pStyle w:val="BodyText"/>
      </w:pPr>
      <w:r>
        <w:rPr>
          <w:b/>
          <w:bCs/>
        </w:rPr>
        <w:t xml:space="preserve">Ongoing Costs:</w:t>
      </w:r>
      <w:r>
        <w:t xml:space="preserve"> </w:t>
      </w:r>
      <w:r>
        <w:t xml:space="preserve">| Item | Cost |</w:t>
      </w:r>
      <w:r>
        <w:t xml:space="preserve"> </w:t>
      </w:r>
      <w:r>
        <w:t xml:space="preserve">|——|——|</w:t>
      </w:r>
      <w:r>
        <w:t xml:space="preserve"> </w:t>
      </w:r>
      <w:r>
        <w:t xml:space="preserve">| Companies House incorporation (online) | GBP 100 (one-off) |</w:t>
      </w:r>
      <w:r>
        <w:t xml:space="preserve"> </w:t>
      </w:r>
      <w:r>
        <w:t xml:space="preserve">| Same-day incorporation | GBP 156 (one-off) |</w:t>
      </w:r>
      <w:r>
        <w:t xml:space="preserve"> </w:t>
      </w:r>
      <w:r>
        <w:t xml:space="preserve">| Annual confirmation statement | GBP 50/year |</w:t>
      </w:r>
      <w:r>
        <w:t xml:space="preserve"> </w:t>
      </w:r>
      <w:r>
        <w:t xml:space="preserve">| Registered office address service (optional) | GBP 50-150/year |</w:t>
      </w:r>
      <w:r>
        <w:t xml:space="preserve"> </w:t>
      </w:r>
      <w:r>
        <w:t xml:space="preserve">| Annual accounts preparation | GBP 300-1,500/year (accountant) |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Register a Ltd company via Companies House</w:t>
      </w:r>
      <w:r>
        <w:t xml:space="preserve"> </w:t>
      </w:r>
      <w:r>
        <w:t xml:space="preserve">- [ ] Appoint director(s) and file People with Significant Control (PSC) register</w:t>
      </w:r>
      <w:r>
        <w:t xml:space="preserve"> </w:t>
      </w:r>
      <w:r>
        <w:t xml:space="preserve">- [ ] Set up a business bank account</w:t>
      </w:r>
      <w:r>
        <w:t xml:space="preserve"> </w:t>
      </w:r>
      <w:r>
        <w:t xml:space="preserve">- [ ] Register for Corporation Tax with HMRC (within 3 months of starting to trade)</w:t>
      </w:r>
    </w:p>
    <w:p>
      <w:pPr>
        <w:pStyle w:val="BodyText"/>
      </w:pPr>
      <w:r>
        <w:rPr>
          <w:b/>
          <w:bCs/>
        </w:rPr>
        <w:t xml:space="preserve">Portal:</w:t>
      </w:r>
      <w:r>
        <w:t xml:space="preserve"> </w:t>
      </w:r>
      <w:r>
        <w:t xml:space="preserve">https://www.gov.uk/set-up-limited-company</w:t>
      </w:r>
      <w:r>
        <w:t xml:space="preserve"> </w:t>
      </w:r>
      <w:r>
        <w:rPr>
          <w:b/>
          <w:bCs/>
        </w:rPr>
        <w:t xml:space="preserve">Processing Time:</w:t>
      </w:r>
      <w:r>
        <w:t xml:space="preserve"> </w:t>
      </w:r>
      <w:r>
        <w:t xml:space="preserve">Typically 24 hours for online incorporation</w:t>
      </w:r>
    </w:p>
    <w:p>
      <w:r>
        <w:pict>
          <v:rect style="width:0;height:1.5pt" o:hralign="center" o:hrstd="t" o:hr="t"/>
        </w:pict>
      </w:r>
    </w:p>
    <w:bookmarkEnd w:id="21"/>
    <w:bookmarkStart w:id="22" w:name="vat-registration"/>
    <w:p>
      <w:pPr>
        <w:pStyle w:val="Heading3"/>
      </w:pPr>
      <w:r>
        <w:t xml:space="preserve">1.11 VAT Registration</w:t>
      </w:r>
    </w:p>
    <w:p>
      <w:pPr>
        <w:pStyle w:val="FirstParagraph"/>
      </w:pPr>
      <w:r>
        <w:rPr>
          <w:b/>
          <w:bCs/>
        </w:rPr>
        <w:t xml:space="preserve">Current Thresholds (2025/26 tax year):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Mandatory registration:</w:t>
      </w:r>
      <w:r>
        <w:t xml:space="preserve"> </w:t>
      </w:r>
      <w:r>
        <w:t xml:space="preserve">Taxable turnover exceeds GBP 90,000 in any rolling 12-month period.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Voluntary registration:</w:t>
      </w:r>
      <w:r>
        <w:t xml:space="preserve"> </w:t>
      </w:r>
      <w:r>
        <w:t xml:space="preserve">Can register below this threshold (allows recovery of input VAT).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 VAT rate:</w:t>
      </w:r>
      <w:r>
        <w:t xml:space="preserve"> </w:t>
      </w:r>
      <w:r>
        <w:t xml:space="preserve">20% (applies to digital educational services).</w:t>
      </w:r>
    </w:p>
    <w:p>
      <w:pPr>
        <w:pStyle w:val="BodyText"/>
      </w:pPr>
      <w:r>
        <w:rPr>
          <w:b/>
          <w:bCs/>
        </w:rPr>
        <w:t xml:space="preserve">Digital Services VAT:</w:t>
      </w:r>
      <w:r>
        <w:t xml:space="preserve"> </w:t>
      </w:r>
      <w:r>
        <w:t xml:space="preserve">- Educational digital subscriptions are standard-rated at 20% (not zero-rated like physical books).</w:t>
      </w:r>
      <w:r>
        <w:t xml:space="preserve"> </w:t>
      </w:r>
      <w:r>
        <w:t xml:space="preserve">- If selling to consumers in other countries, place-of-supply rules may apply.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Monitor turnover against GBP 90,000 threshold</w:t>
      </w:r>
      <w:r>
        <w:t xml:space="preserve"> </w:t>
      </w:r>
      <w:r>
        <w:t xml:space="preserve">- [ ] Consider voluntary VAT registration if B2B sales are expected (to reclaim input VAT)</w:t>
      </w:r>
      <w:r>
        <w:t xml:space="preserve"> </w:t>
      </w:r>
      <w:r>
        <w:t xml:space="preserve">- [ ] Implement VAT-compliant invoicing in Stripe</w:t>
      </w:r>
      <w:r>
        <w:t xml:space="preserve"> </w:t>
      </w:r>
      <w:r>
        <w:t xml:space="preserve">- [ ] Determine VAT treatment for Qatar-based customers (likely outside scope of UK VAT)</w:t>
      </w:r>
    </w:p>
    <w:p>
      <w:pPr>
        <w:pStyle w:val="BodyText"/>
      </w:pPr>
      <w:r>
        <w:rPr>
          <w:b/>
          <w:bCs/>
        </w:rPr>
        <w:t xml:space="preserve">Portal:</w:t>
      </w:r>
      <w:r>
        <w:t xml:space="preserve"> </w:t>
      </w:r>
      <w:r>
        <w:t xml:space="preserve">https://www.gov.uk/vat-registration</w:t>
      </w:r>
      <w:r>
        <w:t xml:space="preserve"> </w:t>
      </w:r>
      <w:r>
        <w:rPr>
          <w:b/>
          <w:bCs/>
        </w:rPr>
        <w:t xml:space="preserve">Estimated Cost:</w:t>
      </w:r>
      <w:r>
        <w:t xml:space="preserve"> </w:t>
      </w:r>
      <w:r>
        <w:t xml:space="preserve">GBP 0 to register; ongoing compliance costs GBP 200-500/year (accountant)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qatar-legal-requirements"/>
    <w:p>
      <w:pPr>
        <w:pStyle w:val="Heading2"/>
      </w:pPr>
      <w:r>
        <w:t xml:space="preserve">2. QATAR LEGAL REQUIREMENTS</w:t>
      </w:r>
    </w:p>
    <w:bookmarkStart w:id="24" w:name="Xe5bbc67edfc4ab77b61c631472fd9209a20db05"/>
    <w:p>
      <w:pPr>
        <w:pStyle w:val="Heading3"/>
      </w:pPr>
      <w:r>
        <w:t xml:space="preserve">2.1 Qatar Data Privacy Law (Law No. 13 of 2016 – PDPPL)</w:t>
      </w:r>
    </w:p>
    <w:p>
      <w:pPr>
        <w:pStyle w:val="FirstParagraph"/>
      </w:pPr>
      <w:r>
        <w:rPr>
          <w:b/>
          <w:bCs/>
        </w:rPr>
        <w:t xml:space="preserve">Key Provisions: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Explicit consent</w:t>
      </w:r>
      <w:r>
        <w:t xml:space="preserve"> </w:t>
      </w:r>
      <w:r>
        <w:t xml:space="preserve">required before processing personal data (Article 4).</w:t>
      </w:r>
      <w:r>
        <w:t xml:space="preserve"> </w:t>
      </w:r>
      <w:r>
        <w:t xml:space="preserve">- Must adhere to principles of</w:t>
      </w:r>
      <w:r>
        <w:t xml:space="preserve"> </w:t>
      </w:r>
      <w:r>
        <w:rPr>
          <w:b/>
          <w:bCs/>
        </w:rPr>
        <w:t xml:space="preserve">transparency, fairness, and respect for human dignity</w:t>
      </w:r>
      <w:r>
        <w:t xml:space="preserve">.</w:t>
      </w:r>
      <w:r>
        <w:t xml:space="preserve"> </w:t>
      </w:r>
      <w:r>
        <w:t xml:space="preserve">- Data must be kept up to date with adequate security measures.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breach notification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72 hours</w:t>
      </w:r>
      <w:r>
        <w:t xml:space="preserve"> </w:t>
      </w:r>
      <w:r>
        <w:t xml:space="preserve">to the National Cyber Governance and Assurance Affairs (NCGAA) and affected individuals.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DPIA recommended</w:t>
      </w:r>
      <w:r>
        <w:t xml:space="preserve"> </w:t>
      </w:r>
      <w:r>
        <w:t xml:space="preserve">by the PDPPL Guidelines – failure to conduct one where required can attract a fine of up to</w:t>
      </w:r>
      <w:r>
        <w:t xml:space="preserve"> </w:t>
      </w:r>
      <w:r>
        <w:rPr>
          <w:b/>
          <w:bCs/>
        </w:rPr>
        <w:t xml:space="preserve">QAR 1,000,000 (approx. USD 275,000 / GBP 215,000)</w:t>
      </w:r>
      <w:r>
        <w:t xml:space="preserve">.</w:t>
      </w:r>
      <w:r>
        <w:t xml:space="preserve"> </w:t>
      </w:r>
      <w:r>
        <w:t xml:space="preserve">- Records of Processing Activities (RoPA) must be maintained.</w:t>
      </w:r>
    </w:p>
    <w:p>
      <w:pPr>
        <w:pStyle w:val="BodyText"/>
      </w:pPr>
      <w:r>
        <w:rPr>
          <w:b/>
          <w:bCs/>
        </w:rPr>
        <w:t xml:space="preserve">Cross-Border Transfer (Article 15):</w:t>
      </w:r>
      <w:r>
        <w:t xml:space="preserve"> </w:t>
      </w:r>
      <w:r>
        <w:t xml:space="preserve">- Data controllers must not take measures that limit cross-border data transfer.</w:t>
      </w:r>
      <w:r>
        <w:t xml:space="preserve"> </w:t>
      </w:r>
      <w:r>
        <w:t xml:space="preserve">- However, transfers that violate the law’s provisions or could cause harm are prohibited.</w:t>
      </w:r>
      <w:r>
        <w:t xml:space="preserve"> </w:t>
      </w:r>
      <w:r>
        <w:t xml:space="preserve">- Consent from the data subject is required for cross-border transfers.</w:t>
      </w:r>
      <w:r>
        <w:t xml:space="preserve"> </w:t>
      </w:r>
      <w:r>
        <w:t xml:space="preserve">- Must demonstrate that the transfer is for a lawful purpose and complies with the PDPPL.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Obtain explicit consent from Qatar-based users for data processing AND cross-border data transfer (to UK servers)</w:t>
      </w:r>
      <w:r>
        <w:t xml:space="preserve"> </w:t>
      </w:r>
      <w:r>
        <w:t xml:space="preserve">- [ ] Conduct a DPIA under Qatari law requirements (can be combined with UK DPIA)</w:t>
      </w:r>
      <w:r>
        <w:t xml:space="preserve"> </w:t>
      </w:r>
      <w:r>
        <w:t xml:space="preserve">- [ ] Maintain Records of Processing Activities</w:t>
      </w:r>
      <w:r>
        <w:t xml:space="preserve"> </w:t>
      </w:r>
      <w:r>
        <w:t xml:space="preserve">- [ ] Implement a 72-hour breach notification process</w:t>
      </w:r>
      <w:r>
        <w:t xml:space="preserve"> </w:t>
      </w:r>
      <w:r>
        <w:t xml:space="preserve">- [ ] Appoint a data protection contact accessible to Qatari users</w:t>
      </w:r>
      <w:r>
        <w:t xml:space="preserve"> </w:t>
      </w:r>
      <w:r>
        <w:t xml:space="preserve">- [ ] Draft a Qatar-specific privacy notice</w:t>
      </w:r>
    </w:p>
    <w:p>
      <w:pPr>
        <w:pStyle w:val="BodyText"/>
      </w:pPr>
      <w:r>
        <w:rPr>
          <w:b/>
          <w:bCs/>
        </w:rPr>
        <w:t xml:space="preserve">Enforcement Body:</w:t>
      </w:r>
      <w:r>
        <w:t xml:space="preserve"> </w:t>
      </w:r>
      <w:r>
        <w:t xml:space="preserve">National Cyber Security Agency (NCSA) / NCGAA</w:t>
      </w:r>
      <w:r>
        <w:t xml:space="preserve"> </w:t>
      </w:r>
      <w:r>
        <w:rPr>
          <w:b/>
          <w:bCs/>
        </w:rPr>
        <w:t xml:space="preserve">Portal:</w:t>
      </w:r>
      <w:r>
        <w:t xml:space="preserve"> </w:t>
      </w:r>
      <w:r>
        <w:t xml:space="preserve">https://assurance.ncsa.gov.qa/en/privacy/law</w:t>
      </w:r>
    </w:p>
    <w:p>
      <w:r>
        <w:pict>
          <v:rect style="width:0;height:1.5pt" o:hralign="center" o:hrstd="t" o:hr="t"/>
        </w:pict>
      </w:r>
    </w:p>
    <w:bookmarkEnd w:id="24"/>
    <w:bookmarkStart w:id="25" w:name="ministry-of-education-approval"/>
    <w:p>
      <w:pPr>
        <w:pStyle w:val="Heading3"/>
      </w:pPr>
      <w:r>
        <w:t xml:space="preserve">2.2 Ministry of Education Approval</w:t>
      </w:r>
    </w:p>
    <w:p>
      <w:pPr>
        <w:pStyle w:val="FirstParagraph"/>
      </w:pPr>
      <w:r>
        <w:rPr>
          <w:b/>
          <w:bCs/>
        </w:rPr>
        <w:t xml:space="preserve">Current Situation:</w:t>
      </w:r>
      <w:r>
        <w:t xml:space="preserve"> </w:t>
      </w:r>
      <w:r>
        <w:t xml:space="preserve">- Qatar’s Ministry of Education and Higher Education (MOEHE) regulates educational content and institutions.</w:t>
      </w:r>
      <w:r>
        <w:t xml:space="preserve"> </w:t>
      </w:r>
      <w:r>
        <w:t xml:space="preserve">- The Ministry has launched an</w:t>
      </w:r>
      <w:r>
        <w:t xml:space="preserve"> </w:t>
      </w:r>
      <w:r>
        <w:rPr>
          <w:b/>
          <w:bCs/>
        </w:rPr>
        <w:t xml:space="preserve">online licensing platform</w:t>
      </w:r>
      <w:r>
        <w:t xml:space="preserve"> </w:t>
      </w:r>
      <w:r>
        <w:t xml:space="preserve">for private educational institutions.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Distance learning</w:t>
      </w:r>
      <w:r>
        <w:t xml:space="preserve"> </w:t>
      </w:r>
      <w:r>
        <w:t xml:space="preserve">is subject to specific approval criteria including accreditation and ranking requirements.</w:t>
      </w:r>
      <w:r>
        <w:t xml:space="preserve"> </w:t>
      </w:r>
      <w:r>
        <w:t xml:space="preserve">- The National E-Learning Strategy (launched 2023) promotes digital educational approaches.</w:t>
      </w:r>
    </w:p>
    <w:p>
      <w:pPr>
        <w:pStyle w:val="BodyText"/>
      </w:pPr>
      <w:r>
        <w:rPr>
          <w:b/>
          <w:bCs/>
        </w:rPr>
        <w:t xml:space="preserve">Key Consideration:</w:t>
      </w:r>
      <w:r>
        <w:t xml:space="preserve"> </w:t>
      </w:r>
      <w:r>
        <w:t xml:space="preserve">The English Hub is a supplementary educational resource, not a formal educational institution. This distinction is important:</w:t>
      </w:r>
      <w:r>
        <w:t xml:space="preserve"> </w:t>
      </w:r>
      <w:r>
        <w:t xml:space="preserve">- If positioned as a</w:t>
      </w:r>
      <w:r>
        <w:t xml:space="preserve"> </w:t>
      </w:r>
      <w:r>
        <w:rPr>
          <w:b/>
          <w:bCs/>
        </w:rPr>
        <w:t xml:space="preserve">supplementary tutoring/revision platform</w:t>
      </w:r>
      <w:r>
        <w:t xml:space="preserve">, it may not require formal MOEHE licensing.</w:t>
      </w:r>
      <w:r>
        <w:t xml:space="preserve"> </w:t>
      </w:r>
      <w:r>
        <w:t xml:space="preserve">- If positioned as a</w:t>
      </w:r>
      <w:r>
        <w:t xml:space="preserve"> </w:t>
      </w:r>
      <w:r>
        <w:rPr>
          <w:b/>
          <w:bCs/>
        </w:rPr>
        <w:t xml:space="preserve">replacement for formal education</w:t>
      </w:r>
      <w:r>
        <w:t xml:space="preserve"> </w:t>
      </w:r>
      <w:r>
        <w:t xml:space="preserve">or offering any form of certification, MOEHE approval is likely required.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Seek legal advice in Qatar on whether the platform requires MOEHE licensing (strongly recommended)</w:t>
      </w:r>
      <w:r>
        <w:t xml:space="preserve"> </w:t>
      </w:r>
      <w:r>
        <w:t xml:space="preserve">- [ ] Position the platform clearly as</w:t>
      </w:r>
      <w:r>
        <w:t xml:space="preserve"> </w:t>
      </w:r>
      <w:r>
        <w:t xml:space="preserve">“supplementary revision and practice”</w:t>
      </w:r>
      <w:r>
        <w:t xml:space="preserve"> </w:t>
      </w:r>
      <w:r>
        <w:t xml:space="preserve">not</w:t>
      </w:r>
      <w:r>
        <w:t xml:space="preserve"> </w:t>
      </w:r>
      <w:r>
        <w:t xml:space="preserve">“formal education”</w:t>
      </w:r>
      <w:r>
        <w:t xml:space="preserve"> </w:t>
      </w:r>
      <w:r>
        <w:t xml:space="preserve">- [ ] Include a disclaimer that the platform does not replace formal schooling</w:t>
      </w:r>
      <w:r>
        <w:t xml:space="preserve"> </w:t>
      </w:r>
      <w:r>
        <w:t xml:space="preserve">- [ ] Monitor any new regulations under Qatar’s National E-Learning Strategy</w:t>
      </w:r>
      <w:r>
        <w:t xml:space="preserve"> </w:t>
      </w:r>
      <w:r>
        <w:t xml:space="preserve">- [ ] Consider engaging a Qatari education law firm for a formal opinion</w:t>
      </w:r>
    </w:p>
    <w:p>
      <w:pPr>
        <w:pStyle w:val="BodyText"/>
      </w:pPr>
      <w:r>
        <w:rPr>
          <w:b/>
          <w:bCs/>
        </w:rPr>
        <w:t xml:space="preserve">Portal:</w:t>
      </w:r>
      <w:r>
        <w:t xml:space="preserve"> </w:t>
      </w:r>
      <w:r>
        <w:t xml:space="preserve">https://www.edu.gov.qa/en/</w:t>
      </w:r>
      <w:r>
        <w:t xml:space="preserve"> </w:t>
      </w:r>
      <w:r>
        <w:rPr>
          <w:b/>
          <w:bCs/>
        </w:rPr>
        <w:t xml:space="preserve">Estimated Cost:</w:t>
      </w:r>
      <w:r>
        <w:t xml:space="preserve"> </w:t>
      </w:r>
      <w:r>
        <w:t xml:space="preserve">GBP 1,000-3,000 for legal opinion from a Qatar-based firm</w:t>
      </w:r>
    </w:p>
    <w:p>
      <w:r>
        <w:pict>
          <v:rect style="width:0;height:1.5pt" o:hralign="center" o:hrstd="t" o:hr="t"/>
        </w:pict>
      </w:r>
    </w:p>
    <w:bookmarkEnd w:id="25"/>
    <w:bookmarkStart w:id="26" w:name="commercial-registration"/>
    <w:p>
      <w:pPr>
        <w:pStyle w:val="Heading3"/>
      </w:pPr>
      <w:r>
        <w:t xml:space="preserve">2.3 Commercial Registration</w:t>
      </w:r>
    </w:p>
    <w:p>
      <w:pPr>
        <w:pStyle w:val="FirstParagraph"/>
      </w:pPr>
      <w:r>
        <w:rPr>
          <w:b/>
          <w:bCs/>
        </w:rPr>
        <w:t xml:space="preserve">Options for operating in Qatar:</w:t>
      </w:r>
    </w:p>
    <w:p>
      <w:pPr>
        <w:pStyle w:val="BodyText"/>
      </w:pPr>
      <w:r>
        <w:rPr>
          <w:b/>
          <w:bCs/>
        </w:rPr>
        <w:t xml:space="preserve">Option A: Qatar Mainland (MoCI Registration)</w:t>
      </w:r>
      <w:r>
        <w:t xml:space="preserve"> </w:t>
      </w:r>
      <w:r>
        <w:t xml:space="preserve">- Register with the Ministry of Commerce and Industry.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Minimum capital:</w:t>
      </w:r>
      <w:r>
        <w:t xml:space="preserve"> </w:t>
      </w:r>
      <w:r>
        <w:t xml:space="preserve">QAR 200,000 (approx. GBP 43,000).</w:t>
      </w:r>
      <w:r>
        <w:t xml:space="preserve"> </w:t>
      </w:r>
      <w:r>
        <w:t xml:space="preserve">- 100% foreign ownership now permitted in most sectors including IT and education services.</w:t>
      </w:r>
      <w:r>
        <w:t xml:space="preserve"> </w:t>
      </w:r>
      <w:r>
        <w:t xml:space="preserve">- Must identify the website through which commercial activity is conducted.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e-commerce licensing regime</w:t>
      </w:r>
      <w:r>
        <w:t xml:space="preserve"> </w:t>
      </w:r>
      <w:r>
        <w:t xml:space="preserve">(Ministerial Decision No. 25 of 2026, in force 16 March 2026) requires an e-commerce licence from MoCI.</w:t>
      </w:r>
    </w:p>
    <w:p>
      <w:pPr>
        <w:pStyle w:val="BodyText"/>
      </w:pPr>
      <w:r>
        <w:rPr>
          <w:b/>
          <w:bCs/>
        </w:rPr>
        <w:t xml:space="preserve">Option B: Qatar Financial Centre (QFC)</w:t>
      </w:r>
      <w:r>
        <w:t xml:space="preserve"> </w:t>
      </w:r>
      <w:r>
        <w:t xml:space="preserve">- Operates under</w:t>
      </w:r>
      <w:r>
        <w:t xml:space="preserve"> </w:t>
      </w:r>
      <w:r>
        <w:rPr>
          <w:b/>
          <w:bCs/>
        </w:rPr>
        <w:t xml:space="preserve">English common law</w:t>
      </w:r>
      <w:r>
        <w:t xml:space="preserve"> </w:t>
      </w:r>
      <w:r>
        <w:t xml:space="preserve">(advantageous for a UK-based founder).</w:t>
      </w:r>
      <w:r>
        <w:t xml:space="preserve"> </w:t>
      </w:r>
      <w:r>
        <w:t xml:space="preserve">- 100% foreign ownership permitted.</w:t>
      </w:r>
      <w:r>
        <w:t xml:space="preserve"> </w:t>
      </w:r>
      <w:r>
        <w:t xml:space="preserve">- 10% corporation tax on Qatar-sourced profits only.</w:t>
      </w:r>
      <w:r>
        <w:t xml:space="preserve"> </w:t>
      </w:r>
      <w:r>
        <w:t xml:space="preserve">- No withholding taxes on dividends, interest, or royalties.</w:t>
      </w:r>
      <w:r>
        <w:t xml:space="preserve"> </w:t>
      </w:r>
      <w:r>
        <w:t xml:space="preserve">- Lower or no minimum capital requirement.</w:t>
      </w:r>
      <w:r>
        <w:t xml:space="preserve"> </w:t>
      </w:r>
      <w:r>
        <w:t xml:space="preserve">- Access to Qatar’s double taxation treaty network.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Limitation:</w:t>
      </w:r>
      <w:r>
        <w:t xml:space="preserve"> </w:t>
      </w:r>
      <w:r>
        <w:t xml:space="preserve">To sell directly to Qatari consumers, may need a mainland distributor or secondary registration.</w:t>
      </w:r>
    </w:p>
    <w:p>
      <w:pPr>
        <w:pStyle w:val="BodyText"/>
      </w:pPr>
      <w:r>
        <w:rPr>
          <w:b/>
          <w:bCs/>
        </w:rPr>
        <w:t xml:space="preserve">Option C: No Qatar Registration (Serve Qatar Remotely from UK)</w:t>
      </w:r>
      <w:r>
        <w:t xml:space="preserve"> </w:t>
      </w:r>
      <w:r>
        <w:t xml:space="preserve">- Operate entirely from the UK and serve Qatar customers remotely.</w:t>
      </w:r>
      <w:r>
        <w:t xml:space="preserve"> </w:t>
      </w:r>
      <w:r>
        <w:t xml:space="preserve">- Risky under the new e-commerce Decision No. 25 of 2026.</w:t>
      </w:r>
      <w:r>
        <w:t xml:space="preserve"> </w:t>
      </w:r>
      <w:r>
        <w:t xml:space="preserve">- May still trigger Qatar tax obligations on Qatar-sourced income.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recommended</w:t>
      </w:r>
      <w:r>
        <w:t xml:space="preserve"> </w:t>
      </w:r>
      <w:r>
        <w:t xml:space="preserve">if actively marketing to Qatari students.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Start with</w:t>
      </w:r>
      <w:r>
        <w:t xml:space="preserve"> </w:t>
      </w:r>
      <w:r>
        <w:rPr>
          <w:b/>
          <w:bCs/>
        </w:rPr>
        <w:t xml:space="preserve">Option C</w:t>
      </w:r>
      <w:r>
        <w:t xml:space="preserve"> </w:t>
      </w:r>
      <w:r>
        <w:t xml:space="preserve">for initial launch, then move to</w:t>
      </w:r>
      <w:r>
        <w:t xml:space="preserve"> </w:t>
      </w:r>
      <w:r>
        <w:rPr>
          <w:b/>
          <w:bCs/>
        </w:rPr>
        <w:t xml:space="preserve">Option B (QFC)</w:t>
      </w:r>
      <w:r>
        <w:t xml:space="preserve"> </w:t>
      </w:r>
      <w:r>
        <w:t xml:space="preserve">if Qatar revenue justifies the setup costs, given the English common law framework and tax efficiency.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Obtain legal advice on whether the new e-commerce Decision No. 25 of 2026 applies to foreign-operated platforms serving Qatar</w:t>
      </w:r>
      <w:r>
        <w:t xml:space="preserve"> </w:t>
      </w:r>
      <w:r>
        <w:t xml:space="preserve">- [ ] If registering: choose between mainland MoCI and QFC based on business model</w:t>
      </w:r>
      <w:r>
        <w:t xml:space="preserve"> </w:t>
      </w:r>
      <w:r>
        <w:t xml:space="preserve">- [ ] Open a Qatari corporate bank account (if registering locally)</w:t>
      </w:r>
      <w:r>
        <w:t xml:space="preserve"> </w:t>
      </w:r>
      <w:r>
        <w:t xml:space="preserve">- [ ] Comply with e-commerce licensing requirements</w:t>
      </w:r>
    </w:p>
    <w:p>
      <w:pPr>
        <w:pStyle w:val="BodyText"/>
      </w:pPr>
      <w:r>
        <w:rPr>
          <w:b/>
          <w:bCs/>
        </w:rPr>
        <w:t xml:space="preserve">Portal (MoCI):</w:t>
      </w:r>
      <w:r>
        <w:t xml:space="preserve"> </w:t>
      </w:r>
      <w:r>
        <w:t xml:space="preserve">https://www.moci.gov.qa/en/e-services/</w:t>
      </w:r>
      <w:r>
        <w:t xml:space="preserve"> </w:t>
      </w:r>
      <w:r>
        <w:rPr>
          <w:b/>
          <w:bCs/>
        </w:rPr>
        <w:t xml:space="preserve">Portal (QFC):</w:t>
      </w:r>
      <w:r>
        <w:t xml:space="preserve"> </w:t>
      </w:r>
      <w:r>
        <w:t xml:space="preserve">https://www.qfc.qa/en</w:t>
      </w:r>
      <w:r>
        <w:t xml:space="preserve"> </w:t>
      </w:r>
      <w:r>
        <w:rPr>
          <w:b/>
          <w:bCs/>
        </w:rPr>
        <w:t xml:space="preserve">Estimated Cost:</w:t>
      </w:r>
      <w:r>
        <w:t xml:space="preserve"> </w:t>
      </w:r>
      <w:r>
        <w:t xml:space="preserve">GBP 2,000-10,000+ (registration, legal, bank account setup)</w:t>
      </w:r>
    </w:p>
    <w:p>
      <w:r>
        <w:pict>
          <v:rect style="width:0;height:1.5pt" o:hralign="center" o:hrstd="t" o:hr="t"/>
        </w:pict>
      </w:r>
    </w:p>
    <w:bookmarkEnd w:id="26"/>
    <w:bookmarkStart w:id="27" w:name="payment-processing"/>
    <w:p>
      <w:pPr>
        <w:pStyle w:val="Heading3"/>
      </w:pPr>
      <w:r>
        <w:t xml:space="preserve">2.4 Payment Processing</w:t>
      </w:r>
    </w:p>
    <w:p>
      <w:pPr>
        <w:pStyle w:val="FirstParagraph"/>
      </w:pPr>
      <w:r>
        <w:rPr>
          <w:b/>
          <w:bCs/>
        </w:rPr>
        <w:t xml:space="preserve">Stripe in Qatar:</w:t>
      </w:r>
      <w:r>
        <w:t xml:space="preserve"> </w:t>
      </w:r>
      <w:r>
        <w:t xml:space="preserve">- Stripe is</w:t>
      </w:r>
      <w:r>
        <w:t xml:space="preserve"> </w:t>
      </w:r>
      <w:r>
        <w:rPr>
          <w:b/>
          <w:bCs/>
        </w:rPr>
        <w:t xml:space="preserve">supported in Qatar</w:t>
      </w:r>
      <w:r>
        <w:t xml:space="preserve"> </w:t>
      </w:r>
      <w:r>
        <w:t xml:space="preserve">but is</w:t>
      </w:r>
      <w:r>
        <w:t xml:space="preserve"> </w:t>
      </w:r>
      <w:r>
        <w:rPr>
          <w:b/>
          <w:bCs/>
        </w:rPr>
        <w:t xml:space="preserve">not locally licensed</w:t>
      </w:r>
      <w:r>
        <w:t xml:space="preserve"> </w:t>
      </w:r>
      <w:r>
        <w:t xml:space="preserve">by the Qatar Central Bank (QCB).</w:t>
      </w:r>
      <w:r>
        <w:t xml:space="preserve"> </w:t>
      </w:r>
      <w:r>
        <w:t xml:space="preserve">- The QCB’s Payment Services Regulation (September 2021) requires local licensing for payment service providers.</w:t>
      </w:r>
      <w:r>
        <w:t xml:space="preserve"> </w:t>
      </w:r>
      <w:r>
        <w:t xml:space="preserve">- Stripe can process payments from Qatari cards, but using a locally licensed gateway (e.g., Dibsy, QPay) may be required if you have a Qatar entity.</w:t>
      </w:r>
    </w:p>
    <w:p>
      <w:pPr>
        <w:pStyle w:val="BodyText"/>
      </w:pPr>
      <w:r>
        <w:rPr>
          <w:b/>
          <w:bCs/>
        </w:rPr>
        <w:t xml:space="preserve">Recommended Approach:</w:t>
      </w:r>
      <w:r>
        <w:t xml:space="preserve"> </w:t>
      </w:r>
      <w:r>
        <w:t xml:space="preserve">- Use</w:t>
      </w:r>
      <w:r>
        <w:t xml:space="preserve"> </w:t>
      </w:r>
      <w:r>
        <w:rPr>
          <w:b/>
          <w:bCs/>
        </w:rPr>
        <w:t xml:space="preserve">Stripe</w:t>
      </w:r>
      <w:r>
        <w:t xml:space="preserve"> </w:t>
      </w:r>
      <w:r>
        <w:t xml:space="preserve">for all payments (UK entity processes payments globally).</w:t>
      </w:r>
      <w:r>
        <w:t xml:space="preserve"> </w:t>
      </w:r>
      <w:r>
        <w:t xml:space="preserve">- If/when establishing a Qatar entity, consider adding a locally licensed payment gateway.</w:t>
      </w:r>
      <w:r>
        <w:t xml:space="preserve"> </w:t>
      </w:r>
      <w:r>
        <w:t xml:space="preserve">- Ensure PCI DSS compliance (Stripe handles this for card payments).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Set up Stripe account under UK Ltd company</w:t>
      </w:r>
      <w:r>
        <w:t xml:space="preserve"> </w:t>
      </w:r>
      <w:r>
        <w:t xml:space="preserve">- [ ] Enable multi-currency support (GBP and QAR)</w:t>
      </w:r>
      <w:r>
        <w:t xml:space="preserve"> </w:t>
      </w:r>
      <w:r>
        <w:t xml:space="preserve">- [ ] Implement Stripe’s built-in SCA (Strong Customer Authentication) for UK/EU payments</w:t>
      </w:r>
      <w:r>
        <w:t xml:space="preserve"> </w:t>
      </w:r>
      <w:r>
        <w:t xml:space="preserve">- [ ] Research local payment gateway options if setting up a Qatar entity</w:t>
      </w:r>
      <w:r>
        <w:t xml:space="preserve"> </w:t>
      </w:r>
      <w:r>
        <w:t xml:space="preserve">- [ ] Ensure compliance with QCB information security regulations for PSPs</w:t>
      </w:r>
    </w:p>
    <w:p>
      <w:pPr>
        <w:pStyle w:val="BodyText"/>
      </w:pPr>
      <w:r>
        <w:rPr>
          <w:b/>
          <w:bCs/>
        </w:rPr>
        <w:t xml:space="preserve">Estimated Cost:</w:t>
      </w:r>
      <w:r>
        <w:t xml:space="preserve"> </w:t>
      </w:r>
      <w:r>
        <w:t xml:space="preserve">Stripe fees (1.5% + 20p UK cards; 3.25% + 20p international cards)</w:t>
      </w:r>
    </w:p>
    <w:p>
      <w:r>
        <w:pict>
          <v:rect style="width:0;height:1.5pt" o:hralign="center" o:hrstd="t" o:hr="t"/>
        </w:pict>
      </w:r>
    </w:p>
    <w:bookmarkEnd w:id="27"/>
    <w:bookmarkStart w:id="28" w:name="content-moderation-requirements"/>
    <w:p>
      <w:pPr>
        <w:pStyle w:val="Heading3"/>
      </w:pPr>
      <w:r>
        <w:t xml:space="preserve">2.5 Content Moderation Requirements</w:t>
      </w:r>
    </w:p>
    <w:p>
      <w:pPr>
        <w:pStyle w:val="FirstParagraph"/>
      </w:pPr>
      <w:r>
        <w:rPr>
          <w:b/>
          <w:bCs/>
        </w:rPr>
        <w:t xml:space="preserve">Qatar-Specific Content Rules:</w:t>
      </w:r>
      <w:r>
        <w:t xml:space="preserve"> </w:t>
      </w:r>
      <w:r>
        <w:t xml:space="preserve">- All content must respect</w:t>
      </w:r>
      <w:r>
        <w:t xml:space="preserve"> </w:t>
      </w:r>
      <w:r>
        <w:rPr>
          <w:b/>
          <w:bCs/>
        </w:rPr>
        <w:t xml:space="preserve">Islamic traditions and local customs</w:t>
      </w:r>
      <w:r>
        <w:t xml:space="preserve">.</w:t>
      </w:r>
      <w:r>
        <w:t xml:space="preserve"> </w:t>
      </w:r>
      <w:r>
        <w:t xml:space="preserve">- Content must not include anything deemed offensive or inappropriate (nudity, explicit language, graphic violence).</w:t>
      </w:r>
      <w:r>
        <w:t xml:space="preserve"> </w:t>
      </w:r>
      <w:r>
        <w:t xml:space="preserve">- Politically sensitive content is punishable by law.</w:t>
      </w:r>
      <w:r>
        <w:t xml:space="preserve"> </w:t>
      </w:r>
      <w:r>
        <w:t xml:space="preserve">- Media content must align with Qatari societal values and norms.</w:t>
      </w:r>
    </w:p>
    <w:p>
      <w:pPr>
        <w:pStyle w:val="BodyText"/>
      </w:pPr>
      <w:r>
        <w:rPr>
          <w:b/>
          <w:bCs/>
        </w:rPr>
        <w:t xml:space="preserve">For The English Hub specifically:</w:t>
      </w:r>
      <w:r>
        <w:t xml:space="preserve"> </w:t>
      </w:r>
      <w:r>
        <w:t xml:space="preserve">- Literature texts used for GCSE/IGCSE may contain themes (e.g., violence, discrimination) that need careful framing.</w:t>
      </w:r>
      <w:r>
        <w:t xml:space="preserve"> </w:t>
      </w:r>
      <w:r>
        <w:t xml:space="preserve">- Essay prompts and AI feedback must not generate content that could be considered culturally inappropriate in Qatar.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Review all platform content for cultural sensitivity in a Qatar context</w:t>
      </w:r>
      <w:r>
        <w:t xml:space="preserve"> </w:t>
      </w:r>
      <w:r>
        <w:t xml:space="preserve">- [ ] Implement content filters on AI essay feedback to prevent culturally inappropriate outputs</w:t>
      </w:r>
      <w:r>
        <w:t xml:space="preserve"> </w:t>
      </w:r>
      <w:r>
        <w:t xml:space="preserve">- [ ] Add content warnings where literature themes may be sensitive</w:t>
      </w:r>
      <w:r>
        <w:t xml:space="preserve"> </w:t>
      </w:r>
      <w:r>
        <w:t xml:space="preserve">- [ ] Draft a content moderation policy specific to Qatar</w:t>
      </w:r>
      <w:r>
        <w:t xml:space="preserve"> </w:t>
      </w:r>
      <w:r>
        <w:t xml:space="preserve">- [ ] Consider having a Qatar-based reviewer audit content periodically</w:t>
      </w:r>
    </w:p>
    <w:p>
      <w:pPr>
        <w:pStyle w:val="BodyText"/>
      </w:pPr>
      <w:r>
        <w:rPr>
          <w:b/>
          <w:bCs/>
        </w:rPr>
        <w:t xml:space="preserve">Estimated Cost:</w:t>
      </w:r>
      <w:r>
        <w:t xml:space="preserve"> </w:t>
      </w:r>
      <w:r>
        <w:t xml:space="preserve">GBP 500-2,000 (content review and policy drafting)</w:t>
      </w:r>
    </w:p>
    <w:p>
      <w:r>
        <w:pict>
          <v:rect style="width:0;height:1.5pt" o:hralign="center" o:hrstd="t" o:hr="t"/>
        </w:pict>
      </w:r>
    </w:p>
    <w:bookmarkEnd w:id="28"/>
    <w:bookmarkStart w:id="29" w:name="arabic-language-requirements"/>
    <w:p>
      <w:pPr>
        <w:pStyle w:val="Heading3"/>
      </w:pPr>
      <w:r>
        <w:t xml:space="preserve">2.6 Arabic Language Requirements</w:t>
      </w:r>
    </w:p>
    <w:p>
      <w:pPr>
        <w:pStyle w:val="FirstParagraph"/>
      </w:pPr>
      <w:r>
        <w:rPr>
          <w:b/>
          <w:bCs/>
        </w:rPr>
        <w:t xml:space="preserve">Legal Requirement:</w:t>
      </w:r>
      <w:r>
        <w:t xml:space="preserve"> </w:t>
      </w:r>
      <w:r>
        <w:t xml:space="preserve">- Qatar’s Law No. 7 of 2019 requires Arabic to be used in official contexts.</w:t>
      </w:r>
      <w:r>
        <w:t xml:space="preserve"> </w:t>
      </w:r>
      <w:r>
        <w:t xml:space="preserve">- Arabic must appear</w:t>
      </w:r>
      <w:r>
        <w:t xml:space="preserve"> </w:t>
      </w:r>
      <w:r>
        <w:rPr>
          <w:b/>
          <w:bCs/>
        </w:rPr>
        <w:t xml:space="preserve">equally prominently</w:t>
      </w:r>
      <w:r>
        <w:t xml:space="preserve"> </w:t>
      </w:r>
      <w:r>
        <w:t xml:space="preserve">to English in advertising materials (equal size and placement).</w:t>
      </w:r>
      <w:r>
        <w:t xml:space="preserve"> </w:t>
      </w:r>
      <w:r>
        <w:t xml:space="preserve">- Government-facing documents must be in Arabic.</w:t>
      </w:r>
    </w:p>
    <w:p>
      <w:pPr>
        <w:pStyle w:val="BodyText"/>
      </w:pPr>
      <w:r>
        <w:rPr>
          <w:b/>
          <w:bCs/>
        </w:rPr>
        <w:t xml:space="preserve">For The English Hub:</w:t>
      </w:r>
      <w:r>
        <w:t xml:space="preserve"> </w:t>
      </w:r>
      <w:r>
        <w:t xml:space="preserve">- T&amp;Cs and privacy policy should have</w:t>
      </w:r>
      <w:r>
        <w:t xml:space="preserve"> </w:t>
      </w:r>
      <w:r>
        <w:rPr>
          <w:b/>
          <w:bCs/>
        </w:rPr>
        <w:t xml:space="preserve">Arabic translations</w:t>
      </w:r>
      <w:r>
        <w:t xml:space="preserve"> </w:t>
      </w:r>
      <w:r>
        <w:t xml:space="preserve">if actively targeting Qatar.</w:t>
      </w:r>
      <w:r>
        <w:t xml:space="preserve"> </w:t>
      </w:r>
      <w:r>
        <w:t xml:space="preserve">- Marketing materials aimed at Qatar must include Arabic at equal prominence to English.</w:t>
      </w:r>
      <w:r>
        <w:t xml:space="preserve"> </w:t>
      </w:r>
      <w:r>
        <w:t xml:space="preserve">- The platform interface itself (being an English language learning tool) does not need to be in Arabic, but key legal documents should be bilingual.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Translate Terms &amp; Conditions into Arabic</w:t>
      </w:r>
      <w:r>
        <w:t xml:space="preserve"> </w:t>
      </w:r>
      <w:r>
        <w:t xml:space="preserve">- [ ] Translate Privacy Policy into Arabic</w:t>
      </w:r>
      <w:r>
        <w:t xml:space="preserve"> </w:t>
      </w:r>
      <w:r>
        <w:t xml:space="preserve">- [ ] Translate Cookie Policy into Arabic</w:t>
      </w:r>
      <w:r>
        <w:t xml:space="preserve"> </w:t>
      </w:r>
      <w:r>
        <w:t xml:space="preserve">- [ ] Ensure Qatar-targeted marketing materials include Arabic text at equal prominence</w:t>
      </w:r>
      <w:r>
        <w:t xml:space="preserve"> </w:t>
      </w:r>
      <w:r>
        <w:t xml:space="preserve">- [ ] Have translations certified by a professional legal translator</w:t>
      </w:r>
    </w:p>
    <w:p>
      <w:pPr>
        <w:pStyle w:val="BodyText"/>
      </w:pPr>
      <w:r>
        <w:rPr>
          <w:b/>
          <w:bCs/>
        </w:rPr>
        <w:t xml:space="preserve">Estimated Cost:</w:t>
      </w:r>
      <w:r>
        <w:t xml:space="preserve"> </w:t>
      </w:r>
      <w:r>
        <w:t xml:space="preserve">GBP 500-1,500 (professional legal translation of key documents)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cross-border-considerations"/>
    <w:p>
      <w:pPr>
        <w:pStyle w:val="Heading2"/>
      </w:pPr>
      <w:r>
        <w:t xml:space="preserve">3. CROSS-BORDER CONSIDERATIONS</w:t>
      </w:r>
    </w:p>
    <w:bookmarkStart w:id="31" w:name="jurisdiction-and-applicable-law"/>
    <w:p>
      <w:pPr>
        <w:pStyle w:val="Heading3"/>
      </w:pPr>
      <w:r>
        <w:t xml:space="preserve">3.1 Jurisdiction and Applicable Law</w:t>
      </w:r>
    </w:p>
    <w:p>
      <w:pPr>
        <w:pStyle w:val="FirstParagraph"/>
      </w:pPr>
      <w:r>
        <w:rPr>
          <w:b/>
          <w:bCs/>
        </w:rPr>
        <w:t xml:space="preserve">Governing Principles:</w:t>
      </w:r>
      <w:r>
        <w:t xml:space="preserve"> </w:t>
      </w:r>
      <w:r>
        <w:t xml:space="preserve">- If the company is registered in the UK,</w:t>
      </w:r>
      <w:r>
        <w:t xml:space="preserve"> </w:t>
      </w:r>
      <w:r>
        <w:rPr>
          <w:b/>
          <w:bCs/>
        </w:rPr>
        <w:t xml:space="preserve">English law</w:t>
      </w:r>
      <w:r>
        <w:t xml:space="preserve"> </w:t>
      </w:r>
      <w:r>
        <w:t xml:space="preserve">should be the governing law of your T&amp;Cs.</w:t>
      </w:r>
      <w:r>
        <w:t xml:space="preserve"> </w:t>
      </w:r>
      <w:r>
        <w:t xml:space="preserve">- However,</w:t>
      </w:r>
      <w:r>
        <w:t xml:space="preserve"> </w:t>
      </w:r>
      <w:r>
        <w:rPr>
          <w:b/>
          <w:bCs/>
        </w:rPr>
        <w:t xml:space="preserve">mandatory consumer protection laws</w:t>
      </w:r>
      <w:r>
        <w:t xml:space="preserve"> </w:t>
      </w:r>
      <w:r>
        <w:t xml:space="preserve">of Qatar will still apply to Qatari users regardless of your T&amp;Cs.</w:t>
      </w:r>
      <w:r>
        <w:t xml:space="preserve"> </w:t>
      </w:r>
      <w:r>
        <w:t xml:space="preserve">- The Qatar PDPPL applies to any processing of Qatari residents’ data, regardless of where the processor is located.</w:t>
      </w:r>
      <w:r>
        <w:t xml:space="preserve"> </w:t>
      </w:r>
      <w:r>
        <w:t xml:space="preserve">- UK GDPR applies to all processing of UK residents’ data.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Draft T&amp;Cs specifying English law as governing law, with acknowledgement that local mandatory laws apply</w:t>
      </w:r>
      <w:r>
        <w:t xml:space="preserve"> </w:t>
      </w:r>
      <w:r>
        <w:t xml:space="preserve">- [ ] Include jurisdiction clause (English courts, with Qatar arbitration option for Qatari users)</w:t>
      </w:r>
      <w:r>
        <w:t xml:space="preserve"> </w:t>
      </w:r>
      <w:r>
        <w:t xml:space="preserve">- [ ] Ensure compliance with BOTH UK and Qatar data protection laws simultaneously</w:t>
      </w:r>
    </w:p>
    <w:p>
      <w:r>
        <w:pict>
          <v:rect style="width:0;height:1.5pt" o:hralign="center" o:hrstd="t" o:hr="t"/>
        </w:pict>
      </w:r>
    </w:p>
    <w:bookmarkEnd w:id="31"/>
    <w:bookmarkStart w:id="32" w:name="data-transfer-mechanisms-uk-qatar"/>
    <w:p>
      <w:pPr>
        <w:pStyle w:val="Heading3"/>
      </w:pPr>
      <w:r>
        <w:t xml:space="preserve">3.2 Data Transfer Mechanisms (UK-Qatar)</w:t>
      </w:r>
    </w:p>
    <w:p>
      <w:pPr>
        <w:pStyle w:val="FirstParagraph"/>
      </w:pPr>
      <w:r>
        <w:rPr>
          <w:b/>
          <w:bCs/>
        </w:rPr>
        <w:t xml:space="preserve">Current Position:</w:t>
      </w:r>
      <w:r>
        <w:t xml:space="preserve"> </w:t>
      </w:r>
      <w:r>
        <w:t xml:space="preserve">- Qatar does NOT have a UK adequacy decision (it is not on the UK’s list of approved countries for data transfers).</w:t>
      </w:r>
      <w:r>
        <w:t xml:space="preserve"> </w:t>
      </w:r>
      <w:r>
        <w:t xml:space="preserve">- No specific UK-Qatar data transfer agreement exists.</w:t>
      </w:r>
      <w:r>
        <w:t xml:space="preserve"> </w:t>
      </w:r>
      <w:r>
        <w:t xml:space="preserve">- Under the Data Use and Access Act 2025, the UK is adopting a</w:t>
      </w:r>
      <w:r>
        <w:t xml:space="preserve"> </w:t>
      </w:r>
      <w:r>
        <w:t xml:space="preserve">“not materially lower”</w:t>
      </w:r>
      <w:r>
        <w:t xml:space="preserve"> </w:t>
      </w:r>
      <w:r>
        <w:t xml:space="preserve">standard for international transfers (likely slightly easier than the EU standard).</w:t>
      </w:r>
    </w:p>
    <w:p>
      <w:pPr>
        <w:pStyle w:val="BodyText"/>
      </w:pPr>
      <w:r>
        <w:rPr>
          <w:b/>
          <w:bCs/>
        </w:rPr>
        <w:t xml:space="preserve">Transfer Mechanisms Available: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Standard Contractual Clauses (SCCs) / International Data Transfer Agreement (IDTA)</w:t>
      </w:r>
      <w:r>
        <w:t xml:space="preserve"> </w:t>
      </w:r>
      <w:r>
        <w:t xml:space="preserve">– the UK’s version of SCCs. This is the most practical mechanism.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Explicit consent</w:t>
      </w:r>
      <w:r>
        <w:t xml:space="preserve"> </w:t>
      </w:r>
      <w:r>
        <w:t xml:space="preserve">– obtain explicit consent from each user for the international transfer. Fragile as consent can be withdrawn.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Binding Corporate Rules</w:t>
      </w:r>
      <w:r>
        <w:t xml:space="preserve"> </w:t>
      </w:r>
      <w:r>
        <w:t xml:space="preserve">– only if you have entities in both jurisdictions.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Transfer Risk Assessment (TRA)</w:t>
      </w:r>
      <w:r>
        <w:t xml:space="preserve"> </w:t>
      </w:r>
      <w:r>
        <w:t xml:space="preserve">– required alongside SCCs/IDTA.</w:t>
      </w:r>
    </w:p>
    <w:p>
      <w:pPr>
        <w:pStyle w:val="BodyText"/>
      </w:pPr>
      <w:r>
        <w:rPr>
          <w:b/>
          <w:bCs/>
        </w:rPr>
        <w:t xml:space="preserve">Qatar Side:</w:t>
      </w:r>
      <w:r>
        <w:t xml:space="preserve"> </w:t>
      </w:r>
      <w:r>
        <w:t xml:space="preserve">- Under PDPPL Article 15, cross-border transfers are generally permitted if lawful and with consent.</w:t>
      </w:r>
      <w:r>
        <w:t xml:space="preserve"> </w:t>
      </w:r>
      <w:r>
        <w:t xml:space="preserve">- Must demonstrate the transfer serves a lawful purpose.</w:t>
      </w:r>
    </w:p>
    <w:p>
      <w:pPr>
        <w:pStyle w:val="BodyText"/>
      </w:pPr>
      <w:r>
        <w:rPr>
          <w:b/>
          <w:bCs/>
        </w:rPr>
        <w:t xml:space="preserve">Recommended Approach:</w:t>
      </w:r>
      <w:r>
        <w:t xml:space="preserve"> </w:t>
      </w:r>
      <w:r>
        <w:t xml:space="preserve">- Use the</w:t>
      </w:r>
      <w:r>
        <w:t xml:space="preserve"> </w:t>
      </w:r>
      <w:r>
        <w:rPr>
          <w:b/>
          <w:bCs/>
        </w:rPr>
        <w:t xml:space="preserve">UK IDTA</w:t>
      </w:r>
      <w:r>
        <w:t xml:space="preserve"> </w:t>
      </w:r>
      <w:r>
        <w:t xml:space="preserve">as your primary transfer mechanism.</w:t>
      </w:r>
      <w:r>
        <w:t xml:space="preserve"> </w:t>
      </w:r>
      <w:r>
        <w:t xml:space="preserve">- Supplement with</w:t>
      </w:r>
      <w:r>
        <w:t xml:space="preserve"> </w:t>
      </w:r>
      <w:r>
        <w:rPr>
          <w:b/>
          <w:bCs/>
        </w:rPr>
        <w:t xml:space="preserve">explicit user consent</w:t>
      </w:r>
      <w:r>
        <w:t xml:space="preserve"> </w:t>
      </w:r>
      <w:r>
        <w:t xml:space="preserve">at registration.</w:t>
      </w:r>
      <w:r>
        <w:t xml:space="preserve"> </w:t>
      </w:r>
      <w:r>
        <w:t xml:space="preserve">- Conduct a</w:t>
      </w:r>
      <w:r>
        <w:t xml:space="preserve"> </w:t>
      </w:r>
      <w:r>
        <w:rPr>
          <w:b/>
          <w:bCs/>
        </w:rPr>
        <w:t xml:space="preserve">Transfer Risk Assessment</w:t>
      </w:r>
      <w:r>
        <w:t xml:space="preserve"> </w:t>
      </w:r>
      <w:r>
        <w:t xml:space="preserve">for UK-to-Qatar and Qatar-to-UK data flows.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Implement the UK International Data Transfer Agreement (IDTA)</w:t>
      </w:r>
      <w:r>
        <w:t xml:space="preserve"> </w:t>
      </w:r>
      <w:r>
        <w:t xml:space="preserve">- [ ] Conduct a Transfer Risk Assessment</w:t>
      </w:r>
      <w:r>
        <w:t xml:space="preserve"> </w:t>
      </w:r>
      <w:r>
        <w:t xml:space="preserve">- [ ] Obtain explicit consent for international data transfers at registration</w:t>
      </w:r>
      <w:r>
        <w:t xml:space="preserve"> </w:t>
      </w:r>
      <w:r>
        <w:t xml:space="preserve">- [ ] Document all cross-border data flows in your Record of Processing Activities</w:t>
      </w:r>
      <w:r>
        <w:t xml:space="preserve"> </w:t>
      </w:r>
      <w:r>
        <w:t xml:space="preserve">- [ ] Monitor for any future UK-Qatar adequacy decision</w:t>
      </w:r>
    </w:p>
    <w:p>
      <w:pPr>
        <w:pStyle w:val="BodyText"/>
      </w:pPr>
      <w:r>
        <w:rPr>
          <w:b/>
          <w:bCs/>
        </w:rPr>
        <w:t xml:space="preserve">Estimated Cost:</w:t>
      </w:r>
      <w:r>
        <w:t xml:space="preserve"> </w:t>
      </w:r>
      <w:r>
        <w:t xml:space="preserve">GBP 500-2,000 (legal drafting of IDTA and TRA)</w:t>
      </w:r>
    </w:p>
    <w:p>
      <w:r>
        <w:pict>
          <v:rect style="width:0;height:1.5pt" o:hralign="center" o:hrstd="t" o:hr="t"/>
        </w:pict>
      </w:r>
    </w:p>
    <w:bookmarkEnd w:id="32"/>
    <w:bookmarkStart w:id="33" w:name="tax-implications"/>
    <w:p>
      <w:pPr>
        <w:pStyle w:val="Heading3"/>
      </w:pPr>
      <w:r>
        <w:t xml:space="preserve">3.3 Tax Implications</w:t>
      </w:r>
    </w:p>
    <w:p>
      <w:pPr>
        <w:pStyle w:val="FirstParagraph"/>
      </w:pPr>
      <w:r>
        <w:rPr>
          <w:b/>
          <w:bCs/>
        </w:rPr>
        <w:t xml:space="preserve">UK Tax:</w:t>
      </w:r>
      <w:r>
        <w:t xml:space="preserve"> </w:t>
      </w:r>
      <w:r>
        <w:t xml:space="preserve">| Tax | Details |</w:t>
      </w:r>
      <w:r>
        <w:t xml:space="preserve"> </w:t>
      </w:r>
      <w:r>
        <w:t xml:space="preserve">|—–|———|</w:t>
      </w:r>
      <w:r>
        <w:t xml:space="preserve"> </w:t>
      </w:r>
      <w:r>
        <w:t xml:space="preserve">| Corporation Tax | 25% on profits (19% for profits up to GBP 50,000 – small profits rate) |</w:t>
      </w:r>
      <w:r>
        <w:t xml:space="preserve"> </w:t>
      </w:r>
      <w:r>
        <w:t xml:space="preserve">| VAT | 20% on UK sales once threshold reached (GBP 90,000) |</w:t>
      </w:r>
      <w:r>
        <w:t xml:space="preserve"> </w:t>
      </w:r>
      <w:r>
        <w:t xml:space="preserve">| Digital Services Tax | 2% on UK revenues – only applies if group global revenues exceed GBP 500m (unlikely to apply) |</w:t>
      </w:r>
    </w:p>
    <w:p>
      <w:pPr>
        <w:pStyle w:val="BodyText"/>
      </w:pPr>
      <w:r>
        <w:rPr>
          <w:b/>
          <w:bCs/>
        </w:rPr>
        <w:t xml:space="preserve">Qatar Tax:</w:t>
      </w:r>
      <w:r>
        <w:t xml:space="preserve"> </w:t>
      </w:r>
      <w:r>
        <w:t xml:space="preserve">| Tax | Details |</w:t>
      </w:r>
      <w:r>
        <w:t xml:space="preserve"> </w:t>
      </w:r>
      <w:r>
        <w:t xml:space="preserve">|—–|———|</w:t>
      </w:r>
      <w:r>
        <w:t xml:space="preserve"> </w:t>
      </w:r>
      <w:r>
        <w:t xml:space="preserve">| Corporate Income Tax | 10% on Qatar-sourced income (applies to foreign-owned entities) |</w:t>
      </w:r>
      <w:r>
        <w:t xml:space="preserve"> </w:t>
      </w:r>
      <w:r>
        <w:t xml:space="preserve">| QFC Tax | 10% on Qatar-sourced profits |</w:t>
      </w:r>
      <w:r>
        <w:t xml:space="preserve"> </w:t>
      </w:r>
      <w:r>
        <w:t xml:space="preserve">| No personal income tax | Qatar does not levy personal income tax |</w:t>
      </w:r>
      <w:r>
        <w:t xml:space="preserve"> </w:t>
      </w:r>
      <w:r>
        <w:t xml:space="preserve">| No VAT | Qatar does not currently have VAT |</w:t>
      </w:r>
    </w:p>
    <w:p>
      <w:pPr>
        <w:pStyle w:val="BodyText"/>
      </w:pPr>
      <w:r>
        <w:rPr>
          <w:b/>
          <w:bCs/>
        </w:rPr>
        <w:t xml:space="preserve">UK-Qatar Double Taxation Treaty:</w:t>
      </w:r>
      <w:r>
        <w:t xml:space="preserve"> </w:t>
      </w:r>
      <w:r>
        <w:t xml:space="preserve">- In force since 14 October 2010.</w:t>
      </w:r>
      <w:r>
        <w:t xml:space="preserve"> </w:t>
      </w:r>
      <w:r>
        <w:t xml:space="preserve">- Provides tax credit relief: tax paid in one country is credited against tax due in the other.</w:t>
      </w:r>
      <w:r>
        <w:t xml:space="preserve"> </w:t>
      </w:r>
      <w:r>
        <w:t xml:space="preserve">- Prevents double taxation on the same income.</w:t>
      </w:r>
    </w:p>
    <w:p>
      <w:pPr>
        <w:pStyle w:val="BodyText"/>
      </w:pPr>
      <w:r>
        <w:rPr>
          <w:b/>
          <w:bCs/>
        </w:rPr>
        <w:t xml:space="preserve">Practical Approach:</w:t>
      </w:r>
      <w:r>
        <w:t xml:space="preserve"> </w:t>
      </w:r>
      <w:r>
        <w:t xml:space="preserve">- If operating via UK Ltd only: UK Corporation Tax applies to worldwide profits, with credit for any Qatar tax paid.</w:t>
      </w:r>
      <w:r>
        <w:t xml:space="preserve"> </w:t>
      </w:r>
      <w:r>
        <w:t xml:space="preserve">- If also registered in Qatar: 10% Qatar tax on Qatar-sourced profits, with credit against UK tax.</w:t>
      </w:r>
    </w:p>
    <w:p>
      <w:pPr>
        <w:pStyle w:val="BodyText"/>
      </w:pPr>
      <w:r>
        <w:rPr>
          <w:b/>
          <w:bCs/>
        </w:rPr>
        <w:t xml:space="preserve">Action Items:</w:t>
      </w:r>
      <w:r>
        <w:t xml:space="preserve"> </w:t>
      </w:r>
      <w:r>
        <w:t xml:space="preserve">- [ ] Register for Corporation Tax with HMRC within 3 months of trading</w:t>
      </w:r>
      <w:r>
        <w:t xml:space="preserve"> </w:t>
      </w:r>
      <w:r>
        <w:t xml:space="preserve">- [ ] Engage an accountant familiar with UK-Qatar cross-border taxation</w:t>
      </w:r>
      <w:r>
        <w:t xml:space="preserve"> </w:t>
      </w:r>
      <w:r>
        <w:t xml:space="preserve">- [ ] Determine whether Qatar-sourced income triggers Qatar tax obligations even without a local entity</w:t>
      </w:r>
      <w:r>
        <w:t xml:space="preserve"> </w:t>
      </w:r>
      <w:r>
        <w:t xml:space="preserve">- [ ] Structure pricing to account for VAT on UK sales but no VAT on Qatar sales</w:t>
      </w:r>
      <w:r>
        <w:t xml:space="preserve"> </w:t>
      </w:r>
      <w:r>
        <w:t xml:space="preserve">- [ ] Keep detailed records of income by jurisdiction</w:t>
      </w:r>
    </w:p>
    <w:p>
      <w:pPr>
        <w:pStyle w:val="BodyText"/>
      </w:pPr>
      <w:r>
        <w:rPr>
          <w:b/>
          <w:bCs/>
        </w:rPr>
        <w:t xml:space="preserve">Portal:</w:t>
      </w:r>
      <w:r>
        <w:t xml:space="preserve"> </w:t>
      </w:r>
      <w:r>
        <w:t xml:space="preserve">https://www.gov.uk/government/publications/qatar-tax-treaties</w:t>
      </w:r>
      <w:r>
        <w:t xml:space="preserve"> </w:t>
      </w:r>
      <w:r>
        <w:rPr>
          <w:b/>
          <w:bCs/>
        </w:rPr>
        <w:t xml:space="preserve">Estimated Cost:</w:t>
      </w:r>
      <w:r>
        <w:t xml:space="preserve"> </w:t>
      </w:r>
      <w:r>
        <w:t xml:space="preserve">GBP 500-2,000/year (accountant fees for international tax)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master-action-item-checklist"/>
    <w:p>
      <w:pPr>
        <w:pStyle w:val="Heading2"/>
      </w:pPr>
      <w:r>
        <w:t xml:space="preserve">4. MASTER ACTION ITEM CHECKLIST</w:t>
      </w:r>
    </w:p>
    <w:bookmarkStart w:id="35" w:name="priority-1-must-do-before-launch"/>
    <w:p>
      <w:pPr>
        <w:pStyle w:val="Heading3"/>
      </w:pPr>
      <w:r>
        <w:t xml:space="preserve">Priority 1 – MUST DO BEFORE LAUNCH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980"/>
        <w:gridCol w:w="2475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Est.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Register a UK Ltd company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GBP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Pay ICO data protection fee</w:t>
            </w:r>
          </w:p>
        </w:tc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GBP 47/year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Conduct full DPIA (AI, children’s data, cross-border)</w:t>
            </w:r>
          </w:p>
        </w:tc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GBP 0-5,000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Draft child-friendly privacy notice</w:t>
            </w:r>
          </w:p>
        </w:tc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GBP 0-1,000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Implement age verification at sign-up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GBP 0 (dev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Implement compliant cookie consent banner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GBP 0-50/month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Draft Terms &amp; Conditions (English law)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GBP 500-2,000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Draft Cancellation Policy with model form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Included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Implement 14-day cooling-off / waiver consent flow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GBP 0 (dev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Set up Stripe with proper invoicing</w:t>
            </w:r>
          </w:p>
        </w:tc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GBP 0 (transaction fees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Add exam board non-affiliation disclaimer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GBP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  <w:r>
              <w:t xml:space="preserve"> </w:t>
            </w:r>
            <w:r>
              <w:t xml:space="preserve">“request human review”</w:t>
            </w:r>
            <w:r>
              <w:t xml:space="preserve"> </w:t>
            </w:r>
            <w:r>
              <w:t xml:space="preserve">for AI feedback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GBP 0 (dev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Document AI transparency (logic and criteria)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GBP 0 (dev 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Set all privacy defaults to HIGH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GBP 0 (dev time)</w:t>
            </w:r>
          </w:p>
        </w:tc>
      </w:tr>
    </w:tbl>
    <w:bookmarkEnd w:id="35"/>
    <w:bookmarkStart w:id="36" w:name="priority-2-should-do-before-launch"/>
    <w:p>
      <w:pPr>
        <w:pStyle w:val="Heading3"/>
      </w:pPr>
      <w:r>
        <w:t xml:space="preserve">Priority 2 – SHOULD DO BEFORE LAUNCH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980"/>
        <w:gridCol w:w="2475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Est.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Enhanced DBS checks for staff with student contact</w:t>
            </w:r>
          </w:p>
        </w:tc>
        <w:tc>
          <w:tcPr/>
          <w:p>
            <w:pPr>
              <w:pStyle w:val="Compact"/>
            </w:pPr>
            <w:r>
              <w:t xml:space="preserve">Safeguarding</w:t>
            </w:r>
          </w:p>
        </w:tc>
        <w:tc>
          <w:tcPr/>
          <w:p>
            <w:pPr>
              <w:pStyle w:val="Compact"/>
            </w:pPr>
            <w:r>
              <w:t xml:space="preserve">GBP 60-80 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Level 1 Safeguarding training for all staff</w:t>
            </w:r>
          </w:p>
        </w:tc>
        <w:tc>
          <w:tcPr/>
          <w:p>
            <w:pPr>
              <w:pStyle w:val="Compact"/>
            </w:pPr>
            <w:r>
              <w:t xml:space="preserve">Safeguarding</w:t>
            </w:r>
          </w:p>
        </w:tc>
        <w:tc>
          <w:tcPr/>
          <w:p>
            <w:pPr>
              <w:pStyle w:val="Compact"/>
            </w:pPr>
            <w:r>
              <w:t xml:space="preserve">GBP 0 (NSPCC 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Draft and publish Safeguarding Policy</w:t>
            </w:r>
          </w:p>
        </w:tc>
        <w:tc>
          <w:tcPr/>
          <w:p>
            <w:pPr>
              <w:pStyle w:val="Compact"/>
            </w:pPr>
            <w:r>
              <w:t xml:space="preserve">Safeguarding</w:t>
            </w:r>
          </w:p>
        </w:tc>
        <w:tc>
          <w:tcPr/>
          <w:p>
            <w:pPr>
              <w:pStyle w:val="Compact"/>
            </w:pPr>
            <w:r>
              <w:t xml:space="preserve">GBP 0-500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Audit all marketing claims for ASA compliance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GBP 0-1,000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Draft affiliate marketing guidelines and agreements</w:t>
            </w:r>
          </w:p>
        </w:tc>
        <w:tc>
          <w:tcPr/>
          <w:p>
            <w:pPr>
              <w:pStyle w:val="Compact"/>
            </w:pPr>
            <w: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GBP 0-500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Children’s Code conformance self-assessment</w:t>
            </w:r>
          </w:p>
        </w:tc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GBP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Translate T&amp;Cs and Privacy Policy into Arabic</w:t>
            </w:r>
          </w:p>
        </w:tc>
        <w:tc>
          <w:tcPr/>
          <w:p>
            <w:pPr>
              <w:pStyle w:val="Compact"/>
            </w:pPr>
            <w:r>
              <w:t xml:space="preserve">Qatar</w:t>
            </w:r>
          </w:p>
        </w:tc>
        <w:tc>
          <w:tcPr/>
          <w:p>
            <w:pPr>
              <w:pStyle w:val="Compact"/>
            </w:pPr>
            <w:r>
              <w:t xml:space="preserve">GBP 500-1,500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Review content for Qatar cultural sensitivity</w:t>
            </w:r>
          </w:p>
        </w:tc>
        <w:tc>
          <w:tcPr/>
          <w:p>
            <w:pPr>
              <w:pStyle w:val="Compact"/>
            </w:pPr>
            <w:r>
              <w:t xml:space="preserve">Qatar</w:t>
            </w:r>
          </w:p>
        </w:tc>
        <w:tc>
          <w:tcPr/>
          <w:p>
            <w:pPr>
              <w:pStyle w:val="Compact"/>
            </w:pPr>
            <w:r>
              <w:t xml:space="preserve">GBP 500-2,000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Implement content filters on AI for Qatar context</w:t>
            </w:r>
          </w:p>
        </w:tc>
        <w:tc>
          <w:tcPr/>
          <w:p>
            <w:pPr>
              <w:pStyle w:val="Compact"/>
            </w:pPr>
            <w:r>
              <w:t xml:space="preserve">Technical</w:t>
            </w:r>
          </w:p>
        </w:tc>
        <w:tc>
          <w:tcPr/>
          <w:p>
            <w:pPr>
              <w:pStyle w:val="Compact"/>
            </w:pPr>
            <w:r>
              <w:t xml:space="preserve">GBP 0 (dev time)</w:t>
            </w:r>
          </w:p>
        </w:tc>
      </w:tr>
    </w:tbl>
    <w:bookmarkEnd w:id="36"/>
    <w:bookmarkStart w:id="37" w:name="priority-3-do-within-3-months-of-launch"/>
    <w:p>
      <w:pPr>
        <w:pStyle w:val="Heading3"/>
      </w:pPr>
      <w:r>
        <w:t xml:space="preserve">Priority 3 – DO WITHIN 3 MONTHS OF LAUNCH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980"/>
        <w:gridCol w:w="2475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Est.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Register for VAT (if approaching GBP 90k threshold)</w:t>
            </w:r>
          </w:p>
        </w:tc>
        <w:tc>
          <w:tcPr/>
          <w:p>
            <w:pPr>
              <w:pStyle w:val="Compact"/>
            </w:pPr>
            <w:r>
              <w:t xml:space="preserve">Tax</w:t>
            </w:r>
          </w:p>
        </w:tc>
        <w:tc>
          <w:tcPr/>
          <w:p>
            <w:pPr>
              <w:pStyle w:val="Compact"/>
            </w:pPr>
            <w:r>
              <w:t xml:space="preserve">GBP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Seek Qatar legal opinion on MOEHE licensing</w:t>
            </w:r>
          </w:p>
        </w:tc>
        <w:tc>
          <w:tcPr/>
          <w:p>
            <w:pPr>
              <w:pStyle w:val="Compact"/>
            </w:pPr>
            <w:r>
              <w:t xml:space="preserve">Qatar</w:t>
            </w:r>
          </w:p>
        </w:tc>
        <w:tc>
          <w:tcPr/>
          <w:p>
            <w:pPr>
              <w:pStyle w:val="Compact"/>
            </w:pPr>
            <w:r>
              <w:t xml:space="preserve">GBP 1,000-3,000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Seek Qatar legal opinion on e-commerce Decision No. 25 of 2026</w:t>
            </w:r>
          </w:p>
        </w:tc>
        <w:tc>
          <w:tcPr/>
          <w:p>
            <w:pPr>
              <w:pStyle w:val="Compact"/>
            </w:pPr>
            <w:r>
              <w:t xml:space="preserve">Qatar</w:t>
            </w:r>
          </w:p>
        </w:tc>
        <w:tc>
          <w:tcPr/>
          <w:p>
            <w:pPr>
              <w:pStyle w:val="Compact"/>
            </w:pPr>
            <w:r>
              <w:t xml:space="preserve">Included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Implement UK IDTA for data transfers</w:t>
            </w:r>
          </w:p>
        </w:tc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GBP 500-2,000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Conduct Transfer Risk Assessment</w:t>
            </w:r>
          </w:p>
        </w:tc>
        <w:tc>
          <w:tcPr/>
          <w:p>
            <w:pPr>
              <w:pStyle w:val="Compac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</w:pPr>
            <w:r>
              <w:t xml:space="preserve">Included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Engage cross-border tax accountant</w:t>
            </w:r>
          </w:p>
        </w:tc>
        <w:tc>
          <w:tcPr/>
          <w:p>
            <w:pPr>
              <w:pStyle w:val="Compact"/>
            </w:pPr>
            <w:r>
              <w:t xml:space="preserve">Tax</w:t>
            </w:r>
          </w:p>
        </w:tc>
        <w:tc>
          <w:tcPr/>
          <w:p>
            <w:pPr>
              <w:pStyle w:val="Compact"/>
            </w:pPr>
            <w:r>
              <w:t xml:space="preserve">GBP 500-2,000/year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Prepare for DMCC Act subscription rules (Autumn 2026)</w:t>
            </w:r>
          </w:p>
        </w:tc>
        <w:tc>
          <w:tcPr/>
          <w:p>
            <w:pPr>
              <w:pStyle w:val="Compact"/>
            </w:pPr>
            <w:r>
              <w:t xml:space="preserve">Legal</w:t>
            </w:r>
          </w:p>
        </w:tc>
        <w:tc>
          <w:tcPr/>
          <w:p>
            <w:pPr>
              <w:pStyle w:val="Compact"/>
            </w:pPr>
            <w:r>
              <w:t xml:space="preserve">GBP 0 (dev time)</w:t>
            </w:r>
          </w:p>
        </w:tc>
      </w:tr>
    </w:tbl>
    <w:bookmarkEnd w:id="37"/>
    <w:bookmarkStart w:id="38" w:name="X06e74812ea4b804efbbc55bb511052f49e53a9c"/>
    <w:p>
      <w:pPr>
        <w:pStyle w:val="Heading3"/>
      </w:pPr>
      <w:r>
        <w:t xml:space="preserve">Priority 4 – DO WHEN QATAR REVENUE JUSTIFIES 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980"/>
        <w:gridCol w:w="2475"/>
        <w:gridCol w:w="272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Est.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Register Qatar entity (QFC recommended)</w:t>
            </w:r>
          </w:p>
        </w:tc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GBP 2,000-10,000+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Open Qatari corporate bank account</w:t>
            </w:r>
          </w:p>
        </w:tc>
        <w:tc>
          <w:tcPr/>
          <w:p>
            <w:pPr>
              <w:pStyle w:val="Compact"/>
            </w:pPr>
            <w:r>
              <w:t xml:space="preserve">Finance</w:t>
            </w:r>
          </w:p>
        </w:tc>
        <w:tc>
          <w:tcPr/>
          <w:p>
            <w:pPr>
              <w:pStyle w:val="Compact"/>
            </w:pPr>
            <w:r>
              <w:t xml:space="preserve">GBP 0-500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Add locally licensed Qatar payment gateway</w:t>
            </w:r>
          </w:p>
        </w:tc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Appoint Qatar-based content reviewer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GBP 1,000-3,000/year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3" w:name="estimated-total-costs"/>
    <w:p>
      <w:pPr>
        <w:pStyle w:val="Heading2"/>
      </w:pPr>
      <w:r>
        <w:t xml:space="preserve">5. ESTIMATED TOTAL COSTS</w:t>
      </w:r>
    </w:p>
    <w:bookmarkStart w:id="40" w:name="pre-launch-minimum-self-service-approach"/>
    <w:p>
      <w:pPr>
        <w:pStyle w:val="Heading3"/>
      </w:pPr>
      <w:r>
        <w:t xml:space="preserve">Pre-Launch Minimum (Self-Service Approach)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registration (Ltd)</w:t>
            </w:r>
          </w:p>
        </w:tc>
        <w:tc>
          <w:tcPr/>
          <w:p>
            <w:pPr>
              <w:pStyle w:val="Compact"/>
            </w:pPr>
            <w:r>
              <w:t xml:space="preserve">GBP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 fee (year 1)</w:t>
            </w:r>
          </w:p>
        </w:tc>
        <w:tc>
          <w:tcPr/>
          <w:p>
            <w:pPr>
              <w:pStyle w:val="Compact"/>
            </w:pPr>
            <w:r>
              <w:t xml:space="preserve">GBP 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(T&amp;Cs, Privacy Policy – template/DIY)</w:t>
            </w:r>
          </w:p>
        </w:tc>
        <w:tc>
          <w:tcPr/>
          <w:p>
            <w:pPr>
              <w:pStyle w:val="Compact"/>
            </w:pPr>
            <w:r>
              <w:t xml:space="preserve">GBP 0-500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consent tool</w:t>
            </w:r>
          </w:p>
        </w:tc>
        <w:tc>
          <w:tcPr/>
          <w:p>
            <w:pPr>
              <w:pStyle w:val="Compact"/>
            </w:pPr>
            <w:r>
              <w:t xml:space="preserve">GBP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DBS checks (2 people)</w:t>
            </w:r>
          </w:p>
        </w:tc>
        <w:tc>
          <w:tcPr/>
          <w:p>
            <w:pPr>
              <w:pStyle w:val="Compact"/>
            </w:pPr>
            <w:r>
              <w:t xml:space="preserve">GBP 120-160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Arabic translations</w:t>
            </w:r>
          </w:p>
        </w:tc>
        <w:tc>
          <w:tcPr/>
          <w:p>
            <w:pPr>
              <w:pStyle w:val="Compact"/>
            </w:pPr>
            <w:r>
              <w:t xml:space="preserve">GBP 500-1,500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(minimum)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GBP 767 - 2,307</w:t>
            </w:r>
          </w:p>
        </w:tc>
      </w:tr>
    </w:tbl>
    <w:bookmarkEnd w:id="40"/>
    <w:bookmarkStart w:id="41" w:name="X565a759f8dc3e91f029c420242fc845d3a6d1b2"/>
    <w:p>
      <w:pPr>
        <w:pStyle w:val="Heading3"/>
      </w:pPr>
      <w:r>
        <w:t xml:space="preserve">Pre-Launch Recommended (With Professional Advice)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 registration (Ltd)</w:t>
            </w:r>
          </w:p>
        </w:tc>
        <w:tc>
          <w:tcPr/>
          <w:p>
            <w:pPr>
              <w:pStyle w:val="Compact"/>
            </w:pPr>
            <w:r>
              <w:t xml:space="preserve">GBP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 fee (year 1)</w:t>
            </w:r>
          </w:p>
        </w:tc>
        <w:tc>
          <w:tcPr/>
          <w:p>
            <w:pPr>
              <w:pStyle w:val="Compact"/>
            </w:pPr>
            <w:r>
              <w:t xml:space="preserve">GBP 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(T&amp;Cs, policies, DPIA – solicitor)</w:t>
            </w:r>
          </w:p>
        </w:tc>
        <w:tc>
          <w:tcPr/>
          <w:p>
            <w:pPr>
              <w:pStyle w:val="Compact"/>
            </w:pPr>
            <w:r>
              <w:t xml:space="preserve">GBP 3,000-8,000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consent tool</w:t>
            </w:r>
          </w:p>
        </w:tc>
        <w:tc>
          <w:tcPr/>
          <w:p>
            <w:pPr>
              <w:pStyle w:val="Compact"/>
            </w:pPr>
            <w:r>
              <w:t xml:space="preserve">GBP 0-50/month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DBS checks (2 people)</w:t>
            </w:r>
          </w:p>
        </w:tc>
        <w:tc>
          <w:tcPr/>
          <w:p>
            <w:pPr>
              <w:pStyle w:val="Compact"/>
            </w:pPr>
            <w:r>
              <w:t xml:space="preserve">GBP 120-160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Arabic translations</w:t>
            </w:r>
          </w:p>
        </w:tc>
        <w:tc>
          <w:tcPr/>
          <w:p>
            <w:pPr>
              <w:pStyle w:val="Compact"/>
            </w:pPr>
            <w:r>
              <w:t xml:space="preserve">GBP 500-1,500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Qatar legal opinion</w:t>
            </w:r>
          </w:p>
        </w:tc>
        <w:tc>
          <w:tcPr/>
          <w:p>
            <w:pPr>
              <w:pStyle w:val="Compact"/>
            </w:pPr>
            <w:r>
              <w:t xml:space="preserve">GBP 1,000-3,000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Children’s Code audit</w:t>
            </w:r>
          </w:p>
        </w:tc>
        <w:tc>
          <w:tcPr/>
          <w:p>
            <w:pPr>
              <w:pStyle w:val="Compact"/>
            </w:pPr>
            <w:r>
              <w:t xml:space="preserve">GBP 3,000-8,000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(recommended)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GBP 7,767 - 20,857</w:t>
            </w:r>
          </w:p>
        </w:tc>
      </w:tr>
    </w:tbl>
    <w:bookmarkEnd w:id="41"/>
    <w:bookmarkStart w:id="42" w:name="annual-ongoing-costs"/>
    <w:p>
      <w:pPr>
        <w:pStyle w:val="Heading3"/>
      </w:pPr>
      <w:r>
        <w:t xml:space="preserve">Annual Ongoing Costs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 fee</w:t>
            </w:r>
          </w:p>
        </w:tc>
        <w:tc>
          <w:tcPr/>
          <w:p>
            <w:pPr>
              <w:pStyle w:val="Compact"/>
            </w:pPr>
            <w:r>
              <w:t xml:space="preserve">GBP 47-78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Companies House confirmation statement</w:t>
            </w:r>
          </w:p>
        </w:tc>
        <w:tc>
          <w:tcPr/>
          <w:p>
            <w:pPr>
              <w:pStyle w:val="Compact"/>
            </w:pPr>
            <w:r>
              <w:t xml:space="preserve">GBP 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Accountant (including international tax)</w:t>
            </w:r>
          </w:p>
        </w:tc>
        <w:tc>
          <w:tcPr/>
          <w:p>
            <w:pPr>
              <w:pStyle w:val="Compact"/>
            </w:pPr>
            <w:r>
              <w:t xml:space="preserve">GBP 1,000-3,000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 consent tool</w:t>
            </w:r>
          </w:p>
        </w:tc>
        <w:tc>
          <w:tcPr/>
          <w:p>
            <w:pPr>
              <w:pStyle w:val="Compact"/>
            </w:pPr>
            <w:r>
              <w:t xml:space="preserve">GBP 0-600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Legal review / updates</w:t>
            </w:r>
          </w:p>
        </w:tc>
        <w:tc>
          <w:tcPr/>
          <w:p>
            <w:pPr>
              <w:pStyle w:val="Compact"/>
            </w:pPr>
            <w:r>
              <w:t xml:space="preserve">GBP 500-2,000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(annual)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GBP 1,597 - 5,728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50" w:name="recommended-timeline"/>
    <w:p>
      <w:pPr>
        <w:pStyle w:val="Heading2"/>
      </w:pPr>
      <w:r>
        <w:t xml:space="preserve">6. RECOMMENDED TIMELINE</w:t>
      </w:r>
    </w:p>
    <w:bookmarkStart w:id="44" w:name="weeks-1-2-foundation"/>
    <w:p>
      <w:pPr>
        <w:pStyle w:val="Heading3"/>
      </w:pPr>
      <w:r>
        <w:t xml:space="preserve">Weeks 1-2: Foundation</w:t>
      </w:r>
    </w:p>
    <w:p>
      <w:pPr>
        <w:pStyle w:val="Compact"/>
        <w:numPr>
          <w:ilvl w:val="0"/>
          <w:numId w:val="1004"/>
        </w:numPr>
      </w:pPr>
      <w:r>
        <w:t xml:space="preserve">Register UK Ltd company (24 hours processing)</w:t>
      </w:r>
    </w:p>
    <w:p>
      <w:pPr>
        <w:pStyle w:val="Compact"/>
        <w:numPr>
          <w:ilvl w:val="0"/>
          <w:numId w:val="1005"/>
        </w:numPr>
      </w:pPr>
      <w:r>
        <w:t xml:space="preserve">Pay ICO data protection fee (immediate)</w:t>
      </w:r>
    </w:p>
    <w:p>
      <w:pPr>
        <w:pStyle w:val="Compact"/>
        <w:numPr>
          <w:ilvl w:val="0"/>
          <w:numId w:val="1006"/>
        </w:numPr>
      </w:pPr>
      <w:r>
        <w:t xml:space="preserve">Register for Corporation Tax with HMRC</w:t>
      </w:r>
    </w:p>
    <w:p>
      <w:pPr>
        <w:pStyle w:val="Compact"/>
        <w:numPr>
          <w:ilvl w:val="0"/>
          <w:numId w:val="1007"/>
        </w:numPr>
      </w:pPr>
      <w:r>
        <w:t xml:space="preserve">Set up Stripe under company name</w:t>
      </w:r>
    </w:p>
    <w:p>
      <w:pPr>
        <w:pStyle w:val="Compact"/>
        <w:numPr>
          <w:ilvl w:val="0"/>
          <w:numId w:val="1008"/>
        </w:numPr>
      </w:pPr>
      <w:r>
        <w:t xml:space="preserve">Begin drafting T&amp;Cs, Privacy Policy, Cookie Policy</w:t>
      </w:r>
    </w:p>
    <w:bookmarkEnd w:id="44"/>
    <w:bookmarkStart w:id="45" w:name="weeks-3-4-data-protection"/>
    <w:p>
      <w:pPr>
        <w:pStyle w:val="Heading3"/>
      </w:pPr>
      <w:r>
        <w:t xml:space="preserve">Weeks 3-4: Data Protection</w:t>
      </w:r>
    </w:p>
    <w:p>
      <w:pPr>
        <w:pStyle w:val="Compact"/>
        <w:numPr>
          <w:ilvl w:val="0"/>
          <w:numId w:val="1009"/>
        </w:numPr>
      </w:pPr>
      <w:r>
        <w:t xml:space="preserve">Conduct DPIA (AI + children’s data + cross-border transfers)</w:t>
      </w:r>
    </w:p>
    <w:p>
      <w:pPr>
        <w:pStyle w:val="Compact"/>
        <w:numPr>
          <w:ilvl w:val="0"/>
          <w:numId w:val="1010"/>
        </w:numPr>
      </w:pPr>
      <w:r>
        <w:t xml:space="preserve">Implement Children’s Code conformance (privacy defaults, transparency, etc.)</w:t>
      </w:r>
    </w:p>
    <w:p>
      <w:pPr>
        <w:pStyle w:val="Compact"/>
        <w:numPr>
          <w:ilvl w:val="0"/>
          <w:numId w:val="1011"/>
        </w:numPr>
      </w:pPr>
      <w:r>
        <w:t xml:space="preserve">Build cookie consent mechanism</w:t>
      </w:r>
    </w:p>
    <w:p>
      <w:pPr>
        <w:pStyle w:val="Compact"/>
        <w:numPr>
          <w:ilvl w:val="0"/>
          <w:numId w:val="1012"/>
        </w:numPr>
      </w:pPr>
      <w:r>
        <w:t xml:space="preserve">Implement age verification flow</w:t>
      </w:r>
    </w:p>
    <w:p>
      <w:pPr>
        <w:pStyle w:val="Compact"/>
        <w:numPr>
          <w:ilvl w:val="0"/>
          <w:numId w:val="1013"/>
        </w:numPr>
      </w:pPr>
      <w:r>
        <w:t xml:space="preserve">Build AI transparency page and human review mechanism</w:t>
      </w:r>
    </w:p>
    <w:bookmarkEnd w:id="45"/>
    <w:bookmarkStart w:id="46" w:name="weeks-5-6-safeguarding-content"/>
    <w:p>
      <w:pPr>
        <w:pStyle w:val="Heading3"/>
      </w:pPr>
      <w:r>
        <w:t xml:space="preserve">Weeks 5-6: Safeguarding &amp; Content</w:t>
      </w:r>
    </w:p>
    <w:p>
      <w:pPr>
        <w:pStyle w:val="Compact"/>
        <w:numPr>
          <w:ilvl w:val="0"/>
          <w:numId w:val="1014"/>
        </w:numPr>
      </w:pPr>
      <w:r>
        <w:t xml:space="preserve">Complete DBS checks for relevant staff</w:t>
      </w:r>
    </w:p>
    <w:p>
      <w:pPr>
        <w:pStyle w:val="Compact"/>
        <w:numPr>
          <w:ilvl w:val="0"/>
          <w:numId w:val="1015"/>
        </w:numPr>
      </w:pPr>
      <w:r>
        <w:t xml:space="preserve">Complete safeguarding training</w:t>
      </w:r>
    </w:p>
    <w:p>
      <w:pPr>
        <w:pStyle w:val="Compact"/>
        <w:numPr>
          <w:ilvl w:val="0"/>
          <w:numId w:val="1016"/>
        </w:numPr>
      </w:pPr>
      <w:r>
        <w:t xml:space="preserve">Review and adapt content for Qatar cultural sensitivity</w:t>
      </w:r>
    </w:p>
    <w:p>
      <w:pPr>
        <w:pStyle w:val="Compact"/>
        <w:numPr>
          <w:ilvl w:val="0"/>
          <w:numId w:val="1017"/>
        </w:numPr>
      </w:pPr>
      <w:r>
        <w:t xml:space="preserve">Implement AI content filters for Qatar context</w:t>
      </w:r>
    </w:p>
    <w:p>
      <w:pPr>
        <w:pStyle w:val="Compact"/>
        <w:numPr>
          <w:ilvl w:val="0"/>
          <w:numId w:val="1018"/>
        </w:numPr>
      </w:pPr>
      <w:r>
        <w:t xml:space="preserve">Commission Arabic translations of legal documents</w:t>
      </w:r>
    </w:p>
    <w:bookmarkEnd w:id="46"/>
    <w:bookmarkStart w:id="47" w:name="weeks-7-8-marketing-affiliates"/>
    <w:p>
      <w:pPr>
        <w:pStyle w:val="Heading3"/>
      </w:pPr>
      <w:r>
        <w:t xml:space="preserve">Weeks 7-8: Marketing &amp; Affiliates</w:t>
      </w:r>
    </w:p>
    <w:p>
      <w:pPr>
        <w:pStyle w:val="Compact"/>
        <w:numPr>
          <w:ilvl w:val="0"/>
          <w:numId w:val="1019"/>
        </w:numPr>
      </w:pPr>
      <w:r>
        <w:t xml:space="preserve">Audit all marketing materials for ASA compliance</w:t>
      </w:r>
    </w:p>
    <w:p>
      <w:pPr>
        <w:pStyle w:val="Compact"/>
        <w:numPr>
          <w:ilvl w:val="0"/>
          <w:numId w:val="1020"/>
        </w:numPr>
      </w:pPr>
      <w:r>
        <w:t xml:space="preserve">Draft affiliate guidelines and agreements</w:t>
      </w:r>
    </w:p>
    <w:p>
      <w:pPr>
        <w:pStyle w:val="Compact"/>
        <w:numPr>
          <w:ilvl w:val="0"/>
          <w:numId w:val="1021"/>
        </w:numPr>
      </w:pPr>
      <w:r>
        <w:t xml:space="preserve">Add exam board disclaimers</w:t>
      </w:r>
    </w:p>
    <w:p>
      <w:pPr>
        <w:pStyle w:val="Compact"/>
        <w:numPr>
          <w:ilvl w:val="0"/>
          <w:numId w:val="1022"/>
        </w:numPr>
      </w:pPr>
      <w:r>
        <w:t xml:space="preserve">Finalise cancellation flow and cooling-off compliance</w:t>
      </w:r>
    </w:p>
    <w:bookmarkEnd w:id="47"/>
    <w:bookmarkStart w:id="48" w:name="weeks-9-10-legal-review-launch-prep"/>
    <w:p>
      <w:pPr>
        <w:pStyle w:val="Heading3"/>
      </w:pPr>
      <w:r>
        <w:t xml:space="preserve">Weeks 9-10: Legal Review &amp; Launch Prep</w:t>
      </w:r>
    </w:p>
    <w:p>
      <w:pPr>
        <w:pStyle w:val="Compact"/>
        <w:numPr>
          <w:ilvl w:val="0"/>
          <w:numId w:val="1023"/>
        </w:numPr>
      </w:pPr>
      <w:r>
        <w:t xml:space="preserve">Final legal review of all policies and T&amp;Cs</w:t>
      </w:r>
    </w:p>
    <w:p>
      <w:pPr>
        <w:pStyle w:val="Compact"/>
        <w:numPr>
          <w:ilvl w:val="0"/>
          <w:numId w:val="1024"/>
        </w:numPr>
      </w:pPr>
      <w:r>
        <w:t xml:space="preserve">Test all compliance flows (consent, cancellation, data access requests)</w:t>
      </w:r>
    </w:p>
    <w:p>
      <w:pPr>
        <w:pStyle w:val="Compact"/>
        <w:numPr>
          <w:ilvl w:val="0"/>
          <w:numId w:val="1025"/>
        </w:numPr>
      </w:pPr>
      <w:r>
        <w:t xml:space="preserve">Publish all policies on the website</w:t>
      </w:r>
    </w:p>
    <w:p>
      <w:pPr>
        <w:pStyle w:val="Compact"/>
        <w:numPr>
          <w:ilvl w:val="0"/>
          <w:numId w:val="1026"/>
        </w:numPr>
      </w:pPr>
      <w:r>
        <w:t xml:space="preserve">Soft launch</w:t>
      </w:r>
    </w:p>
    <w:bookmarkEnd w:id="48"/>
    <w:bookmarkStart w:id="49" w:name="months-3-6-post-launch"/>
    <w:p>
      <w:pPr>
        <w:pStyle w:val="Heading3"/>
      </w:pPr>
      <w:r>
        <w:t xml:space="preserve">Months 3-6: Post-Launch</w:t>
      </w:r>
    </w:p>
    <w:p>
      <w:pPr>
        <w:pStyle w:val="Compact"/>
        <w:numPr>
          <w:ilvl w:val="0"/>
          <w:numId w:val="1027"/>
        </w:numPr>
      </w:pPr>
      <w:r>
        <w:t xml:space="preserve">Obtain Qatar legal opinion on MOEHE and e-commerce requirements</w:t>
      </w:r>
    </w:p>
    <w:p>
      <w:pPr>
        <w:pStyle w:val="Compact"/>
        <w:numPr>
          <w:ilvl w:val="0"/>
          <w:numId w:val="1028"/>
        </w:numPr>
      </w:pPr>
      <w:r>
        <w:t xml:space="preserve">Monitor VAT threshold</w:t>
      </w:r>
    </w:p>
    <w:p>
      <w:pPr>
        <w:pStyle w:val="Compact"/>
        <w:numPr>
          <w:ilvl w:val="0"/>
          <w:numId w:val="1029"/>
        </w:numPr>
      </w:pPr>
      <w:r>
        <w:t xml:space="preserve">Engage international tax accountant</w:t>
      </w:r>
    </w:p>
    <w:p>
      <w:pPr>
        <w:pStyle w:val="Compact"/>
        <w:numPr>
          <w:ilvl w:val="0"/>
          <w:numId w:val="1030"/>
        </w:numPr>
      </w:pPr>
      <w:r>
        <w:t xml:space="preserve">Prepare for DMCC Act subscription rules (Autumn 2026)</w:t>
      </w:r>
    </w:p>
    <w:p>
      <w:pPr>
        <w:pStyle w:val="Compact"/>
        <w:numPr>
          <w:ilvl w:val="0"/>
          <w:numId w:val="1031"/>
        </w:numPr>
      </w:pPr>
      <w:r>
        <w:t xml:space="preserve">Evaluate whether Qatar entity registration is needed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key-registration-portals-and-resources"/>
    <w:p>
      <w:pPr>
        <w:pStyle w:val="Heading2"/>
      </w:pPr>
      <w:r>
        <w:t xml:space="preserve">KEY REGISTRATION PORTALS AND RESOURCES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 Data Protection Fee</w:t>
            </w:r>
          </w:p>
        </w:tc>
        <w:tc>
          <w:tcPr/>
          <w:p>
            <w:pPr>
              <w:pStyle w:val="Compact"/>
            </w:pPr>
            <w:r>
              <w:t xml:space="preserve">https://ico.org.uk/for-organisations/data-protection-fee/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 Children’s Code</w:t>
            </w:r>
          </w:p>
        </w:tc>
        <w:tc>
          <w:tcPr/>
          <w:p>
            <w:pPr>
              <w:pStyle w:val="Compact"/>
            </w:pPr>
            <w:r>
              <w:t xml:space="preserve">https://ico.org.uk/for-organisations/uk-gdpr-guidance-and-resources/childrens-information/childrens-code-guidance-and-resources/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Companies House Registration</w:t>
            </w:r>
          </w:p>
        </w:tc>
        <w:tc>
          <w:tcPr/>
          <w:p>
            <w:pPr>
              <w:pStyle w:val="Compact"/>
            </w:pPr>
            <w:r>
              <w:t xml:space="preserve">https://www.gov.uk/set-up-limited-company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HMRC VAT Registration</w:t>
            </w:r>
          </w:p>
        </w:tc>
        <w:tc>
          <w:tcPr/>
          <w:p>
            <w:pPr>
              <w:pStyle w:val="Compact"/>
            </w:pPr>
            <w:r>
              <w:t xml:space="preserve">https://www.gov.uk/vat-registration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HMRC Corporation Tax</w:t>
            </w:r>
          </w:p>
        </w:tc>
        <w:tc>
          <w:tcPr/>
          <w:p>
            <w:pPr>
              <w:pStyle w:val="Compact"/>
            </w:pPr>
            <w:r>
              <w:t xml:space="preserve">https://www.gov.uk/limited-company-formation/set-up-your-company-for-corporation-tax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DBS Check Application</w:t>
            </w:r>
          </w:p>
        </w:tc>
        <w:tc>
          <w:tcPr/>
          <w:p>
            <w:pPr>
              <w:pStyle w:val="Compact"/>
            </w:pPr>
            <w:r>
              <w:t xml:space="preserve">https://www.gov.uk/request-copy-criminal-record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ASA Copy Advice</w:t>
            </w:r>
          </w:p>
        </w:tc>
        <w:tc>
          <w:tcPr/>
          <w:p>
            <w:pPr>
              <w:pStyle w:val="Compact"/>
            </w:pPr>
            <w:r>
              <w:t xml:space="preserve">https://www.asa.org.uk/advice-and-resources.html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ASA Influencer Guidance</w:t>
            </w:r>
          </w:p>
        </w:tc>
        <w:tc>
          <w:tcPr/>
          <w:p>
            <w:pPr>
              <w:pStyle w:val="Compact"/>
            </w:pPr>
            <w:r>
              <w:t xml:space="preserve">https://www.asa.org.uk/advice-online/recognising-ads-social-media.html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Qatar PDPPL (Full Text)</w:t>
            </w:r>
          </w:p>
        </w:tc>
        <w:tc>
          <w:tcPr/>
          <w:p>
            <w:pPr>
              <w:pStyle w:val="Compact"/>
            </w:pPr>
            <w:r>
              <w:t xml:space="preserve">https://www.almeezan.qa/EnglishLaws//132016.pdf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Qatar NCSA Privacy</w:t>
            </w:r>
          </w:p>
        </w:tc>
        <w:tc>
          <w:tcPr/>
          <w:p>
            <w:pPr>
              <w:pStyle w:val="Compact"/>
            </w:pPr>
            <w:r>
              <w:t xml:space="preserve">https://assurance.ncsa.gov.qa/en/privacy/law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Qatar MoCI E-Services</w:t>
            </w:r>
          </w:p>
        </w:tc>
        <w:tc>
          <w:tcPr/>
          <w:p>
            <w:pPr>
              <w:pStyle w:val="Compact"/>
            </w:pPr>
            <w:r>
              <w:t xml:space="preserve">https://www.moci.gov.qa/en/e-services/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Qatar Financial Centre</w:t>
            </w:r>
          </w:p>
        </w:tc>
        <w:tc>
          <w:tcPr/>
          <w:p>
            <w:pPr>
              <w:pStyle w:val="Compact"/>
            </w:pPr>
            <w:r>
              <w:t xml:space="preserve">https://www.qfc.qa/en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Qatar MOEHE</w:t>
            </w:r>
          </w:p>
        </w:tc>
        <w:tc>
          <w:tcPr/>
          <w:p>
            <w:pPr>
              <w:pStyle w:val="Compact"/>
            </w:pPr>
            <w:r>
              <w:t xml:space="preserve">https://www.edu.gov.qa/en/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UK-Qatar Double Tax Treaty</w:t>
            </w:r>
          </w:p>
        </w:tc>
        <w:tc>
          <w:tcPr/>
          <w:p>
            <w:pPr>
              <w:pStyle w:val="Compact"/>
            </w:pPr>
            <w:r>
              <w:t xml:space="preserve">https://www.gov.uk/government/publications/qatar-tax-treaties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AQA Copyright Policy</w:t>
            </w:r>
          </w:p>
        </w:tc>
        <w:tc>
          <w:tcPr/>
          <w:p>
            <w:pPr>
              <w:pStyle w:val="Compact"/>
            </w:pPr>
            <w:r>
              <w:t xml:space="preserve">https://www.aqa.org.uk/about-us/who-we-are/our-standards/copyright-and-intellectual-property-policy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Pearson Copyright Policy</w:t>
            </w:r>
          </w:p>
        </w:tc>
        <w:tc>
          <w:tcPr/>
          <w:p>
            <w:pPr>
              <w:pStyle w:val="Compact"/>
            </w:pPr>
            <w:r>
              <w:t xml:space="preserve">https://qualifications.pearson.com/en/support/support-topics/exams/past-papers/pearson-copyright-policy.html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Cambridge Permissions</w:t>
            </w:r>
          </w:p>
        </w:tc>
        <w:tc>
          <w:tcPr/>
          <w:p>
            <w:pPr>
              <w:pStyle w:val="Compact"/>
            </w:pPr>
            <w:r>
              <w:t xml:space="preserve">https://help.cambridgeinternational.org/hc/en-gb/articles/115004418469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80" w:name="disclaimer"/>
    <w:p>
      <w:pPr>
        <w:pStyle w:val="Heading2"/>
      </w:pPr>
      <w:r>
        <w:t xml:space="preserve">DISCLAIMER</w:t>
      </w:r>
    </w:p>
    <w:p>
      <w:pPr>
        <w:pStyle w:val="FirstParagraph"/>
      </w:pPr>
      <w:r>
        <w:t xml:space="preserve">This report is compiled from publicly available information as of March 2026 and is intended as a research summary to guide further professional legal and tax advice. It does not constitute legal advice. Laws and regulations change frequently – particularly the DMCC Act subscription rules (expected Autumn 2026), the ICO’s updated cookie guidance (expected Spring 2026), and Qatar’s new e-commerce licensing framework (in force March 2026). You should engage qualified legal professionals in both the UK and Qatar before making final compliance decisions.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Sources consulted during research:</w:t>
      </w:r>
    </w:p>
    <w:p>
      <w:pPr>
        <w:pStyle w:val="Compact"/>
        <w:numPr>
          <w:ilvl w:val="0"/>
          <w:numId w:val="1032"/>
        </w:numPr>
      </w:pPr>
      <w:hyperlink r:id="rId52">
        <w:r>
          <w:rPr>
            <w:rStyle w:val="Hyperlink"/>
          </w:rPr>
          <w:t xml:space="preserve">ICO Data Protection Fee</w:t>
        </w:r>
      </w:hyperlink>
    </w:p>
    <w:p>
      <w:pPr>
        <w:pStyle w:val="Compact"/>
        <w:numPr>
          <w:ilvl w:val="0"/>
          <w:numId w:val="1032"/>
        </w:numPr>
      </w:pPr>
      <w:hyperlink r:id="rId53">
        <w:r>
          <w:rPr>
            <w:rStyle w:val="Hyperlink"/>
          </w:rPr>
          <w:t xml:space="preserve">ICO Children and the UK GDPR</w:t>
        </w:r>
      </w:hyperlink>
    </w:p>
    <w:p>
      <w:pPr>
        <w:pStyle w:val="Compact"/>
        <w:numPr>
          <w:ilvl w:val="0"/>
          <w:numId w:val="1032"/>
        </w:numPr>
      </w:pPr>
      <w:hyperlink r:id="rId54">
        <w:r>
          <w:rPr>
            <w:rStyle w:val="Hyperlink"/>
          </w:rPr>
          <w:t xml:space="preserve">ICO Children’s Code</w:t>
        </w:r>
      </w:hyperlink>
    </w:p>
    <w:p>
      <w:pPr>
        <w:pStyle w:val="Compact"/>
        <w:numPr>
          <w:ilvl w:val="0"/>
          <w:numId w:val="1032"/>
        </w:numPr>
      </w:pPr>
      <w:hyperlink r:id="rId55">
        <w:r>
          <w:rPr>
            <w:rStyle w:val="Hyperlink"/>
          </w:rPr>
          <w:t xml:space="preserve">ICO DPIA Guidance</w:t>
        </w:r>
      </w:hyperlink>
    </w:p>
    <w:p>
      <w:pPr>
        <w:pStyle w:val="Compact"/>
        <w:numPr>
          <w:ilvl w:val="0"/>
          <w:numId w:val="1032"/>
        </w:numPr>
      </w:pPr>
      <w:hyperlink r:id="rId56">
        <w:r>
          <w:rPr>
            <w:rStyle w:val="Hyperlink"/>
          </w:rPr>
          <w:t xml:space="preserve">ICO Cookie Guidance (PECR)</w:t>
        </w:r>
      </w:hyperlink>
    </w:p>
    <w:p>
      <w:pPr>
        <w:pStyle w:val="Compact"/>
        <w:numPr>
          <w:ilvl w:val="0"/>
          <w:numId w:val="1032"/>
        </w:numPr>
      </w:pPr>
      <w:hyperlink r:id="rId57">
        <w:r>
          <w:rPr>
            <w:rStyle w:val="Hyperlink"/>
          </w:rPr>
          <w:t xml:space="preserve">Companies House Fees (Feb 2026)</w:t>
        </w:r>
      </w:hyperlink>
    </w:p>
    <w:p>
      <w:pPr>
        <w:pStyle w:val="Compact"/>
        <w:numPr>
          <w:ilvl w:val="0"/>
          <w:numId w:val="1032"/>
        </w:numPr>
      </w:pPr>
      <w:hyperlink r:id="rId58">
        <w:r>
          <w:rPr>
            <w:rStyle w:val="Hyperlink"/>
          </w:rPr>
          <w:t xml:space="preserve">ASA Influencer Guidance</w:t>
        </w:r>
      </w:hyperlink>
    </w:p>
    <w:p>
      <w:pPr>
        <w:pStyle w:val="Compact"/>
        <w:numPr>
          <w:ilvl w:val="0"/>
          <w:numId w:val="1032"/>
        </w:numPr>
      </w:pPr>
      <w:hyperlink r:id="rId59">
        <w:r>
          <w:rPr>
            <w:rStyle w:val="Hyperlink"/>
          </w:rPr>
          <w:t xml:space="preserve">ASA Educational Advertising</w:t>
        </w:r>
      </w:hyperlink>
    </w:p>
    <w:p>
      <w:pPr>
        <w:pStyle w:val="Compact"/>
        <w:numPr>
          <w:ilvl w:val="0"/>
          <w:numId w:val="1032"/>
        </w:numPr>
      </w:pPr>
      <w:hyperlink r:id="rId60">
        <w:r>
          <w:rPr>
            <w:rStyle w:val="Hyperlink"/>
          </w:rPr>
          <w:t xml:space="preserve">DMCC Act Subscription Rules</w:t>
        </w:r>
      </w:hyperlink>
    </w:p>
    <w:p>
      <w:pPr>
        <w:pStyle w:val="Compact"/>
        <w:numPr>
          <w:ilvl w:val="0"/>
          <w:numId w:val="1032"/>
        </w:numPr>
      </w:pPr>
      <w:hyperlink r:id="rId61">
        <w:r>
          <w:rPr>
            <w:rStyle w:val="Hyperlink"/>
          </w:rPr>
          <w:t xml:space="preserve">DBS Check Costs 2026</w:t>
        </w:r>
      </w:hyperlink>
    </w:p>
    <w:p>
      <w:pPr>
        <w:pStyle w:val="Compact"/>
        <w:numPr>
          <w:ilvl w:val="0"/>
          <w:numId w:val="1032"/>
        </w:numPr>
      </w:pPr>
      <w:hyperlink r:id="rId62">
        <w:r>
          <w:rPr>
            <w:rStyle w:val="Hyperlink"/>
          </w:rPr>
          <w:t xml:space="preserve">Qatar PDPPL (Securiti)</w:t>
        </w:r>
      </w:hyperlink>
    </w:p>
    <w:p>
      <w:pPr>
        <w:pStyle w:val="Compact"/>
        <w:numPr>
          <w:ilvl w:val="0"/>
          <w:numId w:val="1032"/>
        </w:numPr>
      </w:pPr>
      <w:hyperlink r:id="rId63">
        <w:r>
          <w:rPr>
            <w:rStyle w:val="Hyperlink"/>
          </w:rPr>
          <w:t xml:space="preserve">Qatar PDPPL (Full Text)</w:t>
        </w:r>
      </w:hyperlink>
    </w:p>
    <w:p>
      <w:pPr>
        <w:pStyle w:val="Compact"/>
        <w:numPr>
          <w:ilvl w:val="0"/>
          <w:numId w:val="1032"/>
        </w:numPr>
      </w:pPr>
      <w:hyperlink r:id="rId64">
        <w:r>
          <w:rPr>
            <w:rStyle w:val="Hyperlink"/>
          </w:rPr>
          <w:t xml:space="preserve">Qatar Data Protection (DLA Piper)</w:t>
        </w:r>
      </w:hyperlink>
    </w:p>
    <w:p>
      <w:pPr>
        <w:pStyle w:val="Compact"/>
        <w:numPr>
          <w:ilvl w:val="0"/>
          <w:numId w:val="1032"/>
        </w:numPr>
      </w:pPr>
      <w:hyperlink r:id="rId65">
        <w:r>
          <w:rPr>
            <w:rStyle w:val="Hyperlink"/>
          </w:rPr>
          <w:t xml:space="preserve">Qatar Commercial Registration (Wafeq)</w:t>
        </w:r>
      </w:hyperlink>
    </w:p>
    <w:p>
      <w:pPr>
        <w:pStyle w:val="Compact"/>
        <w:numPr>
          <w:ilvl w:val="0"/>
          <w:numId w:val="1032"/>
        </w:numPr>
      </w:pPr>
      <w:hyperlink r:id="rId66">
        <w:r>
          <w:rPr>
            <w:rStyle w:val="Hyperlink"/>
          </w:rPr>
          <w:t xml:space="preserve">Qatar E-Commerce Licensing (Crowell &amp; Moring)</w:t>
        </w:r>
      </w:hyperlink>
    </w:p>
    <w:p>
      <w:pPr>
        <w:pStyle w:val="Compact"/>
        <w:numPr>
          <w:ilvl w:val="0"/>
          <w:numId w:val="1032"/>
        </w:numPr>
      </w:pPr>
      <w:hyperlink r:id="rId67">
        <w:r>
          <w:rPr>
            <w:rStyle w:val="Hyperlink"/>
          </w:rPr>
          <w:t xml:space="preserve">QFC Company Registration</w:t>
        </w:r>
      </w:hyperlink>
    </w:p>
    <w:p>
      <w:pPr>
        <w:pStyle w:val="Compact"/>
        <w:numPr>
          <w:ilvl w:val="0"/>
          <w:numId w:val="1032"/>
        </w:numPr>
      </w:pPr>
      <w:hyperlink r:id="rId68">
        <w:r>
          <w:rPr>
            <w:rStyle w:val="Hyperlink"/>
          </w:rPr>
          <w:t xml:space="preserve">QFC vs Mainland (Emerhub)</w:t>
        </w:r>
      </w:hyperlink>
    </w:p>
    <w:p>
      <w:pPr>
        <w:pStyle w:val="Compact"/>
        <w:numPr>
          <w:ilvl w:val="0"/>
          <w:numId w:val="1032"/>
        </w:numPr>
      </w:pPr>
      <w:hyperlink r:id="rId69">
        <w:r>
          <w:rPr>
            <w:rStyle w:val="Hyperlink"/>
          </w:rPr>
          <w:t xml:space="preserve">Qatar Corporate Tax (PwC)</w:t>
        </w:r>
      </w:hyperlink>
    </w:p>
    <w:p>
      <w:pPr>
        <w:pStyle w:val="Compact"/>
        <w:numPr>
          <w:ilvl w:val="0"/>
          <w:numId w:val="1032"/>
        </w:numPr>
      </w:pPr>
      <w:hyperlink r:id="rId70">
        <w:r>
          <w:rPr>
            <w:rStyle w:val="Hyperlink"/>
          </w:rPr>
          <w:t xml:space="preserve">UK-Qatar Double Tax Treaty</w:t>
        </w:r>
      </w:hyperlink>
    </w:p>
    <w:p>
      <w:pPr>
        <w:pStyle w:val="Compact"/>
        <w:numPr>
          <w:ilvl w:val="0"/>
          <w:numId w:val="1032"/>
        </w:numPr>
      </w:pPr>
      <w:hyperlink r:id="rId71">
        <w:r>
          <w:rPr>
            <w:rStyle w:val="Hyperlink"/>
          </w:rPr>
          <w:t xml:space="preserve">Stripe Middle East Payments</w:t>
        </w:r>
      </w:hyperlink>
    </w:p>
    <w:p>
      <w:pPr>
        <w:pStyle w:val="Compact"/>
        <w:numPr>
          <w:ilvl w:val="0"/>
          <w:numId w:val="1032"/>
        </w:numPr>
      </w:pPr>
      <w:hyperlink r:id="rId72">
        <w:r>
          <w:rPr>
            <w:rStyle w:val="Hyperlink"/>
          </w:rPr>
          <w:t xml:space="preserve">Qatar Arabic Language Law</w:t>
        </w:r>
      </w:hyperlink>
    </w:p>
    <w:p>
      <w:pPr>
        <w:pStyle w:val="Compact"/>
        <w:numPr>
          <w:ilvl w:val="0"/>
          <w:numId w:val="1032"/>
        </w:numPr>
      </w:pPr>
      <w:hyperlink r:id="rId73">
        <w:r>
          <w:rPr>
            <w:rStyle w:val="Hyperlink"/>
          </w:rPr>
          <w:t xml:space="preserve">Qatar MOEHE</w:t>
        </w:r>
      </w:hyperlink>
    </w:p>
    <w:p>
      <w:pPr>
        <w:pStyle w:val="Compact"/>
        <w:numPr>
          <w:ilvl w:val="0"/>
          <w:numId w:val="1032"/>
        </w:numPr>
      </w:pPr>
      <w:hyperlink r:id="rId74">
        <w:r>
          <w:rPr>
            <w:rStyle w:val="Hyperlink"/>
          </w:rPr>
          <w:t xml:space="preserve">UK AI Regulation Tracker (Osborne Clarke)</w:t>
        </w:r>
      </w:hyperlink>
    </w:p>
    <w:p>
      <w:pPr>
        <w:pStyle w:val="Compact"/>
        <w:numPr>
          <w:ilvl w:val="0"/>
          <w:numId w:val="1032"/>
        </w:numPr>
      </w:pPr>
      <w:hyperlink r:id="rId75">
        <w:r>
          <w:rPr>
            <w:rStyle w:val="Hyperlink"/>
          </w:rPr>
          <w:t xml:space="preserve">UK VAT Threshold 2025/26</w:t>
        </w:r>
      </w:hyperlink>
    </w:p>
    <w:p>
      <w:pPr>
        <w:pStyle w:val="Compact"/>
        <w:numPr>
          <w:ilvl w:val="0"/>
          <w:numId w:val="1032"/>
        </w:numPr>
      </w:pPr>
      <w:hyperlink r:id="rId76">
        <w:r>
          <w:rPr>
            <w:rStyle w:val="Hyperlink"/>
          </w:rPr>
          <w:t xml:space="preserve">Pearson Copyright Policy</w:t>
        </w:r>
      </w:hyperlink>
    </w:p>
    <w:p>
      <w:pPr>
        <w:pStyle w:val="Compact"/>
        <w:numPr>
          <w:ilvl w:val="0"/>
          <w:numId w:val="1032"/>
        </w:numPr>
      </w:pPr>
      <w:hyperlink r:id="rId77">
        <w:r>
          <w:rPr>
            <w:rStyle w:val="Hyperlink"/>
          </w:rPr>
          <w:t xml:space="preserve">AQA Copyright Policy</w:t>
        </w:r>
      </w:hyperlink>
    </w:p>
    <w:p>
      <w:pPr>
        <w:pStyle w:val="Compact"/>
        <w:numPr>
          <w:ilvl w:val="0"/>
          <w:numId w:val="1032"/>
        </w:numPr>
      </w:pPr>
      <w:hyperlink r:id="rId78">
        <w:r>
          <w:rPr>
            <w:rStyle w:val="Hyperlink"/>
          </w:rPr>
          <w:t xml:space="preserve">ICO International Transfers Guide</w:t>
        </w:r>
      </w:hyperlink>
    </w:p>
    <w:p>
      <w:pPr>
        <w:pStyle w:val="Compact"/>
        <w:numPr>
          <w:ilvl w:val="0"/>
          <w:numId w:val="1032"/>
        </w:numPr>
      </w:pPr>
      <w:hyperlink r:id="rId79">
        <w:r>
          <w:rPr>
            <w:rStyle w:val="Hyperlink"/>
          </w:rPr>
          <w:t xml:space="preserve">QFC Data Protection Transfers</w:t>
        </w:r>
      </w:hyperlink>
    </w:p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8" Target="https://emerhub.com/qatar/" TargetMode="External" /><Relationship Type="http://schemas.openxmlformats.org/officeDocument/2006/relationships/hyperlink" Id="rId52" Target="https://ico.org.uk/for-organisations/data-protection-fee/" TargetMode="External" /><Relationship Type="http://schemas.openxmlformats.org/officeDocument/2006/relationships/hyperlink" Id="rId56" Target="https://ico.org.uk/for-organisations/direct-marketing-and-privacy-and-electronic-communications/guide-to-pecr/cookies-and-similar-technologies/" TargetMode="External" /><Relationship Type="http://schemas.openxmlformats.org/officeDocument/2006/relationships/hyperlink" Id="rId55" Target="https://ico.org.uk/for-organisations/uk-gdpr-guidance-and-resources/accountability-and-governance/data-protection-impact-assessments-dpias/" TargetMode="External" /><Relationship Type="http://schemas.openxmlformats.org/officeDocument/2006/relationships/hyperlink" Id="rId53" Target="https://ico.org.uk/for-organisations/uk-gdpr-guidance-and-resources/childrens-information/children-and-the-uk-gdpr/" TargetMode="External" /><Relationship Type="http://schemas.openxmlformats.org/officeDocument/2006/relationships/hyperlink" Id="rId54" Target="https://ico.org.uk/for-organisations/uk-gdpr-guidance-and-resources/childrens-information/childrens-code-guidance-and-resources/age-appropriate-design-a-code-of-practice-for-online-services/" TargetMode="External" /><Relationship Type="http://schemas.openxmlformats.org/officeDocument/2006/relationships/hyperlink" Id="rId78" Target="https://ico.org.uk/for-organisations/uk-gdpr-guidance-and-resources/international-transfers/international-transfers-a-guide/" TargetMode="External" /><Relationship Type="http://schemas.openxmlformats.org/officeDocument/2006/relationships/hyperlink" Id="rId75" Target="https://merrantiaccounting.com/vat-registration-threshold-what-will-happen-in-april-2026-and-how-to-prepare-now/" TargetMode="External" /><Relationship Type="http://schemas.openxmlformats.org/officeDocument/2006/relationships/hyperlink" Id="rId76" Target="https://qualifications.pearson.com/en/support/support-topics/exams/past-papers/pearson-copyright-policy.html" TargetMode="External" /><Relationship Type="http://schemas.openxmlformats.org/officeDocument/2006/relationships/hyperlink" Id="rId62" Target="https://securiti.ai/qatar-personal-data-protection-law/" TargetMode="External" /><Relationship Type="http://schemas.openxmlformats.org/officeDocument/2006/relationships/hyperlink" Id="rId61" Target="https://smartworkforce.co.uk/how-much-does-a-dbs-check-cost/" TargetMode="External" /><Relationship Type="http://schemas.openxmlformats.org/officeDocument/2006/relationships/hyperlink" Id="rId71" Target="https://stripe.com/resources/more/payments-in-the-middle-east" TargetMode="External" /><Relationship Type="http://schemas.openxmlformats.org/officeDocument/2006/relationships/hyperlink" Id="rId69" Target="https://taxsummaries.pwc.com/qatar/corporate/taxes-on-corporate-income" TargetMode="External" /><Relationship Type="http://schemas.openxmlformats.org/officeDocument/2006/relationships/hyperlink" Id="rId63" Target="https://www.almeezan.qa/EnglishLaws//132016.pdf" TargetMode="External" /><Relationship Type="http://schemas.openxmlformats.org/officeDocument/2006/relationships/hyperlink" Id="rId77" Target="https://www.aqa.org.uk/about-us/who-we-are/our-standards/copyright-and-intellectual-property-policy" TargetMode="External" /><Relationship Type="http://schemas.openxmlformats.org/officeDocument/2006/relationships/hyperlink" Id="rId58" Target="https://www.asa.org.uk/advice-online/recognising-ads-social-media.html" TargetMode="External" /><Relationship Type="http://schemas.openxmlformats.org/officeDocument/2006/relationships/hyperlink" Id="rId59" Target="https://www.asa.org.uk/news/learning-to-ensure-your-advertising-is-compliant.html" TargetMode="External" /><Relationship Type="http://schemas.openxmlformats.org/officeDocument/2006/relationships/hyperlink" Id="rId66" Target="https://www.crowell.com/en/insights/client-alerts/qatar-introduces-licensing-framework-for-e-commerce-activities-without-a-physical-premises" TargetMode="External" /><Relationship Type="http://schemas.openxmlformats.org/officeDocument/2006/relationships/hyperlink" Id="rId64" Target="https://www.dlapiperdataprotection.com/countries/qatar/law.html" TargetMode="External" /><Relationship Type="http://schemas.openxmlformats.org/officeDocument/2006/relationships/hyperlink" Id="rId73" Target="https://www.edu.gov.qa/en/" TargetMode="External" /><Relationship Type="http://schemas.openxmlformats.org/officeDocument/2006/relationships/hyperlink" Id="rId57" Target="https://www.gov.uk/government/news/companies-house-fees-are-changing-from-1-february-2026" TargetMode="External" /><Relationship Type="http://schemas.openxmlformats.org/officeDocument/2006/relationships/hyperlink" Id="rId70" Target="https://www.gov.uk/government/publications/qatar-tax-treaties" TargetMode="External" /><Relationship Type="http://schemas.openxmlformats.org/officeDocument/2006/relationships/hyperlink" Id="rId60" Target="https://www.hoganlovells.com/en/publications/uk-subscription-law-shakeup-new-rules-pushed-to-autumn-2026" TargetMode="External" /><Relationship Type="http://schemas.openxmlformats.org/officeDocument/2006/relationships/hyperlink" Id="rId74" Target="https://www.osborneclarke.com/insights/regulatory-outlook-february-2026-artificial-intelligence" TargetMode="External" /><Relationship Type="http://schemas.openxmlformats.org/officeDocument/2006/relationships/hyperlink" Id="rId67" Target="https://www.qfc.qa/en" TargetMode="External" /><Relationship Type="http://schemas.openxmlformats.org/officeDocument/2006/relationships/hyperlink" Id="rId79" Target="https://www.qfc.qa/en/operating-with-qfc/data-protection/data-protection-and-international-data-transfers" TargetMode="External" /><Relationship Type="http://schemas.openxmlformats.org/officeDocument/2006/relationships/hyperlink" Id="rId72" Target="https://www.sabaip.com/qatar-law-on-the-protection-of-the-arabic-language/" TargetMode="External" /><Relationship Type="http://schemas.openxmlformats.org/officeDocument/2006/relationships/hyperlink" Id="rId65" Target="https://www.wafeq.com/en-qa/business-hub/for-business/obtaining-a-commercial-register-in-qata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8" Target="https://emerhub.com/qatar/" TargetMode="External" /><Relationship Type="http://schemas.openxmlformats.org/officeDocument/2006/relationships/hyperlink" Id="rId52" Target="https://ico.org.uk/for-organisations/data-protection-fee/" TargetMode="External" /><Relationship Type="http://schemas.openxmlformats.org/officeDocument/2006/relationships/hyperlink" Id="rId56" Target="https://ico.org.uk/for-organisations/direct-marketing-and-privacy-and-electronic-communications/guide-to-pecr/cookies-and-similar-technologies/" TargetMode="External" /><Relationship Type="http://schemas.openxmlformats.org/officeDocument/2006/relationships/hyperlink" Id="rId55" Target="https://ico.org.uk/for-organisations/uk-gdpr-guidance-and-resources/accountability-and-governance/data-protection-impact-assessments-dpias/" TargetMode="External" /><Relationship Type="http://schemas.openxmlformats.org/officeDocument/2006/relationships/hyperlink" Id="rId53" Target="https://ico.org.uk/for-organisations/uk-gdpr-guidance-and-resources/childrens-information/children-and-the-uk-gdpr/" TargetMode="External" /><Relationship Type="http://schemas.openxmlformats.org/officeDocument/2006/relationships/hyperlink" Id="rId54" Target="https://ico.org.uk/for-organisations/uk-gdpr-guidance-and-resources/childrens-information/childrens-code-guidance-and-resources/age-appropriate-design-a-code-of-practice-for-online-services/" TargetMode="External" /><Relationship Type="http://schemas.openxmlformats.org/officeDocument/2006/relationships/hyperlink" Id="rId78" Target="https://ico.org.uk/for-organisations/uk-gdpr-guidance-and-resources/international-transfers/international-transfers-a-guide/" TargetMode="External" /><Relationship Type="http://schemas.openxmlformats.org/officeDocument/2006/relationships/hyperlink" Id="rId75" Target="https://merrantiaccounting.com/vat-registration-threshold-what-will-happen-in-april-2026-and-how-to-prepare-now/" TargetMode="External" /><Relationship Type="http://schemas.openxmlformats.org/officeDocument/2006/relationships/hyperlink" Id="rId76" Target="https://qualifications.pearson.com/en/support/support-topics/exams/past-papers/pearson-copyright-policy.html" TargetMode="External" /><Relationship Type="http://schemas.openxmlformats.org/officeDocument/2006/relationships/hyperlink" Id="rId62" Target="https://securiti.ai/qatar-personal-data-protection-law/" TargetMode="External" /><Relationship Type="http://schemas.openxmlformats.org/officeDocument/2006/relationships/hyperlink" Id="rId61" Target="https://smartworkforce.co.uk/how-much-does-a-dbs-check-cost/" TargetMode="External" /><Relationship Type="http://schemas.openxmlformats.org/officeDocument/2006/relationships/hyperlink" Id="rId71" Target="https://stripe.com/resources/more/payments-in-the-middle-east" TargetMode="External" /><Relationship Type="http://schemas.openxmlformats.org/officeDocument/2006/relationships/hyperlink" Id="rId69" Target="https://taxsummaries.pwc.com/qatar/corporate/taxes-on-corporate-income" TargetMode="External" /><Relationship Type="http://schemas.openxmlformats.org/officeDocument/2006/relationships/hyperlink" Id="rId63" Target="https://www.almeezan.qa/EnglishLaws//132016.pdf" TargetMode="External" /><Relationship Type="http://schemas.openxmlformats.org/officeDocument/2006/relationships/hyperlink" Id="rId77" Target="https://www.aqa.org.uk/about-us/who-we-are/our-standards/copyright-and-intellectual-property-policy" TargetMode="External" /><Relationship Type="http://schemas.openxmlformats.org/officeDocument/2006/relationships/hyperlink" Id="rId58" Target="https://www.asa.org.uk/advice-online/recognising-ads-social-media.html" TargetMode="External" /><Relationship Type="http://schemas.openxmlformats.org/officeDocument/2006/relationships/hyperlink" Id="rId59" Target="https://www.asa.org.uk/news/learning-to-ensure-your-advertising-is-compliant.html" TargetMode="External" /><Relationship Type="http://schemas.openxmlformats.org/officeDocument/2006/relationships/hyperlink" Id="rId66" Target="https://www.crowell.com/en/insights/client-alerts/qatar-introduces-licensing-framework-for-e-commerce-activities-without-a-physical-premises" TargetMode="External" /><Relationship Type="http://schemas.openxmlformats.org/officeDocument/2006/relationships/hyperlink" Id="rId64" Target="https://www.dlapiperdataprotection.com/countries/qatar/law.html" TargetMode="External" /><Relationship Type="http://schemas.openxmlformats.org/officeDocument/2006/relationships/hyperlink" Id="rId73" Target="https://www.edu.gov.qa/en/" TargetMode="External" /><Relationship Type="http://schemas.openxmlformats.org/officeDocument/2006/relationships/hyperlink" Id="rId57" Target="https://www.gov.uk/government/news/companies-house-fees-are-changing-from-1-february-2026" TargetMode="External" /><Relationship Type="http://schemas.openxmlformats.org/officeDocument/2006/relationships/hyperlink" Id="rId70" Target="https://www.gov.uk/government/publications/qatar-tax-treaties" TargetMode="External" /><Relationship Type="http://schemas.openxmlformats.org/officeDocument/2006/relationships/hyperlink" Id="rId60" Target="https://www.hoganlovells.com/en/publications/uk-subscription-law-shakeup-new-rules-pushed-to-autumn-2026" TargetMode="External" /><Relationship Type="http://schemas.openxmlformats.org/officeDocument/2006/relationships/hyperlink" Id="rId74" Target="https://www.osborneclarke.com/insights/regulatory-outlook-february-2026-artificial-intelligence" TargetMode="External" /><Relationship Type="http://schemas.openxmlformats.org/officeDocument/2006/relationships/hyperlink" Id="rId67" Target="https://www.qfc.qa/en" TargetMode="External" /><Relationship Type="http://schemas.openxmlformats.org/officeDocument/2006/relationships/hyperlink" Id="rId79" Target="https://www.qfc.qa/en/operating-with-qfc/data-protection/data-protection-and-international-data-transfers" TargetMode="External" /><Relationship Type="http://schemas.openxmlformats.org/officeDocument/2006/relationships/hyperlink" Id="rId72" Target="https://www.sabaip.com/qatar-law-on-the-protection-of-the-arabic-language/" TargetMode="External" /><Relationship Type="http://schemas.openxmlformats.org/officeDocument/2006/relationships/hyperlink" Id="rId65" Target="https://www.wafeq.com/en-qa/business-hub/for-business/obtaining-a-commercial-register-in-qata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2026-03-22T15:31:38Z</dcterms:created>
  <dcterms:modified xsi:type="dcterms:W3CDTF">2026-03-22T15:31:38Z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