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NDA PLAYBOOK</w:t>
      </w:r>
    </w:p>
    <w:p>
      <w:pPr>
        <w:spacing w:after="40"/>
        <w:jc w:val="center"/>
      </w:pPr>
      <w:r>
        <w:rPr>
          <w:color w:val="2E5395"/>
          <w:sz w:val="24"/>
          <w:szCs w:val="24"/>
        </w:rPr>
        <w:t xml:space="preserve">Guidelines for Reviewing and Signing Third-Party Paper Non-Disclosure Agreements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Sample Template — For Illustrative Purposes Only  |  Version 1.0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Purpose &amp; Scope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This playbook governs how employees and Legal reviewers evaluate a Non-Disclosure Agreement (NDA) drafted on a counterparty's (“third-party”) template, rather than our own standard form. It applies to mutual and one-way NDAs entered into for business discussions, vendor evaluations, RFPs, M&amp;A diligence, and similar purposes.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The default position is to use our own NDA template. Third-party paper should only be accepted where our template is rejected by the counterparty and the terms below are met.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General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Template-first: </w:t>
      </w:r>
      <w:r>
        <w:rPr>
          <w:sz w:val="22"/>
          <w:szCs w:val="22"/>
        </w:rPr>
        <w:t xml:space="preserve">Always attempt to lead with our own template first; only fall back to third-party paper when necessary to keep the business relationship moving.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Match the disclosure direction: </w:t>
      </w:r>
      <w:r>
        <w:rPr>
          <w:sz w:val="22"/>
          <w:szCs w:val="22"/>
        </w:rPr>
        <w:t xml:space="preserve">Confirm whether disclosure will flow one-way or both ways. A one-way NDA where we are the only discloser needs stricter protections than a mutual 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Track everything: </w:t>
      </w:r>
      <w:r>
        <w:rPr>
          <w:sz w:val="22"/>
          <w:szCs w:val="22"/>
        </w:rPr>
        <w:t xml:space="preserve">Every NDA reviewed under this playbook must be logged in the contract management system with counterparty name, effective date, term, and reviewer.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Escalate on doubt: </w:t>
      </w:r>
      <w:r>
        <w:rPr>
          <w:sz w:val="22"/>
          <w:szCs w:val="22"/>
        </w:rPr>
        <w:t xml:space="preserve">This playbook does not override specific instructions from Legal on a given deal; when in doubt, escalate rather than guess.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Term Classification (Green / Yellow / Red)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Every clause in a third-party NDA should be classified using the traffic-light system below before it is routed for approval.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5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Sign</w:t>
            </w:r>
          </w:p>
        </w:tc>
      </w:tr>
      <w:tr>
        <w:tc>
          <w:tcPr>
            <w:tcW w:type="dxa" w:w="18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42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market terms; consistent with our own template.</w:t>
            </w:r>
          </w:p>
        </w:tc>
        <w:tc>
          <w:tcPr>
            <w:tcW w:type="dxa" w:w="335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owner or requester, no Legal review required.</w:t>
            </w:r>
          </w:p>
        </w:tc>
      </w:tr>
      <w:tr>
        <w:tc>
          <w:tcPr>
            <w:tcW w:type="dxa" w:w="18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42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Deviates from our template but has an acceptable fallback position.</w:t>
            </w:r>
          </w:p>
        </w:tc>
        <w:tc>
          <w:tcPr>
            <w:tcW w:type="dxa" w:w="335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review required; may be negotiated using fallback language.</w:t>
            </w:r>
          </w:p>
        </w:tc>
      </w:tr>
      <w:tr>
        <w:tc>
          <w:tcPr>
            <w:tcW w:type="dxa" w:w="18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42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Unacceptable as written; must be struck, replaced, or escalated.</w:t>
            </w:r>
          </w:p>
        </w:tc>
        <w:tc>
          <w:tcPr>
            <w:tcW w:type="dxa" w:w="335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Legal/senior counsel approval required; may require counterparty redline.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Rules for Acceptable Terms (Green Flags)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1: </w:t>
      </w:r>
      <w:r>
        <w:rPr>
          <w:b/>
          <w:bCs/>
          <w:sz w:val="22"/>
          <w:szCs w:val="22"/>
        </w:rPr>
        <w:t xml:space="preserve">Confidentiality term of 2–3 years post-termination, or 3–5 years for trade secrets.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Matches common market practice and our own template; no special approval needed.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2: </w:t>
      </w:r>
      <w:r>
        <w:rPr>
          <w:b/>
          <w:bCs/>
          <w:sz w:val="22"/>
          <w:szCs w:val="22"/>
        </w:rPr>
        <w:t xml:space="preserve">Standard carve-outs for information that is public, independently developed, rightfully known before disclosure, or rightfully received from a third party.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These are baseline exclusions found in essentially every enforceable NDA.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3: </w:t>
      </w:r>
      <w:r>
        <w:rPr>
          <w:b/>
          <w:bCs/>
          <w:sz w:val="22"/>
          <w:szCs w:val="22"/>
        </w:rPr>
        <w:t xml:space="preserve">Mutual obligations that are symmetric — both parties owe the same duties regardless of who discloses more.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Symmetry avoids one-sided risk and rarely needs negotiation.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4: </w:t>
      </w:r>
      <w:r>
        <w:rPr>
          <w:b/>
          <w:bCs/>
          <w:sz w:val="22"/>
          <w:szCs w:val="22"/>
        </w:rPr>
        <w:t xml:space="preserve">Governing law and venue in a neutral, well-established commercial jurisdiction (e.g., Delaware, New York, England &amp; Wales).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Predictable forums reduce litigation risk and cost if a dispute arises.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5: </w:t>
      </w:r>
      <w:r>
        <w:rPr>
          <w:b/>
          <w:bCs/>
          <w:sz w:val="22"/>
          <w:szCs w:val="22"/>
        </w:rPr>
        <w:t xml:space="preserve">A standard “residuals” clause is absent, or if present, limited to unaided memory of general skills/knowledge.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Aligns with our own position and avoids diluting protection over disclosed materials.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Rules for Terms Requiring Negotiation (Yellow Flags)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6: </w:t>
      </w:r>
      <w:r>
        <w:rPr>
          <w:b/>
          <w:bCs/>
          <w:sz w:val="22"/>
          <w:szCs w:val="22"/>
        </w:rPr>
        <w:t xml:space="preserve">Term is longer than 5 years but not perpetual, or automatically renews without notice.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Fallback: negotiate down to 3–5 years, or add a right to terminate on 30 days' notice.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7: </w:t>
      </w:r>
      <w:r>
        <w:rPr>
          <w:b/>
          <w:bCs/>
          <w:sz w:val="22"/>
          <w:szCs w:val="22"/>
        </w:rPr>
        <w:t xml:space="preserve">Non-solicitation or non-compete language bundled into the NDA.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Fallback: strike entirely, or narrow to solicitation of employees directly staffed on the engagement for 12 months.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8: </w:t>
      </w:r>
      <w:r>
        <w:rPr>
          <w:b/>
          <w:bCs/>
          <w:sz w:val="22"/>
          <w:szCs w:val="22"/>
        </w:rPr>
        <w:t xml:space="preserve">Broad, one-sided indemnification for breach of confidentiality obligations.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Fallback: make indemnification mutual, or cap at direct damages arising from a party's own breach.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9: </w:t>
      </w:r>
      <w:r>
        <w:rPr>
          <w:b/>
          <w:bCs/>
          <w:sz w:val="22"/>
          <w:szCs w:val="22"/>
        </w:rPr>
        <w:t xml:space="preserve">Assignment permitted freely by counterparty but restricted for us, or silent on assignment in an M&amp;A context.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Fallback: make assignment rights symmetric, with consent required except for assignment to a successor via merger or sale of substantially all assets.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10: </w:t>
      </w:r>
      <w:r>
        <w:rPr>
          <w:b/>
          <w:bCs/>
          <w:sz w:val="22"/>
          <w:szCs w:val="22"/>
        </w:rPr>
        <w:t xml:space="preserve">Definition of “Confidential Information” omits a marking or reasonable-identification requirement for orally disclosed information.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Fallback: add a requirement that oral disclosures be identified as confidential at the time, or summarized in writing within 15–30 days.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11: </w:t>
      </w:r>
      <w:r>
        <w:rPr>
          <w:b/>
          <w:bCs/>
          <w:sz w:val="22"/>
          <w:szCs w:val="22"/>
        </w:rPr>
        <w:t xml:space="preserve">Injunctive relief clause that also waives our right to require a bond.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Fallback: keep injunctive relief available but remove the bond waiver, or make it mutual.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Rules for Unacceptable Terms (Red Flags — Must Reject or Escalate)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12: </w:t>
      </w:r>
      <w:r>
        <w:rPr>
          <w:b/>
          <w:bCs/>
          <w:sz w:val="22"/>
          <w:szCs w:val="22"/>
        </w:rPr>
        <w:t xml:space="preserve">Perpetual confidentiality obligations with no defined end date.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Creates open-ended liability that cannot be reasonably tracked or insured against; must be time-bound.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13: </w:t>
      </w:r>
      <w:r>
        <w:rPr>
          <w:b/>
          <w:bCs/>
          <w:sz w:val="22"/>
          <w:szCs w:val="22"/>
        </w:rPr>
        <w:t xml:space="preserve">Automatic, irrevocable license or assignment of intellectual property, feedback, or improvements disclosed under the NDA.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An NDA should protect information, not transfer ownership of IP; this belongs in a separate, deliberately negotiated agreement, if at all.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14: </w:t>
      </w:r>
      <w:r>
        <w:rPr>
          <w:b/>
          <w:bCs/>
          <w:sz w:val="22"/>
          <w:szCs w:val="22"/>
        </w:rPr>
        <w:t xml:space="preserve">Exclusivity or standstill provisions restricting who we may talk to, invest in, or compete with.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These are business-strategic commitments that go far beyond confidentiality and require executive/board-level approval, not routine NDA review.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15: </w:t>
      </w:r>
      <w:r>
        <w:rPr>
          <w:b/>
          <w:bCs/>
          <w:sz w:val="22"/>
          <w:szCs w:val="22"/>
        </w:rPr>
        <w:t xml:space="preserve">One-sided limitation of liability that fully exempts the counterparty while leaving us fully exposed.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Creates asymmetric risk; liability treatment should be mutual or removed from the NDA entirely.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16: </w:t>
      </w:r>
      <w:r>
        <w:rPr>
          <w:b/>
          <w:bCs/>
          <w:sz w:val="22"/>
          <w:szCs w:val="22"/>
        </w:rPr>
        <w:t xml:space="preserve">Governing law in a jurisdiction with unpredictable enforcement of confidentiality or IP rights, or mandatory arbitration seated there.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Increases enforcement risk disproportionately; requires Senior Counsel sign-off if it cannot be renegotiated.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17: </w:t>
      </w:r>
      <w:r>
        <w:rPr>
          <w:b/>
          <w:bCs/>
          <w:sz w:val="22"/>
          <w:szCs w:val="22"/>
        </w:rPr>
        <w:t xml:space="preserve">Publicity or announcement rights permitting the counterparty to name us or reference the relationship without our consent.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Unauthorized public association can create reputational, securities, or customer-relations risk.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18: </w:t>
      </w:r>
      <w:r>
        <w:rPr>
          <w:b/>
          <w:bCs/>
          <w:sz w:val="22"/>
          <w:szCs w:val="22"/>
        </w:rPr>
        <w:t xml:space="preserve">Audit rights allowing the counterparty to inspect our systems, facilities, or records without reasonable notice, scope limits, or confidentiality protections of their own.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Unbounded audit rights create security and operational exposure disproportionate to a confidentiality agreement.</w:t>
      </w:r>
    </w:p>
    <w:p>
      <w:pPr>
        <w:spacing w:after="40" w:before="140"/>
      </w:pPr>
      <w:r>
        <w:rPr>
          <w:b/>
          <w:bCs/>
          <w:color w:val="2E5395"/>
          <w:sz w:val="22"/>
          <w:szCs w:val="22"/>
        </w:rPr>
        <w:t xml:space="preserve">Rule 19: </w:t>
      </w:r>
      <w:r>
        <w:rPr>
          <w:b/>
          <w:bCs/>
          <w:sz w:val="22"/>
          <w:szCs w:val="22"/>
        </w:rPr>
        <w:t xml:space="preserve">Automatic “deemed acceptance” clauses that bind us to amendments the counterparty posts or sends without our signature.</w:t>
      </w:r>
    </w:p>
    <w:p>
      <w:pPr>
        <w:spacing w:after="100"/>
        <w:ind w:left="360"/>
      </w:pPr>
      <w:r>
        <w:rPr>
          <w:i/>
          <w:iCs/>
          <w:color w:val="444444"/>
          <w:sz w:val="20"/>
          <w:szCs w:val="20"/>
        </w:rPr>
        <w:t xml:space="preserve">Removes our ability to consent to material changes in terms over time.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Approval &amp; Escalation Matrix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Use the table below to route a third-party NDA once it has been classified under Section 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75"/>
        <w:gridCol w:w="2775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7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77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 NDA, no Red flags, minor Yellow deviations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Manager / Paralegal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Manager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One-way NDA (company as discloser only)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In-house Counsel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In-house Counsel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Red flag present (see Section 4)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In-house Counsel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Counsel / GC designee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Counterparty is a government entity or regulated financial institution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In-house Counsel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Counsel / GC designee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 exceeds 5 years or is perpetual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In-house Counsel</w:t>
            </w:r>
          </w:p>
        </w:tc>
        <w:tc>
          <w:tcPr>
            <w:tcW w:type="dxa" w:w="27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Counsel / GC designee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Signature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Business owners may sign NDAs classified entirely Green under Section 4, provided the counterparty and purpose are properly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Contract Managers may sign NDAs with only Yellow deviations that have been resolved using the approved fallback language in Section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In-house Counsel or a Senior Counsel/GC designee must sign, or expressly approve signature of, any NDA containing a Red flag under Section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No employee may sign an NDA on behalf of the company outside their delegated authority, regardless of how routine the document appears.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9. Notes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This is a sample/illustrative playbook intended to show the structure and type of rules a real NDA playbook might contain. It does not reflect any specific company's actual legal positions, risk tolerance, or approved fallback language, and should not be relied upon as legal advice.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2026-08-28T12:37:03.890Z</dcterms:created>
  <dcterms:modified xsi:type="dcterms:W3CDTF">2026-08-28T12:37:03.906Z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