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document outlines various scenarios nurses might encounter and suggests appropriate responses for each. Remember, these are general guidelines, and adapting communication to the specific situation and patient is crucial.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Communication Techniques: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Active Listening: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Pay close attention, make eye contact, and acknowledge the patient's concerns.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Empathy: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Validate their feelings and show understanding.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Clear Communication: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Use simple language, avoid medical jargon, and confirm understanding.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Respect: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Treat all patients with dignity and respect, regardless of background or situation.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Scenarios 1-10: Addressing Patient Anxiety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Pre-surgery jitters: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understand you're feeling nervous about surgery. It's normal. Would you like to talk about your worries?" (Active listening, validation)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Fear of bad news: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see you're tense. Can I offer you some water while we wait for the test results?" (Empathy, distraction)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Panic attack: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"Let's focus on your breathing. Take slow, deep breaths with me." (Calm guidance, de-escalation)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Unfamiliar surroundings: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"The new environment can be overwhelming. Is there anything I can do to make you feel more comfortable?" (Empathy, offering assistance)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Fear of pain: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"Pain management is a priority. We will take steps to keep you comfortable. Have you experienced pain like this before?" (Validation, information)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Language barrier: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"Do you have a family member who can help translate?" (Problem-solving)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Cognitive impairment: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"Let's take things one step at a time. Can you repeat what you're concerned about?" (Clear communication, patience)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Delusions or hallucinations: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hear you're seeing/hearing things. Can you tell me more about it?" (Active listening, non-judgmental approach)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Angry outburst: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understand you're frustrated. Let's take a moment to calm down and then discuss this further." (Validation, establishing boundaries)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Crying patient: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"It's okay to cry. Is there something you'd like to talk about?" (Empathy, offering an outlet)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Scenarios 11-20: Delivering Difficult News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Terminal diagnosis: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"This is difficult news. Would you like time alone or for a family member to join us?" (Empathy, offering options)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Unexpected test results: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understand this is a shock. Let's review the results together and discuss what they might mean." (Validation, explanation)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Treatment side effects: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"Unfortunately, this treatment may have some side effects. Let's discuss management options." (Transparency, problem-solving)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Treatment refusal: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 understand your hesitation. Can we discuss your concerns about the treatment?" (Validation, open communication)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Loss of limb: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"This is a significant loss. We'll provide support through rehabilitation and emotional counseling." (Empathy, outlining resources)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Miscarriage or stillbirth: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"This is an incredibly painful time. We're here for you and your family." (Deep empathy, offering support)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Disability diagnosis: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"Let's explore ways to manage your condition and maintain independence." (Hopeful approach, offering resources)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Medication error: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"We apologize for this mistake. We will take steps to ensure this doesn't happen again and address any concerns you have." (Transparency, apology)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Death notification: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"I'm so sorry for your loss. We're here to support you during this difficult time." (Deep empathy, offering support resources)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Neglect or abuse disclosure: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"You are safe here. We will report this and help you find resources." (Validation, protection)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Scenarios 21-30: Addressing Patient Misconceptions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"Natural" remedies are always better: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"While some natural remedies may be helpful, they can sometimes interact with medications. Let's discuss this with your doctor." (Clear explanation, emphasizing safety)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Antibiotics work for colds: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"Antibiotics fight bacterial infections, not viruses. We'll focus on symptom management for this cold." (Education)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Vaccines cause autism (debunked myth):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"Extensive research shows no link between vaccines and autism. Vaccination is crucial for protection." (Science-based information)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"One more donut won't hurt":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"Healthy eating is key to recovery. Let's explore healthier options together."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