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360" w:lineRule="auto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792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PROYECTO: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APLICACIÓN MÓVIL PARA EL SEGUIMIENTO MUNDIAL DE CASOS DE COVID-19 CON DATOS EN TIEMPO REAL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92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25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PILCO QUISPE, Mireya Flavia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SALAMANCA CONTRERAS, Fiorella Rosmery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ZAVALA VENEGAS, Luis Ángel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TACNA - PERÚ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jc w:val="center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pos="480"/>
          <w:tab w:val="right" w:pos="9097"/>
        </w:tabs>
        <w:spacing w:after="100" w:before="4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5"/>
        <w:gridCol w:w="1554"/>
        <w:gridCol w:w="3170"/>
        <w:gridCol w:w="2115"/>
        <w:tblGridChange w:id="0">
          <w:tblGrid>
            <w:gridCol w:w="1645"/>
            <w:gridCol w:w="1554"/>
            <w:gridCol w:w="3170"/>
            <w:gridCol w:w="2115"/>
          </w:tblGrid>
        </w:tblGridChange>
      </w:tblGrid>
      <w:tr>
        <w:trPr>
          <w:trHeight w:val="2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MP, FS, LZ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920"/>
        </w:tabs>
        <w:spacing w:line="360" w:lineRule="auto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LISTA DE REQUERIMIENTOS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577.0" w:type="dxa"/>
        <w:tblLayout w:type="fixed"/>
        <w:tblLook w:val="0400"/>
      </w:tblPr>
      <w:tblGrid>
        <w:gridCol w:w="1985"/>
        <w:gridCol w:w="1134"/>
        <w:gridCol w:w="2126"/>
        <w:gridCol w:w="3119"/>
        <w:gridCol w:w="1559"/>
        <w:tblGridChange w:id="0">
          <w:tblGrid>
            <w:gridCol w:w="1985"/>
            <w:gridCol w:w="1134"/>
            <w:gridCol w:w="2126"/>
            <w:gridCol w:w="3119"/>
            <w:gridCol w:w="1559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ESTADÍSTICAS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RF-0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estadísticas mundiales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las estadísticas generales mundiales del Covid-19. 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podrá visualizar el número de contagiados, el número de muertos y el número de recuperados.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estadísticas generales por país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las estadísticas generales de casos por país del Covid-19. 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seleccionar un país, se podrá visualizar, el total de casos, casos nuevos por día, el número de muertos, casos nuevos de muertos por día, total de recuperados, total casos activos y total de casos críticos.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PREVENCIÓN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información del Covid-19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 información del Covid-19.</w:t>
            </w:r>
          </w:p>
          <w:p w:rsidR="00000000" w:rsidDel="00000000" w:rsidP="00000000" w:rsidRDefault="00000000" w:rsidRPr="00000000" w14:paraId="00000053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información general y síntomas.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Precauciones del Covid-19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las precauciones del Covid-19.</w:t>
            </w:r>
          </w:p>
          <w:p w:rsidR="00000000" w:rsidDel="00000000" w:rsidP="00000000" w:rsidRDefault="00000000" w:rsidRPr="00000000" w14:paraId="00000059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las precauciones, medidas preventivas sobre el Covid-19 y población vulnerable.,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849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guía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una guía de emergencia frente al contagio del Covid-19.</w:t>
            </w:r>
          </w:p>
          <w:p w:rsidR="00000000" w:rsidDel="00000000" w:rsidP="00000000" w:rsidRDefault="00000000" w:rsidRPr="00000000" w14:paraId="0000005F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información de la propagación del virus, formas de transmisión, prevención y números de emergencia.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Realizar un autodiagnóstico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La aplicación permitirá realizar un cuestionario para el autodiagnóstico de un posible caso infectado del Covid-19, permitiendo evaluar y conocer el resultado de un diagnóstico referencial.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Reportar casos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podrá reportar un caso de una persona o de sí mismo.</w:t>
            </w:r>
          </w:p>
          <w:p w:rsidR="00000000" w:rsidDel="00000000" w:rsidP="00000000" w:rsidRDefault="00000000" w:rsidRPr="00000000" w14:paraId="0000006A">
            <w:pPr>
              <w:spacing w:after="240" w:before="24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 visualizará un formulario que permita obtener los datos del posible infectado, para reportar un posible caso nuevo.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donaciones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podrá aportar una donación o solicitar una donación de alimentos, productos sanitarios, medicinas o fondos.</w:t>
            </w:r>
          </w:p>
          <w:p w:rsidR="00000000" w:rsidDel="00000000" w:rsidP="00000000" w:rsidRDefault="00000000" w:rsidRPr="00000000" w14:paraId="00000070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mostrará un formulario que permita obtener los datos necesarios para la donación.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rPr>
          <w:trHeight w:val="1437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ADMINISTRACIÓN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Casos Reportados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gestionar los casos que han sido reportados.</w:t>
            </w:r>
          </w:p>
          <w:p w:rsidR="00000000" w:rsidDel="00000000" w:rsidP="00000000" w:rsidRDefault="00000000" w:rsidRPr="00000000" w14:paraId="00000076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una lista de los casos reportados y gestionar su estado (Atendido, En Proceso y No Atendido).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61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Donaciones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gestionar las donaciones que han sido registradas.</w:t>
            </w:r>
          </w:p>
          <w:p w:rsidR="00000000" w:rsidDel="00000000" w:rsidP="00000000" w:rsidRDefault="00000000" w:rsidRPr="00000000" w14:paraId="0000007C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visualizará una lista de las donaciones registradas y gestionar su estado (Recogido, No Recogido y En Proceso).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rPr>
          <w:trHeight w:val="16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Autenticar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iniciar sesión para acceder a la aplicación y realizar la gestión respectiva.</w:t>
            </w:r>
          </w:p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requerirá de datos como Usuario y Contraseña.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  <w:highlight w:val="yellow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560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60830" cy="44199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-228599</wp:posOffset>
              </wp:positionV>
              <wp:extent cx="1540511" cy="4546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INGENIA GROUP</w:t>
                          </w:r>
                        </w:p>
                      </w:txbxContent>
                    </wps:txbx>
                    <wps:bodyPr anchorCtr="0" anchor="t" bIns="91400" lIns="91400" spcFirstLastPara="1" rIns="91400" wrap="square" tIns="914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-228599</wp:posOffset>
              </wp:positionV>
              <wp:extent cx="1540511" cy="4546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0511" cy="4546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