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Arial;Helvetica;sans-se" w:hAnsi="Verdana;Arial;Helvetica;sans-se"/>
          <w:color w:val="000000"/>
          <w:sz w:val="14"/>
        </w:rPr>
      </w:pPr>
      <w:r>
        <w:rPr>
          <w:rFonts w:ascii="Verdana;Arial;Helvetica;sans-se" w:hAnsi="Verdana;Arial;Helvetica;sans-se"/>
          <w:color w:val="000000"/>
          <w:sz w:val="14"/>
        </w:rPr>
      </w:r>
    </w:p>
    <w:p>
      <w:pPr>
        <w:pStyle w:val="Normal"/>
        <w:jc w:val="center"/>
        <w:rPr>
          <w:rFonts w:ascii="Verdana;Arial;Helvetica;sans-se" w:hAnsi="Verdana;Arial;Helvetica;sans-se"/>
          <w:color w:val="000000"/>
          <w:sz w:val="14"/>
        </w:rPr>
      </w:pPr>
      <w:r>
        <w:rPr>
          <w:rStyle w:val="StrongEmphasis"/>
          <w:rFonts w:eastAsia="Times New Roman" w:cs="Times New Roman" w:ascii="Arial" w:hAnsi="Arial"/>
          <w:b w:val="false"/>
          <w:color w:val="000000"/>
          <w:sz w:val="27"/>
          <w:szCs w:val="27"/>
        </w:rPr>
        <w:t>Causal effect of poverty on frequent dental pain among US adults: Modified treatment policy approach</w:t>
      </w:r>
    </w:p>
    <w:p>
      <w:pPr>
        <w:pStyle w:val="Normal"/>
        <w:jc w:val="center"/>
        <w:rPr>
          <w:rFonts w:ascii="Verdana;Arial;Helvetica;sans-se" w:hAnsi="Verdana;Arial;Helvetica;sans-se"/>
          <w:color w:val="000000"/>
          <w:sz w:val="14"/>
        </w:rPr>
      </w:pPr>
      <w:r>
        <w:rPr>
          <w:rFonts w:ascii="Verdana;Arial;Helvetica;sans-se" w:hAnsi="Verdana;Arial;Helvetica;sans-se"/>
          <w:color w:val="000000"/>
          <w:sz w:val="14"/>
        </w:rPr>
      </w:r>
    </w:p>
    <w:p>
      <w:pPr>
        <w:pStyle w:val="Normal"/>
        <w:jc w:val="left"/>
        <w:rPr>
          <w:rFonts w:ascii="Verdana;Arial;Helvetica;sans-se" w:hAnsi="Verdana;Arial;Helvetica;sans-se"/>
          <w:color w:val="000000"/>
          <w:sz w:val="14"/>
        </w:rPr>
      </w:pPr>
      <w:r>
        <w:rPr>
          <w:rStyle w:val="StrongEmphasis"/>
          <w:rFonts w:ascii="Arial" w:hAnsi="Arial"/>
          <w:b w:val="false"/>
          <w:color w:val="000000"/>
          <w:sz w:val="20"/>
          <w:szCs w:val="20"/>
        </w:rPr>
        <w:t>Upul Cooray</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Kenji Takeuchi</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Sakura Kiuchi, Taro Kusama, Jun Aida</w:t>
      </w:r>
      <w:r>
        <w:rPr>
          <w:rStyle w:val="StrongEmphasis"/>
          <w:rFonts w:ascii="Arial" w:hAnsi="Arial"/>
          <w:b w:val="false"/>
          <w:color w:val="000000"/>
          <w:sz w:val="20"/>
          <w:szCs w:val="20"/>
          <w:vertAlign w:val="superscript"/>
        </w:rPr>
        <w:t>2</w:t>
      </w:r>
      <w:r>
        <w:rPr>
          <w:rStyle w:val="StrongEmphasis"/>
          <w:rFonts w:ascii="Arial" w:hAnsi="Arial"/>
          <w:b w:val="false"/>
          <w:color w:val="000000"/>
          <w:sz w:val="20"/>
          <w:szCs w:val="20"/>
        </w:rPr>
        <w:t xml:space="preserve"> </w:t>
      </w:r>
      <w:r>
        <w:rPr>
          <w:rStyle w:val="StrongEmphasis"/>
          <w:rFonts w:ascii="Arial" w:hAnsi="Arial"/>
          <w:b w:val="false"/>
          <w:color w:val="000000"/>
          <w:sz w:val="20"/>
          <w:szCs w:val="20"/>
          <w:vertAlign w:val="superscript"/>
        </w:rPr>
        <w:t xml:space="preserve"> </w:t>
      </w:r>
      <w:r>
        <w:rPr>
          <w:rStyle w:val="StrongEmphasis"/>
          <w:rFonts w:ascii="Arial" w:hAnsi="Arial"/>
          <w:b w:val="false"/>
          <w:color w:val="000000"/>
          <w:sz w:val="20"/>
          <w:szCs w:val="20"/>
        </w:rPr>
        <w:t>and Ken Osaka</w:t>
      </w:r>
      <w:r>
        <w:rPr>
          <w:rStyle w:val="StrongEmphasis"/>
          <w:rFonts w:ascii="Arial" w:hAnsi="Arial"/>
          <w:b w:val="false"/>
          <w:color w:val="000000"/>
          <w:sz w:val="20"/>
          <w:szCs w:val="20"/>
          <w:vertAlign w:val="superscript"/>
        </w:rPr>
        <w:t>1</w:t>
      </w:r>
    </w:p>
    <w:p>
      <w:pPr>
        <w:pStyle w:val="Normal"/>
        <w:rPr>
          <w:rStyle w:val="StrongEmphasis"/>
          <w:rFonts w:ascii="Arial" w:hAnsi="Arial"/>
          <w:b w:val="false"/>
          <w:b w:val="false"/>
          <w:sz w:val="20"/>
          <w:szCs w:val="20"/>
        </w:rPr>
      </w:pPr>
      <w:r>
        <w:rPr>
          <w:rFonts w:ascii="Arial" w:hAnsi="Arial"/>
          <w:b w:val="false"/>
          <w:sz w:val="20"/>
          <w:szCs w:val="20"/>
        </w:rPr>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xml:space="preserve"> Graduate school of dentistry, Tohoku University, Japan.</w:t>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2</w:t>
      </w:r>
      <w:r>
        <w:rPr>
          <w:rStyle w:val="StrongEmphasis"/>
          <w:rFonts w:ascii="Arial" w:hAnsi="Arial"/>
          <w:b w:val="false"/>
          <w:color w:val="000000"/>
          <w:sz w:val="20"/>
          <w:szCs w:val="20"/>
        </w:rPr>
        <w:t xml:space="preserve"> Tokyo Medical and Dental University, Japan.</w:t>
      </w:r>
    </w:p>
    <w:p>
      <w:pPr>
        <w:pStyle w:val="Normal"/>
        <w:rPr>
          <w:rStyle w:val="StrongEmphasis"/>
          <w:rFonts w:ascii="Arial" w:hAnsi="Arial"/>
          <w:b w:val="false"/>
          <w:b w:val="false"/>
        </w:rPr>
      </w:pPr>
      <w:r>
        <w:rPr>
          <w:rFonts w:ascii="Arial" w:hAnsi="Arial"/>
          <w:b w:val="false"/>
        </w:rPr>
      </w:r>
    </w:p>
    <w:p>
      <w:pPr>
        <w:pStyle w:val="Normal"/>
        <w:jc w:val="both"/>
        <w:rPr/>
      </w:pPr>
      <w:r>
        <w:rPr>
          <w:rStyle w:val="StrongEmphasis"/>
          <w:rFonts w:ascii="Arial" w:hAnsi="Arial"/>
          <w:b w:val="false"/>
          <w:bCs w:val="false"/>
          <w:color w:val="000000"/>
        </w:rPr>
        <w:t>Background</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The association between economic disadvantage and adverse oral health outcomes is well known. However, evidence based on causal inference is scarce. This study aimed to estimate of the causal effect of poverty on the frequent dental pain among the United States(US) adults.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Methods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 xml:space="preserve">Data from </w:t>
      </w:r>
      <w:r>
        <w:rPr>
          <w:rStyle w:val="StrongEmphasis"/>
          <w:rFonts w:ascii="Arial" w:hAnsi="Arial"/>
          <w:b w:val="false"/>
          <w:color w:val="000000"/>
        </w:rPr>
        <w:t>three</w:t>
      </w:r>
      <w:r>
        <w:rPr>
          <w:rStyle w:val="StrongEmphasis"/>
          <w:rFonts w:ascii="Arial" w:hAnsi="Arial"/>
          <w:b w:val="false"/>
          <w:color w:val="000000"/>
        </w:rPr>
        <w:t xml:space="preserve"> cycles </w:t>
      </w:r>
      <w:r>
        <w:rPr>
          <w:rStyle w:val="StrongEmphasis"/>
          <w:rFonts w:ascii="Arial" w:hAnsi="Arial"/>
          <w:b w:val="false"/>
          <w:color w:val="000000"/>
        </w:rPr>
        <w:t>(2012-2018)</w:t>
      </w:r>
      <w:r>
        <w:rPr>
          <w:rStyle w:val="StrongEmphasis"/>
          <w:rFonts w:ascii="Arial" w:hAnsi="Arial"/>
          <w:b w:val="false"/>
          <w:color w:val="000000"/>
        </w:rPr>
        <w:t xml:space="preserve"> of the National Health and Nutrition Examination Survey (NHANES) in the US was used. </w:t>
      </w:r>
      <w:r>
        <w:rPr>
          <w:rStyle w:val="StrongEmphasis"/>
          <w:rFonts w:ascii="Arial" w:hAnsi="Arial"/>
          <w:b w:val="false"/>
          <w:color w:val="000000"/>
        </w:rPr>
        <w:t>Dentate p</w:t>
      </w:r>
      <w:r>
        <w:rPr>
          <w:rStyle w:val="StrongEmphasis"/>
          <w:rFonts w:ascii="Arial" w:hAnsi="Arial"/>
          <w:b w:val="false"/>
          <w:color w:val="000000"/>
        </w:rPr>
        <w:t xml:space="preserve">articipants </w:t>
      </w:r>
      <w:bookmarkStart w:id="0" w:name="move927272151"/>
      <w:r>
        <w:rPr>
          <w:rStyle w:val="StrongEmphasis"/>
          <w:rFonts w:ascii="Arial" w:hAnsi="Arial"/>
          <w:b w:val="false"/>
          <w:color w:val="000000"/>
        </w:rPr>
        <w:t>aged 21 to 70 years were included.</w:t>
      </w:r>
      <w:bookmarkEnd w:id="0"/>
      <w:r>
        <w:rPr>
          <w:rStyle w:val="StrongEmphasis"/>
          <w:rFonts w:ascii="Arial" w:hAnsi="Arial"/>
          <w:b w:val="false"/>
          <w:color w:val="000000"/>
        </w:rPr>
        <w:t xml:space="preserve"> Self-reported frequent dental pain (very often or fairly often) was the outcome. Poverty-income ratio (PIR) was the exposure (range 0-5). Modified treatment polic</w:t>
      </w:r>
      <w:r>
        <w:rPr>
          <w:rStyle w:val="StrongEmphasis"/>
          <w:rFonts w:ascii="Arial" w:hAnsi="Arial"/>
          <w:b w:val="false"/>
          <w:color w:val="000000"/>
        </w:rPr>
        <w:t>ies were</w:t>
      </w:r>
      <w:r>
        <w:rPr>
          <w:rStyle w:val="StrongEmphasis"/>
          <w:rFonts w:ascii="Arial" w:hAnsi="Arial"/>
          <w:b w:val="false"/>
          <w:color w:val="000000"/>
        </w:rPr>
        <w:t xml:space="preserve"> employed to define causal effect</w:t>
      </w:r>
      <w:r>
        <w:rPr>
          <w:rStyle w:val="StrongEmphasis"/>
          <w:rFonts w:ascii="Arial" w:hAnsi="Arial"/>
          <w:b w:val="false"/>
          <w:color w:val="000000"/>
        </w:rPr>
        <w:t>s</w:t>
      </w:r>
      <w:r>
        <w:rPr>
          <w:rStyle w:val="StrongEmphasis"/>
          <w:rFonts w:ascii="Arial" w:hAnsi="Arial"/>
          <w:b w:val="false"/>
          <w:color w:val="000000"/>
        </w:rPr>
        <w:t xml:space="preserve"> by shifting the PIR of individuals’ based on their observed PIR level. Corresponding statistical parameters were estimated with doubly-robust targeted minimum loss-based estimation (TMLE), adjusted for wide range of covariates. Causal odds ratios (OR) and 95% confidence intervals (95%CI) were calculated by contrasting multiple PIR shift scenarios.</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Results</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 xml:space="preserve">Prevalence of frequent dental pain was 8.7% </w:t>
      </w:r>
      <w:r>
        <w:rPr>
          <w:rStyle w:val="StrongEmphasis"/>
          <w:rFonts w:ascii="Arial" w:hAnsi="Arial"/>
          <w:b w:val="false"/>
          <w:color w:val="000000"/>
        </w:rPr>
        <w:t>in the study population</w:t>
      </w:r>
      <w:r>
        <w:rPr>
          <w:rStyle w:val="StrongEmphasis"/>
          <w:rFonts w:ascii="Arial" w:hAnsi="Arial"/>
          <w:b w:val="false"/>
          <w:color w:val="000000"/>
        </w:rPr>
        <w:t xml:space="preserve">. A 10%, 25%, and 50% improvement of PIR among participants who are below the poverty line were associated with </w:t>
      </w:r>
      <w:r>
        <w:rPr>
          <w:rStyle w:val="StrongEmphasis"/>
          <w:rFonts w:ascii="Arial" w:hAnsi="Arial"/>
          <w:b w:val="false"/>
          <w:color w:val="000000"/>
          <w:shd w:fill="FFFF00" w:val="clear"/>
        </w:rPr>
        <w:t>6</w:t>
      </w:r>
      <w:r>
        <w:rPr>
          <w:rStyle w:val="StrongEmphasis"/>
          <w:rFonts w:ascii="Arial" w:hAnsi="Arial"/>
          <w:b w:val="false"/>
          <w:color w:val="000000"/>
          <w:shd w:fill="FFFF00" w:val="clear"/>
        </w:rPr>
        <w:t>% (OR[95%CI]= 0.94[0.90-0.98])</w:t>
      </w:r>
      <w:r>
        <w:rPr>
          <w:rStyle w:val="StrongEmphasis"/>
          <w:rFonts w:ascii="Arial" w:hAnsi="Arial"/>
          <w:b w:val="false"/>
          <w:color w:val="000000"/>
        </w:rPr>
        <w:t xml:space="preserve">, </w:t>
      </w:r>
      <w:r>
        <w:rPr>
          <w:rStyle w:val="StrongEmphasis"/>
          <w:rFonts w:ascii="Arial" w:hAnsi="Arial"/>
          <w:b w:val="false"/>
          <w:color w:val="000000"/>
          <w:shd w:fill="FFFF00" w:val="clear"/>
        </w:rPr>
        <w:t>7</w:t>
      </w:r>
      <w:r>
        <w:rPr>
          <w:rStyle w:val="StrongEmphasis"/>
          <w:rFonts w:ascii="Arial" w:hAnsi="Arial"/>
          <w:b w:val="false"/>
          <w:color w:val="000000"/>
          <w:shd w:fill="FFFF00" w:val="clear"/>
        </w:rPr>
        <w:t>% (OR[95%CI]=</w:t>
      </w:r>
      <w:r>
        <w:rPr>
          <w:rStyle w:val="StrongEmphasis"/>
          <w:rFonts w:ascii="Arial" w:hAnsi="Arial"/>
          <w:b w:val="false"/>
          <w:color w:val="000000"/>
          <w:shd w:fill="FFFF00" w:val="clear"/>
        </w:rPr>
        <w:t>0.93[0.89-0.97]</w:t>
      </w:r>
      <w:r>
        <w:rPr>
          <w:rStyle w:val="StrongEmphasis"/>
          <w:rFonts w:ascii="Arial" w:hAnsi="Arial"/>
          <w:b w:val="false"/>
          <w:color w:val="000000"/>
          <w:shd w:fill="FFFF00" w:val="clear"/>
        </w:rPr>
        <w:t xml:space="preserve">), and </w:t>
      </w:r>
      <w:r>
        <w:rPr>
          <w:rStyle w:val="StrongEmphasis"/>
          <w:rFonts w:ascii="Arial" w:hAnsi="Arial"/>
          <w:b w:val="false"/>
          <w:color w:val="000000"/>
          <w:shd w:fill="FFFF00" w:val="clear"/>
        </w:rPr>
        <w:t>8</w:t>
      </w:r>
      <w:r>
        <w:rPr>
          <w:rStyle w:val="StrongEmphasis"/>
          <w:rFonts w:ascii="Arial" w:hAnsi="Arial"/>
          <w:b w:val="false"/>
          <w:color w:val="000000"/>
          <w:shd w:fill="FFFF00" w:val="clear"/>
        </w:rPr>
        <w:t>% (OR[95%CI]=0.92[0.88-0.96])</w:t>
      </w:r>
      <w:r>
        <w:rPr>
          <w:rStyle w:val="StrongEmphasis"/>
          <w:rFonts w:ascii="Arial" w:hAnsi="Arial"/>
          <w:b w:val="false"/>
          <w:color w:val="000000"/>
        </w:rPr>
        <w:t xml:space="preserve"> reduction in likelihood of frequent dental pain, respectively. Shift of all bellow poverty line participants’ PIR to 1.</w:t>
      </w:r>
      <w:r>
        <w:rPr>
          <w:rStyle w:val="StrongEmphasis"/>
          <w:rFonts w:ascii="Arial" w:hAnsi="Arial"/>
          <w:b w:val="false"/>
          <w:color w:val="000000"/>
        </w:rPr>
        <w:t>0</w:t>
      </w:r>
      <w:r>
        <w:rPr>
          <w:rStyle w:val="StrongEmphasis"/>
          <w:rFonts w:ascii="Arial" w:hAnsi="Arial"/>
          <w:b w:val="false"/>
          <w:color w:val="000000"/>
        </w:rPr>
        <w:t xml:space="preserve"> (no poverty scenario) was associated with </w:t>
      </w:r>
      <w:r>
        <w:rPr>
          <w:rStyle w:val="StrongEmphasis"/>
          <w:rFonts w:ascii="Arial" w:hAnsi="Arial"/>
          <w:b w:val="false"/>
          <w:color w:val="000000"/>
        </w:rPr>
        <w:t>1</w:t>
      </w:r>
      <w:r>
        <w:rPr>
          <w:rStyle w:val="StrongEmphasis"/>
          <w:rFonts w:ascii="Arial" w:hAnsi="Arial"/>
          <w:b w:val="false"/>
          <w:color w:val="000000"/>
          <w:shd w:fill="FFFF00" w:val="clear"/>
        </w:rPr>
        <w:t>0</w:t>
      </w:r>
      <w:r>
        <w:rPr>
          <w:rStyle w:val="StrongEmphasis"/>
          <w:rFonts w:ascii="Arial" w:hAnsi="Arial"/>
          <w:b w:val="false"/>
          <w:color w:val="000000"/>
          <w:shd w:fill="FFFF00" w:val="clear"/>
        </w:rPr>
        <w:t>%(OR[95%CI]=0.90[0.86-0.95])</w:t>
      </w:r>
      <w:r>
        <w:rPr>
          <w:rStyle w:val="StrongEmphasis"/>
          <w:rFonts w:ascii="Arial" w:hAnsi="Arial"/>
          <w:b w:val="false"/>
          <w:color w:val="000000"/>
        </w:rPr>
        <w:t xml:space="preserve"> less dental pain. </w:t>
      </w:r>
      <w:r>
        <w:rPr>
          <w:rStyle w:val="StrongEmphasis"/>
          <w:rFonts w:ascii="Arial" w:hAnsi="Arial"/>
          <w:b w:val="false"/>
          <w:color w:val="000000"/>
        </w:rPr>
        <w:t xml:space="preserve">Finally, </w:t>
      </w:r>
      <w:r>
        <w:rPr>
          <w:rStyle w:val="StrongEmphasis"/>
          <w:rFonts w:ascii="Arial" w:hAnsi="Arial"/>
          <w:b w:val="false"/>
          <w:color w:val="000000"/>
        </w:rPr>
        <w:t xml:space="preserve">a </w:t>
      </w:r>
      <w:r>
        <w:rPr>
          <w:rStyle w:val="StrongEmphasis"/>
          <w:rFonts w:ascii="Arial" w:hAnsi="Arial"/>
          <w:b w:val="false"/>
          <w:color w:val="000000"/>
          <w:shd w:fill="FFFF00" w:val="clear"/>
        </w:rPr>
        <w:t>16</w:t>
      </w:r>
      <w:r>
        <w:rPr>
          <w:rStyle w:val="StrongEmphasis"/>
          <w:rFonts w:ascii="Arial" w:hAnsi="Arial"/>
          <w:b w:val="false"/>
          <w:color w:val="000000"/>
          <w:shd w:fill="FFFF00" w:val="clear"/>
        </w:rPr>
        <w:t>%(OR[95%CI]=0.84[0.77-0.90])</w:t>
      </w:r>
      <w:r>
        <w:rPr>
          <w:rStyle w:val="StrongEmphasis"/>
          <w:rFonts w:ascii="Arial" w:hAnsi="Arial"/>
          <w:b w:val="false"/>
          <w:color w:val="000000"/>
        </w:rPr>
        <w:t xml:space="preserve"> reduction in dental pain was observed when all participants below median PIR was shifted to median PIR </w:t>
      </w:r>
      <w:r>
        <w:rPr>
          <w:rStyle w:val="StrongEmphasis"/>
          <w:rFonts w:ascii="Arial" w:hAnsi="Arial"/>
          <w:b w:val="false"/>
          <w:color w:val="000000"/>
        </w:rPr>
        <w:t>(i.e. 2.18)</w:t>
      </w:r>
      <w:r>
        <w:rPr>
          <w:rStyle w:val="StrongEmphasis"/>
          <w:rFonts w:ascii="Arial" w:hAnsi="Arial"/>
          <w:b w:val="false"/>
          <w:color w:val="000000"/>
        </w:rPr>
        <w:t>.</w:t>
      </w:r>
    </w:p>
    <w:p>
      <w:pPr>
        <w:pStyle w:val="Normal"/>
        <w:jc w:val="both"/>
        <w:rPr>
          <w:rStyle w:val="StrongEmphasis"/>
          <w:rFonts w:ascii="Arial" w:hAnsi="Arial"/>
          <w:b w:val="false"/>
          <w:b w:val="false"/>
          <w:color w:val="000000"/>
        </w:rPr>
      </w:pPr>
      <w:r>
        <w:rPr>
          <w:rFonts w:ascii="Arial" w:hAnsi="Arial"/>
          <w:b w:val="false"/>
          <w:color w:val="000000"/>
        </w:rPr>
      </w:r>
    </w:p>
    <w:p>
      <w:pPr>
        <w:pStyle w:val="Normal"/>
        <w:jc w:val="both"/>
        <w:rPr/>
      </w:pPr>
      <w:r>
        <w:rPr>
          <w:rStyle w:val="StrongEmphasis"/>
          <w:rFonts w:ascii="Arial" w:hAnsi="Arial"/>
          <w:b w:val="false"/>
          <w:color w:val="000000"/>
        </w:rPr>
        <w:t>Conclusions</w:t>
      </w:r>
    </w:p>
    <w:p>
      <w:pPr>
        <w:pStyle w:val="Normal"/>
        <w:jc w:val="both"/>
        <w:rPr>
          <w:rFonts w:ascii="Arial" w:hAnsi="Arial"/>
          <w:color w:val="000000"/>
        </w:rPr>
      </w:pPr>
      <w:r>
        <w:rPr>
          <w:rFonts w:ascii="Arial" w:hAnsi="Arial"/>
          <w:color w:val="000000"/>
        </w:rPr>
      </w:r>
    </w:p>
    <w:p>
      <w:pPr>
        <w:pStyle w:val="Normal"/>
        <w:rPr/>
      </w:pPr>
      <w:r>
        <w:rPr>
          <w:rStyle w:val="StrongEmphasis"/>
          <w:rFonts w:ascii="Arial" w:hAnsi="Arial"/>
          <w:b w:val="false"/>
          <w:color w:val="000000"/>
        </w:rPr>
        <w:t>Poverty has a clear robust dose-response effect on prevalence of  frequent dental pain among US adults.</w:t>
      </w:r>
    </w:p>
    <w:p>
      <w:pPr>
        <w:pStyle w:val="Normal"/>
        <w:rPr>
          <w:rStyle w:val="StrongEmphasis"/>
          <w:rFonts w:ascii="Arial" w:hAnsi="Arial"/>
          <w:b w:val="false"/>
          <w:b w:val="false"/>
          <w:color w:val="000000"/>
        </w:rPr>
      </w:pPr>
      <w:r>
        <w:rPr>
          <w:rFonts w:ascii="Arial" w:hAnsi="Arial"/>
          <w:b w:val="false"/>
          <w:color w:val="000000"/>
        </w:rPr>
      </w:r>
    </w:p>
    <w:p>
      <w:pPr>
        <w:pStyle w:val="Normal"/>
        <w:rPr/>
      </w:pPr>
      <w:r>
        <w:rPr>
          <w:rStyle w:val="StrongEmphasis"/>
          <w:rFonts w:ascii="Arial" w:hAnsi="Arial"/>
          <w:b w:val="false"/>
          <w:color w:val="C9211E"/>
        </w:rPr>
        <w:t>Word count 250/---</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游明朝">
    <w:charset w:val="00"/>
    <w:family w:val="roman"/>
    <w:pitch w:val="variable"/>
  </w:font>
  <w:font w:name="Liberation Mono">
    <w:altName w:val="Courier New"/>
    <w:charset w:val="00"/>
    <w:family w:val="modern"/>
    <w:pitch w:val="fixed"/>
  </w:font>
  <w:font w:name="Verdana">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游明朝"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游明朝"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b22064"/>
    <w:rPr>
      <w:sz w:val="18"/>
      <w:szCs w:val="18"/>
    </w:rPr>
  </w:style>
  <w:style w:type="character" w:styleId="Style14" w:customStyle="1">
    <w:name w:val="コメント文字列 (文字)"/>
    <w:basedOn w:val="DefaultParagraphFont"/>
    <w:link w:val="a9"/>
    <w:uiPriority w:val="99"/>
    <w:semiHidden/>
    <w:qFormat/>
    <w:rsid w:val="00b22064"/>
    <w:rPr>
      <w:rFonts w:cs="Mangal"/>
      <w:sz w:val="24"/>
      <w:szCs w:val="21"/>
    </w:rPr>
  </w:style>
  <w:style w:type="character" w:styleId="Style15" w:customStyle="1">
    <w:name w:val="コメント内容 (文字)"/>
    <w:basedOn w:val="Style14"/>
    <w:link w:val="ab"/>
    <w:uiPriority w:val="99"/>
    <w:semiHidden/>
    <w:qFormat/>
    <w:rsid w:val="00b22064"/>
    <w:rPr>
      <w:rFonts w:cs="Mangal"/>
      <w:b/>
      <w:bCs/>
      <w:sz w:val="24"/>
      <w:szCs w:val="21"/>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游明朝" w:hAnsi="游明朝"/>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游明朝" w:hAnsi="游明朝"/>
    </w:rPr>
  </w:style>
  <w:style w:type="paragraph" w:styleId="Caption1">
    <w:name w:val="caption"/>
    <w:basedOn w:val="Normal"/>
    <w:qFormat/>
    <w:pPr>
      <w:suppressLineNumbers/>
      <w:spacing w:before="120" w:after="120"/>
    </w:pPr>
    <w:rPr>
      <w:rFonts w:ascii="游明朝" w:hAnsi="游明朝"/>
      <w:i/>
      <w:iCs/>
    </w:rPr>
  </w:style>
  <w:style w:type="paragraph" w:styleId="NormalWeb">
    <w:name w:val="Normal (Web)"/>
    <w:basedOn w:val="Normal"/>
    <w:qFormat/>
    <w:pPr>
      <w:spacing w:beforeAutospacing="1" w:afterAutospacing="1"/>
    </w:pPr>
    <w:rPr>
      <w:rFonts w:eastAsia="Times New Roman" w:cs="Times New Roman"/>
    </w:rPr>
  </w:style>
  <w:style w:type="paragraph" w:styleId="Revision">
    <w:name w:val="Revision"/>
    <w:uiPriority w:val="99"/>
    <w:semiHidden/>
    <w:qFormat/>
    <w:rsid w:val="00b56483"/>
    <w:pPr>
      <w:widowControl/>
      <w:suppressAutoHyphens w:val="false"/>
      <w:bidi w:val="0"/>
      <w:spacing w:before="0" w:after="0"/>
      <w:jc w:val="left"/>
    </w:pPr>
    <w:rPr>
      <w:rFonts w:ascii="Times New Roman" w:hAnsi="Times New Roman" w:eastAsia="游明朝" w:cs="Mangal"/>
      <w:color w:val="auto"/>
      <w:kern w:val="2"/>
      <w:sz w:val="24"/>
      <w:szCs w:val="21"/>
      <w:lang w:val="en-US" w:eastAsia="zh-CN" w:bidi="hi-IN"/>
    </w:rPr>
  </w:style>
  <w:style w:type="paragraph" w:styleId="Annotationtext">
    <w:name w:val="annotation text"/>
    <w:basedOn w:val="Normal"/>
    <w:link w:val="aa"/>
    <w:uiPriority w:val="99"/>
    <w:semiHidden/>
    <w:unhideWhenUsed/>
    <w:qFormat/>
    <w:rsid w:val="00b22064"/>
    <w:pPr/>
    <w:rPr>
      <w:rFonts w:cs="Mangal"/>
      <w:szCs w:val="21"/>
    </w:rPr>
  </w:style>
  <w:style w:type="paragraph" w:styleId="Annotationsubject">
    <w:name w:val="annotation subject"/>
    <w:basedOn w:val="Annotationtext"/>
    <w:next w:val="Annotationtext"/>
    <w:link w:val="ac"/>
    <w:uiPriority w:val="99"/>
    <w:semiHidden/>
    <w:unhideWhenUsed/>
    <w:qFormat/>
    <w:rsid w:val="00b22064"/>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Application>LibreOffice/7.2.6.2$Linux_X86_64 LibreOffice_project/20$Build-2</Application>
  <AppVersion>15.0000</AppVersion>
  <Pages>1</Pages>
  <Words>300</Words>
  <Characters>1804</Characters>
  <CharactersWithSpaces>2093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2021-12-31T18:47:00Z</dcterms:created>
  <dc:creator>Upul Cooray</dc:creator>
  <dc:description/>
  <dc:language>en-US</dc:language>
  <cp:lastModifiedBy/>
  <dcterms:modified xsi:type="dcterms:W3CDTF">2022-05-09T15:02:56Z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