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widowControl/>
        <w:bidi w:val="0"/>
        <w:spacing w:before="0" w:after="280"/>
        <w:ind w:left="0" w:right="0" w:hanging="0"/>
        <w:jc w:val="center"/>
        <w:rPr>
          <w:color w:val="000000"/>
          <w:sz w:val="27"/>
          <w:szCs w:val="27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7"/>
          <w:szCs w:val="27"/>
        </w:rPr>
        <w:t>Research Abstract for: 2022 IADR/APR General Session &amp; Exhibition</w:t>
      </w:r>
    </w:p>
    <w:p>
      <w:pPr>
        <w:pStyle w:val="Normal"/>
        <w:widowControl/>
        <w:bidi w:val="0"/>
        <w:ind w:left="0" w:right="0" w:hanging="0"/>
        <w:jc w:val="center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eastAsia="Times New Roman" w:cs="Times New Roman" w:ascii="Arial" w:hAnsi="Arial"/>
          <w:b w:val="false"/>
          <w:i w:val="false"/>
          <w:iCs w:val="false"/>
          <w:caps w:val="false"/>
          <w:smallCaps w:val="false"/>
          <w:color w:val="000000"/>
          <w:spacing w:val="0"/>
          <w:sz w:val="27"/>
          <w:szCs w:val="27"/>
          <w:u w:val="none"/>
        </w:rPr>
        <w:t>Impact of poverty on dental pain among US adults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Upul Cooray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>1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Kenji Takeuchi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>1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, Ken Osaka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 xml:space="preserve">1 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vertAlign w:val="baseline"/>
        </w:rPr>
        <w:t>and Jun Aida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>2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Arial" w:hAnsi="Arial"/>
          <w:b w:val="false"/>
          <w:b w:val="false"/>
          <w:sz w:val="20"/>
          <w:szCs w:val="20"/>
        </w:rPr>
      </w:pPr>
      <w:r>
        <w:rPr>
          <w:rFonts w:ascii="Arial" w:hAnsi="Arial"/>
          <w:b w:val="false"/>
          <w:sz w:val="20"/>
          <w:szCs w:val="2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>1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Graduate school of dentistry, Tohoku University, Japan.</w:t>
      </w:r>
    </w:p>
    <w:p>
      <w:pPr>
        <w:pStyle w:val="Normal"/>
        <w:widowControl/>
        <w:bidi w:val="0"/>
        <w:ind w:left="0" w:right="0" w:hanging="0"/>
        <w:jc w:val="left"/>
        <w:rPr>
          <w:rFonts w:ascii="Verdana;Arial;Helvetica;sans-serif" w:hAnsi="Verdan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vertAlign w:val="superscript"/>
        </w:rPr>
        <w:t>2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Tokyo Medical and Dental University, Japan.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Background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It </w:t>
      </w:r>
      <w:r>
        <w:rPr>
          <w:rStyle w:val="StrongEmphasis"/>
          <w:rFonts w:eastAsia="游明朝" w:cs="Lohit Devanagari" w:ascii="Arial" w:hAnsi="Arial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should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be considered a social injustice if people suffer from dental pain merely because they are poor.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 association between economic disadvantage and adverse oral health outcomes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well known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However, evidence for this association based on causal inference is scarce.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Thus, w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aimed to obtain a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 approximate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causal estimate of the impact of poverty on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prevalence of frequent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dental pain among United States(US)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adults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Methods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sz w:val="24"/>
          <w:szCs w:val="24"/>
        </w:rPr>
      </w:pPr>
      <w:r>
        <w:rPr>
          <w:rFonts w:ascii="Arial" w:hAnsi="Arial"/>
          <w:b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Data was from 2013-2014, 2015-2016, and 2017-2018 cycles of the National Health and Nutrition Examination Survey(NHANES) in the US. A total of 15,165 adults aged &gt;19 years (mean±sd[weighted]= 47.76±17.1) were included. Self-reported frequency of dental pain was used as a binary outcome variable(0={hardly ever/never}; 1={very often/fairly often/occasionally}). Quartiles of the ratio of family income to poverty (income-index) was used as the exposure. To specify the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impact of income-index on counterfactual outcome,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shift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ed the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observed income-index level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of each individual as a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deterministic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function of their observed income-index level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Then,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oubly-robust targeted minimum loss-based estimation(TMLE) was used to estimate mean outcome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under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corresponding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counterfactual scenarios, adjusted for age, sex, education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 attainment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and ethnicity. 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Results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Prevalence of frequent dental pain in &lt;25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25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-50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50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-75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and &gt;75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income-index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quar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tile groups were 37.1%,30.4%, 24.9%, and 16.0%, respectively. Causal odds ratio (OR) and 95% confidence intervals (95%CI) calculated </w:t>
      </w:r>
      <w:r>
        <w:rPr>
          <w:rStyle w:val="StrongEmphasis"/>
          <w:rFonts w:eastAsia="游明朝" w:cs="Lohit Devanagari" w:ascii="Arial" w:hAnsi="Arial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with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TMLE showed that after adjusting for confounders, being in the lowest income-index quartile increase the likelihood of frequent dental pain by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74.2%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OR=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1.74,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95%CI=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1.53-1.94] compared to the highest income-index quartile. Similarly,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compared to the highest income-index group,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shifting   to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25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-50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th  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and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50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th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-75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 xml:space="preserve">th 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groups increased the likelihood of dental pain by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31.4%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[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OR=1.31, 95%CI=1.16-1.46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] and 21.3%[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OR=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1.21, 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95%CI=</w:t>
      </w: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1.06-1.35], respectively.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widowControl/>
        <w:bidi w:val="0"/>
        <w:ind w:left="0" w:right="0" w:hanging="0"/>
        <w:jc w:val="both"/>
        <w:rPr/>
      </w:pPr>
      <w:r>
        <w:rPr>
          <w:rStyle w:val="StrongEmphasis"/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Conclusions</w:t>
      </w:r>
    </w:p>
    <w:p>
      <w:pPr>
        <w:pStyle w:val="Normal"/>
        <w:widowControl/>
        <w:bidi w:val="0"/>
        <w:ind w:left="0" w:right="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L</w:t>
      </w: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ow income-index </w:t>
      </w: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levels </w:t>
      </w: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 xml:space="preserve">significantly impacted the prevalence of frequent dental pain among US adults. </w:t>
      </w: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  <w:t>When an individual's income-index gradually shifts towards poverty, there is a clear dose response and a gradient for frequent dental pain.</w:t>
      </w:r>
    </w:p>
    <w:p>
      <w:pPr>
        <w:pStyle w:val="Normal"/>
        <w:widowControl/>
        <w:bidi w:val="0"/>
        <w:ind w:left="0" w:right="0" w:hanging="0"/>
        <w:jc w:val="left"/>
        <w:rPr>
          <w:rStyle w:val="StrongEmphasis"/>
          <w:rFonts w:ascii="Arial" w:hAnsi="Arial" w:eastAsia="游明朝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Style w:val="StrongEmphasis"/>
          <w:rFonts w:eastAsia="游明朝" w:cs="Lohit Devanagari" w:ascii="Arial" w:hAnsi="Arial"/>
          <w:b w:val="false"/>
          <w:i w:val="false"/>
          <w:caps w:val="false"/>
          <w:smallCaps w:val="false"/>
          <w:color w:val="C9211E"/>
          <w:spacing w:val="0"/>
          <w:kern w:val="2"/>
          <w:sz w:val="24"/>
          <w:szCs w:val="24"/>
          <w:lang w:val="en-US" w:eastAsia="zh-CN" w:bidi="hi-IN"/>
        </w:rPr>
        <w:t>Word count 300/300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游明朝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游明朝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游明朝" w:hAnsi="游明朝" w:eastAsia="游明朝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游明朝" w:hAnsi="游明朝" w:eastAsia="游明朝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游明朝" w:hAnsi="游明朝" w:eastAsia="游明朝"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1063</TotalTime>
  <Application>LibreOffice/6.4.7.2$Linux_X86_64 LibreOffice_project/40$Build-2</Application>
  <Pages>1</Pages>
  <Words>349</Words>
  <Characters>2188</Characters>
  <CharactersWithSpaces>2530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2021-12-31T18:47:49Z</dcterms:created>
  <dc:creator>Upul Cooray</dc:creator>
  <dc:description/>
  <dc:language>en-US</dc:language>
  <cp:lastModifiedBy>Upul Cooray</cp:lastModifiedBy>
  <dcterms:modified xsi:type="dcterms:W3CDTF">2022-01-04T14:50:38Z</dcterms:modified>
  <cp:revision>17</cp:revision>
  <dc:subject/>
  <dc:title/>
</cp:coreProperties>
</file>