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color w:val="000000"/>
          <w:sz w:val="27"/>
          <w:szCs w:val="27"/>
        </w:rPr>
      </w:pPr>
      <w:r>
        <w:rPr>
          <w:rStyle w:val="StrongEmphasis"/>
          <w:rFonts w:ascii="Arial" w:hAnsi="Arial"/>
          <w:b w:val="false"/>
          <w:color w:val="000000"/>
          <w:sz w:val="27"/>
          <w:szCs w:val="27"/>
        </w:rPr>
        <w:t>Research Abstract for: 2022 IADR/APR General Session &amp; Exhibition</w:t>
      </w:r>
    </w:p>
    <w:p>
      <w:pPr>
        <w:pStyle w:val="Normal"/>
        <w:jc w:val="center"/>
        <w:rPr>
          <w:rFonts w:ascii="Verdana;Arial;Helvetica;sans-se" w:hAnsi="Verdana;Arial;Helvetica;sans-se"/>
          <w:color w:val="000000"/>
          <w:sz w:val="14"/>
        </w:rPr>
      </w:pPr>
      <w:r>
        <w:rPr>
          <w:rStyle w:val="StrongEmphasis"/>
          <w:rFonts w:eastAsia="Times New Roman" w:cs="Times New Roman" w:ascii="Arial" w:hAnsi="Arial"/>
          <w:b w:val="false"/>
          <w:color w:val="000000"/>
          <w:sz w:val="27"/>
          <w:szCs w:val="27"/>
        </w:rPr>
        <w:t xml:space="preserve">Impact of poverty on </w:t>
      </w:r>
      <w:r>
        <w:rPr>
          <w:rStyle w:val="StrongEmphasis"/>
          <w:rFonts w:eastAsia="Times New Roman" w:cs="Times New Roman" w:ascii="Arial" w:hAnsi="Arial"/>
          <w:b w:val="false"/>
          <w:color w:val="000000"/>
          <w:sz w:val="27"/>
          <w:szCs w:val="27"/>
        </w:rPr>
        <w:t xml:space="preserve">frequent </w:t>
      </w:r>
      <w:r>
        <w:rPr>
          <w:rStyle w:val="StrongEmphasis"/>
          <w:rFonts w:eastAsia="Times New Roman" w:cs="Times New Roman" w:ascii="Arial" w:hAnsi="Arial"/>
          <w:b w:val="false"/>
          <w:color w:val="000000"/>
          <w:sz w:val="27"/>
          <w:szCs w:val="27"/>
        </w:rPr>
        <w:t>dental pain among US adults</w:t>
      </w:r>
    </w:p>
    <w:p>
      <w:pPr>
        <w:pStyle w:val="Normal"/>
        <w:rPr>
          <w:rStyle w:val="StrongEmphasis"/>
          <w:rFonts w:ascii="Arial" w:hAnsi="Arial"/>
          <w:b w:val="false"/>
          <w:b w:val="false"/>
        </w:rPr>
      </w:pPr>
      <w:r>
        <w:rPr>
          <w:rFonts w:ascii="Arial" w:hAnsi="Arial"/>
          <w:b w:val="false"/>
        </w:rPr>
      </w:r>
    </w:p>
    <w:p>
      <w:pPr>
        <w:pStyle w:val="Normal"/>
        <w:jc w:val="left"/>
        <w:rPr>
          <w:rFonts w:ascii="Verdana;Arial;Helvetica;sans-se" w:hAnsi="Verdana;Arial;Helvetica;sans-se"/>
          <w:color w:val="000000"/>
          <w:sz w:val="14"/>
        </w:rPr>
      </w:pPr>
      <w:r>
        <w:rPr>
          <w:rStyle w:val="StrongEmphasis"/>
          <w:rFonts w:ascii="Arial" w:hAnsi="Arial"/>
          <w:b w:val="false"/>
          <w:color w:val="000000"/>
          <w:sz w:val="20"/>
          <w:szCs w:val="20"/>
        </w:rPr>
        <w:t>Upul Cooray</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Kenji Takeuchi</w:t>
      </w: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Ken Osaka</w:t>
      </w:r>
      <w:r>
        <w:rPr>
          <w:rStyle w:val="StrongEmphasis"/>
          <w:rFonts w:ascii="Arial" w:hAnsi="Arial"/>
          <w:b w:val="false"/>
          <w:color w:val="000000"/>
          <w:sz w:val="20"/>
          <w:szCs w:val="20"/>
          <w:vertAlign w:val="superscript"/>
        </w:rPr>
        <w:t xml:space="preserve">1  </w:t>
      </w:r>
      <w:r>
        <w:rPr>
          <w:rStyle w:val="StrongEmphasis"/>
          <w:rFonts w:ascii="Arial" w:hAnsi="Arial"/>
          <w:b w:val="false"/>
          <w:color w:val="000000"/>
          <w:sz w:val="20"/>
          <w:szCs w:val="20"/>
        </w:rPr>
        <w:t>and Jun Aida</w:t>
      </w:r>
      <w:r>
        <w:rPr>
          <w:rStyle w:val="StrongEmphasis"/>
          <w:rFonts w:ascii="Arial" w:hAnsi="Arial"/>
          <w:b w:val="false"/>
          <w:color w:val="000000"/>
          <w:sz w:val="20"/>
          <w:szCs w:val="20"/>
          <w:vertAlign w:val="superscript"/>
        </w:rPr>
        <w:t>2</w:t>
      </w:r>
    </w:p>
    <w:p>
      <w:pPr>
        <w:pStyle w:val="Normal"/>
        <w:rPr>
          <w:rStyle w:val="StrongEmphasis"/>
          <w:rFonts w:ascii="Arial" w:hAnsi="Arial"/>
          <w:b w:val="false"/>
          <w:b w:val="false"/>
          <w:sz w:val="20"/>
          <w:szCs w:val="20"/>
        </w:rPr>
      </w:pPr>
      <w:r>
        <w:rPr>
          <w:rFonts w:ascii="Arial" w:hAnsi="Arial"/>
          <w:b w:val="false"/>
          <w:sz w:val="20"/>
          <w:szCs w:val="20"/>
        </w:rPr>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1</w:t>
      </w:r>
      <w:r>
        <w:rPr>
          <w:rStyle w:val="StrongEmphasis"/>
          <w:rFonts w:ascii="Arial" w:hAnsi="Arial"/>
          <w:b w:val="false"/>
          <w:color w:val="000000"/>
          <w:sz w:val="20"/>
          <w:szCs w:val="20"/>
        </w:rPr>
        <w:t xml:space="preserve"> Graduate school of dentistry, Tohoku University, Japan.</w:t>
      </w:r>
    </w:p>
    <w:p>
      <w:pPr>
        <w:pStyle w:val="Normal"/>
        <w:rPr>
          <w:rFonts w:ascii="Verdana;Arial;Helvetica;sans-se" w:hAnsi="Verdana;Arial;Helvetica;sans-se"/>
          <w:color w:val="000000"/>
          <w:sz w:val="14"/>
        </w:rPr>
      </w:pPr>
      <w:r>
        <w:rPr>
          <w:rStyle w:val="StrongEmphasis"/>
          <w:rFonts w:ascii="Arial" w:hAnsi="Arial"/>
          <w:b w:val="false"/>
          <w:color w:val="000000"/>
          <w:sz w:val="20"/>
          <w:szCs w:val="20"/>
          <w:vertAlign w:val="superscript"/>
        </w:rPr>
        <w:t>2</w:t>
      </w:r>
      <w:r>
        <w:rPr>
          <w:rStyle w:val="StrongEmphasis"/>
          <w:rFonts w:ascii="Arial" w:hAnsi="Arial"/>
          <w:b w:val="false"/>
          <w:color w:val="000000"/>
          <w:sz w:val="20"/>
          <w:szCs w:val="20"/>
        </w:rPr>
        <w:t xml:space="preserve"> Tokyo Medical and Dental University, Japan.</w:t>
      </w:r>
    </w:p>
    <w:p>
      <w:pPr>
        <w:pStyle w:val="Normal"/>
        <w:rPr>
          <w:rStyle w:val="StrongEmphasis"/>
          <w:rFonts w:ascii="Arial" w:hAnsi="Arial"/>
          <w:b w:val="false"/>
          <w:b w:val="false"/>
        </w:rPr>
      </w:pPr>
      <w:r>
        <w:rPr>
          <w:rFonts w:ascii="Arial" w:hAnsi="Arial"/>
          <w:b w:val="false"/>
        </w:rPr>
      </w:r>
    </w:p>
    <w:p>
      <w:pPr>
        <w:pStyle w:val="Normal"/>
        <w:jc w:val="both"/>
        <w:rPr/>
      </w:pPr>
      <w:r>
        <w:rPr>
          <w:rStyle w:val="StrongEmphasis"/>
          <w:rFonts w:ascii="Arial" w:hAnsi="Arial"/>
          <w:b w:val="false"/>
          <w:bCs w:val="false"/>
          <w:color w:val="000000"/>
        </w:rPr>
        <w:t>Background</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It should be considered a social injustice if people suffer from dental pain merely because of poverty. The association between economic disadvantage and adverse oral health outcomes is well known. However, evidence for this association based on causal inference is scarce. Thus, we aimed to obtain an approximate causal estimate of the impact of poverty on the prevalence of frequent dental pain among the United States(US) adults.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Methods</w:t>
      </w:r>
    </w:p>
    <w:p>
      <w:pPr>
        <w:pStyle w:val="Normal"/>
        <w:jc w:val="both"/>
        <w:rPr>
          <w:rFonts w:ascii="Arial" w:hAnsi="Arial"/>
        </w:rPr>
      </w:pPr>
      <w:r>
        <w:rPr>
          <w:rFonts w:ascii="Arial" w:hAnsi="Arial"/>
        </w:rPr>
      </w:r>
    </w:p>
    <w:p>
      <w:pPr>
        <w:pStyle w:val="Normal"/>
        <w:jc w:val="both"/>
        <w:rPr/>
      </w:pPr>
      <w:r>
        <w:rPr>
          <w:rStyle w:val="StrongEmphasis"/>
          <w:rFonts w:ascii="Arial" w:hAnsi="Arial"/>
          <w:b w:val="false"/>
          <w:color w:val="000000"/>
        </w:rPr>
        <w:t xml:space="preserve">We used data from 2013-2014, 2015-2016, and 2017-2018 cycles of the National Health and Nutrition Examination Survey(NHANES) in the US. </w:t>
      </w:r>
      <w:bookmarkStart w:id="0" w:name="move92727215"/>
      <w:bookmarkEnd w:id="0"/>
      <w:r>
        <w:rPr>
          <w:rStyle w:val="StrongEmphasis"/>
          <w:rFonts w:ascii="Arial" w:hAnsi="Arial"/>
          <w:b w:val="false"/>
          <w:color w:val="000000"/>
        </w:rPr>
        <w:t xml:space="preserve">Self-reported frequency of dental pain was used as a binary outcome (0={hardly ever/never}; 1={very often/fairly often/occasionally}). Quartiles of the ratio of family income to poverty (income-index) was used as the exposure. To specify the impact of income-index on counterfactual outcome, we shifted the observed income-index level of each individual as a deterministic function of their observed income-index level. Then, doubly-robust targeted minimum loss-based estimation(TMLE) was used to estimate mean outcomes under corresponding counterfactual scenarios, adjusted for age, sex, educational attainment, and ethnicity </w:t>
      </w:r>
      <w:r>
        <w:rPr>
          <w:rStyle w:val="StrongEmphasis"/>
          <w:rFonts w:ascii="Arial" w:hAnsi="Arial"/>
          <w:b w:val="false"/>
          <w:color w:val="000000"/>
        </w:rPr>
        <w:t>[weighted for NHANES design]</w:t>
      </w:r>
      <w:r>
        <w:rPr>
          <w:rStyle w:val="StrongEmphasis"/>
          <w:rFonts w:ascii="Arial" w:hAnsi="Arial"/>
          <w:b w:val="false"/>
          <w:color w:val="000000"/>
        </w:rPr>
        <w:t xml:space="preserve">. </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Results</w:t>
      </w:r>
    </w:p>
    <w:p>
      <w:pPr>
        <w:pStyle w:val="Normal"/>
        <w:jc w:val="both"/>
        <w:rPr>
          <w:rFonts w:ascii="Arial" w:hAnsi="Arial"/>
          <w:color w:val="000000"/>
        </w:rPr>
      </w:pPr>
      <w:r>
        <w:rPr>
          <w:rFonts w:ascii="Arial" w:hAnsi="Arial"/>
          <w:color w:val="000000"/>
        </w:rPr>
      </w:r>
    </w:p>
    <w:p>
      <w:pPr>
        <w:pStyle w:val="Normal"/>
        <w:jc w:val="both"/>
        <w:rPr/>
      </w:pPr>
      <w:bookmarkStart w:id="1" w:name="move927272151"/>
      <w:r>
        <w:rPr>
          <w:rStyle w:val="StrongEmphasis"/>
          <w:rFonts w:ascii="Arial" w:hAnsi="Arial"/>
          <w:b w:val="false"/>
          <w:color w:val="000000"/>
        </w:rPr>
        <w:t>A total of 15,165 adults aged &gt;19 years (mean±sd[weighted]= 47.76±17.1) were included.</w:t>
      </w:r>
      <w:bookmarkEnd w:id="1"/>
      <w:r>
        <w:rPr>
          <w:rStyle w:val="StrongEmphasis"/>
          <w:rFonts w:ascii="Arial" w:hAnsi="Arial"/>
          <w:b w:val="false"/>
          <w:color w:val="000000"/>
        </w:rPr>
        <w:t xml:space="preserve"> Prevalence of frequent dental pain in &lt;25</w:t>
      </w:r>
      <w:r>
        <w:rPr>
          <w:rStyle w:val="StrongEmphasis"/>
          <w:rFonts w:ascii="Arial" w:hAnsi="Arial"/>
          <w:b w:val="false"/>
          <w:color w:val="000000"/>
          <w:vertAlign w:val="superscript"/>
        </w:rPr>
        <w:t>th</w:t>
      </w:r>
      <w:r>
        <w:rPr>
          <w:rStyle w:val="StrongEmphasis"/>
          <w:rFonts w:ascii="Arial" w:hAnsi="Arial"/>
          <w:b w:val="false"/>
          <w:color w:val="000000"/>
        </w:rPr>
        <w:t>, 25</w:t>
      </w:r>
      <w:r>
        <w:rPr>
          <w:rStyle w:val="StrongEmphasis"/>
          <w:rFonts w:ascii="Arial" w:hAnsi="Arial"/>
          <w:b w:val="false"/>
          <w:color w:val="000000"/>
          <w:vertAlign w:val="superscript"/>
        </w:rPr>
        <w:t>th</w:t>
      </w:r>
      <w:r>
        <w:rPr>
          <w:rStyle w:val="StrongEmphasis"/>
          <w:rFonts w:ascii="Arial" w:hAnsi="Arial"/>
          <w:b w:val="false"/>
          <w:color w:val="000000"/>
        </w:rPr>
        <w:t>-50</w:t>
      </w:r>
      <w:r>
        <w:rPr>
          <w:rStyle w:val="StrongEmphasis"/>
          <w:rFonts w:ascii="Arial" w:hAnsi="Arial"/>
          <w:b w:val="false"/>
          <w:color w:val="000000"/>
          <w:vertAlign w:val="superscript"/>
        </w:rPr>
        <w:t>th</w:t>
      </w:r>
      <w:r>
        <w:rPr>
          <w:rStyle w:val="StrongEmphasis"/>
          <w:rFonts w:ascii="Arial" w:hAnsi="Arial"/>
          <w:b w:val="false"/>
          <w:color w:val="000000"/>
        </w:rPr>
        <w:t>, 50</w:t>
      </w:r>
      <w:r>
        <w:rPr>
          <w:rStyle w:val="StrongEmphasis"/>
          <w:rFonts w:ascii="Arial" w:hAnsi="Arial"/>
          <w:b w:val="false"/>
          <w:color w:val="000000"/>
          <w:vertAlign w:val="superscript"/>
        </w:rPr>
        <w:t>th</w:t>
      </w:r>
      <w:r>
        <w:rPr>
          <w:rStyle w:val="StrongEmphasis"/>
          <w:rFonts w:ascii="Arial" w:hAnsi="Arial"/>
          <w:b w:val="false"/>
          <w:color w:val="000000"/>
        </w:rPr>
        <w:t>-75</w:t>
      </w:r>
      <w:r>
        <w:rPr>
          <w:rStyle w:val="StrongEmphasis"/>
          <w:rFonts w:ascii="Arial" w:hAnsi="Arial"/>
          <w:b w:val="false"/>
          <w:color w:val="000000"/>
          <w:vertAlign w:val="superscript"/>
        </w:rPr>
        <w:t>th</w:t>
      </w:r>
      <w:r>
        <w:rPr>
          <w:rStyle w:val="StrongEmphasis"/>
          <w:rFonts w:ascii="Arial" w:hAnsi="Arial"/>
          <w:b w:val="false"/>
          <w:color w:val="000000"/>
        </w:rPr>
        <w:t>, and &gt;75</w:t>
      </w:r>
      <w:r>
        <w:rPr>
          <w:rStyle w:val="StrongEmphasis"/>
          <w:rFonts w:ascii="Arial" w:hAnsi="Arial"/>
          <w:b w:val="false"/>
          <w:color w:val="000000"/>
          <w:vertAlign w:val="superscript"/>
        </w:rPr>
        <w:t>th</w:t>
      </w:r>
      <w:r>
        <w:rPr>
          <w:rStyle w:val="StrongEmphasis"/>
          <w:rFonts w:ascii="Arial" w:hAnsi="Arial"/>
          <w:b w:val="false"/>
          <w:color w:val="000000"/>
        </w:rPr>
        <w:t xml:space="preserve"> income-index quartile groups were 37.1%,30.4%, 24.9%, and 16.0%, respectively. After adjusting for confounders, being in the lowest income-index quartile increased the likelihood of frequent dental pain by 74.2%[Causal odds ratio (OR) =1.74, 95% confidence intervals (95%CI) =1.53-1.94] compared to the highest income-index quartile. Similarly, compared to the highest income-index group, shifting to 25</w:t>
      </w:r>
      <w:r>
        <w:rPr>
          <w:rStyle w:val="StrongEmphasis"/>
          <w:rFonts w:ascii="Arial" w:hAnsi="Arial"/>
          <w:b w:val="false"/>
          <w:color w:val="000000"/>
          <w:vertAlign w:val="superscript"/>
        </w:rPr>
        <w:t>th</w:t>
      </w:r>
      <w:r>
        <w:rPr>
          <w:rStyle w:val="StrongEmphasis"/>
          <w:rFonts w:ascii="Arial" w:hAnsi="Arial"/>
          <w:b w:val="false"/>
          <w:color w:val="000000"/>
        </w:rPr>
        <w:t>-50</w:t>
      </w:r>
      <w:r>
        <w:rPr>
          <w:rStyle w:val="StrongEmphasis"/>
          <w:rFonts w:ascii="Arial" w:hAnsi="Arial"/>
          <w:b w:val="false"/>
          <w:color w:val="000000"/>
          <w:vertAlign w:val="superscript"/>
        </w:rPr>
        <w:t xml:space="preserve">th </w:t>
      </w:r>
      <w:r>
        <w:rPr>
          <w:rStyle w:val="StrongEmphasis"/>
          <w:rFonts w:ascii="Arial" w:hAnsi="Arial"/>
          <w:b w:val="false"/>
          <w:color w:val="000000"/>
          <w:position w:val="0"/>
          <w:sz w:val="24"/>
          <w:vertAlign w:val="baseline"/>
        </w:rPr>
        <w:t>and</w:t>
      </w:r>
      <w:r>
        <w:rPr>
          <w:rStyle w:val="StrongEmphasis"/>
          <w:rFonts w:ascii="Arial" w:hAnsi="Arial"/>
          <w:b w:val="false"/>
          <w:color w:val="000000"/>
        </w:rPr>
        <w:t xml:space="preserve"> 50</w:t>
      </w:r>
      <w:r>
        <w:rPr>
          <w:rStyle w:val="StrongEmphasis"/>
          <w:rFonts w:ascii="Arial" w:hAnsi="Arial"/>
          <w:b w:val="false"/>
          <w:color w:val="000000"/>
          <w:vertAlign w:val="superscript"/>
        </w:rPr>
        <w:t>th</w:t>
      </w:r>
      <w:r>
        <w:rPr>
          <w:rStyle w:val="StrongEmphasis"/>
          <w:rFonts w:ascii="Arial" w:hAnsi="Arial"/>
          <w:b w:val="false"/>
          <w:color w:val="000000"/>
        </w:rPr>
        <w:t>-75</w:t>
      </w:r>
      <w:r>
        <w:rPr>
          <w:rStyle w:val="StrongEmphasis"/>
          <w:rFonts w:ascii="Arial" w:hAnsi="Arial"/>
          <w:b w:val="false"/>
          <w:color w:val="000000"/>
          <w:vertAlign w:val="superscript"/>
        </w:rPr>
        <w:t xml:space="preserve">th  </w:t>
      </w:r>
      <w:r>
        <w:rPr>
          <w:rStyle w:val="StrongEmphasis"/>
          <w:rFonts w:ascii="Arial" w:hAnsi="Arial"/>
          <w:b w:val="false"/>
          <w:color w:val="000000"/>
        </w:rPr>
        <w:t xml:space="preserve">groups increased the likelihood of dental pain by 31.4%[OR=1.31, 95%CI=1.16-1.46] </w:t>
      </w:r>
      <w:r>
        <w:rPr>
          <w:rStyle w:val="StrongEmphasis"/>
          <w:rFonts w:ascii="Arial" w:hAnsi="Arial"/>
          <w:b w:val="false"/>
          <w:color w:val="000000"/>
        </w:rPr>
        <w:t>and</w:t>
      </w:r>
      <w:r>
        <w:rPr>
          <w:rStyle w:val="StrongEmphasis"/>
          <w:rFonts w:ascii="Arial" w:hAnsi="Arial"/>
          <w:b w:val="false"/>
          <w:color w:val="000000"/>
        </w:rPr>
        <w:t xml:space="preserve"> 21.3%[OR=1.21, 95%CI=1.06-1.35], respectively.</w:t>
      </w:r>
    </w:p>
    <w:p>
      <w:pPr>
        <w:pStyle w:val="Normal"/>
        <w:jc w:val="both"/>
        <w:rPr>
          <w:rFonts w:ascii="Arial" w:hAnsi="Arial"/>
          <w:color w:val="000000"/>
        </w:rPr>
      </w:pPr>
      <w:r>
        <w:rPr>
          <w:rFonts w:ascii="Arial" w:hAnsi="Arial"/>
          <w:color w:val="000000"/>
        </w:rPr>
      </w:r>
    </w:p>
    <w:p>
      <w:pPr>
        <w:pStyle w:val="Normal"/>
        <w:jc w:val="both"/>
        <w:rPr/>
      </w:pPr>
      <w:r>
        <w:rPr>
          <w:rStyle w:val="StrongEmphasis"/>
          <w:rFonts w:ascii="Arial" w:hAnsi="Arial"/>
          <w:b w:val="false"/>
          <w:color w:val="000000"/>
        </w:rPr>
        <w:t>Conclusions</w:t>
      </w:r>
    </w:p>
    <w:p>
      <w:pPr>
        <w:pStyle w:val="Normal"/>
        <w:jc w:val="both"/>
        <w:rPr>
          <w:rFonts w:ascii="Arial" w:hAnsi="Arial"/>
          <w:color w:val="000000"/>
        </w:rPr>
      </w:pPr>
      <w:r>
        <w:rPr>
          <w:rFonts w:ascii="Arial" w:hAnsi="Arial"/>
          <w:color w:val="000000"/>
        </w:rPr>
      </w:r>
    </w:p>
    <w:p>
      <w:pPr>
        <w:pStyle w:val="Normal"/>
        <w:rPr/>
      </w:pPr>
      <w:r>
        <w:rPr>
          <w:rStyle w:val="StrongEmphasis"/>
          <w:rFonts w:ascii="Arial" w:hAnsi="Arial"/>
          <w:b w:val="false"/>
          <w:color w:val="000000"/>
        </w:rPr>
        <w:t>Low income-index levels significantly impacted the prevalence of frequent dental pain among US adults. When an individual's income-index gradually shifts towards poverty, there is a clear dose response and a gradient for frequent dental pain.</w:t>
      </w:r>
    </w:p>
    <w:p>
      <w:pPr>
        <w:pStyle w:val="Normal"/>
        <w:rPr>
          <w:rStyle w:val="StrongEmphasis"/>
          <w:rFonts w:ascii="Arial" w:hAnsi="Arial"/>
          <w:b w:val="false"/>
          <w:b w:val="false"/>
          <w:color w:val="000000"/>
        </w:rPr>
      </w:pPr>
      <w:r>
        <w:rPr>
          <w:rFonts w:ascii="Arial" w:hAnsi="Arial"/>
          <w:b w:val="false"/>
          <w:color w:val="000000"/>
        </w:rPr>
      </w:r>
    </w:p>
    <w:p>
      <w:pPr>
        <w:pStyle w:val="Normal"/>
        <w:rPr/>
      </w:pPr>
      <w:r>
        <w:rPr>
          <w:rStyle w:val="StrongEmphasis"/>
          <w:rFonts w:ascii="Arial" w:hAnsi="Arial"/>
          <w:b w:val="false"/>
          <w:color w:val="C9211E"/>
        </w:rPr>
        <w:t>Word count 300/300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游明朝">
    <w:charset w:val="01"/>
    <w:family w:val="roman"/>
    <w:pitch w:val="variable"/>
  </w:font>
  <w:font w:name="Arial">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游明朝"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游明朝"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b22064"/>
    <w:rPr>
      <w:sz w:val="18"/>
      <w:szCs w:val="18"/>
    </w:rPr>
  </w:style>
  <w:style w:type="character" w:styleId="Style14" w:customStyle="1">
    <w:name w:val="コメント文字列 (文字)"/>
    <w:basedOn w:val="DefaultParagraphFont"/>
    <w:link w:val="a9"/>
    <w:uiPriority w:val="99"/>
    <w:semiHidden/>
    <w:qFormat/>
    <w:rsid w:val="00b22064"/>
    <w:rPr>
      <w:rFonts w:cs="Mangal"/>
      <w:sz w:val="24"/>
      <w:szCs w:val="21"/>
    </w:rPr>
  </w:style>
  <w:style w:type="character" w:styleId="Style15" w:customStyle="1">
    <w:name w:val="コメント内容 (文字)"/>
    <w:basedOn w:val="Style14"/>
    <w:link w:val="ab"/>
    <w:uiPriority w:val="99"/>
    <w:semiHidden/>
    <w:qFormat/>
    <w:rsid w:val="00b22064"/>
    <w:rPr>
      <w:rFonts w:cs="Mangal"/>
      <w:b/>
      <w:bCs/>
      <w:sz w:val="24"/>
      <w:szCs w:val="21"/>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游明朝" w:hAnsi="游明朝"/>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游明朝" w:hAnsi="游明朝"/>
    </w:rPr>
  </w:style>
  <w:style w:type="paragraph" w:styleId="Caption1">
    <w:name w:val="caption"/>
    <w:basedOn w:val="Normal"/>
    <w:qFormat/>
    <w:pPr>
      <w:suppressLineNumbers/>
      <w:spacing w:before="120" w:after="120"/>
    </w:pPr>
    <w:rPr>
      <w:rFonts w:ascii="游明朝" w:hAnsi="游明朝"/>
      <w:i/>
      <w:iCs/>
    </w:rPr>
  </w:style>
  <w:style w:type="paragraph" w:styleId="NormalWeb">
    <w:name w:val="Normal (Web)"/>
    <w:basedOn w:val="Normal"/>
    <w:qFormat/>
    <w:pPr>
      <w:spacing w:beforeAutospacing="1" w:afterAutospacing="1"/>
    </w:pPr>
    <w:rPr>
      <w:rFonts w:eastAsia="Times New Roman" w:cs="Times New Roman"/>
    </w:rPr>
  </w:style>
  <w:style w:type="paragraph" w:styleId="Revision">
    <w:name w:val="Revision"/>
    <w:uiPriority w:val="99"/>
    <w:semiHidden/>
    <w:qFormat/>
    <w:rsid w:val="00b56483"/>
    <w:pPr>
      <w:widowControl/>
      <w:suppressAutoHyphens w:val="false"/>
      <w:bidi w:val="0"/>
      <w:spacing w:before="0" w:after="0"/>
      <w:jc w:val="left"/>
    </w:pPr>
    <w:rPr>
      <w:rFonts w:ascii="Times New Roman" w:hAnsi="Times New Roman" w:eastAsia="游明朝" w:cs="Mangal"/>
      <w:color w:val="auto"/>
      <w:kern w:val="2"/>
      <w:sz w:val="24"/>
      <w:szCs w:val="21"/>
      <w:lang w:val="en-US" w:eastAsia="zh-CN" w:bidi="hi-IN"/>
    </w:rPr>
  </w:style>
  <w:style w:type="paragraph" w:styleId="Annotationtext">
    <w:name w:val="annotation text"/>
    <w:basedOn w:val="Normal"/>
    <w:link w:val="aa"/>
    <w:uiPriority w:val="99"/>
    <w:semiHidden/>
    <w:unhideWhenUsed/>
    <w:qFormat/>
    <w:rsid w:val="00b22064"/>
    <w:pPr/>
    <w:rPr>
      <w:rFonts w:cs="Mangal"/>
      <w:szCs w:val="21"/>
    </w:rPr>
  </w:style>
  <w:style w:type="paragraph" w:styleId="Annotationsubject">
    <w:name w:val="annotation subject"/>
    <w:basedOn w:val="Annotationtext"/>
    <w:next w:val="Annotationtext"/>
    <w:link w:val="ac"/>
    <w:uiPriority w:val="99"/>
    <w:semiHidden/>
    <w:unhideWhenUsed/>
    <w:qFormat/>
    <w:rsid w:val="00b22064"/>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Application>LibreOffice/6.4.7.2$Linux_X86_64 LibreOffice_project/40$Build-2</Application>
  <Pages>1</Pages>
  <Words>350</Words>
  <Characters>2183</Characters>
  <CharactersWithSpaces>2522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2021-12-31T18:47:00Z</dcterms:created>
  <dc:creator>Upul Cooray</dc:creator>
  <dc:description/>
  <dc:language>en-US</dc:language>
  <cp:lastModifiedBy>Upul Cooray </cp:lastModifiedBy>
  <dcterms:modified xsi:type="dcterms:W3CDTF">2022-01-15T17:34:58Z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