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Verdana;Arial;Helvetica;sans-se" w:hAnsi="Verdana;Arial;Helvetica;sans-se"/>
          <w:color w:val="000000"/>
          <w:sz w:val="14"/>
        </w:rPr>
      </w:pPr>
      <w:r>
        <w:rPr>
          <w:rFonts w:ascii="Verdana;Arial;Helvetica;sans-se" w:hAnsi="Verdana;Arial;Helvetica;sans-se"/>
          <w:color w:val="000000"/>
          <w:sz w:val="14"/>
        </w:rPr>
      </w:r>
    </w:p>
    <w:p>
      <w:pPr>
        <w:pStyle w:val="Normal"/>
        <w:jc w:val="center"/>
        <w:rPr>
          <w:rFonts w:ascii="Verdana;Arial;Helvetica;sans-se" w:hAnsi="Verdana;Arial;Helvetica;sans-se"/>
          <w:color w:val="000000"/>
          <w:sz w:val="14"/>
        </w:rPr>
      </w:pPr>
      <w:r>
        <w:rPr>
          <w:rStyle w:val="StrongEmphasis"/>
          <w:rFonts w:eastAsia="Times New Roman" w:cs="Times New Roman" w:ascii="Arial" w:hAnsi="Arial"/>
          <w:b w:val="false"/>
          <w:color w:val="000000"/>
          <w:sz w:val="27"/>
          <w:szCs w:val="27"/>
        </w:rPr>
        <w:t>Causal effect of poverty on frequent dental pain among US adults: Modified treatment policy approach</w:t>
      </w:r>
    </w:p>
    <w:p>
      <w:pPr>
        <w:pStyle w:val="Normal"/>
        <w:jc w:val="center"/>
        <w:rPr>
          <w:rFonts w:ascii="Verdana;Arial;Helvetica;sans-se" w:hAnsi="Verdana;Arial;Helvetica;sans-se"/>
          <w:color w:val="000000"/>
          <w:sz w:val="14"/>
        </w:rPr>
      </w:pPr>
      <w:r>
        <w:rPr>
          <w:rFonts w:ascii="Verdana;Arial;Helvetica;sans-se" w:hAnsi="Verdana;Arial;Helvetica;sans-se"/>
          <w:color w:val="000000"/>
          <w:sz w:val="14"/>
        </w:rPr>
      </w:r>
    </w:p>
    <w:p>
      <w:pPr>
        <w:pStyle w:val="Normal"/>
        <w:rPr>
          <w:rFonts w:ascii="Verdana;Arial;Helvetica;sans-se" w:hAnsi="Verdana;Arial;Helvetica;sans-se"/>
          <w:color w:val="000000"/>
          <w:sz w:val="14"/>
        </w:rPr>
      </w:pPr>
      <w:r>
        <w:rPr>
          <w:rStyle w:val="StrongEmphasis"/>
          <w:rFonts w:ascii="Arial" w:hAnsi="Arial"/>
          <w:b w:val="false"/>
          <w:color w:val="000000"/>
          <w:sz w:val="20"/>
          <w:szCs w:val="20"/>
        </w:rPr>
        <w:t>Upul Cooray</w:t>
      </w:r>
      <w:r>
        <w:rPr>
          <w:rStyle w:val="StrongEmphasis"/>
          <w:rFonts w:ascii="Arial" w:hAnsi="Arial"/>
          <w:b w:val="false"/>
          <w:color w:val="000000"/>
          <w:sz w:val="20"/>
          <w:szCs w:val="20"/>
          <w:vertAlign w:val="superscript"/>
        </w:rPr>
        <w:t>1</w:t>
      </w:r>
      <w:r>
        <w:rPr>
          <w:rStyle w:val="StrongEmphasis"/>
          <w:rFonts w:ascii="Arial" w:hAnsi="Arial"/>
          <w:b w:val="false"/>
          <w:color w:val="000000"/>
          <w:sz w:val="20"/>
          <w:szCs w:val="20"/>
        </w:rPr>
        <w:t>, Kenji Takeuchi</w:t>
      </w:r>
      <w:r>
        <w:rPr>
          <w:rStyle w:val="StrongEmphasis"/>
          <w:rFonts w:ascii="Arial" w:hAnsi="Arial"/>
          <w:b w:val="false"/>
          <w:color w:val="000000"/>
          <w:sz w:val="20"/>
          <w:szCs w:val="20"/>
          <w:vertAlign w:val="superscript"/>
        </w:rPr>
        <w:t>1,2</w:t>
      </w:r>
      <w:r>
        <w:rPr>
          <w:rStyle w:val="StrongEmphasis"/>
          <w:rFonts w:ascii="Arial" w:hAnsi="Arial"/>
          <w:b w:val="false"/>
          <w:color w:val="000000"/>
          <w:sz w:val="20"/>
          <w:szCs w:val="20"/>
        </w:rPr>
        <w:t>, Sakura Kiuchi</w:t>
      </w:r>
      <w:r>
        <w:rPr>
          <w:rStyle w:val="StrongEmphasis"/>
          <w:rFonts w:ascii="Arial" w:hAnsi="Arial"/>
          <w:b w:val="false"/>
          <w:color w:val="000000"/>
          <w:sz w:val="20"/>
          <w:szCs w:val="20"/>
          <w:vertAlign w:val="superscript"/>
        </w:rPr>
        <w:t>1,3</w:t>
      </w:r>
      <w:r>
        <w:rPr>
          <w:rStyle w:val="StrongEmphasis"/>
          <w:rFonts w:ascii="Arial" w:hAnsi="Arial"/>
          <w:b w:val="false"/>
          <w:color w:val="000000"/>
          <w:sz w:val="20"/>
          <w:szCs w:val="20"/>
        </w:rPr>
        <w:t>, Taro Kusama</w:t>
      </w:r>
      <w:r>
        <w:rPr>
          <w:rStyle w:val="StrongEmphasis"/>
          <w:rFonts w:ascii="Arial" w:hAnsi="Arial"/>
          <w:b w:val="false"/>
          <w:color w:val="000000"/>
          <w:sz w:val="20"/>
          <w:szCs w:val="20"/>
          <w:vertAlign w:val="superscript"/>
        </w:rPr>
        <w:t>1,2</w:t>
      </w:r>
      <w:r>
        <w:rPr>
          <w:rStyle w:val="StrongEmphasis"/>
          <w:rFonts w:ascii="Arial" w:hAnsi="Arial"/>
          <w:b w:val="false"/>
          <w:color w:val="000000"/>
          <w:sz w:val="20"/>
          <w:szCs w:val="20"/>
        </w:rPr>
        <w:t>, Jun Aida</w:t>
      </w:r>
      <w:r>
        <w:rPr>
          <w:rStyle w:val="StrongEmphasis"/>
          <w:rFonts w:ascii="Arial" w:hAnsi="Arial"/>
          <w:b w:val="false"/>
          <w:color w:val="000000"/>
          <w:sz w:val="20"/>
          <w:szCs w:val="20"/>
          <w:vertAlign w:val="superscript"/>
        </w:rPr>
        <w:t>4</w:t>
      </w:r>
      <w:r>
        <w:rPr>
          <w:rStyle w:val="StrongEmphasis"/>
          <w:rFonts w:ascii="Arial" w:hAnsi="Arial"/>
          <w:b w:val="false"/>
          <w:color w:val="000000"/>
          <w:sz w:val="20"/>
          <w:szCs w:val="20"/>
        </w:rPr>
        <w:t xml:space="preserve"> </w:t>
      </w:r>
      <w:r>
        <w:rPr>
          <w:rStyle w:val="StrongEmphasis"/>
          <w:rFonts w:ascii="Arial" w:hAnsi="Arial"/>
          <w:b w:val="false"/>
          <w:color w:val="000000"/>
          <w:sz w:val="20"/>
          <w:szCs w:val="20"/>
          <w:vertAlign w:val="superscript"/>
        </w:rPr>
        <w:t xml:space="preserve"> </w:t>
      </w:r>
      <w:r>
        <w:rPr>
          <w:rStyle w:val="StrongEmphasis"/>
          <w:rFonts w:ascii="Arial" w:hAnsi="Arial"/>
          <w:b w:val="false"/>
          <w:color w:val="000000"/>
          <w:sz w:val="20"/>
          <w:szCs w:val="20"/>
        </w:rPr>
        <w:t>and Ken Osaka</w:t>
      </w:r>
      <w:r>
        <w:rPr>
          <w:rStyle w:val="StrongEmphasis"/>
          <w:rFonts w:ascii="Arial" w:hAnsi="Arial"/>
          <w:b w:val="false"/>
          <w:color w:val="000000"/>
          <w:sz w:val="20"/>
          <w:szCs w:val="20"/>
          <w:vertAlign w:val="superscript"/>
        </w:rPr>
        <w:t>1</w:t>
      </w:r>
    </w:p>
    <w:p>
      <w:pPr>
        <w:pStyle w:val="Normal"/>
        <w:rPr>
          <w:rStyle w:val="StrongEmphasis"/>
          <w:rFonts w:ascii="Arial" w:hAnsi="Arial"/>
          <w:b w:val="false"/>
          <w:b w:val="false"/>
          <w:sz w:val="20"/>
          <w:szCs w:val="20"/>
        </w:rPr>
      </w:pPr>
      <w:r>
        <w:rPr>
          <w:rFonts w:ascii="Arial" w:hAnsi="Arial"/>
          <w:b w:val="false"/>
          <w:sz w:val="20"/>
          <w:szCs w:val="20"/>
        </w:rPr>
      </w:r>
    </w:p>
    <w:p>
      <w:pPr>
        <w:pStyle w:val="Normal"/>
        <w:rPr>
          <w:rFonts w:ascii="Arial" w:hAnsi="Arial" w:cs="Arial"/>
          <w:sz w:val="20"/>
          <w:szCs w:val="20"/>
        </w:rPr>
      </w:pPr>
      <w:r>
        <w:rPr>
          <w:rFonts w:cs="Arial" w:ascii="Arial" w:hAnsi="Arial"/>
          <w:sz w:val="20"/>
          <w:szCs w:val="20"/>
          <w:vertAlign w:val="superscript"/>
          <w:lang w:eastAsia="ja-JP"/>
        </w:rPr>
        <w:t>1</w:t>
      </w:r>
      <w:r>
        <w:rPr>
          <w:rFonts w:cs="Arial" w:ascii="Arial" w:hAnsi="Arial"/>
          <w:sz w:val="20"/>
          <w:szCs w:val="20"/>
          <w:lang w:eastAsia="ja-JP"/>
        </w:rPr>
        <w:t xml:space="preserve"> </w:t>
      </w:r>
      <w:r>
        <w:rPr>
          <w:rFonts w:cs="Arial" w:ascii="Arial" w:hAnsi="Arial"/>
          <w:sz w:val="20"/>
          <w:szCs w:val="20"/>
        </w:rPr>
        <w:t>Department of International and Community Oral Health, Tohoku University Graduate School of Dentistry, Sendai, Japan</w:t>
      </w:r>
    </w:p>
    <w:p>
      <w:pPr>
        <w:pStyle w:val="Normal"/>
        <w:rPr>
          <w:rFonts w:ascii="Arial" w:hAnsi="Arial" w:cs="Arial"/>
          <w:sz w:val="20"/>
          <w:szCs w:val="20"/>
        </w:rPr>
      </w:pPr>
      <w:r>
        <w:rPr>
          <w:rFonts w:cs="Arial" w:ascii="Arial" w:hAnsi="Arial"/>
          <w:sz w:val="20"/>
          <w:szCs w:val="20"/>
        </w:rPr>
        <w:t>Address: 4-1, Seiryo-machi, Aoba-ku, Sendai, Miyagi, 980-8575, Japan</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vertAlign w:val="superscript"/>
        </w:rPr>
        <w:t>2</w:t>
      </w:r>
      <w:r>
        <w:rPr>
          <w:rFonts w:cs="Arial" w:ascii="Arial" w:hAnsi="Arial"/>
          <w:sz w:val="20"/>
          <w:szCs w:val="20"/>
        </w:rPr>
        <w:t xml:space="preserve"> Division for Regional Community Development, Liaison Center for Innovative Dentistry, Graduate School of Dentistry, Tohoku University, Sendai, Japan </w:t>
      </w:r>
    </w:p>
    <w:p>
      <w:pPr>
        <w:pStyle w:val="Normal"/>
        <w:rPr>
          <w:rFonts w:ascii="Arial" w:hAnsi="Arial" w:cs="Arial"/>
          <w:sz w:val="20"/>
          <w:szCs w:val="20"/>
        </w:rPr>
      </w:pPr>
      <w:r>
        <w:rPr>
          <w:rFonts w:cs="Arial" w:ascii="Arial" w:hAnsi="Arial"/>
          <w:sz w:val="20"/>
          <w:szCs w:val="20"/>
        </w:rPr>
        <w:t>Address: 4-1, Seiryo-machi, Aoba-ku, Sendai, Miyagi, 980-8575, Japan</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vertAlign w:val="superscript"/>
        </w:rPr>
        <w:t>3</w:t>
      </w:r>
      <w:r>
        <w:rPr>
          <w:rFonts w:cs="Arial" w:ascii="Arial" w:hAnsi="Arial"/>
          <w:sz w:val="20"/>
          <w:szCs w:val="20"/>
        </w:rPr>
        <w:t xml:space="preserve"> Frontier Research Institute for Interdisciplinary Sciences, Tohoku University, Sendai, Japan</w:t>
      </w:r>
    </w:p>
    <w:p>
      <w:pPr>
        <w:pStyle w:val="Normal"/>
        <w:rPr>
          <w:rFonts w:ascii="Arial" w:hAnsi="Arial" w:cs="Arial"/>
          <w:sz w:val="20"/>
          <w:szCs w:val="20"/>
        </w:rPr>
      </w:pPr>
      <w:r>
        <w:rPr>
          <w:rFonts w:cs="Arial" w:ascii="Arial" w:hAnsi="Arial"/>
          <w:sz w:val="20"/>
          <w:szCs w:val="20"/>
        </w:rPr>
        <w:t xml:space="preserve">Address: 6-3 Aramaki-Aza-Aoba, Aoba-ku, Sendai, 980-8578 Japan </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vertAlign w:val="superscript"/>
        </w:rPr>
        <w:t>4</w:t>
      </w:r>
      <w:r>
        <w:rPr>
          <w:rFonts w:cs="Arial" w:ascii="Arial" w:hAnsi="Arial"/>
          <w:sz w:val="20"/>
          <w:szCs w:val="20"/>
        </w:rPr>
        <w:t xml:space="preserve"> Department of Oral Health Promotion, Graduate School of Medical and Dental Sciences, Tokyo Medical and Dental University, Tokyo, Japan</w:t>
      </w:r>
    </w:p>
    <w:p>
      <w:pPr>
        <w:pStyle w:val="Normal"/>
        <w:rPr>
          <w:rFonts w:ascii="Arial" w:hAnsi="Arial" w:cs="Arial"/>
          <w:sz w:val="20"/>
          <w:szCs w:val="20"/>
        </w:rPr>
      </w:pPr>
      <w:r>
        <w:rPr>
          <w:rFonts w:cs="Arial" w:ascii="Arial" w:hAnsi="Arial"/>
          <w:sz w:val="20"/>
          <w:szCs w:val="20"/>
        </w:rPr>
        <w:t>Address: 1-5-45 Yushima, Bunkyo-ku, Tokyo, 113-8549 Japan</w:t>
      </w:r>
    </w:p>
    <w:p>
      <w:pPr>
        <w:pStyle w:val="Normal"/>
        <w:rPr>
          <w:rFonts w:ascii="Arial" w:hAnsi="Arial" w:cs="Arial"/>
          <w:sz w:val="20"/>
          <w:szCs w:val="20"/>
        </w:rPr>
      </w:pPr>
      <w:r>
        <w:rPr/>
      </w:r>
    </w:p>
    <w:p>
      <w:pPr>
        <w:pStyle w:val="Normal"/>
        <w:rPr/>
      </w:pPr>
      <w:bookmarkStart w:id="0" w:name="_Hlk103017403"/>
      <w:bookmarkEnd w:id="0"/>
      <w:r>
        <w:rPr>
          <w:rFonts w:cs="Arial" w:ascii="Arial" w:hAnsi="Arial"/>
          <w:sz w:val="28"/>
          <w:szCs w:val="28"/>
        </w:rPr>
        <w:t xml:space="preserve">Abstract </w:t>
      </w:r>
      <w:r>
        <w:rPr>
          <w:rStyle w:val="StrongEmphasis"/>
          <w:rFonts w:eastAsia="游明朝" w:cs="Lohit Devanagari" w:ascii="Arial" w:hAnsi="Arial"/>
          <w:b w:val="false"/>
          <w:color w:val="000000"/>
          <w:kern w:val="2"/>
          <w:sz w:val="24"/>
          <w:szCs w:val="24"/>
          <w:lang w:val="en-US" w:eastAsia="zh-CN" w:bidi="hi-IN"/>
        </w:rPr>
        <w:t>(</w:t>
      </w:r>
      <w:r>
        <w:rPr>
          <w:rStyle w:val="StrongEmphasis"/>
          <w:rFonts w:eastAsia="游明朝" w:cs="Lohit Devanagari" w:ascii="Arial" w:hAnsi="Arial"/>
          <w:b w:val="false"/>
          <w:color w:val="000000"/>
          <w:kern w:val="2"/>
          <w:sz w:val="24"/>
          <w:szCs w:val="24"/>
          <w:lang w:val="en-US" w:eastAsia="zh-CN" w:bidi="hi-IN"/>
        </w:rPr>
        <w:t>w</w:t>
      </w:r>
      <w:r>
        <w:rPr>
          <w:rStyle w:val="StrongEmphasis"/>
          <w:rFonts w:eastAsia="游明朝" w:cs="Lohit Devanagari" w:ascii="Arial" w:hAnsi="Arial"/>
          <w:b w:val="false"/>
          <w:color w:val="000000"/>
          <w:kern w:val="2"/>
          <w:sz w:val="24"/>
          <w:szCs w:val="24"/>
          <w:lang w:val="en-US" w:eastAsia="zh-CN" w:bidi="hi-IN"/>
        </w:rPr>
        <w:t>ord count- 248)</w:t>
      </w:r>
    </w:p>
    <w:p>
      <w:pPr>
        <w:pStyle w:val="Normal"/>
        <w:widowControl/>
        <w:suppressAutoHyphens w:val="true"/>
        <w:bidi w:val="0"/>
        <w:spacing w:before="0" w:after="0"/>
        <w:jc w:val="left"/>
        <w:rPr>
          <w:rStyle w:val="StrongEmphasis"/>
          <w:rFonts w:ascii="Arial" w:hAnsi="Arial"/>
          <w:b w:val="false"/>
          <w:b w:val="false"/>
        </w:rPr>
      </w:pPr>
      <w:r>
        <w:rPr>
          <w:rFonts w:ascii="Arial" w:hAnsi="Arial"/>
          <w:b w:val="false"/>
        </w:rPr>
      </w:r>
    </w:p>
    <w:p>
      <w:pPr>
        <w:pStyle w:val="Normal"/>
        <w:jc w:val="both"/>
        <w:rPr/>
      </w:pPr>
      <w:r>
        <w:rPr>
          <w:rStyle w:val="StrongEmphasis"/>
          <w:rFonts w:ascii="Arial" w:hAnsi="Arial"/>
          <w:b w:val="false"/>
          <w:bCs w:val="false"/>
          <w:color w:val="000000"/>
        </w:rPr>
        <w:t>Objectives</w:t>
      </w:r>
    </w:p>
    <w:p>
      <w:pPr>
        <w:pStyle w:val="Normal"/>
        <w:jc w:val="both"/>
        <w:rPr>
          <w:rFonts w:ascii="Arial" w:hAnsi="Arial"/>
        </w:rPr>
      </w:pPr>
      <w:r>
        <w:rPr>
          <w:rFonts w:ascii="Arial" w:hAnsi="Arial"/>
        </w:rPr>
      </w:r>
    </w:p>
    <w:p>
      <w:pPr>
        <w:pStyle w:val="Normal"/>
        <w:jc w:val="both"/>
        <w:rPr/>
      </w:pPr>
      <w:r>
        <w:rPr>
          <w:rStyle w:val="StrongEmphasis"/>
          <w:rFonts w:ascii="Arial" w:hAnsi="Arial"/>
          <w:b w:val="false"/>
          <w:color w:val="000000"/>
        </w:rPr>
        <w:t xml:space="preserve">Using the modified treatment policy approach, we aimed to estimate the causal effect of poverty on frequent dental pain among adults in the United States (US). </w:t>
      </w:r>
    </w:p>
    <w:p>
      <w:pPr>
        <w:pStyle w:val="Normal"/>
        <w:jc w:val="both"/>
        <w:rPr>
          <w:rFonts w:ascii="Arial" w:hAnsi="Arial"/>
        </w:rPr>
      </w:pPr>
      <w:r>
        <w:rPr>
          <w:rFonts w:ascii="Arial" w:hAnsi="Arial"/>
        </w:rPr>
      </w:r>
    </w:p>
    <w:p>
      <w:pPr>
        <w:pStyle w:val="Normal"/>
        <w:jc w:val="both"/>
        <w:rPr/>
      </w:pPr>
      <w:r>
        <w:rPr>
          <w:rStyle w:val="StrongEmphasis"/>
          <w:rFonts w:ascii="Arial" w:hAnsi="Arial"/>
          <w:b w:val="false"/>
          <w:color w:val="000000"/>
        </w:rPr>
        <w:t>Methods</w:t>
      </w:r>
    </w:p>
    <w:p>
      <w:pPr>
        <w:pStyle w:val="Normal"/>
        <w:jc w:val="both"/>
        <w:rPr>
          <w:rFonts w:ascii="Arial" w:hAnsi="Arial"/>
        </w:rPr>
      </w:pPr>
      <w:r>
        <w:rPr>
          <w:rFonts w:ascii="Arial" w:hAnsi="Arial"/>
        </w:rPr>
      </w:r>
    </w:p>
    <w:p>
      <w:pPr>
        <w:pStyle w:val="Normal"/>
        <w:jc w:val="both"/>
        <w:rPr/>
      </w:pPr>
      <w:r>
        <w:rPr>
          <w:rStyle w:val="StrongEmphasis"/>
          <w:rFonts w:ascii="Arial" w:hAnsi="Arial"/>
          <w:b w:val="false"/>
          <w:color w:val="000000"/>
        </w:rPr>
        <w:t xml:space="preserve">This study used cross-sectional data from three consecutive cycles (2012-2018) of the National Health and Nutrition Examination Survey (NHANES).  Dentate participants </w:t>
      </w:r>
      <w:bookmarkStart w:id="1" w:name="move927272151"/>
      <w:r>
        <w:rPr>
          <w:rStyle w:val="StrongEmphasis"/>
          <w:rFonts w:ascii="Arial" w:hAnsi="Arial"/>
          <w:b w:val="false"/>
          <w:color w:val="000000"/>
        </w:rPr>
        <w:t>aged 21 to 70 years were included in the analysis (N=8840).</w:t>
      </w:r>
      <w:bookmarkEnd w:id="1"/>
      <w:r>
        <w:rPr>
          <w:rStyle w:val="StrongEmphasis"/>
          <w:rFonts w:ascii="Arial" w:hAnsi="Arial"/>
          <w:b w:val="false"/>
          <w:color w:val="000000"/>
        </w:rPr>
        <w:t xml:space="preserve"> The outcome was self-reported frequent dental pain (very often or fairly frequently).  The Poverty-income ratio (PIR) was the exposure (Range = 0-4.99; PIR&lt;1= "below poverty line").  Modified treatment policies, which involved shifting individuals' PIR based on their observed PIR level, were used to define the causal effects. Corresponding statistical parameters were estimated with doubly-robust targeted minimum loss-based estimation (TMLE). Covariate adjusted causal odds ratios (OR) and 95% confidence intervals (CI) were calculated by contrasting TMLE estimates related to different scenarios implemented by shifting the observed PIR.</w:t>
      </w:r>
    </w:p>
    <w:p>
      <w:pPr>
        <w:pStyle w:val="Normal"/>
        <w:jc w:val="both"/>
        <w:rPr>
          <w:rFonts w:ascii="Arial" w:hAnsi="Arial"/>
          <w:color w:val="000000"/>
        </w:rPr>
      </w:pPr>
      <w:r>
        <w:rPr>
          <w:rFonts w:ascii="Arial" w:hAnsi="Arial"/>
          <w:color w:val="000000"/>
        </w:rPr>
      </w:r>
    </w:p>
    <w:p>
      <w:pPr>
        <w:pStyle w:val="Normal"/>
        <w:jc w:val="both"/>
        <w:rPr/>
      </w:pPr>
      <w:r>
        <w:rPr>
          <w:rStyle w:val="StrongEmphasis"/>
          <w:rFonts w:ascii="Arial" w:hAnsi="Arial"/>
          <w:b w:val="false"/>
          <w:color w:val="000000"/>
        </w:rPr>
        <w:t>Results</w:t>
      </w:r>
    </w:p>
    <w:p>
      <w:pPr>
        <w:pStyle w:val="Normal"/>
        <w:jc w:val="both"/>
        <w:rPr>
          <w:rFonts w:ascii="Arial" w:hAnsi="Arial"/>
          <w:color w:val="000000"/>
        </w:rPr>
      </w:pPr>
      <w:r>
        <w:rPr>
          <w:rFonts w:ascii="Arial" w:hAnsi="Arial"/>
          <w:color w:val="000000"/>
        </w:rPr>
      </w:r>
    </w:p>
    <w:p>
      <w:pPr>
        <w:pStyle w:val="Normal"/>
        <w:jc w:val="both"/>
        <w:rPr/>
      </w:pPr>
      <w:r>
        <w:rPr>
          <w:rStyle w:val="StrongEmphasis"/>
          <w:rFonts w:ascii="Arial" w:hAnsi="Arial"/>
          <w:b w:val="false"/>
          <w:color w:val="000000"/>
        </w:rPr>
        <w:t xml:space="preserve">The prevalence of frequent dental pain was 8.7% in the study population. </w:t>
      </w:r>
      <w:r>
        <w:rPr>
          <w:rStyle w:val="StrongEmphasis"/>
          <w:rFonts w:ascii="Arial" w:hAnsi="Arial"/>
          <w:b w:val="false"/>
          <w:color w:val="000000"/>
          <w:shd w:fill="auto" w:val="clear"/>
        </w:rPr>
        <w:t>The likelihood of frequent dental pain was reduced by 7%(OR[CI]=0.93[0.88-0.98]) and 9%(OR[CI]=0.91[0.86-0.96]) by improving PIR by 50% and 75%, respectively, among participants who were below the poverty line. An OR of 0.87(CI= 0.64-1.10) was observed when all below poverty line participants were shifted to PIR=1. When all participants with PIR levels below the median were raised to the median (PIR=1.7), the likelihood of frequent dental pain was reduced by 67% (OR[CI]=0.37[0.13-0.62]).</w:t>
      </w:r>
    </w:p>
    <w:p>
      <w:pPr>
        <w:pStyle w:val="Normal"/>
        <w:jc w:val="both"/>
        <w:rPr>
          <w:rStyle w:val="StrongEmphasis"/>
          <w:rFonts w:ascii="Arial" w:hAnsi="Arial"/>
          <w:b w:val="false"/>
          <w:b w:val="false"/>
          <w:color w:val="000000"/>
        </w:rPr>
      </w:pPr>
      <w:r>
        <w:rPr>
          <w:rFonts w:ascii="Arial" w:hAnsi="Arial"/>
          <w:b w:val="false"/>
          <w:color w:val="000000"/>
        </w:rPr>
      </w:r>
    </w:p>
    <w:p>
      <w:pPr>
        <w:pStyle w:val="Normal"/>
        <w:jc w:val="both"/>
        <w:rPr/>
      </w:pPr>
      <w:r>
        <w:rPr>
          <w:rStyle w:val="StrongEmphasis"/>
          <w:rFonts w:ascii="Arial" w:hAnsi="Arial"/>
          <w:b w:val="false"/>
          <w:color w:val="000000"/>
        </w:rPr>
        <w:t>Conclusion</w:t>
      </w:r>
    </w:p>
    <w:p>
      <w:pPr>
        <w:pStyle w:val="Normal"/>
        <w:jc w:val="both"/>
        <w:rPr>
          <w:rFonts w:ascii="Arial" w:hAnsi="Arial"/>
          <w:color w:val="000000"/>
        </w:rPr>
      </w:pPr>
      <w:r>
        <w:rPr>
          <w:rFonts w:ascii="Arial" w:hAnsi="Arial"/>
          <w:color w:val="000000"/>
        </w:rPr>
      </w:r>
    </w:p>
    <w:p>
      <w:pPr>
        <w:pStyle w:val="Normal"/>
        <w:rPr/>
      </w:pPr>
      <w:r>
        <w:rPr>
          <w:rStyle w:val="StrongEmphasis"/>
          <w:rFonts w:ascii="Arial" w:hAnsi="Arial"/>
          <w:b w:val="false"/>
          <w:color w:val="000000"/>
        </w:rPr>
        <w:t xml:space="preserve">The PIR has a clear dose-response effect on the prevalence of frequent dental pain among US adults. </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游明朝">
    <w:charset w:val="00"/>
    <w:family w:val="roman"/>
    <w:pitch w:val="variable"/>
  </w:font>
  <w:font w:name="Liberation Mono">
    <w:altName w:val="Courier New"/>
    <w:charset w:val="00"/>
    <w:family w:val="roman"/>
    <w:pitch w:val="variable"/>
  </w:font>
  <w:font w:name="Verdana">
    <w:altName w:val="Arial"/>
    <w:charset w:val="00"/>
    <w:family w:val="roman"/>
    <w:pitch w:val="variable"/>
  </w:font>
  <w:font w:name="Arial">
    <w:charset w:val="00"/>
    <w:family w:val="roman"/>
    <w:pitch w:val="variable"/>
  </w:font>
</w:fonts>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游明朝" w:cs="Lohit Devanagari"/>
        <w:kern w:val="2"/>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游明朝" w:cs="Lohit Devanagari"/>
      <w:color w:val="auto"/>
      <w:kern w:val="2"/>
      <w:sz w:val="24"/>
      <w:szCs w:val="24"/>
      <w:lang w:val="en-US" w:eastAsia="zh-CN" w:bidi="hi-IN"/>
    </w:rPr>
  </w:style>
  <w:style w:type="character" w:styleId="DefaultParagraphFont" w:default="1">
    <w:name w:val="Default Paragraph Font"/>
    <w:uiPriority w:val="1"/>
    <w:semiHidden/>
    <w:unhideWhenUsed/>
    <w:qFormat/>
    <w:rPr/>
  </w:style>
  <w:style w:type="character" w:styleId="StrongEmphasis" w:customStyle="1">
    <w:name w:val="Strong Emphasis"/>
    <w:qFormat/>
    <w:rPr>
      <w:b/>
      <w:bCs/>
    </w:rPr>
  </w:style>
  <w:style w:type="character" w:styleId="InternetLink">
    <w:name w:val="Hyperlink"/>
    <w:rPr>
      <w:color w:val="000080"/>
      <w:u w:val="single"/>
    </w:rPr>
  </w:style>
  <w:style w:type="character" w:styleId="Annotationreference">
    <w:name w:val="annotation reference"/>
    <w:basedOn w:val="DefaultParagraphFont"/>
    <w:uiPriority w:val="99"/>
    <w:semiHidden/>
    <w:unhideWhenUsed/>
    <w:qFormat/>
    <w:rsid w:val="00b22064"/>
    <w:rPr>
      <w:sz w:val="18"/>
      <w:szCs w:val="18"/>
    </w:rPr>
  </w:style>
  <w:style w:type="character" w:styleId="Style14" w:customStyle="1">
    <w:name w:val="コメント文字列 (文字)"/>
    <w:basedOn w:val="DefaultParagraphFont"/>
    <w:uiPriority w:val="99"/>
    <w:semiHidden/>
    <w:qFormat/>
    <w:rsid w:val="00b22064"/>
    <w:rPr>
      <w:rFonts w:cs="Mangal"/>
      <w:sz w:val="24"/>
      <w:szCs w:val="21"/>
    </w:rPr>
  </w:style>
  <w:style w:type="character" w:styleId="Style15" w:customStyle="1">
    <w:name w:val="コメント内容 (文字)"/>
    <w:basedOn w:val="Style14"/>
    <w:uiPriority w:val="99"/>
    <w:semiHidden/>
    <w:qFormat/>
    <w:rsid w:val="00b22064"/>
    <w:rPr>
      <w:rFonts w:cs="Mangal"/>
      <w:b/>
      <w:bCs/>
      <w:sz w:val="24"/>
      <w:szCs w:val="21"/>
    </w:rPr>
  </w:style>
  <w:style w:type="character" w:styleId="Style16" w:customStyle="1">
    <w:name w:val="ヘッダー (文字)"/>
    <w:basedOn w:val="DefaultParagraphFont"/>
    <w:link w:val="ad"/>
    <w:uiPriority w:val="99"/>
    <w:qFormat/>
    <w:rsid w:val="00d3705a"/>
    <w:rPr>
      <w:rFonts w:cs="Mangal"/>
      <w:sz w:val="24"/>
      <w:szCs w:val="21"/>
    </w:rPr>
  </w:style>
  <w:style w:type="character" w:styleId="Style17" w:customStyle="1">
    <w:name w:val="フッター (文字)"/>
    <w:basedOn w:val="DefaultParagraphFont"/>
    <w:link w:val="af"/>
    <w:uiPriority w:val="99"/>
    <w:qFormat/>
    <w:rsid w:val="00d3705a"/>
    <w:rPr>
      <w:rFonts w:cs="Mangal"/>
      <w:sz w:val="24"/>
      <w:szCs w:val="21"/>
    </w:rPr>
  </w:style>
  <w:style w:type="character" w:styleId="LineNumbering">
    <w:name w:val="Line Numbering"/>
    <w:rPr/>
  </w:style>
  <w:style w:type="paragraph" w:styleId="Heading" w:customStyle="1">
    <w:name w:val="Heading"/>
    <w:basedOn w:val="Normal"/>
    <w:next w:val="TextBody"/>
    <w:qFormat/>
    <w:pPr>
      <w:keepNext w:val="true"/>
      <w:spacing w:before="240" w:after="120"/>
    </w:pPr>
    <w:rPr>
      <w:rFonts w:ascii="Liberation Sans" w:hAnsi="Liberation Sans" w:eastAsia="Noto Sans CJK SC"/>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游明朝" w:hAnsi="游明朝"/>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ascii="游明朝" w:hAnsi="游明朝"/>
    </w:rPr>
  </w:style>
  <w:style w:type="paragraph" w:styleId="Caption1">
    <w:name w:val="caption"/>
    <w:basedOn w:val="Normal"/>
    <w:qFormat/>
    <w:pPr>
      <w:suppressLineNumbers/>
      <w:spacing w:before="120" w:after="120"/>
    </w:pPr>
    <w:rPr>
      <w:rFonts w:ascii="游明朝" w:hAnsi="游明朝"/>
      <w:i/>
      <w:iCs/>
    </w:rPr>
  </w:style>
  <w:style w:type="paragraph" w:styleId="NormalWeb">
    <w:name w:val="Normal (Web)"/>
    <w:basedOn w:val="Normal"/>
    <w:qFormat/>
    <w:pPr>
      <w:spacing w:beforeAutospacing="1" w:afterAutospacing="1"/>
    </w:pPr>
    <w:rPr>
      <w:rFonts w:eastAsia="Times New Roman" w:cs="Times New Roman"/>
    </w:rPr>
  </w:style>
  <w:style w:type="paragraph" w:styleId="Revision">
    <w:name w:val="Revision"/>
    <w:uiPriority w:val="99"/>
    <w:semiHidden/>
    <w:qFormat/>
    <w:rsid w:val="00b56483"/>
    <w:pPr>
      <w:widowControl/>
      <w:suppressAutoHyphens w:val="false"/>
      <w:bidi w:val="0"/>
      <w:spacing w:before="0" w:after="0"/>
      <w:jc w:val="left"/>
    </w:pPr>
    <w:rPr>
      <w:rFonts w:ascii="Times New Roman" w:hAnsi="Times New Roman" w:eastAsia="游明朝" w:cs="Mangal"/>
      <w:color w:val="auto"/>
      <w:kern w:val="2"/>
      <w:sz w:val="24"/>
      <w:szCs w:val="21"/>
      <w:lang w:val="en-US" w:eastAsia="zh-CN" w:bidi="hi-IN"/>
    </w:rPr>
  </w:style>
  <w:style w:type="paragraph" w:styleId="Annotationtext">
    <w:name w:val="annotation text"/>
    <w:basedOn w:val="Normal"/>
    <w:uiPriority w:val="99"/>
    <w:semiHidden/>
    <w:unhideWhenUsed/>
    <w:qFormat/>
    <w:rsid w:val="00b22064"/>
    <w:pPr/>
    <w:rPr>
      <w:rFonts w:cs="Mangal"/>
      <w:szCs w:val="21"/>
    </w:rPr>
  </w:style>
  <w:style w:type="paragraph" w:styleId="Annotationsubject">
    <w:name w:val="annotation subject"/>
    <w:basedOn w:val="Annotationtext"/>
    <w:next w:val="Annotationtext"/>
    <w:uiPriority w:val="99"/>
    <w:semiHidden/>
    <w:unhideWhenUsed/>
    <w:qFormat/>
    <w:rsid w:val="00b22064"/>
    <w:pPr/>
    <w:rPr>
      <w:b/>
      <w:bCs/>
    </w:rPr>
  </w:style>
  <w:style w:type="paragraph" w:styleId="PreformattedText" w:customStyle="1">
    <w:name w:val="Preformatted Text"/>
    <w:basedOn w:val="Normal"/>
    <w:qFormat/>
    <w:pPr/>
    <w:rPr>
      <w:rFonts w:ascii="Liberation Mono" w:hAnsi="Liberation Mono" w:eastAsia="Noto Sans Mono CJK SC" w:cs="Liberation Mono"/>
      <w:sz w:val="20"/>
      <w:szCs w:val="20"/>
    </w:rPr>
  </w:style>
  <w:style w:type="paragraph" w:styleId="HeaderandFooter">
    <w:name w:val="Header and Footer"/>
    <w:basedOn w:val="Normal"/>
    <w:qFormat/>
    <w:pPr/>
    <w:rPr/>
  </w:style>
  <w:style w:type="paragraph" w:styleId="Header">
    <w:name w:val="Header"/>
    <w:basedOn w:val="Normal"/>
    <w:link w:val="ae"/>
    <w:uiPriority w:val="99"/>
    <w:unhideWhenUsed/>
    <w:rsid w:val="00d3705a"/>
    <w:pPr>
      <w:tabs>
        <w:tab w:val="clear" w:pos="709"/>
        <w:tab w:val="center" w:pos="4252" w:leader="none"/>
        <w:tab w:val="right" w:pos="8504" w:leader="none"/>
      </w:tabs>
      <w:snapToGrid w:val="false"/>
    </w:pPr>
    <w:rPr>
      <w:rFonts w:cs="Mangal"/>
      <w:szCs w:val="21"/>
    </w:rPr>
  </w:style>
  <w:style w:type="paragraph" w:styleId="Footer">
    <w:name w:val="Footer"/>
    <w:basedOn w:val="Normal"/>
    <w:link w:val="af0"/>
    <w:uiPriority w:val="99"/>
    <w:unhideWhenUsed/>
    <w:rsid w:val="00d3705a"/>
    <w:pPr>
      <w:tabs>
        <w:tab w:val="clear" w:pos="709"/>
        <w:tab w:val="center" w:pos="4252" w:leader="none"/>
        <w:tab w:val="right" w:pos="8504" w:leader="none"/>
      </w:tabs>
      <w:snapToGrid w:val="false"/>
    </w:pPr>
    <w:rPr>
      <w:rFonts w:cs="Mangal"/>
      <w:szCs w:val="21"/>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340</TotalTime>
  <Application>LibreOffice/7.2.6.2$Linux_X86_64 LibreOffice_project/20$Build-2</Application>
  <AppVersion>15.0000</AppVersion>
  <Pages>1</Pages>
  <Words>376</Words>
  <Characters>2335</Characters>
  <CharactersWithSpaces>2700</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2022-05-09T10:38:00Z</dcterms:created>
  <dc:creator>Upul Cooray</dc:creator>
  <dc:description/>
  <dc:language>en-US</dc:language>
  <cp:lastModifiedBy/>
  <dcterms:modified xsi:type="dcterms:W3CDTF">2022-05-14T20:04:13Z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