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Appendix 0</w:t>
      </w:r>
      <w:r>
        <w:rPr/>
        <w:t>1</w:t>
      </w:r>
      <w:r>
        <w:rPr/>
        <w:t>: Results of supplementary complete case analysis (n= 13 746)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Appendix table 1: Results of TMLE analysis with complete cases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9"/>
        <w:gridCol w:w="2532"/>
        <w:gridCol w:w="1372"/>
        <w:gridCol w:w="1389"/>
      </w:tblGrid>
      <w:tr>
        <w:trPr>
          <w:tblHeader w:val="true"/>
          <w:trHeight w:val="360" w:hRule="atLeast"/>
          <w:cantSplit w:val="true"/>
        </w:trPr>
        <w:tc>
          <w:tcPr>
            <w:tcW w:w="3779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532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OR [95% CI]</w:t>
            </w:r>
          </w:p>
        </w:tc>
        <w:tc>
          <w:tcPr>
            <w:tcW w:w="1372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1389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E-value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Edentate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0.80 [0.77-0.83]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1.81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1-9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0.97 [0.91-1.02]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1.22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10-19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1.00 [0.94-1.06]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1.00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&gt;=20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1.06 [1.03-1.09]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1.31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1-9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1.21 [1.12-1.30]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1.71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10-19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1.25 [1.16-1.35]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1.81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Observed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1.25 [1.20-1.30]</w:t>
            </w:r>
          </w:p>
        </w:tc>
        <w:tc>
          <w:tcPr>
            <w:tcW w:w="137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1.81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&gt;=20 teeth</w:t>
            </w:r>
          </w:p>
        </w:tc>
        <w:tc>
          <w:tcPr>
            <w:tcW w:w="2532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1.32 [1.25-1.40]</w:t>
            </w:r>
          </w:p>
        </w:tc>
        <w:tc>
          <w:tcPr>
            <w:tcW w:w="1372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1.98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Appendix </w:t>
      </w:r>
      <w:r>
        <w:rPr/>
        <w:t>figure</w:t>
      </w:r>
      <w:r>
        <w:rPr/>
        <w:t xml:space="preserve"> 1: </w:t>
      </w:r>
      <w:r>
        <w:rPr/>
        <w:t>Comparison of estimates with and without Super Learner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480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Noto Sans Arabic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Noto Sans Arabic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Noto Sans Arabic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Noto Sans Arabic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Noto Sans Arabic"/>
      <w:b/>
      <w:bCs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</w:rPr>
  </w:style>
  <w:style w:type="character" w:styleId="Titre1Car">
    <w:name w:val="Titre 1 Car"/>
    <w:basedOn w:val="DefaultParagraphFont"/>
    <w:qFormat/>
    <w:rPr>
      <w:rFonts w:ascii="Calibri" w:hAnsi="Calibri" w:eastAsia="ＭＳ ゴシック" w:cs="Noto Sans Arabic"/>
      <w:b/>
      <w:bCs/>
      <w:sz w:val="32"/>
      <w:szCs w:val="32"/>
    </w:rPr>
  </w:style>
  <w:style w:type="character" w:styleId="Titre2Car">
    <w:name w:val="Titre 2 Car"/>
    <w:basedOn w:val="DefaultParagraphFont"/>
    <w:qFormat/>
    <w:rPr>
      <w:rFonts w:ascii="Calibri" w:hAnsi="Calibri" w:eastAsia="ＭＳ ゴシック" w:cs="Noto Sans Arabic"/>
      <w:b/>
      <w:bCs/>
      <w:sz w:val="26"/>
      <w:szCs w:val="26"/>
    </w:rPr>
  </w:style>
  <w:style w:type="character" w:styleId="Titre3Car">
    <w:name w:val="Titre 3 Car"/>
    <w:basedOn w:val="DefaultParagraphFont"/>
    <w:qFormat/>
    <w:rPr>
      <w:rFonts w:ascii="Calibri" w:hAnsi="Calibri" w:eastAsia="ＭＳ ゴシック" w:cs="Noto Sans Arabic"/>
      <w:b/>
      <w:bCs/>
    </w:rPr>
  </w:style>
  <w:style w:type="character" w:styleId="TextedebullesCar">
    <w:name w:val="Texte de bulles Car"/>
    <w:basedOn w:val="DefaultParagraphFont"/>
    <w:qFormat/>
    <w:rPr>
      <w:rFonts w:ascii="Lucida Grande" w:hAnsi="Lucida Grande"/>
      <w:sz w:val="18"/>
      <w:szCs w:val="18"/>
    </w:rPr>
  </w:style>
  <w:style w:type="character" w:styleId="Referenceid">
    <w:name w:val="reference_id"/>
    <w:basedOn w:val="DefaultParagraphFont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paragraph" w:styleId="Centered">
    <w:name w:val="centered"/>
    <w:basedOn w:val="Normal"/>
    <w:qFormat/>
    <w:pPr>
      <w:jc w:val="center"/>
    </w:pPr>
    <w:rPr/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paragraph" w:styleId="Graphictitle">
    <w:name w:val="graphic title"/>
    <w:basedOn w:val="ImageCaption"/>
    <w:next w:val="Normal"/>
    <w:qFormat/>
    <w:pPr/>
    <w:rPr/>
  </w:style>
  <w:style w:type="paragraph" w:styleId="Tabletitle">
    <w:name w:val="table title"/>
    <w:basedOn w:val="TableCaption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LibreOffice/7.2.5.2$Linux_X86_64 LibreOffice_project/20$Build-2</Application>
  <AppVersion>15.0000</AppVersion>
  <Pages>2</Pages>
  <Words>107</Words>
  <Characters>556</Characters>
  <CharactersWithSpaces>624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Upul Cooray</cp:lastModifiedBy>
  <dcterms:modified xsi:type="dcterms:W3CDTF">2022-04-02T02:24:46Z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