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Supplementary Table S1: Baseline characteristics of  participants by follow-up status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814"/>
        <w:gridCol w:w="1812"/>
        <w:gridCol w:w="1817"/>
        <w:gridCol w:w="1812"/>
        <w:gridCol w:w="1817"/>
      </w:tblGrid>
      <w:tr>
        <w:trPr>
          <w:trHeight w:val="360" w:hRule="atLeast"/>
          <w:cantSplit w:val="true"/>
        </w:trPr>
        <w:tc>
          <w:tcPr>
            <w:tcW w:w="1814" w:type="dxa"/>
            <w:tcBorders>
              <w:top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7258" w:type="dxa"/>
            <w:gridSpan w:val="4"/>
            <w:tcBorders>
              <w:top w:val="single" w:sz="16" w:space="0" w:color="000000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center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Follow-up Status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Characteristics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81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Remained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(N=24872)</w:t>
            </w:r>
          </w:p>
        </w:tc>
        <w:tc>
          <w:tcPr>
            <w:tcW w:w="181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Became ineligible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(N=8099)</w:t>
            </w:r>
          </w:p>
        </w:tc>
        <w:tc>
          <w:tcPr>
            <w:tcW w:w="181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Died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(N=4611)</w:t>
            </w:r>
          </w:p>
        </w:tc>
        <w:tc>
          <w:tcPr>
            <w:tcW w:w="181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Lost to follow-up</w:t>
            </w:r>
          </w:p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(N=14471)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Number of teeth (2010)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&gt;= 20 teeth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9717 (57.4%)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1732 (10.2%)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927 (5.5%)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4558 (26.9%)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10-19 teeth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6616 (50.6%)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1748 (13.4%)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995 (7.6%)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3726 (28.5%)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1-9 teeth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5561 (42.3%)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2477 (18.8%)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1340 (10.2%)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3777 (28.7%)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2309 (32.0%)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1781 (24.7%)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1184 (16.4%)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1943 (26.9%)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72.3 (5.0)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78.9 (6.2)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77.7 (6.7)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73.0 (5.4)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13717 (49.2%)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5013 (18.0%)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1578 (5.7%)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7574 (27.2%)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11155 (46.2%)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3086 (12.8%)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3033 (12.5%)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6897 (28.5%)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Household income (2010)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2.5 (1.6)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2.2 (1.5)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2.2 (1.6)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2.3 (1.7)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(Missing)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3377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2085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3031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Social participation 2010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Everyday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1098 (56.5%)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199 (10.2%)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112 (5.8%)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533 (27.4%)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2-3 times a week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3912 (57.8%)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779 (11.5%)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382 (5.6%)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1691 (25.0%)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Once a week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3636 (55.7%)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869 (13.3%)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402 (6.2%)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1622 (24.8%)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1-2 times a month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4163 (51.7%)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1096 (13.6%)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656 (8.1%)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2141 (26.6%)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Few times a year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4426 (48.3%)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1251 (13.7%)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889 (9.7%)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2595 (28.3%)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5182 (39.8%)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2529 (19.4%)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1462 (11.2%)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3838 (29.5%)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Denture status (2010)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Do not wear dentures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10809 (50.9%)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2815 (13.3%)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1637 (7.7%)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5978 (28.1%)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Wear dentures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11883 (47.1%)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4090 (16.2%)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2437 (9.7%)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6833 (27.1%)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Marital status (2010)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Widowed,divorced, or unmarried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5947 (41.0%)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3364 (23.2%)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1380 (9.5%)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3806 (26.3%)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18673 (51.0%)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4505 (12.3%)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3102 (8.5%)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10335 (28.2%)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b/>
                <w:color w:val="000000"/>
                <w:sz w:val="22"/>
                <w:szCs w:val="22"/>
              </w:rPr>
              <w:t>Self-rated health (2010)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3364 (55.8%)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529 (8.8%)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349 (5.8%)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1790 (29.7%)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18082 (50.7%)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4823 (13.5%)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2697 (7.6%)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10053 (28.2%)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2900 (34.1%)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2227 (26.2%)</w:t>
            </w:r>
          </w:p>
        </w:tc>
        <w:tc>
          <w:tcPr>
            <w:tcW w:w="181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1177 (13.8%)</w:t>
            </w:r>
          </w:p>
        </w:tc>
        <w:tc>
          <w:tcPr>
            <w:tcW w:w="1817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2207 (25.9%)</w:t>
            </w:r>
          </w:p>
        </w:tc>
      </w:tr>
      <w:tr>
        <w:trPr>
          <w:trHeight w:val="360" w:hRule="atLeast"/>
          <w:cantSplit w:val="true"/>
        </w:trPr>
        <w:tc>
          <w:tcPr>
            <w:tcW w:w="181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3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1812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296 (23.5%)</w:t>
            </w:r>
          </w:p>
        </w:tc>
        <w:tc>
          <w:tcPr>
            <w:tcW w:w="1817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379 (30.1%)</w:t>
            </w:r>
          </w:p>
        </w:tc>
        <w:tc>
          <w:tcPr>
            <w:tcW w:w="1812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328 (26.1%)</w:t>
            </w:r>
          </w:p>
        </w:tc>
        <w:tc>
          <w:tcPr>
            <w:tcW w:w="1817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256 (20.3%)</w:t>
            </w:r>
          </w:p>
        </w:tc>
      </w:tr>
      <w:tr>
        <w:trPr>
          <w:trHeight w:val="360" w:hRule="atLeast"/>
          <w:cantSplit w:val="true"/>
        </w:trPr>
        <w:tc>
          <w:tcPr>
            <w:tcW w:w="9072" w:type="dxa"/>
            <w:gridSpan w:val="5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/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Mean (SD) for continuous variables; Frequency (%) for categorical variables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Supplementary Figure S1: Distribution of missingness among baseline variables in relation to the outcome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6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Supplementary Figure S2: Distribution of missingness among baseline variables in relation to the exposure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6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Supplementary Table S2: Results of TMLE analysis with complete cases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9"/>
        <w:gridCol w:w="2532"/>
        <w:gridCol w:w="1371"/>
        <w:gridCol w:w="1389"/>
      </w:tblGrid>
      <w:tr>
        <w:trPr>
          <w:tblHeader w:val="true"/>
          <w:trHeight w:val="360" w:hRule="atLeast"/>
          <w:cantSplit w:val="true"/>
        </w:trPr>
        <w:tc>
          <w:tcPr>
            <w:tcW w:w="3779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532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OR [95% CI]</w:t>
            </w:r>
          </w:p>
        </w:tc>
        <w:tc>
          <w:tcPr>
            <w:tcW w:w="1371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P value</w:t>
            </w:r>
          </w:p>
        </w:tc>
        <w:tc>
          <w:tcPr>
            <w:tcW w:w="1389" w:type="dxa"/>
            <w:tcBorders>
              <w:top w:val="single" w:sz="16" w:space="0" w:color="666666"/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E-value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Edentate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0.80 [0.77-0.83]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1.81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1-9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0.97 [0.91-1.02]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1.22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10-19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1.00 [0.94-1.06]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0.998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1.00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Observed vs &gt;=20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1.06 [1.03-1.09]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1.31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1-9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1.21 [1.12-1.30]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1.71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10-19 teeth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1.25 [1.16-1.35]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1.81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Observed</w:t>
            </w:r>
          </w:p>
        </w:tc>
        <w:tc>
          <w:tcPr>
            <w:tcW w:w="2532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1.25 [1.20-1.30]</w:t>
            </w:r>
          </w:p>
        </w:tc>
        <w:tc>
          <w:tcPr>
            <w:tcW w:w="1371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/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1.81</w:t>
            </w:r>
          </w:p>
        </w:tc>
      </w:tr>
      <w:tr>
        <w:trPr>
          <w:trHeight w:val="360" w:hRule="atLeast"/>
          <w:cantSplit w:val="true"/>
        </w:trPr>
        <w:tc>
          <w:tcPr>
            <w:tcW w:w="3779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Edentate vs &gt;=20 teeth</w:t>
            </w:r>
          </w:p>
        </w:tc>
        <w:tc>
          <w:tcPr>
            <w:tcW w:w="2532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1.32 [1.25-1.40]</w:t>
            </w:r>
          </w:p>
        </w:tc>
        <w:tc>
          <w:tcPr>
            <w:tcW w:w="1371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lef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&lt; 0.000</w:t>
            </w:r>
          </w:p>
        </w:tc>
        <w:tc>
          <w:tcPr>
            <w:tcW w:w="1389" w:type="dxa"/>
            <w:tcBorders>
              <w:bottom w:val="single" w:sz="16" w:space="0" w:color="666666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16" w:before="100" w:after="100"/>
              <w:ind w:left="100" w:right="100" w:hanging="0"/>
              <w:jc w:val="right"/>
              <w:rPr>
                <w:rFonts w:ascii="Arial" w:hAnsi="Arial" w:eastAsia="DejaVu Sans" w:cs="DejaVu Sans"/>
                <w:color w:val="000000"/>
                <w:sz w:val="22"/>
                <w:szCs w:val="22"/>
              </w:rPr>
            </w:pPr>
            <w:r>
              <w:rPr>
                <w:rFonts w:eastAsia="DejaVu Sans" w:cs="DejaVu Sans" w:ascii="Arial" w:hAnsi="Arial"/>
                <w:color w:val="000000"/>
                <w:sz w:val="22"/>
                <w:szCs w:val="22"/>
              </w:rPr>
              <w:t>1.98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Supplementary Figure S3: Comparison of estimates with and without Super Learner (complete case analysis)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48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ucida Grande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lang w:val="zxx" w:eastAsia="zxx" w:bidi="zxx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LibreOffice/7.2.5.2$Linux_X86_64 LibreOffice_project/20$Build-2</Application>
  <AppVersion>15.0000</AppVersion>
  <Pages>5</Pages>
  <Words>410</Words>
  <Characters>2252</Characters>
  <CharactersWithSpaces>2513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Upul Cooray</cp:lastModifiedBy>
  <dcterms:modified xsi:type="dcterms:W3CDTF">2022-04-05T19:41:27Z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