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Table 2: Causal odds ratios (OR) and 95% confidence calculated (95% CI) by contrasting different counterfactual estimates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noHBand="0" w:noVBand="1" w:firstColumn="0" w:lastRow="0" w:lastColumn="0" w:firstRow="1"/>
      </w:tblPr>
      <w:tblGrid>
        <w:gridCol w:w="3779"/>
        <w:gridCol w:w="2532"/>
        <w:gridCol w:w="1372"/>
        <w:gridCol w:w="1389"/>
      </w:tblGrid>
      <w:tr>
        <w:trPr>
          <w:tblHeader w:val="true"/>
          <w:trHeight w:val="360" w:hRule="atLeast"/>
          <w:cantSplit w:val="true"/>
        </w:trPr>
        <w:tc>
          <w:tcPr>
            <w:tcW w:w="3779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Contrast</w:t>
            </w:r>
          </w:p>
        </w:tc>
        <w:tc>
          <w:tcPr>
            <w:tcW w:w="2532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OR [95% CI]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  <w:vertAlign w:val="superscript"/>
              </w:rPr>
              <w:t>a</w:t>
            </w:r>
          </w:p>
        </w:tc>
        <w:tc>
          <w:tcPr>
            <w:tcW w:w="1372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P value</w:t>
            </w:r>
          </w:p>
        </w:tc>
        <w:tc>
          <w:tcPr>
            <w:tcW w:w="1389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E-value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  <w:vertAlign w:val="superscript"/>
              </w:rPr>
              <w:t>b</w:t>
            </w:r>
          </w:p>
        </w:tc>
      </w:tr>
      <w:tr>
        <w:trPr>
          <w:trHeight w:val="360" w:hRule="atLeast"/>
          <w:cantSplit w:val="true"/>
        </w:trPr>
        <w:tc>
          <w:tcPr>
            <w:tcW w:w="37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Observed vs Edentate</w:t>
            </w:r>
          </w:p>
        </w:tc>
        <w:tc>
          <w:tcPr>
            <w:tcW w:w="253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0.85 [0.79-0.92]</w:t>
            </w:r>
          </w:p>
        </w:tc>
        <w:tc>
          <w:tcPr>
            <w:tcW w:w="137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&lt;0.000</w:t>
            </w:r>
          </w:p>
        </w:tc>
        <w:tc>
          <w:tcPr>
            <w:tcW w:w="138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1.62</w:t>
            </w:r>
          </w:p>
        </w:tc>
      </w:tr>
      <w:tr>
        <w:trPr>
          <w:trHeight w:val="360" w:hRule="atLeast"/>
          <w:cantSplit w:val="true"/>
        </w:trPr>
        <w:tc>
          <w:tcPr>
            <w:tcW w:w="37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Observed vs 1-9 teeth</w:t>
            </w:r>
          </w:p>
        </w:tc>
        <w:tc>
          <w:tcPr>
            <w:tcW w:w="253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0.94 [0.86-1.01]</w:t>
            </w:r>
          </w:p>
        </w:tc>
        <w:tc>
          <w:tcPr>
            <w:tcW w:w="137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0.010</w:t>
            </w:r>
          </w:p>
        </w:tc>
        <w:tc>
          <w:tcPr>
            <w:tcW w:w="138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1.34</w:t>
            </w:r>
          </w:p>
        </w:tc>
      </w:tr>
      <w:tr>
        <w:trPr>
          <w:trHeight w:val="360" w:hRule="atLeast"/>
          <w:cantSplit w:val="true"/>
        </w:trPr>
        <w:tc>
          <w:tcPr>
            <w:tcW w:w="37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Observed vs 10-19 teeth</w:t>
            </w:r>
          </w:p>
        </w:tc>
        <w:tc>
          <w:tcPr>
            <w:tcW w:w="253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0.96 [0.90-1.01]</w:t>
            </w:r>
          </w:p>
        </w:tc>
        <w:tc>
          <w:tcPr>
            <w:tcW w:w="137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0.067</w:t>
            </w:r>
          </w:p>
        </w:tc>
        <w:tc>
          <w:tcPr>
            <w:tcW w:w="138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1.27</w:t>
            </w:r>
          </w:p>
        </w:tc>
      </w:tr>
      <w:tr>
        <w:trPr>
          <w:trHeight w:val="360" w:hRule="atLeast"/>
          <w:cantSplit w:val="true"/>
        </w:trPr>
        <w:tc>
          <w:tcPr>
            <w:tcW w:w="37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Observed vs &gt;=20 teeth</w:t>
            </w:r>
          </w:p>
        </w:tc>
        <w:tc>
          <w:tcPr>
            <w:tcW w:w="253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1.11 [1.08-1.15]</w:t>
            </w:r>
          </w:p>
        </w:tc>
        <w:tc>
          <w:tcPr>
            <w:tcW w:w="137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&lt;0.000</w:t>
            </w:r>
          </w:p>
        </w:tc>
        <w:tc>
          <w:tcPr>
            <w:tcW w:w="138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1.47</w:t>
            </w:r>
          </w:p>
        </w:tc>
      </w:tr>
      <w:tr>
        <w:trPr>
          <w:trHeight w:val="360" w:hRule="atLeast"/>
          <w:cantSplit w:val="true"/>
        </w:trPr>
        <w:tc>
          <w:tcPr>
            <w:tcW w:w="37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Edentate vs Observed</w:t>
            </w:r>
          </w:p>
        </w:tc>
        <w:tc>
          <w:tcPr>
            <w:tcW w:w="253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1.17 [1.08-1.26]</w:t>
            </w:r>
          </w:p>
        </w:tc>
        <w:tc>
          <w:tcPr>
            <w:tcW w:w="137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&lt;0.000</w:t>
            </w:r>
          </w:p>
        </w:tc>
        <w:tc>
          <w:tcPr>
            <w:tcW w:w="138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1.62</w:t>
            </w:r>
          </w:p>
        </w:tc>
      </w:tr>
      <w:tr>
        <w:trPr>
          <w:trHeight w:val="360" w:hRule="atLeast"/>
          <w:cantSplit w:val="true"/>
        </w:trPr>
        <w:tc>
          <w:tcPr>
            <w:tcW w:w="37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Edentate vs 1-9 teeth</w:t>
            </w:r>
          </w:p>
        </w:tc>
        <w:tc>
          <w:tcPr>
            <w:tcW w:w="253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1.10 [1.00-1.19]</w:t>
            </w:r>
          </w:p>
        </w:tc>
        <w:tc>
          <w:tcPr>
            <w:tcW w:w="137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38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1.42</w:t>
            </w:r>
          </w:p>
        </w:tc>
      </w:tr>
      <w:tr>
        <w:trPr>
          <w:trHeight w:val="360" w:hRule="atLeast"/>
          <w:cantSplit w:val="true"/>
        </w:trPr>
        <w:tc>
          <w:tcPr>
            <w:tcW w:w="377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Edentate vs 10-19 teeth</w:t>
            </w:r>
          </w:p>
        </w:tc>
        <w:tc>
          <w:tcPr>
            <w:tcW w:w="253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1.12 [1.03-1.21]</w:t>
            </w:r>
          </w:p>
        </w:tc>
        <w:tc>
          <w:tcPr>
            <w:tcW w:w="137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&lt;0.000</w:t>
            </w:r>
          </w:p>
        </w:tc>
        <w:tc>
          <w:tcPr>
            <w:tcW w:w="138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1.48</w:t>
            </w:r>
          </w:p>
        </w:tc>
      </w:tr>
      <w:tr>
        <w:trPr>
          <w:trHeight w:val="360" w:hRule="atLeast"/>
          <w:cantSplit w:val="true"/>
        </w:trPr>
        <w:tc>
          <w:tcPr>
            <w:tcW w:w="3779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Edentate vs &gt;=20 teeth</w:t>
            </w:r>
          </w:p>
        </w:tc>
        <w:tc>
          <w:tcPr>
            <w:tcW w:w="2532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1.30 [1.23-1.38]</w:t>
            </w:r>
          </w:p>
        </w:tc>
        <w:tc>
          <w:tcPr>
            <w:tcW w:w="1372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&lt;0.000</w:t>
            </w:r>
          </w:p>
        </w:tc>
        <w:tc>
          <w:tcPr>
            <w:tcW w:w="1389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1.94</w:t>
            </w:r>
          </w:p>
        </w:tc>
      </w:tr>
      <w:tr>
        <w:trPr>
          <w:trHeight w:val="493" w:hRule="atLeast"/>
          <w:cantSplit w:val="true"/>
        </w:trPr>
        <w:tc>
          <w:tcPr>
            <w:tcW w:w="9072" w:type="dxa"/>
            <w:gridSpan w:val="4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vertAlign w:val="superscript"/>
              </w:rPr>
              <w:t>a</w:t>
            </w:r>
            <w:r>
              <w:rPr/>
              <w:t xml:space="preserve"> All the estimates are adjusted for age, sex, baseline social participation, a set of time-varying confounders (i.e., annual household income, self-rated health, dental prosthesis use, and marital status) and censoring of the participants. </w:t>
            </w:r>
          </w:p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vertAlign w:val="superscript"/>
              </w:rPr>
              <w:t>b</w:t>
            </w:r>
            <w:r>
              <w:rPr/>
              <w:t xml:space="preserve"> </w:t>
            </w:r>
            <w:r>
              <w:rPr/>
              <w:t>E values were c</w:t>
            </w:r>
            <w:r>
              <w:rPr/>
              <w:t xml:space="preserve">alculated to </w:t>
            </w:r>
            <w:r>
              <w:rPr/>
              <w:t>reflect the potential effect of unmeasured confound</w:t>
            </w:r>
            <w:r>
              <w:rPr/>
              <w:t>ers.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ucida Grande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362e65"/>
    <w:pPr>
      <w:keepNext w:val="true"/>
      <w:keepLines/>
      <w:numPr>
        <w:ilvl w:val="0"/>
        <w:numId w:val="1"/>
      </w:numPr>
      <w:pBdr>
        <w:bottom w:val="single" w:sz="4" w:space="1" w:color="000000"/>
      </w:pBdr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 w:customStyle="1">
    <w:name w:val="strong"/>
    <w:basedOn w:val="DefaultParagraphFont"/>
    <w:uiPriority w:val="1"/>
    <w:qFormat/>
    <w:rsid w:val="007b3e96"/>
    <w:rPr>
      <w:b/>
    </w:rPr>
  </w:style>
  <w:style w:type="character" w:styleId="Titre1Car" w:customStyle="1">
    <w:name w:val="Titre 1 Car"/>
    <w:basedOn w:val="DefaultParagraphFont"/>
    <w:link w:val="Titre1"/>
    <w:uiPriority w:val="9"/>
    <w:qFormat/>
    <w:rsid w:val="00362e65"/>
    <w:rPr>
      <w:rFonts w:ascii="Calibri" w:hAnsi="Calibri" w:eastAsia="ＭＳ ゴシック" w:cs="" w:asciiTheme="majorHAnsi" w:cstheme="majorBidi" w:eastAsiaTheme="majorEastAsia" w:hAnsiTheme="majorHAnsi"/>
      <w:b/>
      <w:bCs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semiHidden/>
    <w:qFormat/>
    <w:rsid w:val="00362e65"/>
    <w:rPr>
      <w:rFonts w:ascii="Calibri" w:hAnsi="Calibri" w:eastAsia="ＭＳ ゴシック" w:cs="" w:asciiTheme="majorHAnsi" w:cstheme="majorBidi" w:eastAsiaTheme="majorEastAsia" w:hAnsiTheme="majorHAnsi"/>
      <w:b/>
      <w:bCs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9"/>
    <w:semiHidden/>
    <w:qFormat/>
    <w:rsid w:val="00362e65"/>
    <w:rPr>
      <w:rFonts w:ascii="Calibri" w:hAnsi="Calibri" w:eastAsia="ＭＳ ゴシック" w:cs="" w:asciiTheme="majorHAnsi" w:cstheme="majorBidi" w:eastAsiaTheme="majorEastAsia" w:hAnsiTheme="majorHAnsi"/>
      <w:b/>
      <w:bCs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fb63e7"/>
    <w:rPr>
      <w:rFonts w:ascii="Lucida Grande" w:hAnsi="Lucida Grande"/>
      <w:sz w:val="18"/>
      <w:szCs w:val="18"/>
    </w:rPr>
  </w:style>
  <w:style w:type="character" w:styleId="Referenceid" w:customStyle="1">
    <w:name w:val="reference_id"/>
    <w:basedOn w:val="DefaultParagraphFont"/>
    <w:uiPriority w:val="1"/>
    <w:qFormat/>
    <w:rsid w:val="00457cf1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  <w:lang w:val="zxx" w:eastAsia="zxx" w:bidi="zxx"/>
    </w:rPr>
  </w:style>
  <w:style w:type="paragraph" w:styleId="Centered" w:customStyle="1">
    <w:name w:val="centered"/>
    <w:basedOn w:val="Normal"/>
    <w:qFormat/>
    <w:rsid w:val="001d75ab"/>
    <w:pPr>
      <w:jc w:val="center"/>
    </w:pPr>
    <w:rPr/>
  </w:style>
  <w:style w:type="paragraph" w:styleId="ImageCaption" w:customStyle="1">
    <w:name w:val="Image Caption"/>
    <w:basedOn w:val="Normal"/>
    <w:qFormat/>
    <w:rsid w:val="00ae18ef"/>
    <w:pPr>
      <w:jc w:val="center"/>
    </w:pPr>
    <w:rPr>
      <w:b/>
      <w:i/>
    </w:rPr>
  </w:style>
  <w:style w:type="paragraph" w:styleId="TableCaption" w:customStyle="1">
    <w:name w:val="Table Caption"/>
    <w:basedOn w:val="ImageCaption"/>
    <w:qFormat/>
    <w:rsid w:val="00ae18ef"/>
    <w:pPr/>
    <w:rPr/>
  </w:style>
  <w:style w:type="paragraph" w:styleId="Contents1">
    <w:name w:val="TOC 1"/>
    <w:basedOn w:val="Normal"/>
    <w:next w:val="Normal"/>
    <w:autoRedefine/>
    <w:uiPriority w:val="39"/>
    <w:unhideWhenUsed/>
    <w:rsid w:val="00fb63e7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fb63e7"/>
    <w:pPr>
      <w:spacing w:before="0" w:after="100"/>
      <w:ind w:left="240" w:hanging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b63e7"/>
    <w:pPr/>
    <w:rPr>
      <w:rFonts w:ascii="Lucida Grande" w:hAnsi="Lucida Grande"/>
      <w:sz w:val="18"/>
      <w:szCs w:val="18"/>
    </w:rPr>
  </w:style>
  <w:style w:type="paragraph" w:styleId="Graphictitle" w:customStyle="1">
    <w:name w:val="graphic title"/>
    <w:basedOn w:val="ImageCaption"/>
    <w:next w:val="Normal"/>
    <w:qFormat/>
    <w:rsid w:val="0035500d"/>
    <w:pPr/>
    <w:rPr/>
  </w:style>
  <w:style w:type="paragraph" w:styleId="Tabletitle" w:customStyle="1">
    <w:name w:val="table title"/>
    <w:basedOn w:val="TableCaption"/>
    <w:next w:val="Normal"/>
    <w:qFormat/>
    <w:rsid w:val="00901463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tblBorders>
        <w:top w:val="single" w:color="auto" w:sz="8" w:space="0"/>
        <w:bottom w:val="single" w:color="auto" w:sz="8" w:space="0"/>
        <w:insideH w:val="single" w:color="auto" w:sz="8" w:space="0"/>
      </w:tblBorders>
    </w:tblPr>
    <w:tblStylePr w:type="firstRow">
      <w:rPr>
        <w:b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LibreOffice/7.2.5.2$Linux_X86_64 LibreOffice_project/20$Build-2</Application>
  <AppVersion>15.0000</AppVersion>
  <Pages>1</Pages>
  <Words>133</Words>
  <Characters>764</Characters>
  <CharactersWithSpaces>859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2017-02-28T11:18:00Z</dcterms:created>
  <dc:creator/>
  <dc:description/>
  <dc:language>en-US</dc:language>
  <cp:lastModifiedBy>Upul Cooray</cp:lastModifiedBy>
  <dcterms:modified xsi:type="dcterms:W3CDTF">2022-04-05T14:32:15Z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