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DEC6" w14:textId="19437146" w:rsidR="0076078D" w:rsidRPr="0076078D" w:rsidRDefault="00701ADC" w:rsidP="0076078D">
      <w:pPr>
        <w:pStyle w:val="Title"/>
        <w:rPr>
          <w:rStyle w:val="Hyperlink"/>
          <w:lang w:val="en-GB"/>
        </w:rPr>
      </w:pPr>
      <w:r>
        <w:t>Effect of dental status on social participation</w:t>
      </w:r>
      <w:r w:rsidR="000B3D88">
        <w:t xml:space="preserve"> among older adults</w:t>
      </w:r>
      <w:r>
        <w:t xml:space="preserve">: </w:t>
      </w:r>
      <w:r w:rsidR="0076078D">
        <w:t>using</w:t>
      </w:r>
      <w:r w:rsidR="00BD2CF6">
        <w:t xml:space="preserve"> a</w:t>
      </w:r>
      <w:r w:rsidR="0076078D">
        <w:t xml:space="preserve"> </w:t>
      </w:r>
      <w:r w:rsidR="0076078D" w:rsidRPr="0076078D">
        <w:rPr>
          <w:lang w:val="en-GB"/>
        </w:rPr>
        <w:fldChar w:fldCharType="begin"/>
      </w:r>
      <w:r w:rsidR="0076078D" w:rsidRPr="0076078D">
        <w:rPr>
          <w:lang w:val="en-GB"/>
        </w:rPr>
        <w:instrText xml:space="preserve"> HYPERLINK "https://academic.oup.com/aje/article/185/1/65/2662306" </w:instrText>
      </w:r>
      <w:r w:rsidR="0076078D" w:rsidRPr="0076078D">
        <w:rPr>
          <w:lang w:val="en-GB"/>
        </w:rPr>
        <w:fldChar w:fldCharType="separate"/>
      </w:r>
    </w:p>
    <w:p w14:paraId="6FA72E9D" w14:textId="637C33BB" w:rsidR="0076078D" w:rsidRPr="0076078D" w:rsidRDefault="0076078D" w:rsidP="0076078D">
      <w:pPr>
        <w:pStyle w:val="Title"/>
        <w:rPr>
          <w:rStyle w:val="Hyperlink"/>
          <w:lang w:val="en-GB"/>
        </w:rPr>
      </w:pPr>
      <w:r w:rsidRPr="0076078D">
        <w:rPr>
          <w:rStyle w:val="Hyperlink"/>
          <w:lang w:val="en-GB"/>
        </w:rPr>
        <w:t>Targeted Maximum Likelihood Estimat</w:t>
      </w:r>
      <w:r w:rsidR="00BD2CF6">
        <w:rPr>
          <w:rStyle w:val="Hyperlink"/>
          <w:lang w:val="en-GB"/>
        </w:rPr>
        <w:t>or</w:t>
      </w:r>
    </w:p>
    <w:p w14:paraId="2E467EA0" w14:textId="7BB43152" w:rsidR="00086219" w:rsidRDefault="0076078D" w:rsidP="003B0168">
      <w:r w:rsidRPr="0076078D">
        <w:fldChar w:fldCharType="end"/>
      </w:r>
    </w:p>
    <w:p w14:paraId="11C67C39" w14:textId="64EDA69C" w:rsidR="002A0D04" w:rsidRDefault="002A0D04" w:rsidP="002A0D04">
      <w:pPr>
        <w:pStyle w:val="Heading3"/>
      </w:pPr>
      <w:r>
        <w:t>Introduction</w:t>
      </w:r>
    </w:p>
    <w:p w14:paraId="00F8B726" w14:textId="3A331ED2" w:rsidR="002A0D04" w:rsidRDefault="00064E99" w:rsidP="002A0D04">
      <w:pPr>
        <w:pStyle w:val="FirstParagraph"/>
      </w:pPr>
      <w:r w:rsidRPr="00064E99">
        <w:t>The term "social participation" refers to an individual's involvement in activities that allow them to interact with others in society or the community</w:t>
      </w:r>
      <w:r>
        <w:t xml:space="preserve"> </w:t>
      </w:r>
      <w:r w:rsidR="002A0D04">
        <w:t>[@</w:t>
      </w:r>
      <w:r w:rsidR="002A0D04" w:rsidRPr="002A0D04">
        <w:t>levasseur2010</w:t>
      </w:r>
      <w:r w:rsidR="002A0D04">
        <w:t xml:space="preserve">]. </w:t>
      </w:r>
      <w:r w:rsidRPr="00064E99">
        <w:t>Social participation among older adults is regarded as an essential component of healthy aging because it has numerous positive effects on both individuals and society</w:t>
      </w:r>
      <w:r>
        <w:t xml:space="preserve"> </w:t>
      </w:r>
      <w:r w:rsidR="002A0D04">
        <w:t>[@</w:t>
      </w:r>
      <w:r w:rsidR="002A0D04" w:rsidRPr="002A0D04">
        <w:t>Golinowska2016</w:t>
      </w:r>
      <w:r w:rsidR="002A0D04">
        <w:t>]. Previous studies have</w:t>
      </w:r>
      <w:r w:rsidR="002E5880">
        <w:t xml:space="preserve"> </w:t>
      </w:r>
      <w:r w:rsidR="00D53ACF">
        <w:t>link</w:t>
      </w:r>
      <w:r w:rsidR="002E5880">
        <w:t>ed</w:t>
      </w:r>
      <w:r w:rsidR="00D53ACF">
        <w:t xml:space="preserve"> </w:t>
      </w:r>
      <w:r w:rsidR="002A0D04">
        <w:t xml:space="preserve">higher levels of social participation </w:t>
      </w:r>
      <w:r w:rsidR="00D53ACF">
        <w:t xml:space="preserve">to </w:t>
      </w:r>
      <w:r w:rsidR="002A0D04">
        <w:t>survival, better health-related quality of life, well-being, and functioning of older adults [@</w:t>
      </w:r>
      <w:r w:rsidR="00FC684D" w:rsidRPr="00FC684D">
        <w:t>Wanchai2018</w:t>
      </w:r>
      <w:r w:rsidR="00FC684D">
        <w:t>;</w:t>
      </w:r>
      <w:r w:rsidR="0063391A">
        <w:t xml:space="preserve"> </w:t>
      </w:r>
      <w:r w:rsidR="00FC684D">
        <w:t>@</w:t>
      </w:r>
      <w:r w:rsidR="00FC684D" w:rsidRPr="00FC684D">
        <w:t>dahan2008</w:t>
      </w:r>
      <w:r w:rsidR="002A0D04">
        <w:t xml:space="preserve">]. </w:t>
      </w:r>
      <w:r w:rsidR="00DE0D83" w:rsidRPr="00DE0D83">
        <w:t>It is also possible to execute community-level health promotion and prevention activities such as physical activity and smoking and alcohol habit interventions through social engagement</w:t>
      </w:r>
      <w:r w:rsidR="002A0D04">
        <w:t xml:space="preserve"> </w:t>
      </w:r>
      <w:r w:rsidR="00FC684D">
        <w:t>[@</w:t>
      </w:r>
      <w:r w:rsidR="00FC684D" w:rsidRPr="00FC684D">
        <w:t>Saito2019</w:t>
      </w:r>
      <w:r w:rsidR="00FC684D">
        <w:t>]</w:t>
      </w:r>
      <w:r w:rsidR="002A0D04">
        <w:t xml:space="preserve">. </w:t>
      </w:r>
      <w:r w:rsidR="001D536B" w:rsidRPr="001D536B">
        <w:t>However, a variety of socio-demographic and health-related factors have been found to influence the level of social participation among older adults</w:t>
      </w:r>
      <w:r w:rsidR="001D536B">
        <w:t xml:space="preserve"> </w:t>
      </w:r>
      <w:r w:rsidR="00FC684D">
        <w:t>[@</w:t>
      </w:r>
      <w:r w:rsidR="00FC684D" w:rsidRPr="00FC684D">
        <w:t>Cornwell2009</w:t>
      </w:r>
      <w:r w:rsidR="00FC684D">
        <w:t>]</w:t>
      </w:r>
      <w:r w:rsidR="002A0D04">
        <w:t>.</w:t>
      </w:r>
    </w:p>
    <w:p w14:paraId="228EB22D" w14:textId="77777777" w:rsidR="003725EF" w:rsidRDefault="002A0D04" w:rsidP="002A0D04">
      <w:pPr>
        <w:pStyle w:val="BodyText"/>
      </w:pPr>
      <w:r>
        <w:t xml:space="preserve">Teeth and oral health play an important role in speaking, smiling, </w:t>
      </w:r>
      <w:r w:rsidR="001D536B">
        <w:t xml:space="preserve">and </w:t>
      </w:r>
      <w:r>
        <w:t>facial expressions</w:t>
      </w:r>
      <w:r w:rsidR="001D536B">
        <w:t>,</w:t>
      </w:r>
      <w:r>
        <w:t xml:space="preserve"> which are essential for positive social interactions. </w:t>
      </w:r>
      <w:r w:rsidR="003725EF" w:rsidRPr="003725EF">
        <w:t>Tooth loss is common in older adults as a result of a life</w:t>
      </w:r>
      <w:r w:rsidR="003725EF">
        <w:t>-long</w:t>
      </w:r>
      <w:r w:rsidR="003725EF" w:rsidRPr="003725EF">
        <w:t xml:space="preserve"> accumulation of chronic dental conditions such as dental caries and periodontal diseases</w:t>
      </w:r>
      <w:r w:rsidR="003725EF">
        <w:t xml:space="preserve"> </w:t>
      </w:r>
      <w:r w:rsidR="00FC684D">
        <w:t>[@</w:t>
      </w:r>
      <w:r w:rsidR="00FC684D" w:rsidRPr="00FC684D">
        <w:t>Griffin2012</w:t>
      </w:r>
      <w:r w:rsidR="00FC684D">
        <w:t>]</w:t>
      </w:r>
      <w:r>
        <w:t xml:space="preserve">. </w:t>
      </w:r>
      <w:r w:rsidR="003725EF" w:rsidRPr="003725EF">
        <w:t xml:space="preserve">Previous studies have found an association between social participation and dental </w:t>
      </w:r>
      <w:r w:rsidR="003725EF">
        <w:t>status</w:t>
      </w:r>
      <w:r w:rsidR="003725EF" w:rsidRPr="003725EF">
        <w:t xml:space="preserve"> in older adults. </w:t>
      </w:r>
      <w:r w:rsidR="00FC684D">
        <w:t>[@</w:t>
      </w:r>
      <w:r w:rsidR="00FC684D" w:rsidRPr="00FC684D">
        <w:t>Takeuchi2013</w:t>
      </w:r>
      <w:r w:rsidR="00FC684D">
        <w:t>]</w:t>
      </w:r>
      <w:r>
        <w:t xml:space="preserve">. </w:t>
      </w:r>
      <w:r w:rsidR="003725EF" w:rsidRPr="003725EF">
        <w:t>However, no studies have been conducted to examine how changes in dental status affect social participation.</w:t>
      </w:r>
      <w:r>
        <w:t xml:space="preserve"> </w:t>
      </w:r>
      <w:r w:rsidR="003725EF" w:rsidRPr="003725EF">
        <w:t xml:space="preserve">This could be primarily due to </w:t>
      </w:r>
      <w:r w:rsidR="003725EF" w:rsidRPr="003725EF">
        <w:lastRenderedPageBreak/>
        <w:t xml:space="preserve">the inability to conduct </w:t>
      </w:r>
      <w:proofErr w:type="spellStart"/>
      <w:r w:rsidR="003725EF" w:rsidRPr="003725EF">
        <w:t>randomised</w:t>
      </w:r>
      <w:proofErr w:type="spellEnd"/>
      <w:r w:rsidR="003725EF" w:rsidRPr="003725EF">
        <w:t xml:space="preserve"> experiments to manipulate individuals' dental status in community settings.</w:t>
      </w:r>
      <w:r w:rsidR="003725EF">
        <w:t xml:space="preserve"> </w:t>
      </w:r>
    </w:p>
    <w:p w14:paraId="183AEF6B" w14:textId="75EBBE7C" w:rsidR="002A0D04" w:rsidRDefault="008A3572" w:rsidP="002A0D04">
      <w:pPr>
        <w:pStyle w:val="BodyText"/>
      </w:pPr>
      <w:r w:rsidRPr="008A3572">
        <w:t>Longitudinal modified treatment policies (LMTPs) are a recently developed non-parametric alternative that can yield the effects of hypothetical interventions such as reducing or increasing exposure by a set amount</w:t>
      </w:r>
      <w:r>
        <w:t xml:space="preserve"> </w:t>
      </w:r>
      <w:r w:rsidR="00FC684D">
        <w:t>[@</w:t>
      </w:r>
      <w:r w:rsidR="00FC684D" w:rsidRPr="00FC684D">
        <w:t>díaz2021</w:t>
      </w:r>
      <w:r w:rsidR="00FC684D">
        <w:t>]</w:t>
      </w:r>
      <w:r w:rsidR="002A0D04">
        <w:t xml:space="preserve">. This framework can be adapted to seek answer to questions </w:t>
      </w:r>
      <w:r>
        <w:t xml:space="preserve">such as, "What would have happened to the prevalence of social participation if everyone in the study population increased or decreased their dental status by a certain amount?", "What if everyone who is edentulous became dentate?", and "What if everyone lost their teeth?", </w:t>
      </w:r>
      <w:proofErr w:type="spellStart"/>
      <w:r>
        <w:t>utilising</w:t>
      </w:r>
      <w:proofErr w:type="spellEnd"/>
      <w:r>
        <w:t xml:space="preserve"> observational data.</w:t>
      </w:r>
      <w:r w:rsidR="0091017D">
        <w:t xml:space="preserve"> </w:t>
      </w:r>
      <w:r w:rsidR="0091017D" w:rsidRPr="0091017D">
        <w:t>Furthermore, LMTPs can be estimated using sophisticated doubly-robust estimators, such as the targeted maximum likelihood estimator (TMLE), which allows for the use of flexible machine learning predictions</w:t>
      </w:r>
      <w:r w:rsidR="002A0D04">
        <w:t xml:space="preserve"> </w:t>
      </w:r>
      <w:r w:rsidR="00FC684D">
        <w:t>[@</w:t>
      </w:r>
      <w:r w:rsidR="00FC684D" w:rsidRPr="00FC684D">
        <w:t>Laan2011</w:t>
      </w:r>
      <w:r w:rsidR="00FC684D">
        <w:t>]</w:t>
      </w:r>
      <w:r w:rsidR="002A0D04">
        <w:t>.</w:t>
      </w:r>
    </w:p>
    <w:p w14:paraId="1F25FF56" w14:textId="1D0BAB10" w:rsidR="002A0D04" w:rsidRDefault="0091017D" w:rsidP="002A0D04">
      <w:pPr>
        <w:pStyle w:val="BodyText"/>
      </w:pPr>
      <w:r w:rsidRPr="0091017D">
        <w:t>This study presents an analysis that estimates the effect of dental status on social participation while taking the time-varying nature of variables into account</w:t>
      </w:r>
      <w:r w:rsidR="002A0D04">
        <w:t xml:space="preserve">. </w:t>
      </w:r>
      <w:r w:rsidR="00911164" w:rsidRPr="00911164">
        <w:t xml:space="preserve">We used LMTPs to dynamically change the level of exposure (number of remaining natural teeth) in order to investigate its effect on social participation in community-dwelling older adults in Japan </w:t>
      </w:r>
      <w:r w:rsidR="00911164">
        <w:t>within</w:t>
      </w:r>
      <w:r w:rsidR="00911164" w:rsidRPr="00911164">
        <w:t xml:space="preserve"> 6 years of follow-up.</w:t>
      </w:r>
      <w:r w:rsidR="00911164">
        <w:t xml:space="preserve"> </w:t>
      </w:r>
      <w:r w:rsidR="00911164" w:rsidRPr="00911164">
        <w:t>A higher number of teeth would, presumably, have a positive impact on social participation.</w:t>
      </w:r>
      <w:r w:rsidR="002A0D04">
        <w:t xml:space="preserve"> Hence, </w:t>
      </w:r>
      <w:r w:rsidR="00DA4E8E">
        <w:t>w</w:t>
      </w:r>
      <w:r w:rsidR="00DA4E8E" w:rsidRPr="00DA4E8E">
        <w:t>e hypothesized that as the number of teeth increases, social participation improves, and as the number of teeth decreases, social participation declines</w:t>
      </w:r>
      <w:r w:rsidR="00DA4E8E">
        <w:t xml:space="preserve"> among older adults</w:t>
      </w:r>
      <w:r w:rsidR="00DA4E8E" w:rsidRPr="00DA4E8E">
        <w:t>.</w:t>
      </w:r>
    </w:p>
    <w:p w14:paraId="21E4A6B6" w14:textId="00DFDE5B" w:rsidR="00B87FE8" w:rsidRPr="00B87FE8" w:rsidRDefault="00B87FE8" w:rsidP="003B0168">
      <w:pPr>
        <w:pStyle w:val="Heading3"/>
      </w:pPr>
      <w:r w:rsidRPr="00B87FE8">
        <w:t>Methods</w:t>
      </w:r>
    </w:p>
    <w:p w14:paraId="16AE3837" w14:textId="77777777" w:rsidR="00086219" w:rsidRDefault="00701ADC">
      <w:pPr>
        <w:pStyle w:val="Heading4"/>
      </w:pPr>
      <w:bookmarkStart w:id="0" w:name="data"/>
      <w:r>
        <w:t>Data</w:t>
      </w:r>
    </w:p>
    <w:p w14:paraId="37AB422C" w14:textId="3E60BD35" w:rsidR="00D25D3D" w:rsidRDefault="00701ADC">
      <w:pPr>
        <w:pStyle w:val="BodyText"/>
      </w:pPr>
      <w:r>
        <w:t xml:space="preserve">We used data from the Japan Gerontological Evaluation Study (JAGES) </w:t>
      </w:r>
      <w:r w:rsidR="00E554AB">
        <w:t>[@</w:t>
      </w:r>
      <w:r>
        <w:t>Kondo2018</w:t>
      </w:r>
      <w:r w:rsidR="00E554AB">
        <w:t>]</w:t>
      </w:r>
      <w:r>
        <w:t xml:space="preserve">. JAGES is an on-going nationwide cohort study for </w:t>
      </w:r>
      <w:r w:rsidR="007A31BC">
        <w:t>community</w:t>
      </w:r>
      <w:r w:rsidR="00046E5E">
        <w:t>-</w:t>
      </w:r>
      <w:r w:rsidR="007A31BC">
        <w:t xml:space="preserve">dwelling independent </w:t>
      </w:r>
      <w:r>
        <w:t xml:space="preserve">older adults </w:t>
      </w:r>
      <w:r w:rsidR="00046E5E">
        <w:t xml:space="preserve">in Japan </w:t>
      </w:r>
      <w:r>
        <w:lastRenderedPageBreak/>
        <w:t>aged 65 years or</w:t>
      </w:r>
      <w:r w:rsidR="00046E5E">
        <w:t xml:space="preserve"> over</w:t>
      </w:r>
      <w:r>
        <w:t xml:space="preserve">. In this study, data from the 2010 survey as the baseline and two subsequent follow-up surveys (2013 and 2016) were used. We identified </w:t>
      </w:r>
      <w:r w:rsidR="003C17A8" w:rsidRPr="003C17A8">
        <w:t>52,053</w:t>
      </w:r>
      <w:r>
        <w:t xml:space="preserve"> functionally independent individuals</w:t>
      </w:r>
      <w:r w:rsidR="003C17A8">
        <w:t xml:space="preserve"> at the baseline survey. Out of t</w:t>
      </w:r>
      <w:r w:rsidR="000F573F">
        <w:t>hem</w:t>
      </w:r>
      <w:r w:rsidR="003C17A8">
        <w:t xml:space="preserve"> </w:t>
      </w:r>
      <w:r w:rsidR="000F573F">
        <w:t>2</w:t>
      </w:r>
      <w:r w:rsidR="004E4E66">
        <w:t>4</w:t>
      </w:r>
      <w:r w:rsidR="000F573F">
        <w:t>,8</w:t>
      </w:r>
      <w:r w:rsidR="004F25CE">
        <w:t>72</w:t>
      </w:r>
      <w:r w:rsidR="000F573F">
        <w:t xml:space="preserve"> individuals had responded to all </w:t>
      </w:r>
      <w:r>
        <w:t>three waves of JAGES</w:t>
      </w:r>
      <w:r w:rsidR="000F573F">
        <w:t xml:space="preserve"> (</w:t>
      </w:r>
      <w:r w:rsidR="008C3243">
        <w:t>i.e.</w:t>
      </w:r>
      <w:r w:rsidR="000F573F">
        <w:t xml:space="preserve"> 2010, 2013, and 2016)</w:t>
      </w:r>
      <w:r>
        <w:t xml:space="preserve">. </w:t>
      </w:r>
      <w:r w:rsidR="000F573F">
        <w:t>During</w:t>
      </w:r>
      <w:r w:rsidR="00CB0BBB">
        <w:t xml:space="preserve"> the</w:t>
      </w:r>
      <w:r w:rsidR="000F573F">
        <w:t xml:space="preserve"> 6 years of follow-up </w:t>
      </w:r>
      <w:r w:rsidR="00297371" w:rsidRPr="00CB0BBB">
        <w:t>5</w:t>
      </w:r>
      <w:r w:rsidR="000F573F" w:rsidRPr="00CB0BBB">
        <w:t>,</w:t>
      </w:r>
      <w:r w:rsidR="00297371" w:rsidRPr="00CB0BBB">
        <w:t>561</w:t>
      </w:r>
      <w:r w:rsidR="000F573F">
        <w:t xml:space="preserve"> had died, </w:t>
      </w:r>
      <w:r w:rsidR="00297371" w:rsidRPr="00CB0BBB">
        <w:t>7</w:t>
      </w:r>
      <w:r w:rsidR="000F573F" w:rsidRPr="00CB0BBB">
        <w:t>,</w:t>
      </w:r>
      <w:r w:rsidR="00297371" w:rsidRPr="00CB0BBB">
        <w:t>149</w:t>
      </w:r>
      <w:r w:rsidR="000F573F">
        <w:t xml:space="preserve"> </w:t>
      </w:r>
      <w:r w:rsidR="00D25D3D">
        <w:t xml:space="preserve">were </w:t>
      </w:r>
      <w:r w:rsidR="000F573F">
        <w:t xml:space="preserve">ineligible as they </w:t>
      </w:r>
      <w:r w:rsidR="00D25D3D">
        <w:t>became</w:t>
      </w:r>
      <w:r w:rsidR="000F573F">
        <w:t xml:space="preserve"> functionally dependent, and </w:t>
      </w:r>
      <w:r w:rsidR="00D25D3D" w:rsidRPr="00CB0BBB">
        <w:t>1</w:t>
      </w:r>
      <w:r w:rsidR="00297371" w:rsidRPr="00CB0BBB">
        <w:t>4</w:t>
      </w:r>
      <w:r w:rsidR="00D25D3D" w:rsidRPr="00CB0BBB">
        <w:t>,</w:t>
      </w:r>
      <w:r w:rsidR="00297371" w:rsidRPr="00CB0BBB">
        <w:t>471</w:t>
      </w:r>
      <w:r w:rsidR="00E31B76">
        <w:t xml:space="preserve"> were lost to follow-up due to </w:t>
      </w:r>
      <w:r w:rsidR="00EA2199">
        <w:t xml:space="preserve">other </w:t>
      </w:r>
      <w:r w:rsidR="00E31B76">
        <w:t xml:space="preserve">reasons. </w:t>
      </w:r>
      <w:r w:rsidR="00064D91">
        <w:t>A comparison of b</w:t>
      </w:r>
      <w:r w:rsidR="00D25D3D">
        <w:t xml:space="preserve">aseline characteristics </w:t>
      </w:r>
      <w:r w:rsidR="00CB0BBB">
        <w:t>by participants follow-up status (</w:t>
      </w:r>
      <w:r w:rsidR="00092A43">
        <w:t xml:space="preserve">i.e. </w:t>
      </w:r>
      <w:r w:rsidR="00CB0BBB">
        <w:t>died/ became ineligible/ lost to follow-up/ remained)</w:t>
      </w:r>
      <w:r w:rsidR="00064D91">
        <w:t xml:space="preserve"> is reported in </w:t>
      </w:r>
      <w:r w:rsidR="00CB0BBB" w:rsidRPr="00064D91">
        <w:rPr>
          <w:highlight w:val="yellow"/>
        </w:rPr>
        <w:t>supplementary</w:t>
      </w:r>
      <w:r w:rsidR="00064D91" w:rsidRPr="00064D91">
        <w:rPr>
          <w:highlight w:val="yellow"/>
        </w:rPr>
        <w:t xml:space="preserve"> table xx.</w:t>
      </w:r>
    </w:p>
    <w:p w14:paraId="41E768B8" w14:textId="2DF04B35" w:rsidR="00086219" w:rsidRDefault="00701ADC">
      <w:pPr>
        <w:pStyle w:val="BodyText"/>
      </w:pPr>
      <w:r>
        <w:t>After excluding participants with missing information for</w:t>
      </w:r>
      <w:r w:rsidR="00D25D3D">
        <w:t xml:space="preserve"> number of teeth in 2010 (</w:t>
      </w:r>
      <w:r w:rsidR="00D25D3D" w:rsidRPr="00CB0BBB">
        <w:t>n=</w:t>
      </w:r>
      <w:r w:rsidR="004F25CE" w:rsidRPr="00CB0BBB">
        <w:t xml:space="preserve"> 669</w:t>
      </w:r>
      <w:r w:rsidR="00D25D3D">
        <w:t xml:space="preserve">) </w:t>
      </w:r>
      <w:r w:rsidR="00CB0BBB">
        <w:t>and social</w:t>
      </w:r>
      <w:r>
        <w:t xml:space="preserve"> participation in 2016 (</w:t>
      </w:r>
      <w:r w:rsidRPr="00CB0BBB">
        <w:t>n=1,752</w:t>
      </w:r>
      <w:r>
        <w:t>)</w:t>
      </w:r>
      <w:r w:rsidR="00D25D3D">
        <w:t xml:space="preserve"> </w:t>
      </w:r>
      <w:r>
        <w:t>a total of 22,451 participants were included in the analyses.</w:t>
      </w:r>
      <w:r w:rsidR="00E31B76">
        <w:t xml:space="preserve"> </w:t>
      </w:r>
      <w:r>
        <w:t xml:space="preserve">The selection of the analytical sample is </w:t>
      </w:r>
      <w:r w:rsidR="00092A43">
        <w:t xml:space="preserve">shown </w:t>
      </w:r>
      <w:r>
        <w:t xml:space="preserve">in </w:t>
      </w:r>
      <w:r w:rsidR="00CB0BBB">
        <w:t>F</w:t>
      </w:r>
      <w:r>
        <w:t>igure 1.</w:t>
      </w:r>
      <w:r w:rsidR="00E31B76">
        <w:t xml:space="preserve"> Baseline characteristics of the participants who </w:t>
      </w:r>
      <w:r w:rsidR="00350D58">
        <w:t>were excluded due to missing</w:t>
      </w:r>
      <w:r w:rsidR="004F25CE">
        <w:t xml:space="preserve"> information </w:t>
      </w:r>
      <w:r w:rsidR="00E31B76">
        <w:t xml:space="preserve">are compared in </w:t>
      </w:r>
      <w:r w:rsidR="00E31B76" w:rsidRPr="00350D58">
        <w:rPr>
          <w:highlight w:val="yellow"/>
        </w:rPr>
        <w:t>supplementary table xx</w:t>
      </w:r>
      <w:r w:rsidR="00E31B76">
        <w:t>.</w:t>
      </w:r>
    </w:p>
    <w:p w14:paraId="7681F689" w14:textId="5B5DB160" w:rsidR="00F37D06" w:rsidRDefault="004C304E">
      <w:pPr>
        <w:pStyle w:val="BodyText"/>
      </w:pPr>
      <w:r>
        <w:rPr>
          <w:noProof/>
        </w:rPr>
        <w:drawing>
          <wp:inline distT="0" distB="0" distL="0" distR="0" wp14:anchorId="346A8B5D" wp14:editId="3FA45429">
            <wp:extent cx="4437226" cy="336347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8556" cy="3379644"/>
                    </a:xfrm>
                    <a:prstGeom prst="rect">
                      <a:avLst/>
                    </a:prstGeom>
                  </pic:spPr>
                </pic:pic>
              </a:graphicData>
            </a:graphic>
          </wp:inline>
        </w:drawing>
      </w:r>
    </w:p>
    <w:p w14:paraId="65A93415" w14:textId="77777777" w:rsidR="00086219" w:rsidRDefault="00701ADC">
      <w:pPr>
        <w:pStyle w:val="Heading4"/>
      </w:pPr>
      <w:bookmarkStart w:id="1" w:name="outcome-variable"/>
      <w:bookmarkEnd w:id="0"/>
      <w:r>
        <w:lastRenderedPageBreak/>
        <w:t>Outcome variable</w:t>
      </w:r>
    </w:p>
    <w:p w14:paraId="21785EA4" w14:textId="77777777" w:rsidR="00CD0B76" w:rsidRDefault="00701ADC" w:rsidP="00CD0B76">
      <w:pPr>
        <w:pStyle w:val="FirstParagraph"/>
      </w:pPr>
      <w:r>
        <w:t xml:space="preserve">Social participation </w:t>
      </w:r>
      <w:r w:rsidR="00E554AB">
        <w:t xml:space="preserve">in </w:t>
      </w:r>
      <w:r>
        <w:t xml:space="preserve">2016 was the outcome in this study. JAGES recorded the frequency of participation (“nearly every day,” “twice or thrice a week,” “once a week,” “once or twice a month,” “a few times/year,” “never”) for various social activities. </w:t>
      </w:r>
      <w:r w:rsidR="00CD0B76" w:rsidRPr="00CD0B76">
        <w:t>We assessed the frequency of participation in any of the following activities: hobby groups, sports clubs, senior citizens' clubs, residence groups, or volunteer groups.</w:t>
      </w:r>
      <w:r w:rsidR="00CD0B76">
        <w:t xml:space="preserve"> </w:t>
      </w:r>
      <w:bookmarkStart w:id="2" w:name="exposure"/>
      <w:bookmarkEnd w:id="1"/>
      <w:r w:rsidR="00CD0B76" w:rsidRPr="00CD0B76">
        <w:t>Participation in any of the aforementioned activities once a month or more frequently (vs. less frequently or never) was defined as indicative of social participation (1 = participation, 0 = non-participation).</w:t>
      </w:r>
    </w:p>
    <w:p w14:paraId="5AF1CE26" w14:textId="0C6889BA" w:rsidR="00086219" w:rsidRDefault="00701ADC" w:rsidP="00CD0B76">
      <w:pPr>
        <w:pStyle w:val="Heading4"/>
      </w:pPr>
      <w:r>
        <w:t>Exposure</w:t>
      </w:r>
    </w:p>
    <w:p w14:paraId="097E7966" w14:textId="60941F52" w:rsidR="00086219" w:rsidRDefault="00701ADC">
      <w:pPr>
        <w:pStyle w:val="FirstParagraph"/>
      </w:pPr>
      <w:r>
        <w:t xml:space="preserve">The number of remaining natural teeth at the time of the surveys in 2010 and 2013 </w:t>
      </w:r>
      <w:r w:rsidR="00CD0B76">
        <w:t>was</w:t>
      </w:r>
      <w:r>
        <w:t xml:space="preserve"> used as a time</w:t>
      </w:r>
      <w:r w:rsidR="00CD0B76">
        <w:t>-</w:t>
      </w:r>
      <w:r>
        <w:t xml:space="preserve">varying exposure in our analyses. </w:t>
      </w:r>
      <w:r w:rsidR="00CD0B76">
        <w:t>The self-reported number of teeth was recorded using the response to the question, "How many natural teeth do you currently have?" (Instructions: capped/crowned teeth should be counted as "natural teeth").</w:t>
      </w:r>
      <w:r>
        <w:t xml:space="preserve"> </w:t>
      </w:r>
      <w:r w:rsidR="00CD0B76" w:rsidRPr="00CD0B76">
        <w:t xml:space="preserve">The responses of participants were </w:t>
      </w:r>
      <w:r w:rsidR="00CD0B76">
        <w:t>recorde</w:t>
      </w:r>
      <w:r w:rsidR="00CD0B76" w:rsidRPr="00CD0B76">
        <w:t>d in four categories (i.e., 20 teeth/ 10-19 teeth/ 1-9 teeth/ no teeth).</w:t>
      </w:r>
    </w:p>
    <w:p w14:paraId="5403FF9E" w14:textId="77777777" w:rsidR="00086219" w:rsidRDefault="00701ADC">
      <w:pPr>
        <w:pStyle w:val="Heading4"/>
      </w:pPr>
      <w:bookmarkStart w:id="3" w:name="covariates"/>
      <w:bookmarkEnd w:id="2"/>
      <w:r>
        <w:t>Covariates</w:t>
      </w:r>
    </w:p>
    <w:p w14:paraId="3E840C5C" w14:textId="77777777" w:rsidR="003903B0" w:rsidRDefault="00701ADC" w:rsidP="003903B0">
      <w:pPr>
        <w:pStyle w:val="FirstParagraph"/>
      </w:pPr>
      <w:r>
        <w:t xml:space="preserve">We controlled our analyses for both time-invariant and time-variant covariates </w:t>
      </w:r>
      <w:r w:rsidR="00565456">
        <w:t>because</w:t>
      </w:r>
      <w:r>
        <w:t xml:space="preserve"> the number of teeth was assessed as a time</w:t>
      </w:r>
      <w:r w:rsidR="000609BE">
        <w:t>-</w:t>
      </w:r>
      <w:r>
        <w:t>varying exposure. Age (</w:t>
      </w:r>
      <w:r w:rsidR="00F21B97">
        <w:t xml:space="preserve">range </w:t>
      </w:r>
      <w:r>
        <w:t>65</w:t>
      </w:r>
      <w:r w:rsidRPr="00F21B97">
        <w:t>-</w:t>
      </w:r>
      <w:r w:rsidR="00F21B97" w:rsidRPr="00F21B97">
        <w:t>99</w:t>
      </w:r>
      <w:r w:rsidR="00F21B97">
        <w:t xml:space="preserve"> years</w:t>
      </w:r>
      <w:r>
        <w:t>)</w:t>
      </w:r>
      <w:r w:rsidR="00F21B97">
        <w:t xml:space="preserve">, </w:t>
      </w:r>
      <w:r>
        <w:t>sex (male/female)</w:t>
      </w:r>
      <w:r w:rsidR="00F21B97">
        <w:t xml:space="preserve"> and social participation</w:t>
      </w:r>
      <w:r w:rsidR="00F3069F">
        <w:t xml:space="preserve"> </w:t>
      </w:r>
      <w:r w:rsidR="00E95085">
        <w:t>in</w:t>
      </w:r>
      <w:r w:rsidR="00F3069F">
        <w:t xml:space="preserve"> </w:t>
      </w:r>
      <w:r w:rsidR="00E95085">
        <w:t>2010 (</w:t>
      </w:r>
      <w:r w:rsidR="000609BE">
        <w:t>baseline outcome</w:t>
      </w:r>
      <w:r w:rsidR="00E95085">
        <w:t>)</w:t>
      </w:r>
      <w:r w:rsidR="00F3069F">
        <w:t xml:space="preserve"> </w:t>
      </w:r>
      <w:r>
        <w:t xml:space="preserve">were </w:t>
      </w:r>
      <w:r w:rsidR="000609BE">
        <w:t xml:space="preserve">adjusted for </w:t>
      </w:r>
      <w:r>
        <w:t xml:space="preserve">as time-invariant covariates. </w:t>
      </w:r>
      <w:bookmarkStart w:id="4" w:name="statistical-analysis"/>
      <w:bookmarkEnd w:id="3"/>
      <w:r w:rsidR="003903B0" w:rsidRPr="003903B0">
        <w:t xml:space="preserve">As time-variant covariates, </w:t>
      </w:r>
      <w:proofErr w:type="spellStart"/>
      <w:r w:rsidR="003903B0" w:rsidRPr="003903B0">
        <w:t>equalised</w:t>
      </w:r>
      <w:proofErr w:type="spellEnd"/>
      <w:r w:rsidR="003903B0" w:rsidRPr="003903B0">
        <w:t xml:space="preserve"> annual household income (million yen), denture use (yes/no), instrumental activities of daily living (IADL) score (0-13), and marital status (married/ single, widowed or divorced) were </w:t>
      </w:r>
      <w:r w:rsidR="003903B0">
        <w:t>used (</w:t>
      </w:r>
      <w:r w:rsidR="003903B0" w:rsidRPr="003903B0">
        <w:t>measured in 2010 and 2013</w:t>
      </w:r>
      <w:r w:rsidR="003903B0">
        <w:t>)</w:t>
      </w:r>
      <w:r w:rsidR="003903B0" w:rsidRPr="003903B0">
        <w:t>.</w:t>
      </w:r>
      <w:r w:rsidR="003903B0">
        <w:t xml:space="preserve"> </w:t>
      </w:r>
    </w:p>
    <w:p w14:paraId="0E6C5C1A" w14:textId="1FC0B247" w:rsidR="00086219" w:rsidRPr="003903B0" w:rsidRDefault="00701ADC" w:rsidP="003903B0">
      <w:pPr>
        <w:pStyle w:val="FirstParagraph"/>
        <w:rPr>
          <w:rFonts w:eastAsiaTheme="majorEastAsia" w:cstheme="majorBidi"/>
          <w:bCs/>
          <w:i/>
        </w:rPr>
      </w:pPr>
      <w:r w:rsidRPr="003903B0">
        <w:rPr>
          <w:rFonts w:eastAsiaTheme="majorEastAsia" w:cstheme="majorBidi"/>
          <w:bCs/>
          <w:i/>
        </w:rPr>
        <w:lastRenderedPageBreak/>
        <w:t>Statistical analysis</w:t>
      </w:r>
    </w:p>
    <w:p w14:paraId="26163A2D" w14:textId="320342E4" w:rsidR="00D30D63" w:rsidRDefault="00D30D63">
      <w:pPr>
        <w:pStyle w:val="BodyText"/>
      </w:pPr>
      <w:r>
        <w:rPr>
          <w:noProof/>
        </w:rPr>
        <w:drawing>
          <wp:inline distT="0" distB="0" distL="0" distR="0" wp14:anchorId="422A04BD" wp14:editId="3BD0443D">
            <wp:extent cx="4632384" cy="22765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1853" cy="2295995"/>
                    </a:xfrm>
                    <a:prstGeom prst="rect">
                      <a:avLst/>
                    </a:prstGeom>
                  </pic:spPr>
                </pic:pic>
              </a:graphicData>
            </a:graphic>
          </wp:inline>
        </w:drawing>
      </w:r>
    </w:p>
    <w:p w14:paraId="660AA3F3" w14:textId="6CC6EA45" w:rsidR="00B23031" w:rsidRDefault="00CD0B76">
      <w:pPr>
        <w:pStyle w:val="BodyText"/>
      </w:pPr>
      <w:r w:rsidRPr="00CD0B76">
        <w:t>The directed acyclic graph</w:t>
      </w:r>
      <w:r>
        <w:t xml:space="preserve"> </w:t>
      </w:r>
      <w:r w:rsidRPr="00CD0B76">
        <w:t xml:space="preserve">(Figure 2) depicts </w:t>
      </w:r>
      <w:r>
        <w:t>h</w:t>
      </w:r>
      <w:r w:rsidRPr="00CD0B76">
        <w:t>ypothesi</w:t>
      </w:r>
      <w:r>
        <w:t>s</w:t>
      </w:r>
      <w:r w:rsidRPr="00CD0B76">
        <w:t>ed temporal relationships between study variables.</w:t>
      </w:r>
      <w:r w:rsidR="00701ADC">
        <w:t xml:space="preserve"> A descriptive analysis was performed to identify the characteristics</w:t>
      </w:r>
      <w:r w:rsidR="003903B0">
        <w:t xml:space="preserve"> </w:t>
      </w:r>
      <w:r w:rsidR="00701ADC">
        <w:t xml:space="preserve">of participants stratified by </w:t>
      </w:r>
      <w:r w:rsidR="003903B0">
        <w:t xml:space="preserve">the </w:t>
      </w:r>
      <w:r w:rsidR="00840BAF">
        <w:t xml:space="preserve">outcome </w:t>
      </w:r>
      <w:r w:rsidR="00701ADC">
        <w:t>(</w:t>
      </w:r>
      <w:r w:rsidR="00840BAF">
        <w:t>social participation in 2016</w:t>
      </w:r>
      <w:r w:rsidR="00701ADC">
        <w:t xml:space="preserve">). </w:t>
      </w:r>
      <w:r w:rsidR="003903B0" w:rsidRPr="003903B0">
        <w:t>The counterfactual prevalence of social participation was then estimated using doubly-robust targeted maximum likelihood estimation (TMLE)</w:t>
      </w:r>
      <w:r w:rsidR="003903B0">
        <w:t xml:space="preserve"> </w:t>
      </w:r>
      <w:r w:rsidR="0081373C">
        <w:t>[@</w:t>
      </w:r>
      <w:r w:rsidR="00701ADC">
        <w:t>Schuler2016</w:t>
      </w:r>
      <w:r w:rsidR="0081373C">
        <w:t>]</w:t>
      </w:r>
      <w:r w:rsidR="00701ADC">
        <w:t>.</w:t>
      </w:r>
      <w:r w:rsidR="00A664CF">
        <w:t xml:space="preserve"> </w:t>
      </w:r>
      <w:r w:rsidR="006033F6">
        <w:t>In TMLE, the probability of the exposure conditional on covariates (exposure model), and the conditional probability of outcome given exposure and covariates (outcome model) were estimated to obtain</w:t>
      </w:r>
      <w:r w:rsidR="003903B0">
        <w:t xml:space="preserve"> u</w:t>
      </w:r>
      <w:r w:rsidR="003903B0" w:rsidRPr="003903B0">
        <w:t>nbiased estimation of the counterfactual outcomes</w:t>
      </w:r>
      <w:r w:rsidR="006033F6">
        <w:t xml:space="preserve"> </w:t>
      </w:r>
      <w:r w:rsidR="00B23031">
        <w:t>[@Laan2006; @Schuler2016</w:t>
      </w:r>
      <w:r w:rsidR="00EE2647">
        <w:t>].</w:t>
      </w:r>
      <w:r w:rsidR="00B23031">
        <w:t xml:space="preserve"> </w:t>
      </w:r>
      <w:r w:rsidR="006033F6" w:rsidRPr="006033F6">
        <w:t>If either the exposure model or the outcome model was consistently estimated, unbiased estimates could be obtained (</w:t>
      </w:r>
      <w:r w:rsidR="006033F6">
        <w:t xml:space="preserve">hence </w:t>
      </w:r>
      <w:r w:rsidR="006033F6" w:rsidRPr="006033F6">
        <w:t>doubly-robust)</w:t>
      </w:r>
      <w:r w:rsidR="00B23031">
        <w:t xml:space="preserve"> [@Laan2012]. </w:t>
      </w:r>
      <w:r w:rsidR="00694AFD" w:rsidRPr="00694AFD">
        <w:t>To increase the likelihood of robust specification of exposure and outcome models, we used SuperLearner, an ensemble method that uses weighted combinations of multiple machine learning algorithms</w:t>
      </w:r>
      <w:r w:rsidR="00694AFD">
        <w:t xml:space="preserve"> </w:t>
      </w:r>
      <w:r w:rsidR="00B23031">
        <w:t>[</w:t>
      </w:r>
      <w:r w:rsidR="006033F6">
        <w:t>@</w:t>
      </w:r>
      <w:r w:rsidR="00B23031">
        <w:t>Laan2007</w:t>
      </w:r>
      <w:r w:rsidR="006033F6">
        <w:t>;</w:t>
      </w:r>
      <w:r w:rsidR="006033F6" w:rsidRPr="006033F6">
        <w:t xml:space="preserve"> </w:t>
      </w:r>
      <w:r w:rsidR="006033F6">
        <w:t>@Rose2019; @Schomaker2019</w:t>
      </w:r>
      <w:r w:rsidR="00B23031">
        <w:t xml:space="preserve">]. </w:t>
      </w:r>
      <w:r w:rsidR="00B047AA" w:rsidRPr="00B047AA">
        <w:t xml:space="preserve">Within the SuperLearner, generalized linear models, extreme gradient boosting models, and </w:t>
      </w:r>
      <w:r w:rsidR="008B44C3">
        <w:t xml:space="preserve">neural nets </w:t>
      </w:r>
      <w:r w:rsidR="00B047AA" w:rsidRPr="00B047AA">
        <w:t>were used as candidate algorithms.</w:t>
      </w:r>
      <w:r w:rsidR="00B23031">
        <w:t xml:space="preserve"> [@Venables2002; @Chen2016]. </w:t>
      </w:r>
    </w:p>
    <w:p w14:paraId="67EB9265" w14:textId="62E7A867" w:rsidR="00086219" w:rsidRDefault="00A664CF">
      <w:pPr>
        <w:pStyle w:val="BodyText"/>
      </w:pPr>
      <w:r>
        <w:lastRenderedPageBreak/>
        <w:t xml:space="preserve">In </w:t>
      </w:r>
      <w:r w:rsidR="00367B48">
        <w:t>that</w:t>
      </w:r>
      <w:r>
        <w:t xml:space="preserve"> manner</w:t>
      </w:r>
      <w:r w:rsidR="00367B48">
        <w:t>,</w:t>
      </w:r>
      <w:r>
        <w:t xml:space="preserve"> TMLE was used to estimate </w:t>
      </w:r>
      <w:r w:rsidR="00CD0B76">
        <w:t xml:space="preserve">the </w:t>
      </w:r>
      <w:r>
        <w:t xml:space="preserve">prevalence of social participation under </w:t>
      </w:r>
      <w:r w:rsidR="00CD0B76">
        <w:t>a variety of</w:t>
      </w:r>
      <w:r>
        <w:t xml:space="preserve"> </w:t>
      </w:r>
      <w:r w:rsidR="00DF2B10">
        <w:t xml:space="preserve">hypothetical </w:t>
      </w:r>
      <w:r>
        <w:t xml:space="preserve">longitudinal intervention policies related to number of teeth. </w:t>
      </w:r>
      <w:r w:rsidR="00701ADC">
        <w:t xml:space="preserve">Specifically, </w:t>
      </w:r>
      <w:r w:rsidR="00CD0B76">
        <w:t>Specifically, the following hypothetical intervention policies were investigated:</w:t>
      </w:r>
    </w:p>
    <w:p w14:paraId="535C1B6F" w14:textId="1EB038CA" w:rsidR="00086219" w:rsidRDefault="00701ADC">
      <w:pPr>
        <w:pStyle w:val="Compact"/>
        <w:numPr>
          <w:ilvl w:val="0"/>
          <w:numId w:val="14"/>
        </w:numPr>
      </w:pPr>
      <w:r>
        <w:t xml:space="preserve">“all participants </w:t>
      </w:r>
      <w:r w:rsidR="001E25AC">
        <w:t>hav</w:t>
      </w:r>
      <w:r w:rsidR="00CD0B76">
        <w:t>ing</w:t>
      </w:r>
      <w:r w:rsidR="001E25AC">
        <w:t xml:space="preserve"> </w:t>
      </w:r>
      <w:r>
        <w:t xml:space="preserve">≥20 teeth </w:t>
      </w:r>
      <w:r w:rsidR="001E25AC">
        <w:t>in 2010</w:t>
      </w:r>
      <w:r>
        <w:t xml:space="preserve"> and in 2013,”</w:t>
      </w:r>
    </w:p>
    <w:p w14:paraId="0F955D00" w14:textId="67CB9CDC" w:rsidR="00086219" w:rsidRDefault="00701ADC">
      <w:pPr>
        <w:pStyle w:val="Compact"/>
        <w:numPr>
          <w:ilvl w:val="0"/>
          <w:numId w:val="14"/>
        </w:numPr>
      </w:pPr>
      <w:r>
        <w:t xml:space="preserve">“all participants </w:t>
      </w:r>
      <w:r w:rsidR="001E25AC">
        <w:t>hav</w:t>
      </w:r>
      <w:r w:rsidR="00CD0B76">
        <w:t>ing</w:t>
      </w:r>
      <w:r>
        <w:t xml:space="preserve"> 10-19 teeth </w:t>
      </w:r>
      <w:r w:rsidR="001E25AC">
        <w:t xml:space="preserve">in 2010 </w:t>
      </w:r>
      <w:r>
        <w:t>and in 2013,”</w:t>
      </w:r>
    </w:p>
    <w:p w14:paraId="701D7D26" w14:textId="215D1ACF" w:rsidR="00086219" w:rsidRDefault="00701ADC">
      <w:pPr>
        <w:pStyle w:val="Compact"/>
        <w:numPr>
          <w:ilvl w:val="0"/>
          <w:numId w:val="14"/>
        </w:numPr>
      </w:pPr>
      <w:r>
        <w:t xml:space="preserve">“all participants </w:t>
      </w:r>
      <w:r w:rsidR="001E25AC">
        <w:t>hav</w:t>
      </w:r>
      <w:r w:rsidR="00CD0B76">
        <w:t>ing</w:t>
      </w:r>
      <w:r>
        <w:t xml:space="preserve"> 1-10 teeth </w:t>
      </w:r>
      <w:r w:rsidR="001E25AC">
        <w:t xml:space="preserve">in 2010 </w:t>
      </w:r>
      <w:r>
        <w:t>and in 2013,”</w:t>
      </w:r>
    </w:p>
    <w:p w14:paraId="365704D4" w14:textId="3F986193" w:rsidR="00086219" w:rsidRDefault="00701ADC">
      <w:pPr>
        <w:pStyle w:val="Compact"/>
        <w:numPr>
          <w:ilvl w:val="0"/>
          <w:numId w:val="14"/>
        </w:numPr>
      </w:pPr>
      <w:r>
        <w:t xml:space="preserve">“all participants </w:t>
      </w:r>
      <w:r w:rsidR="00CD0B76">
        <w:t xml:space="preserve">being </w:t>
      </w:r>
      <w:r>
        <w:t>edent</w:t>
      </w:r>
      <w:r w:rsidR="001E25AC">
        <w:t>ate</w:t>
      </w:r>
      <w:r>
        <w:t xml:space="preserve"> </w:t>
      </w:r>
      <w:r w:rsidR="001E25AC">
        <w:t xml:space="preserve">in 2010 </w:t>
      </w:r>
      <w:r>
        <w:t>and in 2013,”</w:t>
      </w:r>
    </w:p>
    <w:p w14:paraId="436113C1" w14:textId="7A6D150E" w:rsidR="00086219" w:rsidRDefault="00701ADC">
      <w:pPr>
        <w:pStyle w:val="Compact"/>
        <w:numPr>
          <w:ilvl w:val="0"/>
          <w:numId w:val="14"/>
        </w:numPr>
      </w:pPr>
      <w:r>
        <w:t xml:space="preserve">“participants deteriorate </w:t>
      </w:r>
      <w:r w:rsidR="001E25AC">
        <w:t xml:space="preserve">by </w:t>
      </w:r>
      <w:r>
        <w:t>one</w:t>
      </w:r>
      <w:r w:rsidR="001E25AC">
        <w:t xml:space="preserve"> category in terms </w:t>
      </w:r>
      <w:r w:rsidR="00B23031">
        <w:t>of number</w:t>
      </w:r>
      <w:r>
        <w:t xml:space="preserve"> of teeth in 2010 and in 2013 (see </w:t>
      </w:r>
      <w:r w:rsidR="001B0BA7">
        <w:t>F</w:t>
      </w:r>
      <w:r>
        <w:t xml:space="preserve">igure </w:t>
      </w:r>
      <w:r w:rsidR="00B23031">
        <w:t>3)</w:t>
      </w:r>
      <w:r>
        <w:t>”</w:t>
      </w:r>
    </w:p>
    <w:p w14:paraId="6BAA0082" w14:textId="2BE76C84" w:rsidR="00086219" w:rsidRDefault="00167571">
      <w:pPr>
        <w:pStyle w:val="Compact"/>
        <w:numPr>
          <w:ilvl w:val="0"/>
          <w:numId w:val="14"/>
        </w:numPr>
      </w:pPr>
      <w:r>
        <w:t xml:space="preserve"> </w:t>
      </w:r>
      <w:r w:rsidR="00701ADC">
        <w:t xml:space="preserve">“no intervention” (estimation with originally observed data </w:t>
      </w:r>
      <w:r w:rsidR="001B0BA7">
        <w:t xml:space="preserve">in 2010 </w:t>
      </w:r>
      <w:r w:rsidR="00701ADC">
        <w:t>and in 2013).</w:t>
      </w:r>
    </w:p>
    <w:p w14:paraId="73E27462" w14:textId="0FA842AD" w:rsidR="00086219" w:rsidRDefault="00CD0B76">
      <w:pPr>
        <w:pStyle w:val="FirstParagraph"/>
      </w:pPr>
      <w:r>
        <w:t>U</w:t>
      </w:r>
      <w:r w:rsidRPr="00CD0B76">
        <w:t>sing the prevalence estimate for the no intervention scenario (observed data) as the reference, we calculated odds ratios (ORs) and their 95</w:t>
      </w:r>
      <w:r>
        <w:t>%</w:t>
      </w:r>
      <w:r w:rsidRPr="00CD0B76">
        <w:t xml:space="preserve"> confidence intervals </w:t>
      </w:r>
      <w:r>
        <w:t>for</w:t>
      </w:r>
      <w:r w:rsidRPr="00CD0B76">
        <w:t xml:space="preserve"> the mean prevalence estimates </w:t>
      </w:r>
      <w:r>
        <w:t>of</w:t>
      </w:r>
      <w:r w:rsidRPr="00CD0B76">
        <w:t xml:space="preserve"> social participation related to the aforementioned different scenarios.</w:t>
      </w:r>
      <w:r w:rsidR="00701ADC">
        <w:t xml:space="preserve"> </w:t>
      </w:r>
      <w:r w:rsidRPr="00CD0B76">
        <w:t>As a result, the following contrasts c</w:t>
      </w:r>
      <w:r>
        <w:t>ould</w:t>
      </w:r>
      <w:r w:rsidRPr="00CD0B76">
        <w:t xml:space="preserve"> be investigated:</w:t>
      </w:r>
    </w:p>
    <w:p w14:paraId="03CD9F06" w14:textId="1E0967E5" w:rsidR="00C635A9" w:rsidRDefault="00C635A9" w:rsidP="00C635A9">
      <w:pPr>
        <w:pStyle w:val="Compact"/>
        <w:numPr>
          <w:ilvl w:val="0"/>
          <w:numId w:val="15"/>
        </w:numPr>
      </w:pPr>
      <w:r>
        <w:t>“no intervention” vs “having ≥20 teeth at 2010 and 2013”</w:t>
      </w:r>
      <w:r w:rsidR="003F14D5">
        <w:t>,</w:t>
      </w:r>
      <w:r>
        <w:t xml:space="preserve"> </w:t>
      </w:r>
    </w:p>
    <w:p w14:paraId="4701AA77" w14:textId="5748CE3E" w:rsidR="00086219" w:rsidRDefault="00C635A9">
      <w:pPr>
        <w:pStyle w:val="Compact"/>
        <w:numPr>
          <w:ilvl w:val="0"/>
          <w:numId w:val="15"/>
        </w:numPr>
      </w:pPr>
      <w:r>
        <w:t xml:space="preserve"> “no intervention” </w:t>
      </w:r>
      <w:r w:rsidR="00701ADC">
        <w:t>vs “having 1-9 teeth at 2010 and 2013”</w:t>
      </w:r>
      <w:r w:rsidR="003F14D5">
        <w:t>,</w:t>
      </w:r>
    </w:p>
    <w:p w14:paraId="5327FAE9" w14:textId="6D0FA8B3" w:rsidR="00086219" w:rsidRDefault="00C635A9">
      <w:pPr>
        <w:pStyle w:val="Compact"/>
        <w:numPr>
          <w:ilvl w:val="0"/>
          <w:numId w:val="15"/>
        </w:numPr>
      </w:pPr>
      <w:r>
        <w:t xml:space="preserve"> “no intervention” </w:t>
      </w:r>
      <w:r w:rsidR="00701ADC">
        <w:t>vs “having 1</w:t>
      </w:r>
      <w:r>
        <w:t>0</w:t>
      </w:r>
      <w:r w:rsidR="00701ADC">
        <w:t>-</w:t>
      </w:r>
      <w:r>
        <w:t>1</w:t>
      </w:r>
      <w:r w:rsidR="00701ADC">
        <w:t>9 teeth at 2010 and 2013”</w:t>
      </w:r>
      <w:r w:rsidR="003F14D5">
        <w:t>,</w:t>
      </w:r>
    </w:p>
    <w:p w14:paraId="66C901BE" w14:textId="535FA735" w:rsidR="00086219" w:rsidRDefault="00C635A9">
      <w:pPr>
        <w:pStyle w:val="Compact"/>
        <w:numPr>
          <w:ilvl w:val="0"/>
          <w:numId w:val="15"/>
        </w:numPr>
      </w:pPr>
      <w:r>
        <w:t xml:space="preserve"> </w:t>
      </w:r>
      <w:r w:rsidR="00701ADC">
        <w:t>“no intervention” vs “deteriorate by one number of teeth category at 2010 and 2013”</w:t>
      </w:r>
      <w:r w:rsidR="003F14D5">
        <w:t>,</w:t>
      </w:r>
    </w:p>
    <w:p w14:paraId="53EF676B" w14:textId="43340AF4" w:rsidR="00086219" w:rsidRDefault="00701ADC">
      <w:pPr>
        <w:pStyle w:val="Compact"/>
        <w:numPr>
          <w:ilvl w:val="0"/>
          <w:numId w:val="15"/>
        </w:numPr>
      </w:pPr>
      <w:r>
        <w:t>“no intervention” vs “being edentulous at 2010 and 2013”</w:t>
      </w:r>
      <w:r w:rsidR="003F14D5">
        <w:t>.</w:t>
      </w:r>
    </w:p>
    <w:p w14:paraId="225F58CD" w14:textId="6A99FAF8" w:rsidR="00086219" w:rsidRDefault="00CD0B76" w:rsidP="009804C1">
      <w:pPr>
        <w:pStyle w:val="Compact"/>
      </w:pPr>
      <w:r w:rsidRPr="00CD0B76">
        <w:t>In addition, a secondary analysis was performed to estimate the effect of denture use on social participation among people with different numbers of teeth.</w:t>
      </w:r>
      <w:r>
        <w:t xml:space="preserve"> </w:t>
      </w:r>
      <w:r w:rsidRPr="00CD0B76">
        <w:t xml:space="preserve">To investigate the effect of denture use, two hypothetical interventions were set up: (1) all participants wearing dentures in 2010 and </w:t>
      </w:r>
      <w:r w:rsidRPr="00CD0B76">
        <w:lastRenderedPageBreak/>
        <w:t>2013, and (2) none of the participants wearing dentures in 2010 and 2013.</w:t>
      </w:r>
      <w:r w:rsidR="00D765C5">
        <w:t xml:space="preserve"> </w:t>
      </w:r>
      <w:r w:rsidR="0007281C" w:rsidRPr="0007281C">
        <w:t xml:space="preserve">To calculate ORs and 95% CIs, the scenario in which no one wears dentures was used as </w:t>
      </w:r>
      <w:r w:rsidR="0007281C">
        <w:t>the</w:t>
      </w:r>
      <w:r w:rsidR="0007281C" w:rsidRPr="0007281C">
        <w:t xml:space="preserve"> reference.</w:t>
      </w:r>
      <w:r w:rsidR="001A6FFD">
        <w:t xml:space="preserve"> </w:t>
      </w:r>
      <w:r w:rsidR="00B23031">
        <w:t>All e</w:t>
      </w:r>
      <w:r w:rsidR="00701ADC">
        <w:t xml:space="preserve">stimates were </w:t>
      </w:r>
      <w:r w:rsidR="001E1560">
        <w:t xml:space="preserve">appropriately </w:t>
      </w:r>
      <w:r w:rsidR="00701ADC">
        <w:t>controlled for time-variant and time-invariant covariates.</w:t>
      </w:r>
    </w:p>
    <w:p w14:paraId="73E04E29" w14:textId="415FE168" w:rsidR="00086219" w:rsidRDefault="0099233F">
      <w:pPr>
        <w:pStyle w:val="BodyText"/>
      </w:pPr>
      <w:r w:rsidRPr="0099233F">
        <w:t xml:space="preserve">For </w:t>
      </w:r>
      <w:r w:rsidR="00701BAA">
        <w:t xml:space="preserve">imputation of </w:t>
      </w:r>
      <w:r w:rsidRPr="0099233F">
        <w:t xml:space="preserve">missing data in covariates, we used random forest multivariate imputation by chained equations (MICE). In imputing complex epidemiologic data, random forest MICE has been shown to produce less biased parameter estimates and better confidence interval convergence </w:t>
      </w:r>
      <w:r w:rsidR="00701BAA">
        <w:t xml:space="preserve">compared to </w:t>
      </w:r>
      <w:r w:rsidRPr="0099233F">
        <w:t>parametric MICE</w:t>
      </w:r>
      <w:r>
        <w:rPr>
          <w:color w:val="000000"/>
          <w:shd w:val="clear" w:color="auto" w:fill="FFFFFF"/>
        </w:rPr>
        <w:t xml:space="preserve"> </w:t>
      </w:r>
      <w:r>
        <w:t>[@</w:t>
      </w:r>
      <w:r w:rsidRPr="00E5226E">
        <w:t>Shah2014</w:t>
      </w:r>
      <w:r>
        <w:t>]</w:t>
      </w:r>
      <w:r>
        <w:rPr>
          <w:color w:val="000000"/>
          <w:shd w:val="clear" w:color="auto" w:fill="FFFFFF"/>
        </w:rPr>
        <w:t xml:space="preserve">. </w:t>
      </w:r>
      <w:r w:rsidR="00701BAA">
        <w:rPr>
          <w:color w:val="000000"/>
          <w:shd w:val="clear" w:color="auto" w:fill="FFFFFF"/>
        </w:rPr>
        <w:t>We performed our analyses using five imputed datasets and the results were pooled using Rubin’s rules</w:t>
      </w:r>
      <w:r w:rsidR="00095827">
        <w:t>.</w:t>
      </w:r>
      <w:r w:rsidR="00095827" w:rsidRPr="00095827">
        <w:t xml:space="preserve"> </w:t>
      </w:r>
      <w:r w:rsidR="009E73C2">
        <w:t xml:space="preserve">Random forest MICE was implemented using </w:t>
      </w:r>
      <w:r w:rsidR="009E73C2" w:rsidRPr="00DD5F07">
        <w:rPr>
          <w:i/>
        </w:rPr>
        <w:t>mice</w:t>
      </w:r>
      <w:r w:rsidR="009E73C2">
        <w:t xml:space="preserve"> R package [@</w:t>
      </w:r>
      <w:r w:rsidR="009E73C2" w:rsidRPr="00602652">
        <w:t>Buuren2011</w:t>
      </w:r>
      <w:r w:rsidR="009E73C2">
        <w:t>]. The d</w:t>
      </w:r>
      <w:r w:rsidR="00E268FD">
        <w:t xml:space="preserve">istribution of missingness among covariates is </w:t>
      </w:r>
      <w:r w:rsidR="00701BAA">
        <w:t>reported</w:t>
      </w:r>
      <w:r w:rsidR="00E268FD">
        <w:t xml:space="preserve"> in supplementary Figure </w:t>
      </w:r>
      <w:r w:rsidR="00E268FD" w:rsidRPr="00E268FD">
        <w:rPr>
          <w:highlight w:val="yellow"/>
        </w:rPr>
        <w:t>xx</w:t>
      </w:r>
      <w:r w:rsidR="001A4632">
        <w:rPr>
          <w:highlight w:val="yellow"/>
        </w:rPr>
        <w:t>.</w:t>
      </w:r>
    </w:p>
    <w:p w14:paraId="7F237CE4" w14:textId="2098579F" w:rsidR="00086219" w:rsidRDefault="002C479F">
      <w:pPr>
        <w:pStyle w:val="BodyText"/>
      </w:pPr>
      <w:r w:rsidRPr="002C479F">
        <w:t xml:space="preserve">The </w:t>
      </w:r>
      <w:proofErr w:type="spellStart"/>
      <w:r w:rsidRPr="002C479F">
        <w:rPr>
          <w:i/>
        </w:rPr>
        <w:t>lmtp</w:t>
      </w:r>
      <w:proofErr w:type="spellEnd"/>
      <w:r w:rsidRPr="002C479F">
        <w:t xml:space="preserve"> R package was used to compute TMLE estimates with SuperLearner for each hypothetical intervention</w:t>
      </w:r>
      <w:r>
        <w:t xml:space="preserve"> </w:t>
      </w:r>
      <w:r w:rsidR="00CF0179">
        <w:t>[@</w:t>
      </w:r>
      <w:proofErr w:type="spellStart"/>
      <w:r w:rsidR="00CF0179" w:rsidRPr="00CF0179">
        <w:t>lmtpR</w:t>
      </w:r>
      <w:proofErr w:type="spellEnd"/>
      <w:r w:rsidR="00CF0179">
        <w:t>]</w:t>
      </w:r>
      <w:r w:rsidR="009E73C2">
        <w:t>.</w:t>
      </w:r>
      <w:r w:rsidR="00701BAA">
        <w:t xml:space="preserve"> </w:t>
      </w:r>
      <w:r w:rsidR="00602652">
        <w:t>Main R functions</w:t>
      </w:r>
      <w:r w:rsidR="00701ADC">
        <w:t xml:space="preserve"> </w:t>
      </w:r>
      <w:r w:rsidR="007A714E">
        <w:t xml:space="preserve">used </w:t>
      </w:r>
      <w:r w:rsidR="00701ADC">
        <w:t xml:space="preserve">to generate </w:t>
      </w:r>
      <w:r w:rsidR="009C6B95">
        <w:t xml:space="preserve">our </w:t>
      </w:r>
      <w:r w:rsidR="00701ADC">
        <w:t>result</w:t>
      </w:r>
      <w:r w:rsidR="009C6B95">
        <w:t>s</w:t>
      </w:r>
      <w:r w:rsidR="00701ADC">
        <w:t xml:space="preserve"> are provide</w:t>
      </w:r>
      <w:r w:rsidR="00367B48">
        <w:t>d</w:t>
      </w:r>
      <w:r w:rsidR="00701ADC">
        <w:t xml:space="preserve"> in </w:t>
      </w:r>
      <w:r w:rsidR="00701ADC" w:rsidRPr="00367B48">
        <w:rPr>
          <w:highlight w:val="yellow"/>
        </w:rPr>
        <w:t>appendix xx</w:t>
      </w:r>
      <w:r w:rsidR="00701ADC">
        <w:t xml:space="preserve">. </w:t>
      </w:r>
      <w:r w:rsidR="00602652">
        <w:t xml:space="preserve">All </w:t>
      </w:r>
      <w:r w:rsidR="00663659">
        <w:t xml:space="preserve">the other codes </w:t>
      </w:r>
      <w:r>
        <w:t xml:space="preserve">that </w:t>
      </w:r>
      <w:r w:rsidR="00663659">
        <w:t xml:space="preserve">used for data preparation and supplementary analyses can be found at </w:t>
      </w:r>
      <w:hyperlink r:id="rId10" w:history="1">
        <w:r w:rsidR="00663659" w:rsidRPr="00995627">
          <w:rPr>
            <w:rStyle w:val="Hyperlink"/>
          </w:rPr>
          <w:t>https://github.com/upulcooray/socialParticipation</w:t>
        </w:r>
      </w:hyperlink>
      <w:r w:rsidR="00663659">
        <w:t xml:space="preserve">. </w:t>
      </w:r>
      <w:r w:rsidR="00701ADC">
        <w:t xml:space="preserve">All </w:t>
      </w:r>
      <w:r w:rsidR="00663659">
        <w:t xml:space="preserve">the </w:t>
      </w:r>
      <w:r w:rsidR="00701ADC">
        <w:t xml:space="preserve">analyses were conducted in R studio using </w:t>
      </w:r>
      <w:r w:rsidR="00701ADC">
        <w:rPr>
          <w:rStyle w:val="VerbatimChar"/>
        </w:rPr>
        <w:t>R version 4.0.5</w:t>
      </w:r>
      <w:r w:rsidR="00701ADC">
        <w:t xml:space="preserve"> for Windows x64.</w:t>
      </w:r>
      <w:r w:rsidR="00E306FD">
        <w:t xml:space="preserve"> </w:t>
      </w:r>
    </w:p>
    <w:p w14:paraId="0F7B3CBA" w14:textId="12E9257D" w:rsidR="00086219" w:rsidRDefault="00701ADC">
      <w:pPr>
        <w:pStyle w:val="Heading3"/>
      </w:pPr>
      <w:bookmarkStart w:id="5" w:name="results"/>
      <w:bookmarkEnd w:id="4"/>
      <w:r>
        <w:t>Results</w:t>
      </w:r>
    </w:p>
    <w:p w14:paraId="4312EFAC" w14:textId="226CFA01" w:rsidR="009341B7" w:rsidRDefault="00701ADC" w:rsidP="009341B7">
      <w:pPr>
        <w:pStyle w:val="FirstParagraph"/>
      </w:pPr>
      <w:r>
        <w:t>Baseline characteristics of the sample stratified by the outcome variable are presented in the Table 1. In the 2016 follow-up</w:t>
      </w:r>
      <w:r w:rsidR="00036997">
        <w:t>,</w:t>
      </w:r>
      <w:r>
        <w:t xml:space="preserve"> 11,762 people reported a frequency of at least once a month social participation. Baseline characteristics associated with social non-participation in 2016 were older age, lower income, lower IADL score, edentulous or low number of teeth, and lower frequency of social participation at the baseline.</w:t>
      </w:r>
    </w:p>
    <w:p w14:paraId="3627D5EE" w14:textId="018AFF26" w:rsidR="008B1365" w:rsidRDefault="008B1365" w:rsidP="00ED2E93">
      <w:pPr>
        <w:pStyle w:val="BodyText"/>
        <w:rPr>
          <w:highlight w:val="yellow"/>
        </w:rPr>
      </w:pPr>
    </w:p>
    <w:p w14:paraId="4C6B0B94" w14:textId="003D3146" w:rsidR="008B1365" w:rsidRDefault="008B1365" w:rsidP="00ED2E93">
      <w:pPr>
        <w:pStyle w:val="BodyText"/>
        <w:rPr>
          <w:highlight w:val="yellow"/>
        </w:rPr>
      </w:pPr>
      <w:r>
        <w:rPr>
          <w:highlight w:val="yellow"/>
        </w:rPr>
        <w:lastRenderedPageBreak/>
        <w:t xml:space="preserve">                  Table1</w:t>
      </w:r>
    </w:p>
    <w:tbl>
      <w:tblPr>
        <w:tblW w:w="0" w:type="auto"/>
        <w:jc w:val="center"/>
        <w:tblLook w:val="0420" w:firstRow="1" w:lastRow="0" w:firstColumn="0" w:lastColumn="0" w:noHBand="0" w:noVBand="1"/>
      </w:tblPr>
      <w:tblGrid>
        <w:gridCol w:w="3718"/>
        <w:gridCol w:w="1703"/>
        <w:gridCol w:w="1624"/>
      </w:tblGrid>
      <w:tr w:rsidR="008B1365" w14:paraId="691E0FBA" w14:textId="77777777" w:rsidTr="00D16F14">
        <w:trPr>
          <w:cantSplit/>
          <w:jc w:val="center"/>
        </w:trPr>
        <w:tc>
          <w:tcPr>
            <w:tcW w:w="0" w:type="auto"/>
            <w:tcBorders>
              <w:top w:val="single" w:sz="16" w:space="0" w:color="000000"/>
            </w:tcBorders>
            <w:shd w:val="clear" w:color="auto" w:fill="FFFFFF"/>
            <w:tcMar>
              <w:top w:w="0" w:type="dxa"/>
              <w:left w:w="0" w:type="dxa"/>
              <w:bottom w:w="0" w:type="dxa"/>
              <w:right w:w="0" w:type="dxa"/>
            </w:tcMar>
            <w:vAlign w:val="center"/>
          </w:tcPr>
          <w:p w14:paraId="5B58690A" w14:textId="77777777" w:rsidR="008B1365" w:rsidRDefault="008B1365" w:rsidP="008B1365">
            <w:pPr>
              <w:spacing w:before="100" w:after="100" w:line="240" w:lineRule="auto"/>
              <w:ind w:left="100" w:right="100"/>
              <w:jc w:val="center"/>
            </w:pPr>
          </w:p>
        </w:tc>
        <w:tc>
          <w:tcPr>
            <w:tcW w:w="0" w:type="auto"/>
            <w:gridSpan w:val="2"/>
            <w:tcBorders>
              <w:top w:val="single" w:sz="16" w:space="0" w:color="000000"/>
            </w:tcBorders>
            <w:shd w:val="clear" w:color="auto" w:fill="FFFFFF"/>
            <w:tcMar>
              <w:top w:w="0" w:type="dxa"/>
              <w:left w:w="0" w:type="dxa"/>
              <w:bottom w:w="0" w:type="dxa"/>
              <w:right w:w="0" w:type="dxa"/>
            </w:tcMar>
            <w:vAlign w:val="center"/>
          </w:tcPr>
          <w:p w14:paraId="69C296BF" w14:textId="77777777" w:rsidR="008B1365" w:rsidRDefault="008B1365" w:rsidP="008B1365">
            <w:pPr>
              <w:spacing w:before="100" w:after="100" w:line="240" w:lineRule="auto"/>
              <w:ind w:left="100" w:right="100"/>
              <w:jc w:val="center"/>
            </w:pPr>
            <w:r>
              <w:rPr>
                <w:rFonts w:eastAsia="Arial" w:hAnsi="Arial" w:cs="Arial"/>
                <w:color w:val="000000"/>
                <w:sz w:val="22"/>
                <w:szCs w:val="22"/>
              </w:rPr>
              <w:t>Social Participation in 2016</w:t>
            </w:r>
          </w:p>
        </w:tc>
      </w:tr>
      <w:tr w:rsidR="008B1365" w14:paraId="6BF694C9" w14:textId="77777777" w:rsidTr="00D16F14">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414E3374" w14:textId="77777777" w:rsidR="008B1365" w:rsidRDefault="008B1365" w:rsidP="008B1365">
            <w:pPr>
              <w:spacing w:before="100" w:after="100" w:line="240" w:lineRule="auto"/>
              <w:ind w:left="100" w:right="100"/>
            </w:pPr>
            <w:r>
              <w:rPr>
                <w:rFonts w:eastAsia="Arial" w:hAnsi="Arial" w:cs="Arial"/>
                <w:color w:val="000000"/>
                <w:sz w:val="22"/>
                <w:szCs w:val="22"/>
              </w:rPr>
              <w:t>Baseline characteristics</w:t>
            </w:r>
            <w:r>
              <w:rPr>
                <w:rFonts w:eastAsia="Arial" w:hAnsi="Arial" w:cs="Arial"/>
                <w:color w:val="000000"/>
                <w:sz w:val="22"/>
                <w:szCs w:val="22"/>
                <w:vertAlign w:val="superscript"/>
              </w:rPr>
              <w:t>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18BDA8" w14:textId="77777777" w:rsidR="008B1365" w:rsidRDefault="008B1365" w:rsidP="008B1365">
            <w:pPr>
              <w:spacing w:before="100" w:after="100" w:line="240" w:lineRule="auto"/>
              <w:ind w:left="100" w:right="100"/>
            </w:pPr>
            <w:r>
              <w:rPr>
                <w:rFonts w:eastAsia="Arial" w:hAnsi="Arial" w:cs="Arial"/>
                <w:color w:val="000000"/>
                <w:sz w:val="22"/>
                <w:szCs w:val="22"/>
              </w:rPr>
              <w:t>Yes (N=11762)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0D20B" w14:textId="77777777" w:rsidR="008B1365" w:rsidRDefault="008B1365" w:rsidP="008B1365">
            <w:pPr>
              <w:spacing w:before="100" w:after="100" w:line="240" w:lineRule="auto"/>
              <w:ind w:left="100" w:right="100"/>
            </w:pPr>
            <w:r>
              <w:rPr>
                <w:rFonts w:eastAsia="Arial" w:hAnsi="Arial" w:cs="Arial"/>
                <w:color w:val="000000"/>
                <w:sz w:val="22"/>
                <w:szCs w:val="22"/>
              </w:rPr>
              <w:t>No (N=10689)</w:t>
            </w:r>
          </w:p>
        </w:tc>
      </w:tr>
      <w:tr w:rsidR="008B1365" w14:paraId="25C2DA0A" w14:textId="77777777" w:rsidTr="00D16F14">
        <w:trPr>
          <w:cantSplit/>
          <w:jc w:val="center"/>
        </w:trPr>
        <w:tc>
          <w:tcPr>
            <w:tcW w:w="0" w:type="auto"/>
            <w:shd w:val="clear" w:color="auto" w:fill="FFFFFF"/>
            <w:tcMar>
              <w:top w:w="0" w:type="dxa"/>
              <w:left w:w="0" w:type="dxa"/>
              <w:bottom w:w="0" w:type="dxa"/>
              <w:right w:w="0" w:type="dxa"/>
            </w:tcMar>
            <w:vAlign w:val="center"/>
          </w:tcPr>
          <w:p w14:paraId="6DB6C3FA" w14:textId="77777777" w:rsidR="008B1365" w:rsidRDefault="008B1365" w:rsidP="008B1365">
            <w:pPr>
              <w:spacing w:before="100" w:after="100" w:line="240" w:lineRule="auto"/>
              <w:ind w:left="100" w:right="100"/>
            </w:pPr>
            <w:r>
              <w:rPr>
                <w:rFonts w:eastAsia="Arial" w:hAnsi="Arial" w:cs="Arial"/>
                <w:b/>
                <w:color w:val="000000"/>
                <w:sz w:val="22"/>
                <w:szCs w:val="22"/>
              </w:rPr>
              <w:t>Age (range 65yrs-99yrs)</w:t>
            </w:r>
          </w:p>
        </w:tc>
        <w:tc>
          <w:tcPr>
            <w:tcW w:w="0" w:type="auto"/>
            <w:shd w:val="clear" w:color="auto" w:fill="FFFFFF"/>
            <w:tcMar>
              <w:top w:w="0" w:type="dxa"/>
              <w:left w:w="0" w:type="dxa"/>
              <w:bottom w:w="0" w:type="dxa"/>
              <w:right w:w="0" w:type="dxa"/>
            </w:tcMar>
            <w:vAlign w:val="center"/>
          </w:tcPr>
          <w:p w14:paraId="178937B2"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062A7478" w14:textId="77777777" w:rsidR="008B1365" w:rsidRDefault="008B1365" w:rsidP="008B1365">
            <w:pPr>
              <w:spacing w:before="100" w:after="100" w:line="240" w:lineRule="auto"/>
              <w:ind w:left="100" w:right="100"/>
            </w:pPr>
          </w:p>
        </w:tc>
      </w:tr>
      <w:tr w:rsidR="008B1365" w14:paraId="5AFD1BB5" w14:textId="77777777" w:rsidTr="00D16F14">
        <w:trPr>
          <w:cantSplit/>
          <w:jc w:val="center"/>
        </w:trPr>
        <w:tc>
          <w:tcPr>
            <w:tcW w:w="0" w:type="auto"/>
            <w:shd w:val="clear" w:color="auto" w:fill="FFFFFF"/>
            <w:tcMar>
              <w:top w:w="0" w:type="dxa"/>
              <w:left w:w="0" w:type="dxa"/>
              <w:bottom w:w="0" w:type="dxa"/>
              <w:right w:w="0" w:type="dxa"/>
            </w:tcMar>
            <w:vAlign w:val="center"/>
          </w:tcPr>
          <w:p w14:paraId="3F337F2F" w14:textId="77777777" w:rsidR="008B1365" w:rsidRDefault="008B1365" w:rsidP="008B1365">
            <w:pPr>
              <w:spacing w:before="100" w:after="100" w:line="240" w:lineRule="auto"/>
              <w:ind w:left="300" w:right="100"/>
            </w:pPr>
            <w:r>
              <w:rPr>
                <w:rFonts w:eastAsia="Arial" w:hAnsi="Arial" w:cs="Arial"/>
                <w:color w:val="000000"/>
                <w:sz w:val="22"/>
                <w:szCs w:val="22"/>
              </w:rPr>
              <w:t xml:space="preserve"> Mean (SD)</w:t>
            </w:r>
          </w:p>
        </w:tc>
        <w:tc>
          <w:tcPr>
            <w:tcW w:w="0" w:type="auto"/>
            <w:shd w:val="clear" w:color="auto" w:fill="FFFFFF"/>
            <w:tcMar>
              <w:top w:w="0" w:type="dxa"/>
              <w:left w:w="0" w:type="dxa"/>
              <w:bottom w:w="0" w:type="dxa"/>
              <w:right w:w="0" w:type="dxa"/>
            </w:tcMar>
            <w:vAlign w:val="center"/>
          </w:tcPr>
          <w:p w14:paraId="35A307D7" w14:textId="77777777" w:rsidR="008B1365" w:rsidRDefault="008B1365" w:rsidP="008B1365">
            <w:pPr>
              <w:spacing w:before="100" w:after="100" w:line="240" w:lineRule="auto"/>
              <w:ind w:left="100" w:right="100"/>
            </w:pPr>
            <w:r>
              <w:rPr>
                <w:rFonts w:eastAsia="Arial" w:hAnsi="Arial" w:cs="Arial"/>
                <w:color w:val="000000"/>
                <w:sz w:val="22"/>
                <w:szCs w:val="22"/>
              </w:rPr>
              <w:t>71.8 (4.6)</w:t>
            </w:r>
          </w:p>
        </w:tc>
        <w:tc>
          <w:tcPr>
            <w:tcW w:w="0" w:type="auto"/>
            <w:shd w:val="clear" w:color="auto" w:fill="FFFFFF"/>
            <w:tcMar>
              <w:top w:w="0" w:type="dxa"/>
              <w:left w:w="0" w:type="dxa"/>
              <w:bottom w:w="0" w:type="dxa"/>
              <w:right w:w="0" w:type="dxa"/>
            </w:tcMar>
            <w:vAlign w:val="center"/>
          </w:tcPr>
          <w:p w14:paraId="4A708DCF" w14:textId="77777777" w:rsidR="008B1365" w:rsidRDefault="008B1365" w:rsidP="008B1365">
            <w:pPr>
              <w:spacing w:before="100" w:after="100" w:line="240" w:lineRule="auto"/>
              <w:ind w:left="100" w:right="100"/>
            </w:pPr>
            <w:r>
              <w:rPr>
                <w:rFonts w:eastAsia="Arial" w:hAnsi="Arial" w:cs="Arial"/>
                <w:color w:val="000000"/>
                <w:sz w:val="22"/>
                <w:szCs w:val="22"/>
              </w:rPr>
              <w:t>72.7 (5.3)</w:t>
            </w:r>
          </w:p>
        </w:tc>
      </w:tr>
      <w:tr w:rsidR="008B1365" w14:paraId="78AA2DF1" w14:textId="77777777" w:rsidTr="00D16F14">
        <w:trPr>
          <w:cantSplit/>
          <w:jc w:val="center"/>
        </w:trPr>
        <w:tc>
          <w:tcPr>
            <w:tcW w:w="0" w:type="auto"/>
            <w:shd w:val="clear" w:color="auto" w:fill="FFFFFF"/>
            <w:tcMar>
              <w:top w:w="0" w:type="dxa"/>
              <w:left w:w="0" w:type="dxa"/>
              <w:bottom w:w="0" w:type="dxa"/>
              <w:right w:w="0" w:type="dxa"/>
            </w:tcMar>
            <w:vAlign w:val="center"/>
          </w:tcPr>
          <w:p w14:paraId="3B1CE2F8" w14:textId="77777777" w:rsidR="008B1365" w:rsidRDefault="008B1365" w:rsidP="008B1365">
            <w:pPr>
              <w:spacing w:before="100" w:after="100" w:line="240" w:lineRule="auto"/>
              <w:ind w:left="100" w:right="100"/>
            </w:pPr>
            <w:r>
              <w:rPr>
                <w:rFonts w:eastAsia="Arial" w:hAnsi="Arial" w:cs="Arial"/>
                <w:b/>
                <w:color w:val="000000"/>
                <w:sz w:val="22"/>
                <w:szCs w:val="22"/>
              </w:rPr>
              <w:t>Household income (million yen)</w:t>
            </w:r>
          </w:p>
        </w:tc>
        <w:tc>
          <w:tcPr>
            <w:tcW w:w="0" w:type="auto"/>
            <w:shd w:val="clear" w:color="auto" w:fill="FFFFFF"/>
            <w:tcMar>
              <w:top w:w="0" w:type="dxa"/>
              <w:left w:w="0" w:type="dxa"/>
              <w:bottom w:w="0" w:type="dxa"/>
              <w:right w:w="0" w:type="dxa"/>
            </w:tcMar>
            <w:vAlign w:val="center"/>
          </w:tcPr>
          <w:p w14:paraId="5E3C135E"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41BFDDBB" w14:textId="77777777" w:rsidR="008B1365" w:rsidRDefault="008B1365" w:rsidP="008B1365">
            <w:pPr>
              <w:spacing w:before="100" w:after="100" w:line="240" w:lineRule="auto"/>
              <w:ind w:left="100" w:right="100"/>
            </w:pPr>
          </w:p>
        </w:tc>
      </w:tr>
      <w:tr w:rsidR="008B1365" w14:paraId="5D07B8B2" w14:textId="77777777" w:rsidTr="00D16F14">
        <w:trPr>
          <w:cantSplit/>
          <w:jc w:val="center"/>
        </w:trPr>
        <w:tc>
          <w:tcPr>
            <w:tcW w:w="0" w:type="auto"/>
            <w:shd w:val="clear" w:color="auto" w:fill="FFFFFF"/>
            <w:tcMar>
              <w:top w:w="0" w:type="dxa"/>
              <w:left w:w="0" w:type="dxa"/>
              <w:bottom w:w="0" w:type="dxa"/>
              <w:right w:w="0" w:type="dxa"/>
            </w:tcMar>
            <w:vAlign w:val="center"/>
          </w:tcPr>
          <w:p w14:paraId="33B15CAE" w14:textId="77777777" w:rsidR="008B1365" w:rsidRDefault="008B1365" w:rsidP="008B1365">
            <w:pPr>
              <w:spacing w:before="100" w:after="100" w:line="240" w:lineRule="auto"/>
              <w:ind w:left="300" w:right="100"/>
            </w:pPr>
            <w:r>
              <w:rPr>
                <w:rFonts w:eastAsia="Arial" w:hAnsi="Arial" w:cs="Arial"/>
                <w:color w:val="000000"/>
                <w:sz w:val="22"/>
                <w:szCs w:val="22"/>
              </w:rPr>
              <w:t xml:space="preserve"> Mean (SD)</w:t>
            </w:r>
          </w:p>
        </w:tc>
        <w:tc>
          <w:tcPr>
            <w:tcW w:w="0" w:type="auto"/>
            <w:shd w:val="clear" w:color="auto" w:fill="FFFFFF"/>
            <w:tcMar>
              <w:top w:w="0" w:type="dxa"/>
              <w:left w:w="0" w:type="dxa"/>
              <w:bottom w:w="0" w:type="dxa"/>
              <w:right w:w="0" w:type="dxa"/>
            </w:tcMar>
            <w:vAlign w:val="center"/>
          </w:tcPr>
          <w:p w14:paraId="363D48DE" w14:textId="77777777" w:rsidR="008B1365" w:rsidRDefault="008B1365" w:rsidP="008B1365">
            <w:pPr>
              <w:spacing w:before="100" w:after="100" w:line="240" w:lineRule="auto"/>
              <w:ind w:left="100" w:right="100"/>
            </w:pPr>
            <w:r>
              <w:rPr>
                <w:rFonts w:eastAsia="Arial" w:hAnsi="Arial" w:cs="Arial"/>
                <w:color w:val="000000"/>
                <w:sz w:val="22"/>
                <w:szCs w:val="22"/>
              </w:rPr>
              <w:t>2.6 (1.6)</w:t>
            </w:r>
          </w:p>
        </w:tc>
        <w:tc>
          <w:tcPr>
            <w:tcW w:w="0" w:type="auto"/>
            <w:shd w:val="clear" w:color="auto" w:fill="FFFFFF"/>
            <w:tcMar>
              <w:top w:w="0" w:type="dxa"/>
              <w:left w:w="0" w:type="dxa"/>
              <w:bottom w:w="0" w:type="dxa"/>
              <w:right w:w="0" w:type="dxa"/>
            </w:tcMar>
            <w:vAlign w:val="center"/>
          </w:tcPr>
          <w:p w14:paraId="68213554" w14:textId="77777777" w:rsidR="008B1365" w:rsidRDefault="008B1365" w:rsidP="008B1365">
            <w:pPr>
              <w:spacing w:before="100" w:after="100" w:line="240" w:lineRule="auto"/>
              <w:ind w:left="100" w:right="100"/>
            </w:pPr>
            <w:r>
              <w:rPr>
                <w:rFonts w:eastAsia="Arial" w:hAnsi="Arial" w:cs="Arial"/>
                <w:color w:val="000000"/>
                <w:sz w:val="22"/>
                <w:szCs w:val="22"/>
              </w:rPr>
              <w:t>2.4 (1.5)</w:t>
            </w:r>
          </w:p>
        </w:tc>
      </w:tr>
      <w:tr w:rsidR="008B1365" w14:paraId="166A2928" w14:textId="77777777" w:rsidTr="00D16F14">
        <w:trPr>
          <w:cantSplit/>
          <w:jc w:val="center"/>
        </w:trPr>
        <w:tc>
          <w:tcPr>
            <w:tcW w:w="0" w:type="auto"/>
            <w:shd w:val="clear" w:color="auto" w:fill="FFFFFF"/>
            <w:tcMar>
              <w:top w:w="0" w:type="dxa"/>
              <w:left w:w="0" w:type="dxa"/>
              <w:bottom w:w="0" w:type="dxa"/>
              <w:right w:w="0" w:type="dxa"/>
            </w:tcMar>
            <w:vAlign w:val="center"/>
          </w:tcPr>
          <w:p w14:paraId="0C45750F" w14:textId="77777777" w:rsidR="008B1365" w:rsidRDefault="008B1365" w:rsidP="008B1365">
            <w:pPr>
              <w:spacing w:before="100" w:after="100" w:line="240" w:lineRule="auto"/>
              <w:ind w:left="300" w:right="100"/>
            </w:pPr>
            <w:r>
              <w:rPr>
                <w:rFonts w:eastAsia="Arial" w:hAnsi="Arial" w:cs="Arial"/>
                <w:color w:val="000000"/>
                <w:sz w:val="22"/>
                <w:szCs w:val="22"/>
              </w:rPr>
              <w:t xml:space="preserve"> (Missing)</w:t>
            </w:r>
            <w:r>
              <w:rPr>
                <w:rFonts w:eastAsia="Arial" w:hAnsi="Arial" w:cs="Arial"/>
                <w:color w:val="000000"/>
                <w:sz w:val="22"/>
                <w:szCs w:val="22"/>
                <w:vertAlign w:val="superscript"/>
              </w:rPr>
              <w:t>2</w:t>
            </w:r>
          </w:p>
        </w:tc>
        <w:tc>
          <w:tcPr>
            <w:tcW w:w="0" w:type="auto"/>
            <w:shd w:val="clear" w:color="auto" w:fill="FFFFFF"/>
            <w:tcMar>
              <w:top w:w="0" w:type="dxa"/>
              <w:left w:w="0" w:type="dxa"/>
              <w:bottom w:w="0" w:type="dxa"/>
              <w:right w:w="0" w:type="dxa"/>
            </w:tcMar>
            <w:vAlign w:val="center"/>
          </w:tcPr>
          <w:p w14:paraId="5FA8859B" w14:textId="77777777" w:rsidR="008B1365" w:rsidRDefault="008B1365" w:rsidP="008B1365">
            <w:pPr>
              <w:spacing w:before="100" w:after="100" w:line="240" w:lineRule="auto"/>
              <w:ind w:left="100" w:right="100"/>
            </w:pPr>
            <w:r>
              <w:rPr>
                <w:rFonts w:eastAsia="Arial" w:hAnsi="Arial" w:cs="Arial"/>
                <w:color w:val="000000"/>
                <w:sz w:val="22"/>
                <w:szCs w:val="22"/>
              </w:rPr>
              <w:t>1319</w:t>
            </w:r>
          </w:p>
        </w:tc>
        <w:tc>
          <w:tcPr>
            <w:tcW w:w="0" w:type="auto"/>
            <w:shd w:val="clear" w:color="auto" w:fill="FFFFFF"/>
            <w:tcMar>
              <w:top w:w="0" w:type="dxa"/>
              <w:left w:w="0" w:type="dxa"/>
              <w:bottom w:w="0" w:type="dxa"/>
              <w:right w:w="0" w:type="dxa"/>
            </w:tcMar>
            <w:vAlign w:val="center"/>
          </w:tcPr>
          <w:p w14:paraId="5F1A7E3F" w14:textId="77777777" w:rsidR="008B1365" w:rsidRDefault="008B1365" w:rsidP="008B1365">
            <w:pPr>
              <w:spacing w:before="100" w:after="100" w:line="240" w:lineRule="auto"/>
              <w:ind w:left="100" w:right="100"/>
            </w:pPr>
            <w:r>
              <w:rPr>
                <w:rFonts w:eastAsia="Arial" w:hAnsi="Arial" w:cs="Arial"/>
                <w:color w:val="000000"/>
                <w:sz w:val="22"/>
                <w:szCs w:val="22"/>
              </w:rPr>
              <w:t>1533</w:t>
            </w:r>
          </w:p>
        </w:tc>
      </w:tr>
      <w:tr w:rsidR="008B1365" w14:paraId="6EB925D8" w14:textId="77777777" w:rsidTr="00D16F14">
        <w:trPr>
          <w:cantSplit/>
          <w:jc w:val="center"/>
        </w:trPr>
        <w:tc>
          <w:tcPr>
            <w:tcW w:w="0" w:type="auto"/>
            <w:shd w:val="clear" w:color="auto" w:fill="FFFFFF"/>
            <w:tcMar>
              <w:top w:w="0" w:type="dxa"/>
              <w:left w:w="0" w:type="dxa"/>
              <w:bottom w:w="0" w:type="dxa"/>
              <w:right w:w="0" w:type="dxa"/>
            </w:tcMar>
            <w:vAlign w:val="center"/>
          </w:tcPr>
          <w:p w14:paraId="01B99716" w14:textId="77777777" w:rsidR="008B1365" w:rsidRDefault="008B1365" w:rsidP="008B1365">
            <w:pPr>
              <w:spacing w:before="100" w:after="100" w:line="240" w:lineRule="auto"/>
              <w:ind w:left="100" w:right="100"/>
            </w:pPr>
            <w:r>
              <w:rPr>
                <w:rFonts w:eastAsia="Arial" w:hAnsi="Arial" w:cs="Arial"/>
                <w:b/>
                <w:color w:val="000000"/>
                <w:sz w:val="22"/>
                <w:szCs w:val="22"/>
              </w:rPr>
              <w:t>IADL score (range 0-13)</w:t>
            </w:r>
          </w:p>
        </w:tc>
        <w:tc>
          <w:tcPr>
            <w:tcW w:w="0" w:type="auto"/>
            <w:shd w:val="clear" w:color="auto" w:fill="FFFFFF"/>
            <w:tcMar>
              <w:top w:w="0" w:type="dxa"/>
              <w:left w:w="0" w:type="dxa"/>
              <w:bottom w:w="0" w:type="dxa"/>
              <w:right w:w="0" w:type="dxa"/>
            </w:tcMar>
            <w:vAlign w:val="center"/>
          </w:tcPr>
          <w:p w14:paraId="47E5D945"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57CD0156" w14:textId="77777777" w:rsidR="008B1365" w:rsidRDefault="008B1365" w:rsidP="008B1365">
            <w:pPr>
              <w:spacing w:before="100" w:after="100" w:line="240" w:lineRule="auto"/>
              <w:ind w:left="100" w:right="100"/>
            </w:pPr>
          </w:p>
        </w:tc>
      </w:tr>
      <w:tr w:rsidR="008B1365" w14:paraId="42FB8BD1" w14:textId="77777777" w:rsidTr="00D16F14">
        <w:trPr>
          <w:cantSplit/>
          <w:jc w:val="center"/>
        </w:trPr>
        <w:tc>
          <w:tcPr>
            <w:tcW w:w="0" w:type="auto"/>
            <w:shd w:val="clear" w:color="auto" w:fill="FFFFFF"/>
            <w:tcMar>
              <w:top w:w="0" w:type="dxa"/>
              <w:left w:w="0" w:type="dxa"/>
              <w:bottom w:w="0" w:type="dxa"/>
              <w:right w:w="0" w:type="dxa"/>
            </w:tcMar>
            <w:vAlign w:val="center"/>
          </w:tcPr>
          <w:p w14:paraId="4FEDB4FF" w14:textId="77777777" w:rsidR="008B1365" w:rsidRDefault="008B1365" w:rsidP="008B1365">
            <w:pPr>
              <w:spacing w:before="100" w:after="100" w:line="240" w:lineRule="auto"/>
              <w:ind w:left="300" w:right="100"/>
            </w:pPr>
            <w:r>
              <w:rPr>
                <w:rFonts w:eastAsia="Arial" w:hAnsi="Arial" w:cs="Arial"/>
                <w:color w:val="000000"/>
                <w:sz w:val="22"/>
                <w:szCs w:val="22"/>
              </w:rPr>
              <w:t xml:space="preserve"> Mean (SD)</w:t>
            </w:r>
          </w:p>
        </w:tc>
        <w:tc>
          <w:tcPr>
            <w:tcW w:w="0" w:type="auto"/>
            <w:shd w:val="clear" w:color="auto" w:fill="FFFFFF"/>
            <w:tcMar>
              <w:top w:w="0" w:type="dxa"/>
              <w:left w:w="0" w:type="dxa"/>
              <w:bottom w:w="0" w:type="dxa"/>
              <w:right w:w="0" w:type="dxa"/>
            </w:tcMar>
            <w:vAlign w:val="center"/>
          </w:tcPr>
          <w:p w14:paraId="6D457945" w14:textId="77777777" w:rsidR="008B1365" w:rsidRDefault="008B1365" w:rsidP="008B1365">
            <w:pPr>
              <w:spacing w:before="100" w:after="100" w:line="240" w:lineRule="auto"/>
              <w:ind w:left="100" w:right="100"/>
            </w:pPr>
            <w:r>
              <w:rPr>
                <w:rFonts w:eastAsia="Arial" w:hAnsi="Arial" w:cs="Arial"/>
                <w:color w:val="000000"/>
                <w:sz w:val="22"/>
                <w:szCs w:val="22"/>
              </w:rPr>
              <w:t>12.3 (1.2)</w:t>
            </w:r>
          </w:p>
        </w:tc>
        <w:tc>
          <w:tcPr>
            <w:tcW w:w="0" w:type="auto"/>
            <w:shd w:val="clear" w:color="auto" w:fill="FFFFFF"/>
            <w:tcMar>
              <w:top w:w="0" w:type="dxa"/>
              <w:left w:w="0" w:type="dxa"/>
              <w:bottom w:w="0" w:type="dxa"/>
              <w:right w:w="0" w:type="dxa"/>
            </w:tcMar>
            <w:vAlign w:val="center"/>
          </w:tcPr>
          <w:p w14:paraId="1D4A35B8" w14:textId="77777777" w:rsidR="008B1365" w:rsidRDefault="008B1365" w:rsidP="008B1365">
            <w:pPr>
              <w:spacing w:before="100" w:after="100" w:line="240" w:lineRule="auto"/>
              <w:ind w:left="100" w:right="100"/>
            </w:pPr>
            <w:r>
              <w:rPr>
                <w:rFonts w:eastAsia="Arial" w:hAnsi="Arial" w:cs="Arial"/>
                <w:color w:val="000000"/>
                <w:sz w:val="22"/>
                <w:szCs w:val="22"/>
              </w:rPr>
              <w:t>11.6 (1.6)</w:t>
            </w:r>
          </w:p>
        </w:tc>
      </w:tr>
      <w:tr w:rsidR="008B1365" w14:paraId="541240C8" w14:textId="77777777" w:rsidTr="00D16F14">
        <w:trPr>
          <w:cantSplit/>
          <w:jc w:val="center"/>
        </w:trPr>
        <w:tc>
          <w:tcPr>
            <w:tcW w:w="0" w:type="auto"/>
            <w:shd w:val="clear" w:color="auto" w:fill="FFFFFF"/>
            <w:tcMar>
              <w:top w:w="0" w:type="dxa"/>
              <w:left w:w="0" w:type="dxa"/>
              <w:bottom w:w="0" w:type="dxa"/>
              <w:right w:w="0" w:type="dxa"/>
            </w:tcMar>
            <w:vAlign w:val="center"/>
          </w:tcPr>
          <w:p w14:paraId="472F9EB4" w14:textId="77777777" w:rsidR="008B1365" w:rsidRDefault="008B1365" w:rsidP="008B1365">
            <w:pPr>
              <w:spacing w:before="100" w:after="100" w:line="240" w:lineRule="auto"/>
              <w:ind w:left="300" w:right="100"/>
            </w:pPr>
            <w:r>
              <w:rPr>
                <w:rFonts w:eastAsia="Arial" w:hAnsi="Arial" w:cs="Arial"/>
                <w:color w:val="000000"/>
                <w:sz w:val="22"/>
                <w:szCs w:val="22"/>
              </w:rPr>
              <w:t xml:space="preserve"> (Missing)</w:t>
            </w:r>
            <w:r>
              <w:rPr>
                <w:rFonts w:eastAsia="Arial" w:hAnsi="Arial" w:cs="Arial"/>
                <w:color w:val="000000"/>
                <w:sz w:val="22"/>
                <w:szCs w:val="22"/>
                <w:vertAlign w:val="superscript"/>
              </w:rPr>
              <w:t>2</w:t>
            </w:r>
          </w:p>
        </w:tc>
        <w:tc>
          <w:tcPr>
            <w:tcW w:w="0" w:type="auto"/>
            <w:shd w:val="clear" w:color="auto" w:fill="FFFFFF"/>
            <w:tcMar>
              <w:top w:w="0" w:type="dxa"/>
              <w:left w:w="0" w:type="dxa"/>
              <w:bottom w:w="0" w:type="dxa"/>
              <w:right w:w="0" w:type="dxa"/>
            </w:tcMar>
            <w:vAlign w:val="center"/>
          </w:tcPr>
          <w:p w14:paraId="08E827B3" w14:textId="77777777" w:rsidR="008B1365" w:rsidRDefault="008B1365" w:rsidP="008B1365">
            <w:pPr>
              <w:spacing w:before="100" w:after="100" w:line="240" w:lineRule="auto"/>
              <w:ind w:left="100" w:right="100"/>
            </w:pPr>
            <w:r>
              <w:rPr>
                <w:rFonts w:eastAsia="Arial" w:hAnsi="Arial" w:cs="Arial"/>
                <w:color w:val="000000"/>
                <w:sz w:val="22"/>
                <w:szCs w:val="22"/>
              </w:rPr>
              <w:t>799</w:t>
            </w:r>
          </w:p>
        </w:tc>
        <w:tc>
          <w:tcPr>
            <w:tcW w:w="0" w:type="auto"/>
            <w:shd w:val="clear" w:color="auto" w:fill="FFFFFF"/>
            <w:tcMar>
              <w:top w:w="0" w:type="dxa"/>
              <w:left w:w="0" w:type="dxa"/>
              <w:bottom w:w="0" w:type="dxa"/>
              <w:right w:w="0" w:type="dxa"/>
            </w:tcMar>
            <w:vAlign w:val="center"/>
          </w:tcPr>
          <w:p w14:paraId="4D47BC5E" w14:textId="77777777" w:rsidR="008B1365" w:rsidRDefault="008B1365" w:rsidP="008B1365">
            <w:pPr>
              <w:spacing w:before="100" w:after="100" w:line="240" w:lineRule="auto"/>
              <w:ind w:left="100" w:right="100"/>
            </w:pPr>
            <w:r>
              <w:rPr>
                <w:rFonts w:eastAsia="Arial" w:hAnsi="Arial" w:cs="Arial"/>
                <w:color w:val="000000"/>
                <w:sz w:val="22"/>
                <w:szCs w:val="22"/>
              </w:rPr>
              <w:t>937</w:t>
            </w:r>
          </w:p>
        </w:tc>
      </w:tr>
      <w:tr w:rsidR="008B1365" w14:paraId="77AFEADC" w14:textId="77777777" w:rsidTr="00D16F14">
        <w:trPr>
          <w:cantSplit/>
          <w:jc w:val="center"/>
        </w:trPr>
        <w:tc>
          <w:tcPr>
            <w:tcW w:w="0" w:type="auto"/>
            <w:shd w:val="clear" w:color="auto" w:fill="FFFFFF"/>
            <w:tcMar>
              <w:top w:w="0" w:type="dxa"/>
              <w:left w:w="0" w:type="dxa"/>
              <w:bottom w:w="0" w:type="dxa"/>
              <w:right w:w="0" w:type="dxa"/>
            </w:tcMar>
            <w:vAlign w:val="center"/>
          </w:tcPr>
          <w:p w14:paraId="5B4C224E" w14:textId="77777777" w:rsidR="008B1365" w:rsidRDefault="008B1365" w:rsidP="008B1365">
            <w:pPr>
              <w:spacing w:before="100" w:after="100" w:line="240" w:lineRule="auto"/>
              <w:ind w:left="100" w:right="100"/>
            </w:pPr>
            <w:r>
              <w:rPr>
                <w:rFonts w:eastAsia="Arial" w:hAnsi="Arial" w:cs="Arial"/>
                <w:b/>
                <w:color w:val="000000"/>
                <w:sz w:val="22"/>
                <w:szCs w:val="22"/>
              </w:rPr>
              <w:t>Sex</w:t>
            </w:r>
          </w:p>
        </w:tc>
        <w:tc>
          <w:tcPr>
            <w:tcW w:w="0" w:type="auto"/>
            <w:shd w:val="clear" w:color="auto" w:fill="FFFFFF"/>
            <w:tcMar>
              <w:top w:w="0" w:type="dxa"/>
              <w:left w:w="0" w:type="dxa"/>
              <w:bottom w:w="0" w:type="dxa"/>
              <w:right w:w="0" w:type="dxa"/>
            </w:tcMar>
            <w:vAlign w:val="center"/>
          </w:tcPr>
          <w:p w14:paraId="12CCE886"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5A011C84" w14:textId="77777777" w:rsidR="008B1365" w:rsidRDefault="008B1365" w:rsidP="008B1365">
            <w:pPr>
              <w:spacing w:before="100" w:after="100" w:line="240" w:lineRule="auto"/>
              <w:ind w:left="100" w:right="100"/>
            </w:pPr>
          </w:p>
        </w:tc>
      </w:tr>
      <w:tr w:rsidR="008B1365" w14:paraId="21DB3D62" w14:textId="77777777" w:rsidTr="00D16F14">
        <w:trPr>
          <w:cantSplit/>
          <w:jc w:val="center"/>
        </w:trPr>
        <w:tc>
          <w:tcPr>
            <w:tcW w:w="0" w:type="auto"/>
            <w:shd w:val="clear" w:color="auto" w:fill="FFFFFF"/>
            <w:tcMar>
              <w:top w:w="0" w:type="dxa"/>
              <w:left w:w="0" w:type="dxa"/>
              <w:bottom w:w="0" w:type="dxa"/>
              <w:right w:w="0" w:type="dxa"/>
            </w:tcMar>
            <w:vAlign w:val="center"/>
          </w:tcPr>
          <w:p w14:paraId="32D2043E" w14:textId="77777777" w:rsidR="008B1365" w:rsidRDefault="008B1365" w:rsidP="008B1365">
            <w:pPr>
              <w:spacing w:before="100" w:after="100" w:line="240" w:lineRule="auto"/>
              <w:ind w:left="300" w:right="100"/>
            </w:pPr>
            <w:r>
              <w:rPr>
                <w:rFonts w:eastAsia="Arial" w:hAnsi="Arial" w:cs="Arial"/>
                <w:color w:val="000000"/>
                <w:sz w:val="22"/>
                <w:szCs w:val="22"/>
              </w:rPr>
              <w:t xml:space="preserve"> Male</w:t>
            </w:r>
          </w:p>
        </w:tc>
        <w:tc>
          <w:tcPr>
            <w:tcW w:w="0" w:type="auto"/>
            <w:shd w:val="clear" w:color="auto" w:fill="FFFFFF"/>
            <w:tcMar>
              <w:top w:w="0" w:type="dxa"/>
              <w:left w:w="0" w:type="dxa"/>
              <w:bottom w:w="0" w:type="dxa"/>
              <w:right w:w="0" w:type="dxa"/>
            </w:tcMar>
            <w:vAlign w:val="center"/>
          </w:tcPr>
          <w:p w14:paraId="3DF97DFD" w14:textId="77777777" w:rsidR="008B1365" w:rsidRDefault="008B1365" w:rsidP="008B1365">
            <w:pPr>
              <w:spacing w:before="100" w:after="100" w:line="240" w:lineRule="auto"/>
              <w:ind w:left="100" w:right="100"/>
            </w:pPr>
            <w:r>
              <w:rPr>
                <w:rFonts w:eastAsia="Arial" w:hAnsi="Arial" w:cs="Arial"/>
                <w:color w:val="000000"/>
                <w:sz w:val="22"/>
                <w:szCs w:val="22"/>
              </w:rPr>
              <w:t>4868 (47.7%)</w:t>
            </w:r>
          </w:p>
        </w:tc>
        <w:tc>
          <w:tcPr>
            <w:tcW w:w="0" w:type="auto"/>
            <w:shd w:val="clear" w:color="auto" w:fill="FFFFFF"/>
            <w:tcMar>
              <w:top w:w="0" w:type="dxa"/>
              <w:left w:w="0" w:type="dxa"/>
              <w:bottom w:w="0" w:type="dxa"/>
              <w:right w:w="0" w:type="dxa"/>
            </w:tcMar>
            <w:vAlign w:val="center"/>
          </w:tcPr>
          <w:p w14:paraId="276326FB" w14:textId="77777777" w:rsidR="008B1365" w:rsidRDefault="008B1365" w:rsidP="008B1365">
            <w:pPr>
              <w:spacing w:before="100" w:after="100" w:line="240" w:lineRule="auto"/>
              <w:ind w:left="100" w:right="100"/>
            </w:pPr>
            <w:r>
              <w:rPr>
                <w:rFonts w:eastAsia="Arial" w:hAnsi="Arial" w:cs="Arial"/>
                <w:color w:val="000000"/>
                <w:sz w:val="22"/>
                <w:szCs w:val="22"/>
              </w:rPr>
              <w:t>5331 (52.3%)</w:t>
            </w:r>
          </w:p>
        </w:tc>
      </w:tr>
      <w:tr w:rsidR="008B1365" w14:paraId="0CCA22E8" w14:textId="77777777" w:rsidTr="00D16F14">
        <w:trPr>
          <w:cantSplit/>
          <w:jc w:val="center"/>
        </w:trPr>
        <w:tc>
          <w:tcPr>
            <w:tcW w:w="0" w:type="auto"/>
            <w:shd w:val="clear" w:color="auto" w:fill="FFFFFF"/>
            <w:tcMar>
              <w:top w:w="0" w:type="dxa"/>
              <w:left w:w="0" w:type="dxa"/>
              <w:bottom w:w="0" w:type="dxa"/>
              <w:right w:w="0" w:type="dxa"/>
            </w:tcMar>
            <w:vAlign w:val="center"/>
          </w:tcPr>
          <w:p w14:paraId="72CE960A" w14:textId="77777777" w:rsidR="008B1365" w:rsidRDefault="008B1365" w:rsidP="008B1365">
            <w:pPr>
              <w:spacing w:before="100" w:after="100" w:line="240" w:lineRule="auto"/>
              <w:ind w:left="300" w:right="100"/>
            </w:pPr>
            <w:r>
              <w:rPr>
                <w:rFonts w:eastAsia="Arial" w:hAnsi="Arial" w:cs="Arial"/>
                <w:color w:val="000000"/>
                <w:sz w:val="22"/>
                <w:szCs w:val="22"/>
              </w:rPr>
              <w:t xml:space="preserve"> Female</w:t>
            </w:r>
          </w:p>
        </w:tc>
        <w:tc>
          <w:tcPr>
            <w:tcW w:w="0" w:type="auto"/>
            <w:shd w:val="clear" w:color="auto" w:fill="FFFFFF"/>
            <w:tcMar>
              <w:top w:w="0" w:type="dxa"/>
              <w:left w:w="0" w:type="dxa"/>
              <w:bottom w:w="0" w:type="dxa"/>
              <w:right w:w="0" w:type="dxa"/>
            </w:tcMar>
            <w:vAlign w:val="center"/>
          </w:tcPr>
          <w:p w14:paraId="7A5EFBBC" w14:textId="77777777" w:rsidR="008B1365" w:rsidRDefault="008B1365" w:rsidP="008B1365">
            <w:pPr>
              <w:spacing w:before="100" w:after="100" w:line="240" w:lineRule="auto"/>
              <w:ind w:left="100" w:right="100"/>
            </w:pPr>
            <w:r>
              <w:rPr>
                <w:rFonts w:eastAsia="Arial" w:hAnsi="Arial" w:cs="Arial"/>
                <w:color w:val="000000"/>
                <w:sz w:val="22"/>
                <w:szCs w:val="22"/>
              </w:rPr>
              <w:t>6894 (56.3%)</w:t>
            </w:r>
          </w:p>
        </w:tc>
        <w:tc>
          <w:tcPr>
            <w:tcW w:w="0" w:type="auto"/>
            <w:shd w:val="clear" w:color="auto" w:fill="FFFFFF"/>
            <w:tcMar>
              <w:top w:w="0" w:type="dxa"/>
              <w:left w:w="0" w:type="dxa"/>
              <w:bottom w:w="0" w:type="dxa"/>
              <w:right w:w="0" w:type="dxa"/>
            </w:tcMar>
            <w:vAlign w:val="center"/>
          </w:tcPr>
          <w:p w14:paraId="28EC501D" w14:textId="77777777" w:rsidR="008B1365" w:rsidRDefault="008B1365" w:rsidP="008B1365">
            <w:pPr>
              <w:spacing w:before="100" w:after="100" w:line="240" w:lineRule="auto"/>
              <w:ind w:left="100" w:right="100"/>
            </w:pPr>
            <w:r>
              <w:rPr>
                <w:rFonts w:eastAsia="Arial" w:hAnsi="Arial" w:cs="Arial"/>
                <w:color w:val="000000"/>
                <w:sz w:val="22"/>
                <w:szCs w:val="22"/>
              </w:rPr>
              <w:t>5358 (43.7%)</w:t>
            </w:r>
          </w:p>
        </w:tc>
      </w:tr>
      <w:tr w:rsidR="008B1365" w14:paraId="0E47C819" w14:textId="77777777" w:rsidTr="00D16F14">
        <w:trPr>
          <w:cantSplit/>
          <w:jc w:val="center"/>
        </w:trPr>
        <w:tc>
          <w:tcPr>
            <w:tcW w:w="0" w:type="auto"/>
            <w:shd w:val="clear" w:color="auto" w:fill="FFFFFF"/>
            <w:tcMar>
              <w:top w:w="0" w:type="dxa"/>
              <w:left w:w="0" w:type="dxa"/>
              <w:bottom w:w="0" w:type="dxa"/>
              <w:right w:w="0" w:type="dxa"/>
            </w:tcMar>
            <w:vAlign w:val="center"/>
          </w:tcPr>
          <w:p w14:paraId="41A9E4DD" w14:textId="77777777" w:rsidR="008B1365" w:rsidRDefault="008B1365" w:rsidP="008B1365">
            <w:pPr>
              <w:spacing w:before="100" w:after="100" w:line="240" w:lineRule="auto"/>
              <w:ind w:left="100" w:right="100"/>
            </w:pPr>
            <w:r>
              <w:rPr>
                <w:rFonts w:eastAsia="Arial" w:hAnsi="Arial" w:cs="Arial"/>
                <w:b/>
                <w:color w:val="000000"/>
                <w:sz w:val="22"/>
                <w:szCs w:val="22"/>
              </w:rPr>
              <w:t>Number of teeth in 2010</w:t>
            </w:r>
          </w:p>
        </w:tc>
        <w:tc>
          <w:tcPr>
            <w:tcW w:w="0" w:type="auto"/>
            <w:shd w:val="clear" w:color="auto" w:fill="FFFFFF"/>
            <w:tcMar>
              <w:top w:w="0" w:type="dxa"/>
              <w:left w:w="0" w:type="dxa"/>
              <w:bottom w:w="0" w:type="dxa"/>
              <w:right w:w="0" w:type="dxa"/>
            </w:tcMar>
            <w:vAlign w:val="center"/>
          </w:tcPr>
          <w:p w14:paraId="2DBDD02C"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65E7F250" w14:textId="77777777" w:rsidR="008B1365" w:rsidRDefault="008B1365" w:rsidP="008B1365">
            <w:pPr>
              <w:spacing w:before="100" w:after="100" w:line="240" w:lineRule="auto"/>
              <w:ind w:left="100" w:right="100"/>
            </w:pPr>
          </w:p>
        </w:tc>
      </w:tr>
      <w:tr w:rsidR="008B1365" w14:paraId="5C395F95" w14:textId="77777777" w:rsidTr="00D16F14">
        <w:trPr>
          <w:cantSplit/>
          <w:jc w:val="center"/>
        </w:trPr>
        <w:tc>
          <w:tcPr>
            <w:tcW w:w="0" w:type="auto"/>
            <w:shd w:val="clear" w:color="auto" w:fill="FFFFFF"/>
            <w:tcMar>
              <w:top w:w="0" w:type="dxa"/>
              <w:left w:w="0" w:type="dxa"/>
              <w:bottom w:w="0" w:type="dxa"/>
              <w:right w:w="0" w:type="dxa"/>
            </w:tcMar>
            <w:vAlign w:val="center"/>
          </w:tcPr>
          <w:p w14:paraId="72D4232C" w14:textId="77777777" w:rsidR="008B1365" w:rsidRDefault="008B1365" w:rsidP="008B1365">
            <w:pPr>
              <w:spacing w:before="100" w:after="100" w:line="240" w:lineRule="auto"/>
              <w:ind w:left="300" w:right="100"/>
            </w:pPr>
            <w:r>
              <w:rPr>
                <w:rFonts w:eastAsia="Arial" w:hAnsi="Arial" w:cs="Arial"/>
                <w:color w:val="000000"/>
                <w:sz w:val="22"/>
                <w:szCs w:val="22"/>
              </w:rPr>
              <w:t xml:space="preserve"> Edentate</w:t>
            </w:r>
          </w:p>
        </w:tc>
        <w:tc>
          <w:tcPr>
            <w:tcW w:w="0" w:type="auto"/>
            <w:shd w:val="clear" w:color="auto" w:fill="FFFFFF"/>
            <w:tcMar>
              <w:top w:w="0" w:type="dxa"/>
              <w:left w:w="0" w:type="dxa"/>
              <w:bottom w:w="0" w:type="dxa"/>
              <w:right w:w="0" w:type="dxa"/>
            </w:tcMar>
            <w:vAlign w:val="center"/>
          </w:tcPr>
          <w:p w14:paraId="4F5642BF" w14:textId="77777777" w:rsidR="008B1365" w:rsidRDefault="008B1365" w:rsidP="008B1365">
            <w:pPr>
              <w:spacing w:before="100" w:after="100" w:line="240" w:lineRule="auto"/>
              <w:ind w:left="100" w:right="100"/>
            </w:pPr>
            <w:r>
              <w:rPr>
                <w:rFonts w:eastAsia="Arial" w:hAnsi="Arial" w:cs="Arial"/>
                <w:color w:val="000000"/>
                <w:sz w:val="22"/>
                <w:szCs w:val="22"/>
              </w:rPr>
              <w:t>829 (40.1%)</w:t>
            </w:r>
          </w:p>
        </w:tc>
        <w:tc>
          <w:tcPr>
            <w:tcW w:w="0" w:type="auto"/>
            <w:shd w:val="clear" w:color="auto" w:fill="FFFFFF"/>
            <w:tcMar>
              <w:top w:w="0" w:type="dxa"/>
              <w:left w:w="0" w:type="dxa"/>
              <w:bottom w:w="0" w:type="dxa"/>
              <w:right w:w="0" w:type="dxa"/>
            </w:tcMar>
            <w:vAlign w:val="center"/>
          </w:tcPr>
          <w:p w14:paraId="3B4B8BA7" w14:textId="77777777" w:rsidR="008B1365" w:rsidRDefault="008B1365" w:rsidP="008B1365">
            <w:pPr>
              <w:spacing w:before="100" w:after="100" w:line="240" w:lineRule="auto"/>
              <w:ind w:left="100" w:right="100"/>
            </w:pPr>
            <w:r>
              <w:rPr>
                <w:rFonts w:eastAsia="Arial" w:hAnsi="Arial" w:cs="Arial"/>
                <w:color w:val="000000"/>
                <w:sz w:val="22"/>
                <w:szCs w:val="22"/>
              </w:rPr>
              <w:t>1237 (59.9%)</w:t>
            </w:r>
          </w:p>
        </w:tc>
      </w:tr>
      <w:tr w:rsidR="008B1365" w14:paraId="68796D33" w14:textId="77777777" w:rsidTr="00D16F14">
        <w:trPr>
          <w:cantSplit/>
          <w:jc w:val="center"/>
        </w:trPr>
        <w:tc>
          <w:tcPr>
            <w:tcW w:w="0" w:type="auto"/>
            <w:shd w:val="clear" w:color="auto" w:fill="FFFFFF"/>
            <w:tcMar>
              <w:top w:w="0" w:type="dxa"/>
              <w:left w:w="0" w:type="dxa"/>
              <w:bottom w:w="0" w:type="dxa"/>
              <w:right w:w="0" w:type="dxa"/>
            </w:tcMar>
            <w:vAlign w:val="center"/>
          </w:tcPr>
          <w:p w14:paraId="2014AFC5" w14:textId="77777777" w:rsidR="008B1365" w:rsidRDefault="008B1365" w:rsidP="008B1365">
            <w:pPr>
              <w:spacing w:before="100" w:after="100" w:line="240" w:lineRule="auto"/>
              <w:ind w:left="300" w:right="100"/>
            </w:pPr>
            <w:r>
              <w:rPr>
                <w:rFonts w:eastAsia="Arial" w:hAnsi="Arial" w:cs="Arial"/>
                <w:color w:val="000000"/>
                <w:sz w:val="22"/>
                <w:szCs w:val="22"/>
              </w:rPr>
              <w:t xml:space="preserve"> 1-9 teeth</w:t>
            </w:r>
          </w:p>
        </w:tc>
        <w:tc>
          <w:tcPr>
            <w:tcW w:w="0" w:type="auto"/>
            <w:shd w:val="clear" w:color="auto" w:fill="FFFFFF"/>
            <w:tcMar>
              <w:top w:w="0" w:type="dxa"/>
              <w:left w:w="0" w:type="dxa"/>
              <w:bottom w:w="0" w:type="dxa"/>
              <w:right w:w="0" w:type="dxa"/>
            </w:tcMar>
            <w:vAlign w:val="center"/>
          </w:tcPr>
          <w:p w14:paraId="54A7EDD5" w14:textId="77777777" w:rsidR="008B1365" w:rsidRDefault="008B1365" w:rsidP="008B1365">
            <w:pPr>
              <w:spacing w:before="100" w:after="100" w:line="240" w:lineRule="auto"/>
              <w:ind w:left="100" w:right="100"/>
            </w:pPr>
            <w:r>
              <w:rPr>
                <w:rFonts w:eastAsia="Arial" w:hAnsi="Arial" w:cs="Arial"/>
                <w:color w:val="000000"/>
                <w:sz w:val="22"/>
                <w:szCs w:val="22"/>
              </w:rPr>
              <w:t>2360 (46.6%)</w:t>
            </w:r>
          </w:p>
        </w:tc>
        <w:tc>
          <w:tcPr>
            <w:tcW w:w="0" w:type="auto"/>
            <w:shd w:val="clear" w:color="auto" w:fill="FFFFFF"/>
            <w:tcMar>
              <w:top w:w="0" w:type="dxa"/>
              <w:left w:w="0" w:type="dxa"/>
              <w:bottom w:w="0" w:type="dxa"/>
              <w:right w:w="0" w:type="dxa"/>
            </w:tcMar>
            <w:vAlign w:val="center"/>
          </w:tcPr>
          <w:p w14:paraId="495BF957" w14:textId="77777777" w:rsidR="008B1365" w:rsidRDefault="008B1365" w:rsidP="008B1365">
            <w:pPr>
              <w:spacing w:before="100" w:after="100" w:line="240" w:lineRule="auto"/>
              <w:ind w:left="100" w:right="100"/>
            </w:pPr>
            <w:r>
              <w:rPr>
                <w:rFonts w:eastAsia="Arial" w:hAnsi="Arial" w:cs="Arial"/>
                <w:color w:val="000000"/>
                <w:sz w:val="22"/>
                <w:szCs w:val="22"/>
              </w:rPr>
              <w:t>2702 (53.4%)</w:t>
            </w:r>
          </w:p>
        </w:tc>
      </w:tr>
      <w:tr w:rsidR="008B1365" w14:paraId="61446B0E" w14:textId="77777777" w:rsidTr="00D16F14">
        <w:trPr>
          <w:cantSplit/>
          <w:jc w:val="center"/>
        </w:trPr>
        <w:tc>
          <w:tcPr>
            <w:tcW w:w="0" w:type="auto"/>
            <w:shd w:val="clear" w:color="auto" w:fill="FFFFFF"/>
            <w:tcMar>
              <w:top w:w="0" w:type="dxa"/>
              <w:left w:w="0" w:type="dxa"/>
              <w:bottom w:w="0" w:type="dxa"/>
              <w:right w:w="0" w:type="dxa"/>
            </w:tcMar>
            <w:vAlign w:val="center"/>
          </w:tcPr>
          <w:p w14:paraId="155F1B44" w14:textId="77777777" w:rsidR="008B1365" w:rsidRDefault="008B1365" w:rsidP="008B1365">
            <w:pPr>
              <w:spacing w:before="100" w:after="100" w:line="240" w:lineRule="auto"/>
              <w:ind w:left="300" w:right="100"/>
            </w:pPr>
            <w:r>
              <w:rPr>
                <w:rFonts w:eastAsia="Arial" w:hAnsi="Arial" w:cs="Arial"/>
                <w:color w:val="000000"/>
                <w:sz w:val="22"/>
                <w:szCs w:val="22"/>
              </w:rPr>
              <w:t xml:space="preserve"> 10-19 teeth</w:t>
            </w:r>
          </w:p>
        </w:tc>
        <w:tc>
          <w:tcPr>
            <w:tcW w:w="0" w:type="auto"/>
            <w:shd w:val="clear" w:color="auto" w:fill="FFFFFF"/>
            <w:tcMar>
              <w:top w:w="0" w:type="dxa"/>
              <w:left w:w="0" w:type="dxa"/>
              <w:bottom w:w="0" w:type="dxa"/>
              <w:right w:w="0" w:type="dxa"/>
            </w:tcMar>
            <w:vAlign w:val="center"/>
          </w:tcPr>
          <w:p w14:paraId="7CA5BC18" w14:textId="77777777" w:rsidR="008B1365" w:rsidRDefault="008B1365" w:rsidP="008B1365">
            <w:pPr>
              <w:spacing w:before="100" w:after="100" w:line="240" w:lineRule="auto"/>
              <w:ind w:left="100" w:right="100"/>
            </w:pPr>
            <w:r>
              <w:rPr>
                <w:rFonts w:eastAsia="Arial" w:hAnsi="Arial" w:cs="Arial"/>
                <w:color w:val="000000"/>
                <w:sz w:val="22"/>
                <w:szCs w:val="22"/>
              </w:rPr>
              <w:t>3223 (52.5%)</w:t>
            </w:r>
          </w:p>
        </w:tc>
        <w:tc>
          <w:tcPr>
            <w:tcW w:w="0" w:type="auto"/>
            <w:shd w:val="clear" w:color="auto" w:fill="FFFFFF"/>
            <w:tcMar>
              <w:top w:w="0" w:type="dxa"/>
              <w:left w:w="0" w:type="dxa"/>
              <w:bottom w:w="0" w:type="dxa"/>
              <w:right w:w="0" w:type="dxa"/>
            </w:tcMar>
            <w:vAlign w:val="center"/>
          </w:tcPr>
          <w:p w14:paraId="7D2DCDFD" w14:textId="77777777" w:rsidR="008B1365" w:rsidRDefault="008B1365" w:rsidP="008B1365">
            <w:pPr>
              <w:spacing w:before="100" w:after="100" w:line="240" w:lineRule="auto"/>
              <w:ind w:left="100" w:right="100"/>
            </w:pPr>
            <w:r>
              <w:rPr>
                <w:rFonts w:eastAsia="Arial" w:hAnsi="Arial" w:cs="Arial"/>
                <w:color w:val="000000"/>
                <w:sz w:val="22"/>
                <w:szCs w:val="22"/>
              </w:rPr>
              <w:t>2915 (47.5%)</w:t>
            </w:r>
          </w:p>
        </w:tc>
      </w:tr>
      <w:tr w:rsidR="008B1365" w14:paraId="790F61B0" w14:textId="77777777" w:rsidTr="00D16F14">
        <w:trPr>
          <w:cantSplit/>
          <w:jc w:val="center"/>
        </w:trPr>
        <w:tc>
          <w:tcPr>
            <w:tcW w:w="0" w:type="auto"/>
            <w:shd w:val="clear" w:color="auto" w:fill="FFFFFF"/>
            <w:tcMar>
              <w:top w:w="0" w:type="dxa"/>
              <w:left w:w="0" w:type="dxa"/>
              <w:bottom w:w="0" w:type="dxa"/>
              <w:right w:w="0" w:type="dxa"/>
            </w:tcMar>
            <w:vAlign w:val="center"/>
          </w:tcPr>
          <w:p w14:paraId="18CBD393" w14:textId="77777777" w:rsidR="008B1365" w:rsidRDefault="008B1365" w:rsidP="008B1365">
            <w:pPr>
              <w:spacing w:before="100" w:after="100" w:line="240" w:lineRule="auto"/>
              <w:ind w:left="300" w:right="100"/>
            </w:pPr>
            <w:r>
              <w:rPr>
                <w:rFonts w:eastAsia="Arial" w:hAnsi="Arial" w:cs="Arial"/>
                <w:color w:val="000000"/>
                <w:sz w:val="22"/>
                <w:szCs w:val="22"/>
              </w:rPr>
              <w:t xml:space="preserve"> &gt;= 20 teeth</w:t>
            </w:r>
          </w:p>
        </w:tc>
        <w:tc>
          <w:tcPr>
            <w:tcW w:w="0" w:type="auto"/>
            <w:shd w:val="clear" w:color="auto" w:fill="FFFFFF"/>
            <w:tcMar>
              <w:top w:w="0" w:type="dxa"/>
              <w:left w:w="0" w:type="dxa"/>
              <w:bottom w:w="0" w:type="dxa"/>
              <w:right w:w="0" w:type="dxa"/>
            </w:tcMar>
            <w:vAlign w:val="center"/>
          </w:tcPr>
          <w:p w14:paraId="5E807FEC" w14:textId="77777777" w:rsidR="008B1365" w:rsidRDefault="008B1365" w:rsidP="008B1365">
            <w:pPr>
              <w:spacing w:before="100" w:after="100" w:line="240" w:lineRule="auto"/>
              <w:ind w:left="100" w:right="100"/>
            </w:pPr>
            <w:r>
              <w:rPr>
                <w:rFonts w:eastAsia="Arial" w:hAnsi="Arial" w:cs="Arial"/>
                <w:color w:val="000000"/>
                <w:sz w:val="22"/>
                <w:szCs w:val="22"/>
              </w:rPr>
              <w:t>5350 (58.2%)</w:t>
            </w:r>
          </w:p>
        </w:tc>
        <w:tc>
          <w:tcPr>
            <w:tcW w:w="0" w:type="auto"/>
            <w:shd w:val="clear" w:color="auto" w:fill="FFFFFF"/>
            <w:tcMar>
              <w:top w:w="0" w:type="dxa"/>
              <w:left w:w="0" w:type="dxa"/>
              <w:bottom w:w="0" w:type="dxa"/>
              <w:right w:w="0" w:type="dxa"/>
            </w:tcMar>
            <w:vAlign w:val="center"/>
          </w:tcPr>
          <w:p w14:paraId="02B8728E" w14:textId="77777777" w:rsidR="008B1365" w:rsidRDefault="008B1365" w:rsidP="008B1365">
            <w:pPr>
              <w:spacing w:before="100" w:after="100" w:line="240" w:lineRule="auto"/>
              <w:ind w:left="100" w:right="100"/>
            </w:pPr>
            <w:r>
              <w:rPr>
                <w:rFonts w:eastAsia="Arial" w:hAnsi="Arial" w:cs="Arial"/>
                <w:color w:val="000000"/>
                <w:sz w:val="22"/>
                <w:szCs w:val="22"/>
              </w:rPr>
              <w:t>3835 (41.8%)</w:t>
            </w:r>
          </w:p>
        </w:tc>
      </w:tr>
      <w:tr w:rsidR="008B1365" w14:paraId="65BA6196" w14:textId="77777777" w:rsidTr="00D16F14">
        <w:trPr>
          <w:cantSplit/>
          <w:jc w:val="center"/>
        </w:trPr>
        <w:tc>
          <w:tcPr>
            <w:tcW w:w="0" w:type="auto"/>
            <w:shd w:val="clear" w:color="auto" w:fill="FFFFFF"/>
            <w:tcMar>
              <w:top w:w="0" w:type="dxa"/>
              <w:left w:w="0" w:type="dxa"/>
              <w:bottom w:w="0" w:type="dxa"/>
              <w:right w:w="0" w:type="dxa"/>
            </w:tcMar>
            <w:vAlign w:val="center"/>
          </w:tcPr>
          <w:p w14:paraId="5E238E4E" w14:textId="77777777" w:rsidR="008B1365" w:rsidRDefault="008B1365" w:rsidP="008B1365">
            <w:pPr>
              <w:spacing w:before="100" w:after="100" w:line="240" w:lineRule="auto"/>
              <w:ind w:left="100" w:right="100"/>
            </w:pPr>
            <w:r>
              <w:rPr>
                <w:rFonts w:eastAsia="Arial" w:hAnsi="Arial" w:cs="Arial"/>
                <w:b/>
                <w:color w:val="000000"/>
                <w:sz w:val="22"/>
                <w:szCs w:val="22"/>
              </w:rPr>
              <w:t>Denture status2010</w:t>
            </w:r>
          </w:p>
        </w:tc>
        <w:tc>
          <w:tcPr>
            <w:tcW w:w="0" w:type="auto"/>
            <w:shd w:val="clear" w:color="auto" w:fill="FFFFFF"/>
            <w:tcMar>
              <w:top w:w="0" w:type="dxa"/>
              <w:left w:w="0" w:type="dxa"/>
              <w:bottom w:w="0" w:type="dxa"/>
              <w:right w:w="0" w:type="dxa"/>
            </w:tcMar>
            <w:vAlign w:val="center"/>
          </w:tcPr>
          <w:p w14:paraId="1517305D"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35A71416" w14:textId="77777777" w:rsidR="008B1365" w:rsidRDefault="008B1365" w:rsidP="008B1365">
            <w:pPr>
              <w:spacing w:before="100" w:after="100" w:line="240" w:lineRule="auto"/>
              <w:ind w:left="100" w:right="100"/>
            </w:pPr>
          </w:p>
        </w:tc>
      </w:tr>
      <w:tr w:rsidR="008B1365" w14:paraId="721CDE00" w14:textId="77777777" w:rsidTr="00D16F14">
        <w:trPr>
          <w:cantSplit/>
          <w:jc w:val="center"/>
        </w:trPr>
        <w:tc>
          <w:tcPr>
            <w:tcW w:w="0" w:type="auto"/>
            <w:shd w:val="clear" w:color="auto" w:fill="FFFFFF"/>
            <w:tcMar>
              <w:top w:w="0" w:type="dxa"/>
              <w:left w:w="0" w:type="dxa"/>
              <w:bottom w:w="0" w:type="dxa"/>
              <w:right w:w="0" w:type="dxa"/>
            </w:tcMar>
            <w:vAlign w:val="center"/>
          </w:tcPr>
          <w:p w14:paraId="3A3EB047" w14:textId="77777777" w:rsidR="008B1365" w:rsidRDefault="008B1365" w:rsidP="008B1365">
            <w:pPr>
              <w:spacing w:before="100" w:after="100" w:line="240" w:lineRule="auto"/>
              <w:ind w:left="300" w:right="100"/>
            </w:pPr>
            <w:r>
              <w:rPr>
                <w:rFonts w:eastAsia="Arial" w:hAnsi="Arial" w:cs="Arial"/>
                <w:color w:val="000000"/>
                <w:sz w:val="22"/>
                <w:szCs w:val="22"/>
              </w:rPr>
              <w:t xml:space="preserve"> Do not wear dentures</w:t>
            </w:r>
          </w:p>
        </w:tc>
        <w:tc>
          <w:tcPr>
            <w:tcW w:w="0" w:type="auto"/>
            <w:shd w:val="clear" w:color="auto" w:fill="FFFFFF"/>
            <w:tcMar>
              <w:top w:w="0" w:type="dxa"/>
              <w:left w:w="0" w:type="dxa"/>
              <w:bottom w:w="0" w:type="dxa"/>
              <w:right w:w="0" w:type="dxa"/>
            </w:tcMar>
            <w:vAlign w:val="center"/>
          </w:tcPr>
          <w:p w14:paraId="11FD6624" w14:textId="77777777" w:rsidR="008B1365" w:rsidRDefault="008B1365" w:rsidP="008B1365">
            <w:pPr>
              <w:spacing w:before="100" w:after="100" w:line="240" w:lineRule="auto"/>
              <w:ind w:left="100" w:right="100"/>
            </w:pPr>
            <w:r>
              <w:rPr>
                <w:rFonts w:eastAsia="Arial" w:hAnsi="Arial" w:cs="Arial"/>
                <w:color w:val="000000"/>
                <w:sz w:val="22"/>
                <w:szCs w:val="22"/>
              </w:rPr>
              <w:t>5345 (53.3%)</w:t>
            </w:r>
          </w:p>
        </w:tc>
        <w:tc>
          <w:tcPr>
            <w:tcW w:w="0" w:type="auto"/>
            <w:shd w:val="clear" w:color="auto" w:fill="FFFFFF"/>
            <w:tcMar>
              <w:top w:w="0" w:type="dxa"/>
              <w:left w:w="0" w:type="dxa"/>
              <w:bottom w:w="0" w:type="dxa"/>
              <w:right w:w="0" w:type="dxa"/>
            </w:tcMar>
            <w:vAlign w:val="center"/>
          </w:tcPr>
          <w:p w14:paraId="41443E75" w14:textId="77777777" w:rsidR="008B1365" w:rsidRDefault="008B1365" w:rsidP="008B1365">
            <w:pPr>
              <w:spacing w:before="100" w:after="100" w:line="240" w:lineRule="auto"/>
              <w:ind w:left="100" w:right="100"/>
            </w:pPr>
            <w:r>
              <w:rPr>
                <w:rFonts w:eastAsia="Arial" w:hAnsi="Arial" w:cs="Arial"/>
                <w:color w:val="000000"/>
                <w:sz w:val="22"/>
                <w:szCs w:val="22"/>
              </w:rPr>
              <w:t>4678 (46.7%)</w:t>
            </w:r>
          </w:p>
        </w:tc>
      </w:tr>
      <w:tr w:rsidR="008B1365" w14:paraId="4FB54D9F" w14:textId="77777777" w:rsidTr="00D16F14">
        <w:trPr>
          <w:cantSplit/>
          <w:jc w:val="center"/>
        </w:trPr>
        <w:tc>
          <w:tcPr>
            <w:tcW w:w="0" w:type="auto"/>
            <w:shd w:val="clear" w:color="auto" w:fill="FFFFFF"/>
            <w:tcMar>
              <w:top w:w="0" w:type="dxa"/>
              <w:left w:w="0" w:type="dxa"/>
              <w:bottom w:w="0" w:type="dxa"/>
              <w:right w:w="0" w:type="dxa"/>
            </w:tcMar>
            <w:vAlign w:val="center"/>
          </w:tcPr>
          <w:p w14:paraId="587D9B7D" w14:textId="77777777" w:rsidR="008B1365" w:rsidRDefault="008B1365" w:rsidP="008B1365">
            <w:pPr>
              <w:spacing w:before="100" w:after="100" w:line="240" w:lineRule="auto"/>
              <w:ind w:left="300" w:right="100"/>
            </w:pPr>
            <w:r>
              <w:rPr>
                <w:rFonts w:eastAsia="Arial" w:hAnsi="Arial" w:cs="Arial"/>
                <w:color w:val="000000"/>
                <w:sz w:val="22"/>
                <w:szCs w:val="22"/>
              </w:rPr>
              <w:t xml:space="preserve"> Wear dentures</w:t>
            </w:r>
          </w:p>
        </w:tc>
        <w:tc>
          <w:tcPr>
            <w:tcW w:w="0" w:type="auto"/>
            <w:shd w:val="clear" w:color="auto" w:fill="FFFFFF"/>
            <w:tcMar>
              <w:top w:w="0" w:type="dxa"/>
              <w:left w:w="0" w:type="dxa"/>
              <w:bottom w:w="0" w:type="dxa"/>
              <w:right w:w="0" w:type="dxa"/>
            </w:tcMar>
            <w:vAlign w:val="center"/>
          </w:tcPr>
          <w:p w14:paraId="65C2DD0E" w14:textId="77777777" w:rsidR="008B1365" w:rsidRDefault="008B1365" w:rsidP="008B1365">
            <w:pPr>
              <w:spacing w:before="100" w:after="100" w:line="240" w:lineRule="auto"/>
              <w:ind w:left="100" w:right="100"/>
            </w:pPr>
            <w:r>
              <w:rPr>
                <w:rFonts w:eastAsia="Arial" w:hAnsi="Arial" w:cs="Arial"/>
                <w:color w:val="000000"/>
                <w:sz w:val="22"/>
                <w:szCs w:val="22"/>
              </w:rPr>
              <w:t>5690 (52.1%)</w:t>
            </w:r>
          </w:p>
        </w:tc>
        <w:tc>
          <w:tcPr>
            <w:tcW w:w="0" w:type="auto"/>
            <w:shd w:val="clear" w:color="auto" w:fill="FFFFFF"/>
            <w:tcMar>
              <w:top w:w="0" w:type="dxa"/>
              <w:left w:w="0" w:type="dxa"/>
              <w:bottom w:w="0" w:type="dxa"/>
              <w:right w:w="0" w:type="dxa"/>
            </w:tcMar>
            <w:vAlign w:val="center"/>
          </w:tcPr>
          <w:p w14:paraId="7FA74955" w14:textId="77777777" w:rsidR="008B1365" w:rsidRDefault="008B1365" w:rsidP="008B1365">
            <w:pPr>
              <w:spacing w:before="100" w:after="100" w:line="240" w:lineRule="auto"/>
              <w:ind w:left="100" w:right="100"/>
            </w:pPr>
            <w:r>
              <w:rPr>
                <w:rFonts w:eastAsia="Arial" w:hAnsi="Arial" w:cs="Arial"/>
                <w:color w:val="000000"/>
                <w:sz w:val="22"/>
                <w:szCs w:val="22"/>
              </w:rPr>
              <w:t>5226 (47.9%)</w:t>
            </w:r>
          </w:p>
        </w:tc>
      </w:tr>
      <w:tr w:rsidR="008B1365" w14:paraId="661393DE" w14:textId="77777777" w:rsidTr="00D16F14">
        <w:trPr>
          <w:cantSplit/>
          <w:jc w:val="center"/>
        </w:trPr>
        <w:tc>
          <w:tcPr>
            <w:tcW w:w="0" w:type="auto"/>
            <w:shd w:val="clear" w:color="auto" w:fill="FFFFFF"/>
            <w:tcMar>
              <w:top w:w="0" w:type="dxa"/>
              <w:left w:w="0" w:type="dxa"/>
              <w:bottom w:w="0" w:type="dxa"/>
              <w:right w:w="0" w:type="dxa"/>
            </w:tcMar>
            <w:vAlign w:val="center"/>
          </w:tcPr>
          <w:p w14:paraId="796F9D75" w14:textId="77777777" w:rsidR="008B1365" w:rsidRDefault="008B1365" w:rsidP="008B1365">
            <w:pPr>
              <w:spacing w:before="100" w:after="100" w:line="240" w:lineRule="auto"/>
              <w:ind w:left="300" w:right="100"/>
            </w:pPr>
            <w:r>
              <w:rPr>
                <w:rFonts w:eastAsia="Arial" w:hAnsi="Arial" w:cs="Arial"/>
                <w:color w:val="000000"/>
                <w:sz w:val="22"/>
                <w:szCs w:val="22"/>
              </w:rPr>
              <w:t xml:space="preserve"> (Missing)</w:t>
            </w:r>
            <w:r>
              <w:rPr>
                <w:rFonts w:eastAsia="Arial" w:hAnsi="Arial" w:cs="Arial"/>
                <w:color w:val="000000"/>
                <w:sz w:val="22"/>
                <w:szCs w:val="22"/>
                <w:vertAlign w:val="superscript"/>
              </w:rPr>
              <w:t>2</w:t>
            </w:r>
          </w:p>
        </w:tc>
        <w:tc>
          <w:tcPr>
            <w:tcW w:w="0" w:type="auto"/>
            <w:shd w:val="clear" w:color="auto" w:fill="FFFFFF"/>
            <w:tcMar>
              <w:top w:w="0" w:type="dxa"/>
              <w:left w:w="0" w:type="dxa"/>
              <w:bottom w:w="0" w:type="dxa"/>
              <w:right w:w="0" w:type="dxa"/>
            </w:tcMar>
            <w:vAlign w:val="center"/>
          </w:tcPr>
          <w:p w14:paraId="49F88365" w14:textId="77777777" w:rsidR="008B1365" w:rsidRDefault="008B1365" w:rsidP="008B1365">
            <w:pPr>
              <w:spacing w:before="100" w:after="100" w:line="240" w:lineRule="auto"/>
              <w:ind w:left="100" w:right="100"/>
            </w:pPr>
            <w:r>
              <w:rPr>
                <w:rFonts w:eastAsia="Arial" w:hAnsi="Arial" w:cs="Arial"/>
                <w:color w:val="000000"/>
                <w:sz w:val="22"/>
                <w:szCs w:val="22"/>
              </w:rPr>
              <w:t>727 (48.1%)</w:t>
            </w:r>
          </w:p>
        </w:tc>
        <w:tc>
          <w:tcPr>
            <w:tcW w:w="0" w:type="auto"/>
            <w:shd w:val="clear" w:color="auto" w:fill="FFFFFF"/>
            <w:tcMar>
              <w:top w:w="0" w:type="dxa"/>
              <w:left w:w="0" w:type="dxa"/>
              <w:bottom w:w="0" w:type="dxa"/>
              <w:right w:w="0" w:type="dxa"/>
            </w:tcMar>
            <w:vAlign w:val="center"/>
          </w:tcPr>
          <w:p w14:paraId="5DD59720" w14:textId="77777777" w:rsidR="008B1365" w:rsidRDefault="008B1365" w:rsidP="008B1365">
            <w:pPr>
              <w:spacing w:before="100" w:after="100" w:line="240" w:lineRule="auto"/>
              <w:ind w:left="100" w:right="100"/>
            </w:pPr>
            <w:r>
              <w:rPr>
                <w:rFonts w:eastAsia="Arial" w:hAnsi="Arial" w:cs="Arial"/>
                <w:color w:val="000000"/>
                <w:sz w:val="22"/>
                <w:szCs w:val="22"/>
              </w:rPr>
              <w:t>785 (51.9%)</w:t>
            </w:r>
          </w:p>
        </w:tc>
      </w:tr>
      <w:tr w:rsidR="008B1365" w14:paraId="7609F56B" w14:textId="77777777" w:rsidTr="00D16F14">
        <w:trPr>
          <w:cantSplit/>
          <w:jc w:val="center"/>
        </w:trPr>
        <w:tc>
          <w:tcPr>
            <w:tcW w:w="0" w:type="auto"/>
            <w:shd w:val="clear" w:color="auto" w:fill="FFFFFF"/>
            <w:tcMar>
              <w:top w:w="0" w:type="dxa"/>
              <w:left w:w="0" w:type="dxa"/>
              <w:bottom w:w="0" w:type="dxa"/>
              <w:right w:w="0" w:type="dxa"/>
            </w:tcMar>
            <w:vAlign w:val="center"/>
          </w:tcPr>
          <w:p w14:paraId="181CA569" w14:textId="77777777" w:rsidR="008B1365" w:rsidRDefault="008B1365" w:rsidP="008B1365">
            <w:pPr>
              <w:spacing w:before="100" w:after="100" w:line="240" w:lineRule="auto"/>
              <w:ind w:left="100" w:right="100"/>
            </w:pPr>
            <w:r>
              <w:rPr>
                <w:rFonts w:eastAsia="Arial" w:hAnsi="Arial" w:cs="Arial"/>
                <w:b/>
                <w:color w:val="000000"/>
                <w:sz w:val="22"/>
                <w:szCs w:val="22"/>
              </w:rPr>
              <w:t>Social participation in 2010</w:t>
            </w:r>
          </w:p>
        </w:tc>
        <w:tc>
          <w:tcPr>
            <w:tcW w:w="0" w:type="auto"/>
            <w:shd w:val="clear" w:color="auto" w:fill="FFFFFF"/>
            <w:tcMar>
              <w:top w:w="0" w:type="dxa"/>
              <w:left w:w="0" w:type="dxa"/>
              <w:bottom w:w="0" w:type="dxa"/>
              <w:right w:w="0" w:type="dxa"/>
            </w:tcMar>
            <w:vAlign w:val="center"/>
          </w:tcPr>
          <w:p w14:paraId="1E0266FE"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5D35DA70" w14:textId="77777777" w:rsidR="008B1365" w:rsidRDefault="008B1365" w:rsidP="008B1365">
            <w:pPr>
              <w:spacing w:before="100" w:after="100" w:line="240" w:lineRule="auto"/>
              <w:ind w:left="100" w:right="100"/>
            </w:pPr>
          </w:p>
        </w:tc>
      </w:tr>
      <w:tr w:rsidR="008B1365" w14:paraId="3B57BEAA" w14:textId="77777777" w:rsidTr="00D16F14">
        <w:trPr>
          <w:cantSplit/>
          <w:jc w:val="center"/>
        </w:trPr>
        <w:tc>
          <w:tcPr>
            <w:tcW w:w="0" w:type="auto"/>
            <w:shd w:val="clear" w:color="auto" w:fill="FFFFFF"/>
            <w:tcMar>
              <w:top w:w="0" w:type="dxa"/>
              <w:left w:w="0" w:type="dxa"/>
              <w:bottom w:w="0" w:type="dxa"/>
              <w:right w:w="0" w:type="dxa"/>
            </w:tcMar>
            <w:vAlign w:val="center"/>
          </w:tcPr>
          <w:p w14:paraId="7718F7F0" w14:textId="77777777" w:rsidR="008B1365" w:rsidRDefault="008B1365" w:rsidP="008B1365">
            <w:pPr>
              <w:spacing w:before="100" w:after="100" w:line="240" w:lineRule="auto"/>
              <w:ind w:left="300" w:right="100"/>
            </w:pPr>
            <w:r>
              <w:rPr>
                <w:rFonts w:eastAsia="Arial" w:hAnsi="Arial" w:cs="Arial"/>
                <w:color w:val="000000"/>
                <w:sz w:val="22"/>
                <w:szCs w:val="22"/>
              </w:rPr>
              <w:t xml:space="preserve"> Everyday</w:t>
            </w:r>
          </w:p>
        </w:tc>
        <w:tc>
          <w:tcPr>
            <w:tcW w:w="0" w:type="auto"/>
            <w:shd w:val="clear" w:color="auto" w:fill="FFFFFF"/>
            <w:tcMar>
              <w:top w:w="0" w:type="dxa"/>
              <w:left w:w="0" w:type="dxa"/>
              <w:bottom w:w="0" w:type="dxa"/>
              <w:right w:w="0" w:type="dxa"/>
            </w:tcMar>
            <w:vAlign w:val="center"/>
          </w:tcPr>
          <w:p w14:paraId="13ECABF3" w14:textId="77777777" w:rsidR="008B1365" w:rsidRDefault="008B1365" w:rsidP="008B1365">
            <w:pPr>
              <w:spacing w:before="100" w:after="100" w:line="240" w:lineRule="auto"/>
              <w:ind w:left="100" w:right="100"/>
            </w:pPr>
            <w:r>
              <w:rPr>
                <w:rFonts w:eastAsia="Arial" w:hAnsi="Arial" w:cs="Arial"/>
                <w:color w:val="000000"/>
                <w:sz w:val="22"/>
                <w:szCs w:val="22"/>
              </w:rPr>
              <w:t>891 (86.3%)</w:t>
            </w:r>
          </w:p>
        </w:tc>
        <w:tc>
          <w:tcPr>
            <w:tcW w:w="0" w:type="auto"/>
            <w:shd w:val="clear" w:color="auto" w:fill="FFFFFF"/>
            <w:tcMar>
              <w:top w:w="0" w:type="dxa"/>
              <w:left w:w="0" w:type="dxa"/>
              <w:bottom w:w="0" w:type="dxa"/>
              <w:right w:w="0" w:type="dxa"/>
            </w:tcMar>
            <w:vAlign w:val="center"/>
          </w:tcPr>
          <w:p w14:paraId="798D4332" w14:textId="77777777" w:rsidR="008B1365" w:rsidRDefault="008B1365" w:rsidP="008B1365">
            <w:pPr>
              <w:spacing w:before="100" w:after="100" w:line="240" w:lineRule="auto"/>
              <w:ind w:left="100" w:right="100"/>
            </w:pPr>
            <w:r>
              <w:rPr>
                <w:rFonts w:eastAsia="Arial" w:hAnsi="Arial" w:cs="Arial"/>
                <w:color w:val="000000"/>
                <w:sz w:val="22"/>
                <w:szCs w:val="22"/>
              </w:rPr>
              <w:t>141 (13.7%)</w:t>
            </w:r>
          </w:p>
        </w:tc>
      </w:tr>
      <w:tr w:rsidR="008B1365" w14:paraId="3C4369A3" w14:textId="77777777" w:rsidTr="00D16F14">
        <w:trPr>
          <w:cantSplit/>
          <w:jc w:val="center"/>
        </w:trPr>
        <w:tc>
          <w:tcPr>
            <w:tcW w:w="0" w:type="auto"/>
            <w:shd w:val="clear" w:color="auto" w:fill="FFFFFF"/>
            <w:tcMar>
              <w:top w:w="0" w:type="dxa"/>
              <w:left w:w="0" w:type="dxa"/>
              <w:bottom w:w="0" w:type="dxa"/>
              <w:right w:w="0" w:type="dxa"/>
            </w:tcMar>
            <w:vAlign w:val="center"/>
          </w:tcPr>
          <w:p w14:paraId="303A5002" w14:textId="77777777" w:rsidR="008B1365" w:rsidRDefault="008B1365" w:rsidP="008B1365">
            <w:pPr>
              <w:spacing w:before="100" w:after="100" w:line="240" w:lineRule="auto"/>
              <w:ind w:left="300" w:right="100"/>
            </w:pPr>
            <w:r>
              <w:rPr>
                <w:rFonts w:eastAsia="Arial" w:hAnsi="Arial" w:cs="Arial"/>
                <w:color w:val="000000"/>
                <w:sz w:val="22"/>
                <w:szCs w:val="22"/>
              </w:rPr>
              <w:t xml:space="preserve"> 2-3 times a week</w:t>
            </w:r>
          </w:p>
        </w:tc>
        <w:tc>
          <w:tcPr>
            <w:tcW w:w="0" w:type="auto"/>
            <w:shd w:val="clear" w:color="auto" w:fill="FFFFFF"/>
            <w:tcMar>
              <w:top w:w="0" w:type="dxa"/>
              <w:left w:w="0" w:type="dxa"/>
              <w:bottom w:w="0" w:type="dxa"/>
              <w:right w:w="0" w:type="dxa"/>
            </w:tcMar>
            <w:vAlign w:val="center"/>
          </w:tcPr>
          <w:p w14:paraId="481C24CF" w14:textId="77777777" w:rsidR="008B1365" w:rsidRDefault="008B1365" w:rsidP="008B1365">
            <w:pPr>
              <w:spacing w:before="100" w:after="100" w:line="240" w:lineRule="auto"/>
              <w:ind w:left="100" w:right="100"/>
            </w:pPr>
            <w:r>
              <w:rPr>
                <w:rFonts w:eastAsia="Arial" w:hAnsi="Arial" w:cs="Arial"/>
                <w:color w:val="000000"/>
                <w:sz w:val="22"/>
                <w:szCs w:val="22"/>
              </w:rPr>
              <w:t>3287 (88.1%)</w:t>
            </w:r>
          </w:p>
        </w:tc>
        <w:tc>
          <w:tcPr>
            <w:tcW w:w="0" w:type="auto"/>
            <w:shd w:val="clear" w:color="auto" w:fill="FFFFFF"/>
            <w:tcMar>
              <w:top w:w="0" w:type="dxa"/>
              <w:left w:w="0" w:type="dxa"/>
              <w:bottom w:w="0" w:type="dxa"/>
              <w:right w:w="0" w:type="dxa"/>
            </w:tcMar>
            <w:vAlign w:val="center"/>
          </w:tcPr>
          <w:p w14:paraId="7ABCE8FF" w14:textId="77777777" w:rsidR="008B1365" w:rsidRDefault="008B1365" w:rsidP="008B1365">
            <w:pPr>
              <w:spacing w:before="100" w:after="100" w:line="240" w:lineRule="auto"/>
              <w:ind w:left="100" w:right="100"/>
            </w:pPr>
            <w:r>
              <w:rPr>
                <w:rFonts w:eastAsia="Arial" w:hAnsi="Arial" w:cs="Arial"/>
                <w:color w:val="000000"/>
                <w:sz w:val="22"/>
                <w:szCs w:val="22"/>
              </w:rPr>
              <w:t>446 (11.9%)</w:t>
            </w:r>
          </w:p>
        </w:tc>
      </w:tr>
      <w:tr w:rsidR="008B1365" w14:paraId="16095344" w14:textId="77777777" w:rsidTr="00D16F14">
        <w:trPr>
          <w:cantSplit/>
          <w:jc w:val="center"/>
        </w:trPr>
        <w:tc>
          <w:tcPr>
            <w:tcW w:w="0" w:type="auto"/>
            <w:shd w:val="clear" w:color="auto" w:fill="FFFFFF"/>
            <w:tcMar>
              <w:top w:w="0" w:type="dxa"/>
              <w:left w:w="0" w:type="dxa"/>
              <w:bottom w:w="0" w:type="dxa"/>
              <w:right w:w="0" w:type="dxa"/>
            </w:tcMar>
            <w:vAlign w:val="center"/>
          </w:tcPr>
          <w:p w14:paraId="01385461" w14:textId="77777777" w:rsidR="008B1365" w:rsidRDefault="008B1365" w:rsidP="008B1365">
            <w:pPr>
              <w:spacing w:before="100" w:after="100" w:line="240" w:lineRule="auto"/>
              <w:ind w:left="300" w:right="100"/>
            </w:pPr>
            <w:r>
              <w:rPr>
                <w:rFonts w:eastAsia="Arial" w:hAnsi="Arial" w:cs="Arial"/>
                <w:color w:val="000000"/>
                <w:sz w:val="22"/>
                <w:szCs w:val="22"/>
              </w:rPr>
              <w:t xml:space="preserve"> Once a week</w:t>
            </w:r>
          </w:p>
        </w:tc>
        <w:tc>
          <w:tcPr>
            <w:tcW w:w="0" w:type="auto"/>
            <w:shd w:val="clear" w:color="auto" w:fill="FFFFFF"/>
            <w:tcMar>
              <w:top w:w="0" w:type="dxa"/>
              <w:left w:w="0" w:type="dxa"/>
              <w:bottom w:w="0" w:type="dxa"/>
              <w:right w:w="0" w:type="dxa"/>
            </w:tcMar>
            <w:vAlign w:val="center"/>
          </w:tcPr>
          <w:p w14:paraId="6909CF9F" w14:textId="77777777" w:rsidR="008B1365" w:rsidRDefault="008B1365" w:rsidP="008B1365">
            <w:pPr>
              <w:spacing w:before="100" w:after="100" w:line="240" w:lineRule="auto"/>
              <w:ind w:left="100" w:right="100"/>
            </w:pPr>
            <w:r>
              <w:rPr>
                <w:rFonts w:eastAsia="Arial" w:hAnsi="Arial" w:cs="Arial"/>
                <w:color w:val="000000"/>
                <w:sz w:val="22"/>
                <w:szCs w:val="22"/>
              </w:rPr>
              <w:t>2710 (79.5%)</w:t>
            </w:r>
          </w:p>
        </w:tc>
        <w:tc>
          <w:tcPr>
            <w:tcW w:w="0" w:type="auto"/>
            <w:shd w:val="clear" w:color="auto" w:fill="FFFFFF"/>
            <w:tcMar>
              <w:top w:w="0" w:type="dxa"/>
              <w:left w:w="0" w:type="dxa"/>
              <w:bottom w:w="0" w:type="dxa"/>
              <w:right w:w="0" w:type="dxa"/>
            </w:tcMar>
            <w:vAlign w:val="center"/>
          </w:tcPr>
          <w:p w14:paraId="386F046B" w14:textId="77777777" w:rsidR="008B1365" w:rsidRDefault="008B1365" w:rsidP="008B1365">
            <w:pPr>
              <w:spacing w:before="100" w:after="100" w:line="240" w:lineRule="auto"/>
              <w:ind w:left="100" w:right="100"/>
            </w:pPr>
            <w:r>
              <w:rPr>
                <w:rFonts w:eastAsia="Arial" w:hAnsi="Arial" w:cs="Arial"/>
                <w:color w:val="000000"/>
                <w:sz w:val="22"/>
                <w:szCs w:val="22"/>
              </w:rPr>
              <w:t>700 (20.5%)</w:t>
            </w:r>
          </w:p>
        </w:tc>
      </w:tr>
      <w:tr w:rsidR="008B1365" w14:paraId="70B38041" w14:textId="77777777" w:rsidTr="00D16F14">
        <w:trPr>
          <w:cantSplit/>
          <w:jc w:val="center"/>
        </w:trPr>
        <w:tc>
          <w:tcPr>
            <w:tcW w:w="0" w:type="auto"/>
            <w:shd w:val="clear" w:color="auto" w:fill="FFFFFF"/>
            <w:tcMar>
              <w:top w:w="0" w:type="dxa"/>
              <w:left w:w="0" w:type="dxa"/>
              <w:bottom w:w="0" w:type="dxa"/>
              <w:right w:w="0" w:type="dxa"/>
            </w:tcMar>
            <w:vAlign w:val="center"/>
          </w:tcPr>
          <w:p w14:paraId="7ECC1BBC" w14:textId="77777777" w:rsidR="008B1365" w:rsidRDefault="008B1365" w:rsidP="008B1365">
            <w:pPr>
              <w:spacing w:before="100" w:after="100" w:line="240" w:lineRule="auto"/>
              <w:ind w:left="300" w:right="100"/>
            </w:pPr>
            <w:r>
              <w:rPr>
                <w:rFonts w:eastAsia="Arial" w:hAnsi="Arial" w:cs="Arial"/>
                <w:color w:val="000000"/>
                <w:sz w:val="22"/>
                <w:szCs w:val="22"/>
              </w:rPr>
              <w:lastRenderedPageBreak/>
              <w:t xml:space="preserve"> 1-2 times a month</w:t>
            </w:r>
          </w:p>
        </w:tc>
        <w:tc>
          <w:tcPr>
            <w:tcW w:w="0" w:type="auto"/>
            <w:shd w:val="clear" w:color="auto" w:fill="FFFFFF"/>
            <w:tcMar>
              <w:top w:w="0" w:type="dxa"/>
              <w:left w:w="0" w:type="dxa"/>
              <w:bottom w:w="0" w:type="dxa"/>
              <w:right w:w="0" w:type="dxa"/>
            </w:tcMar>
            <w:vAlign w:val="center"/>
          </w:tcPr>
          <w:p w14:paraId="7750F8CC" w14:textId="77777777" w:rsidR="008B1365" w:rsidRDefault="008B1365" w:rsidP="008B1365">
            <w:pPr>
              <w:spacing w:before="100" w:after="100" w:line="240" w:lineRule="auto"/>
              <w:ind w:left="100" w:right="100"/>
            </w:pPr>
            <w:r>
              <w:rPr>
                <w:rFonts w:eastAsia="Arial" w:hAnsi="Arial" w:cs="Arial"/>
                <w:color w:val="000000"/>
                <w:sz w:val="22"/>
                <w:szCs w:val="22"/>
              </w:rPr>
              <w:t>2425 (63.1%)</w:t>
            </w:r>
          </w:p>
        </w:tc>
        <w:tc>
          <w:tcPr>
            <w:tcW w:w="0" w:type="auto"/>
            <w:shd w:val="clear" w:color="auto" w:fill="FFFFFF"/>
            <w:tcMar>
              <w:top w:w="0" w:type="dxa"/>
              <w:left w:w="0" w:type="dxa"/>
              <w:bottom w:w="0" w:type="dxa"/>
              <w:right w:w="0" w:type="dxa"/>
            </w:tcMar>
            <w:vAlign w:val="center"/>
          </w:tcPr>
          <w:p w14:paraId="7865B3E6" w14:textId="77777777" w:rsidR="008B1365" w:rsidRDefault="008B1365" w:rsidP="008B1365">
            <w:pPr>
              <w:spacing w:before="100" w:after="100" w:line="240" w:lineRule="auto"/>
              <w:ind w:left="100" w:right="100"/>
            </w:pPr>
            <w:r>
              <w:rPr>
                <w:rFonts w:eastAsia="Arial" w:hAnsi="Arial" w:cs="Arial"/>
                <w:color w:val="000000"/>
                <w:sz w:val="22"/>
                <w:szCs w:val="22"/>
              </w:rPr>
              <w:t>1420 (36.9%)</w:t>
            </w:r>
          </w:p>
        </w:tc>
      </w:tr>
      <w:tr w:rsidR="008B1365" w14:paraId="3A42668E" w14:textId="77777777" w:rsidTr="00D16F14">
        <w:trPr>
          <w:cantSplit/>
          <w:jc w:val="center"/>
        </w:trPr>
        <w:tc>
          <w:tcPr>
            <w:tcW w:w="0" w:type="auto"/>
            <w:shd w:val="clear" w:color="auto" w:fill="FFFFFF"/>
            <w:tcMar>
              <w:top w:w="0" w:type="dxa"/>
              <w:left w:w="0" w:type="dxa"/>
              <w:bottom w:w="0" w:type="dxa"/>
              <w:right w:w="0" w:type="dxa"/>
            </w:tcMar>
            <w:vAlign w:val="center"/>
          </w:tcPr>
          <w:p w14:paraId="314C27A3" w14:textId="77777777" w:rsidR="008B1365" w:rsidRDefault="008B1365" w:rsidP="008B1365">
            <w:pPr>
              <w:spacing w:before="100" w:after="100" w:line="240" w:lineRule="auto"/>
              <w:ind w:left="300" w:right="100"/>
            </w:pPr>
            <w:r>
              <w:rPr>
                <w:rFonts w:eastAsia="Arial" w:hAnsi="Arial" w:cs="Arial"/>
                <w:color w:val="000000"/>
                <w:sz w:val="22"/>
                <w:szCs w:val="22"/>
              </w:rPr>
              <w:t xml:space="preserve"> Few times a year</w:t>
            </w:r>
          </w:p>
        </w:tc>
        <w:tc>
          <w:tcPr>
            <w:tcW w:w="0" w:type="auto"/>
            <w:shd w:val="clear" w:color="auto" w:fill="FFFFFF"/>
            <w:tcMar>
              <w:top w:w="0" w:type="dxa"/>
              <w:left w:w="0" w:type="dxa"/>
              <w:bottom w:w="0" w:type="dxa"/>
              <w:right w:w="0" w:type="dxa"/>
            </w:tcMar>
            <w:vAlign w:val="center"/>
          </w:tcPr>
          <w:p w14:paraId="519972F4" w14:textId="77777777" w:rsidR="008B1365" w:rsidRDefault="008B1365" w:rsidP="008B1365">
            <w:pPr>
              <w:spacing w:before="100" w:after="100" w:line="240" w:lineRule="auto"/>
              <w:ind w:left="100" w:right="100"/>
            </w:pPr>
            <w:r>
              <w:rPr>
                <w:rFonts w:eastAsia="Arial" w:hAnsi="Arial" w:cs="Arial"/>
                <w:color w:val="000000"/>
                <w:sz w:val="22"/>
                <w:szCs w:val="22"/>
              </w:rPr>
              <w:t>1127 (28.2%)</w:t>
            </w:r>
          </w:p>
        </w:tc>
        <w:tc>
          <w:tcPr>
            <w:tcW w:w="0" w:type="auto"/>
            <w:shd w:val="clear" w:color="auto" w:fill="FFFFFF"/>
            <w:tcMar>
              <w:top w:w="0" w:type="dxa"/>
              <w:left w:w="0" w:type="dxa"/>
              <w:bottom w:w="0" w:type="dxa"/>
              <w:right w:w="0" w:type="dxa"/>
            </w:tcMar>
            <w:vAlign w:val="center"/>
          </w:tcPr>
          <w:p w14:paraId="06DBD336" w14:textId="77777777" w:rsidR="008B1365" w:rsidRDefault="008B1365" w:rsidP="008B1365">
            <w:pPr>
              <w:spacing w:before="100" w:after="100" w:line="240" w:lineRule="auto"/>
              <w:ind w:left="100" w:right="100"/>
            </w:pPr>
            <w:r>
              <w:rPr>
                <w:rFonts w:eastAsia="Arial" w:hAnsi="Arial" w:cs="Arial"/>
                <w:color w:val="000000"/>
                <w:sz w:val="22"/>
                <w:szCs w:val="22"/>
              </w:rPr>
              <w:t>2867 (71.8%)</w:t>
            </w:r>
          </w:p>
        </w:tc>
      </w:tr>
      <w:tr w:rsidR="008B1365" w14:paraId="7EB98D76" w14:textId="77777777" w:rsidTr="00D16F14">
        <w:trPr>
          <w:cantSplit/>
          <w:jc w:val="center"/>
        </w:trPr>
        <w:tc>
          <w:tcPr>
            <w:tcW w:w="0" w:type="auto"/>
            <w:shd w:val="clear" w:color="auto" w:fill="FFFFFF"/>
            <w:tcMar>
              <w:top w:w="0" w:type="dxa"/>
              <w:left w:w="0" w:type="dxa"/>
              <w:bottom w:w="0" w:type="dxa"/>
              <w:right w:w="0" w:type="dxa"/>
            </w:tcMar>
            <w:vAlign w:val="center"/>
          </w:tcPr>
          <w:p w14:paraId="2065284F" w14:textId="77777777" w:rsidR="008B1365" w:rsidRDefault="008B1365" w:rsidP="008B1365">
            <w:pPr>
              <w:spacing w:before="100" w:after="100" w:line="240" w:lineRule="auto"/>
              <w:ind w:left="300" w:right="100"/>
            </w:pPr>
            <w:r>
              <w:rPr>
                <w:rFonts w:eastAsia="Arial" w:hAnsi="Arial" w:cs="Arial"/>
                <w:color w:val="000000"/>
                <w:sz w:val="22"/>
                <w:szCs w:val="22"/>
              </w:rPr>
              <w:t xml:space="preserve"> Never</w:t>
            </w:r>
          </w:p>
        </w:tc>
        <w:tc>
          <w:tcPr>
            <w:tcW w:w="0" w:type="auto"/>
            <w:shd w:val="clear" w:color="auto" w:fill="FFFFFF"/>
            <w:tcMar>
              <w:top w:w="0" w:type="dxa"/>
              <w:left w:w="0" w:type="dxa"/>
              <w:bottom w:w="0" w:type="dxa"/>
              <w:right w:w="0" w:type="dxa"/>
            </w:tcMar>
            <w:vAlign w:val="center"/>
          </w:tcPr>
          <w:p w14:paraId="63C8268E" w14:textId="77777777" w:rsidR="008B1365" w:rsidRDefault="008B1365" w:rsidP="008B1365">
            <w:pPr>
              <w:spacing w:before="100" w:after="100" w:line="240" w:lineRule="auto"/>
              <w:ind w:left="100" w:right="100"/>
            </w:pPr>
            <w:r>
              <w:rPr>
                <w:rFonts w:eastAsia="Arial" w:hAnsi="Arial" w:cs="Arial"/>
                <w:color w:val="000000"/>
                <w:sz w:val="22"/>
                <w:szCs w:val="22"/>
              </w:rPr>
              <w:t>735 (16.3%)</w:t>
            </w:r>
          </w:p>
        </w:tc>
        <w:tc>
          <w:tcPr>
            <w:tcW w:w="0" w:type="auto"/>
            <w:shd w:val="clear" w:color="auto" w:fill="FFFFFF"/>
            <w:tcMar>
              <w:top w:w="0" w:type="dxa"/>
              <w:left w:w="0" w:type="dxa"/>
              <w:bottom w:w="0" w:type="dxa"/>
              <w:right w:w="0" w:type="dxa"/>
            </w:tcMar>
            <w:vAlign w:val="center"/>
          </w:tcPr>
          <w:p w14:paraId="107BF6D9" w14:textId="77777777" w:rsidR="008B1365" w:rsidRDefault="008B1365" w:rsidP="008B1365">
            <w:pPr>
              <w:spacing w:before="100" w:after="100" w:line="240" w:lineRule="auto"/>
              <w:ind w:left="100" w:right="100"/>
            </w:pPr>
            <w:r>
              <w:rPr>
                <w:rFonts w:eastAsia="Arial" w:hAnsi="Arial" w:cs="Arial"/>
                <w:color w:val="000000"/>
                <w:sz w:val="22"/>
                <w:szCs w:val="22"/>
              </w:rPr>
              <w:t>3778 (83.7%)</w:t>
            </w:r>
          </w:p>
        </w:tc>
      </w:tr>
      <w:tr w:rsidR="008B1365" w14:paraId="0C8E88A8" w14:textId="77777777" w:rsidTr="00D16F14">
        <w:trPr>
          <w:cantSplit/>
          <w:jc w:val="center"/>
        </w:trPr>
        <w:tc>
          <w:tcPr>
            <w:tcW w:w="0" w:type="auto"/>
            <w:shd w:val="clear" w:color="auto" w:fill="FFFFFF"/>
            <w:tcMar>
              <w:top w:w="0" w:type="dxa"/>
              <w:left w:w="0" w:type="dxa"/>
              <w:bottom w:w="0" w:type="dxa"/>
              <w:right w:w="0" w:type="dxa"/>
            </w:tcMar>
            <w:vAlign w:val="center"/>
          </w:tcPr>
          <w:p w14:paraId="2F74F5A2" w14:textId="77777777" w:rsidR="008B1365" w:rsidRDefault="008B1365" w:rsidP="008B1365">
            <w:pPr>
              <w:spacing w:before="100" w:after="100" w:line="240" w:lineRule="auto"/>
              <w:ind w:left="300" w:right="100"/>
            </w:pPr>
            <w:r>
              <w:rPr>
                <w:rFonts w:eastAsia="Arial" w:hAnsi="Arial" w:cs="Arial"/>
                <w:color w:val="000000"/>
                <w:sz w:val="22"/>
                <w:szCs w:val="22"/>
              </w:rPr>
              <w:t xml:space="preserve"> (Missing)</w:t>
            </w:r>
            <w:r>
              <w:rPr>
                <w:rFonts w:eastAsia="Arial" w:hAnsi="Arial" w:cs="Arial"/>
                <w:color w:val="000000"/>
                <w:sz w:val="22"/>
                <w:szCs w:val="22"/>
                <w:vertAlign w:val="superscript"/>
              </w:rPr>
              <w:t>2</w:t>
            </w:r>
          </w:p>
        </w:tc>
        <w:tc>
          <w:tcPr>
            <w:tcW w:w="0" w:type="auto"/>
            <w:shd w:val="clear" w:color="auto" w:fill="FFFFFF"/>
            <w:tcMar>
              <w:top w:w="0" w:type="dxa"/>
              <w:left w:w="0" w:type="dxa"/>
              <w:bottom w:w="0" w:type="dxa"/>
              <w:right w:w="0" w:type="dxa"/>
            </w:tcMar>
            <w:vAlign w:val="center"/>
          </w:tcPr>
          <w:p w14:paraId="350014CE" w14:textId="77777777" w:rsidR="008B1365" w:rsidRDefault="008B1365" w:rsidP="008B1365">
            <w:pPr>
              <w:spacing w:before="100" w:after="100" w:line="240" w:lineRule="auto"/>
              <w:ind w:left="100" w:right="100"/>
            </w:pPr>
            <w:r>
              <w:rPr>
                <w:rFonts w:eastAsia="Arial" w:hAnsi="Arial" w:cs="Arial"/>
                <w:color w:val="000000"/>
                <w:sz w:val="22"/>
                <w:szCs w:val="22"/>
              </w:rPr>
              <w:t>587 (30.5%)</w:t>
            </w:r>
          </w:p>
        </w:tc>
        <w:tc>
          <w:tcPr>
            <w:tcW w:w="0" w:type="auto"/>
            <w:shd w:val="clear" w:color="auto" w:fill="FFFFFF"/>
            <w:tcMar>
              <w:top w:w="0" w:type="dxa"/>
              <w:left w:w="0" w:type="dxa"/>
              <w:bottom w:w="0" w:type="dxa"/>
              <w:right w:w="0" w:type="dxa"/>
            </w:tcMar>
            <w:vAlign w:val="center"/>
          </w:tcPr>
          <w:p w14:paraId="5F2AEB37" w14:textId="77777777" w:rsidR="008B1365" w:rsidRDefault="008B1365" w:rsidP="008B1365">
            <w:pPr>
              <w:spacing w:before="100" w:after="100" w:line="240" w:lineRule="auto"/>
              <w:ind w:left="100" w:right="100"/>
            </w:pPr>
            <w:r>
              <w:rPr>
                <w:rFonts w:eastAsia="Arial" w:hAnsi="Arial" w:cs="Arial"/>
                <w:color w:val="000000"/>
                <w:sz w:val="22"/>
                <w:szCs w:val="22"/>
              </w:rPr>
              <w:t>1337 (69.5%)</w:t>
            </w:r>
          </w:p>
        </w:tc>
      </w:tr>
      <w:tr w:rsidR="008B1365" w14:paraId="4F3A07F7" w14:textId="77777777" w:rsidTr="00D16F14">
        <w:trPr>
          <w:cantSplit/>
          <w:jc w:val="center"/>
        </w:trPr>
        <w:tc>
          <w:tcPr>
            <w:tcW w:w="0" w:type="auto"/>
            <w:shd w:val="clear" w:color="auto" w:fill="FFFFFF"/>
            <w:tcMar>
              <w:top w:w="0" w:type="dxa"/>
              <w:left w:w="0" w:type="dxa"/>
              <w:bottom w:w="0" w:type="dxa"/>
              <w:right w:w="0" w:type="dxa"/>
            </w:tcMar>
            <w:vAlign w:val="center"/>
          </w:tcPr>
          <w:p w14:paraId="531D492E" w14:textId="77777777" w:rsidR="008B1365" w:rsidRDefault="008B1365" w:rsidP="008B1365">
            <w:pPr>
              <w:spacing w:before="100" w:after="100" w:line="240" w:lineRule="auto"/>
              <w:ind w:left="100" w:right="100"/>
            </w:pPr>
            <w:r>
              <w:rPr>
                <w:rFonts w:eastAsia="Arial" w:hAnsi="Arial" w:cs="Arial"/>
                <w:b/>
                <w:color w:val="000000"/>
                <w:sz w:val="22"/>
                <w:szCs w:val="22"/>
              </w:rPr>
              <w:t>Marital status</w:t>
            </w:r>
          </w:p>
        </w:tc>
        <w:tc>
          <w:tcPr>
            <w:tcW w:w="0" w:type="auto"/>
            <w:shd w:val="clear" w:color="auto" w:fill="FFFFFF"/>
            <w:tcMar>
              <w:top w:w="0" w:type="dxa"/>
              <w:left w:w="0" w:type="dxa"/>
              <w:bottom w:w="0" w:type="dxa"/>
              <w:right w:w="0" w:type="dxa"/>
            </w:tcMar>
            <w:vAlign w:val="center"/>
          </w:tcPr>
          <w:p w14:paraId="258D53BD" w14:textId="77777777" w:rsidR="008B1365" w:rsidRDefault="008B1365" w:rsidP="008B1365">
            <w:pPr>
              <w:spacing w:before="100" w:after="100" w:line="240" w:lineRule="auto"/>
              <w:ind w:left="100" w:right="100"/>
            </w:pPr>
          </w:p>
        </w:tc>
        <w:tc>
          <w:tcPr>
            <w:tcW w:w="0" w:type="auto"/>
            <w:shd w:val="clear" w:color="auto" w:fill="FFFFFF"/>
            <w:tcMar>
              <w:top w:w="0" w:type="dxa"/>
              <w:left w:w="0" w:type="dxa"/>
              <w:bottom w:w="0" w:type="dxa"/>
              <w:right w:w="0" w:type="dxa"/>
            </w:tcMar>
            <w:vAlign w:val="center"/>
          </w:tcPr>
          <w:p w14:paraId="39D22DF6" w14:textId="77777777" w:rsidR="008B1365" w:rsidRDefault="008B1365" w:rsidP="008B1365">
            <w:pPr>
              <w:spacing w:before="100" w:after="100" w:line="240" w:lineRule="auto"/>
              <w:ind w:left="100" w:right="100"/>
            </w:pPr>
          </w:p>
        </w:tc>
      </w:tr>
      <w:tr w:rsidR="008B1365" w14:paraId="6B4460C3" w14:textId="77777777" w:rsidTr="00D16F14">
        <w:trPr>
          <w:cantSplit/>
          <w:jc w:val="center"/>
        </w:trPr>
        <w:tc>
          <w:tcPr>
            <w:tcW w:w="0" w:type="auto"/>
            <w:shd w:val="clear" w:color="auto" w:fill="FFFFFF"/>
            <w:tcMar>
              <w:top w:w="0" w:type="dxa"/>
              <w:left w:w="0" w:type="dxa"/>
              <w:bottom w:w="0" w:type="dxa"/>
              <w:right w:w="0" w:type="dxa"/>
            </w:tcMar>
            <w:vAlign w:val="center"/>
          </w:tcPr>
          <w:p w14:paraId="00506128" w14:textId="77777777" w:rsidR="008B1365" w:rsidRDefault="008B1365" w:rsidP="008B1365">
            <w:pPr>
              <w:spacing w:before="100" w:after="100" w:line="240" w:lineRule="auto"/>
              <w:ind w:left="300" w:right="100"/>
            </w:pPr>
            <w:r>
              <w:rPr>
                <w:rFonts w:eastAsia="Arial" w:hAnsi="Arial" w:cs="Arial"/>
                <w:color w:val="000000"/>
                <w:sz w:val="22"/>
                <w:szCs w:val="22"/>
              </w:rPr>
              <w:t xml:space="preserve"> Widowed, divorced, or unmarried</w:t>
            </w:r>
          </w:p>
        </w:tc>
        <w:tc>
          <w:tcPr>
            <w:tcW w:w="0" w:type="auto"/>
            <w:shd w:val="clear" w:color="auto" w:fill="FFFFFF"/>
            <w:tcMar>
              <w:top w:w="0" w:type="dxa"/>
              <w:left w:w="0" w:type="dxa"/>
              <w:bottom w:w="0" w:type="dxa"/>
              <w:right w:w="0" w:type="dxa"/>
            </w:tcMar>
            <w:vAlign w:val="center"/>
          </w:tcPr>
          <w:p w14:paraId="26ABE784" w14:textId="77777777" w:rsidR="008B1365" w:rsidRDefault="008B1365" w:rsidP="008B1365">
            <w:pPr>
              <w:spacing w:before="100" w:after="100" w:line="240" w:lineRule="auto"/>
              <w:ind w:left="100" w:right="100"/>
            </w:pPr>
            <w:r>
              <w:rPr>
                <w:rFonts w:eastAsia="Arial" w:hAnsi="Arial" w:cs="Arial"/>
                <w:color w:val="000000"/>
                <w:sz w:val="22"/>
                <w:szCs w:val="22"/>
              </w:rPr>
              <w:t>2736 (51.7%)</w:t>
            </w:r>
          </w:p>
        </w:tc>
        <w:tc>
          <w:tcPr>
            <w:tcW w:w="0" w:type="auto"/>
            <w:shd w:val="clear" w:color="auto" w:fill="FFFFFF"/>
            <w:tcMar>
              <w:top w:w="0" w:type="dxa"/>
              <w:left w:w="0" w:type="dxa"/>
              <w:bottom w:w="0" w:type="dxa"/>
              <w:right w:w="0" w:type="dxa"/>
            </w:tcMar>
            <w:vAlign w:val="center"/>
          </w:tcPr>
          <w:p w14:paraId="2BDD7E56" w14:textId="77777777" w:rsidR="008B1365" w:rsidRDefault="008B1365" w:rsidP="008B1365">
            <w:pPr>
              <w:spacing w:before="100" w:after="100" w:line="240" w:lineRule="auto"/>
              <w:ind w:left="100" w:right="100"/>
            </w:pPr>
            <w:r>
              <w:rPr>
                <w:rFonts w:eastAsia="Arial" w:hAnsi="Arial" w:cs="Arial"/>
                <w:color w:val="000000"/>
                <w:sz w:val="22"/>
                <w:szCs w:val="22"/>
              </w:rPr>
              <w:t>2557 (48.3%)</w:t>
            </w:r>
          </w:p>
        </w:tc>
      </w:tr>
      <w:tr w:rsidR="008B1365" w14:paraId="4D5F76D8" w14:textId="77777777" w:rsidTr="00D16F14">
        <w:trPr>
          <w:cantSplit/>
          <w:jc w:val="center"/>
        </w:trPr>
        <w:tc>
          <w:tcPr>
            <w:tcW w:w="0" w:type="auto"/>
            <w:shd w:val="clear" w:color="auto" w:fill="FFFFFF"/>
            <w:tcMar>
              <w:top w:w="0" w:type="dxa"/>
              <w:left w:w="0" w:type="dxa"/>
              <w:bottom w:w="0" w:type="dxa"/>
              <w:right w:w="0" w:type="dxa"/>
            </w:tcMar>
            <w:vAlign w:val="center"/>
          </w:tcPr>
          <w:p w14:paraId="39410988" w14:textId="77777777" w:rsidR="008B1365" w:rsidRDefault="008B1365" w:rsidP="008B1365">
            <w:pPr>
              <w:spacing w:before="100" w:after="100" w:line="240" w:lineRule="auto"/>
              <w:ind w:left="300" w:right="100"/>
            </w:pPr>
            <w:r>
              <w:rPr>
                <w:rFonts w:eastAsia="Arial" w:hAnsi="Arial" w:cs="Arial"/>
                <w:color w:val="000000"/>
                <w:sz w:val="22"/>
                <w:szCs w:val="22"/>
              </w:rPr>
              <w:t xml:space="preserve"> Married</w:t>
            </w:r>
          </w:p>
        </w:tc>
        <w:tc>
          <w:tcPr>
            <w:tcW w:w="0" w:type="auto"/>
            <w:shd w:val="clear" w:color="auto" w:fill="FFFFFF"/>
            <w:tcMar>
              <w:top w:w="0" w:type="dxa"/>
              <w:left w:w="0" w:type="dxa"/>
              <w:bottom w:w="0" w:type="dxa"/>
              <w:right w:w="0" w:type="dxa"/>
            </w:tcMar>
            <w:vAlign w:val="center"/>
          </w:tcPr>
          <w:p w14:paraId="0F178771" w14:textId="77777777" w:rsidR="008B1365" w:rsidRDefault="008B1365" w:rsidP="008B1365">
            <w:pPr>
              <w:spacing w:before="100" w:after="100" w:line="240" w:lineRule="auto"/>
              <w:ind w:left="100" w:right="100"/>
            </w:pPr>
            <w:r>
              <w:rPr>
                <w:rFonts w:eastAsia="Arial" w:hAnsi="Arial" w:cs="Arial"/>
                <w:color w:val="000000"/>
                <w:sz w:val="22"/>
                <w:szCs w:val="22"/>
              </w:rPr>
              <w:t>8933 (52.7%)</w:t>
            </w:r>
          </w:p>
        </w:tc>
        <w:tc>
          <w:tcPr>
            <w:tcW w:w="0" w:type="auto"/>
            <w:shd w:val="clear" w:color="auto" w:fill="FFFFFF"/>
            <w:tcMar>
              <w:top w:w="0" w:type="dxa"/>
              <w:left w:w="0" w:type="dxa"/>
              <w:bottom w:w="0" w:type="dxa"/>
              <w:right w:w="0" w:type="dxa"/>
            </w:tcMar>
            <w:vAlign w:val="center"/>
          </w:tcPr>
          <w:p w14:paraId="14B3B625" w14:textId="77777777" w:rsidR="008B1365" w:rsidRDefault="008B1365" w:rsidP="008B1365">
            <w:pPr>
              <w:spacing w:before="100" w:after="100" w:line="240" w:lineRule="auto"/>
              <w:ind w:left="100" w:right="100"/>
            </w:pPr>
            <w:r>
              <w:rPr>
                <w:rFonts w:eastAsia="Arial" w:hAnsi="Arial" w:cs="Arial"/>
                <w:color w:val="000000"/>
                <w:sz w:val="22"/>
                <w:szCs w:val="22"/>
              </w:rPr>
              <w:t>8021 (47.3%)</w:t>
            </w:r>
          </w:p>
        </w:tc>
      </w:tr>
      <w:tr w:rsidR="008B1365" w14:paraId="39D4CD60" w14:textId="77777777" w:rsidTr="00D16F14">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625F084B" w14:textId="77777777" w:rsidR="008B1365" w:rsidRDefault="008B1365" w:rsidP="008B1365">
            <w:pPr>
              <w:spacing w:before="100" w:after="100" w:line="240" w:lineRule="auto"/>
              <w:ind w:left="300" w:right="100"/>
            </w:pPr>
            <w:r>
              <w:rPr>
                <w:rFonts w:eastAsia="Arial" w:hAnsi="Arial" w:cs="Arial"/>
                <w:color w:val="000000"/>
                <w:sz w:val="22"/>
                <w:szCs w:val="22"/>
              </w:rPr>
              <w:t xml:space="preserve"> (Missing)</w:t>
            </w:r>
            <w:r>
              <w:rPr>
                <w:rFonts w:eastAsia="Arial" w:hAnsi="Arial" w:cs="Arial"/>
                <w:color w:val="000000"/>
                <w:sz w:val="22"/>
                <w:szCs w:val="22"/>
                <w:vertAlign w:val="superscript"/>
              </w:rPr>
              <w:t>2</w:t>
            </w:r>
          </w:p>
        </w:tc>
        <w:tc>
          <w:tcPr>
            <w:tcW w:w="0" w:type="auto"/>
            <w:tcBorders>
              <w:bottom w:val="single" w:sz="16" w:space="0" w:color="000000"/>
            </w:tcBorders>
            <w:shd w:val="clear" w:color="auto" w:fill="FFFFFF"/>
            <w:tcMar>
              <w:top w:w="0" w:type="dxa"/>
              <w:left w:w="0" w:type="dxa"/>
              <w:bottom w:w="0" w:type="dxa"/>
              <w:right w:w="0" w:type="dxa"/>
            </w:tcMar>
            <w:vAlign w:val="center"/>
          </w:tcPr>
          <w:p w14:paraId="72CE1E8D" w14:textId="77777777" w:rsidR="008B1365" w:rsidRDefault="008B1365" w:rsidP="008B1365">
            <w:pPr>
              <w:spacing w:before="100" w:after="100" w:line="240" w:lineRule="auto"/>
              <w:ind w:left="100" w:right="100"/>
            </w:pPr>
            <w:r>
              <w:rPr>
                <w:rFonts w:eastAsia="Arial" w:hAnsi="Arial" w:cs="Arial"/>
                <w:color w:val="000000"/>
                <w:sz w:val="22"/>
                <w:szCs w:val="22"/>
              </w:rPr>
              <w:t>93 (45.6%)</w:t>
            </w:r>
          </w:p>
        </w:tc>
        <w:tc>
          <w:tcPr>
            <w:tcW w:w="0" w:type="auto"/>
            <w:tcBorders>
              <w:bottom w:val="single" w:sz="16" w:space="0" w:color="000000"/>
            </w:tcBorders>
            <w:shd w:val="clear" w:color="auto" w:fill="FFFFFF"/>
            <w:tcMar>
              <w:top w:w="0" w:type="dxa"/>
              <w:left w:w="0" w:type="dxa"/>
              <w:bottom w:w="0" w:type="dxa"/>
              <w:right w:w="0" w:type="dxa"/>
            </w:tcMar>
            <w:vAlign w:val="center"/>
          </w:tcPr>
          <w:p w14:paraId="68770A58" w14:textId="77777777" w:rsidR="008B1365" w:rsidRDefault="008B1365" w:rsidP="008B1365">
            <w:pPr>
              <w:spacing w:before="100" w:after="100" w:line="240" w:lineRule="auto"/>
              <w:ind w:left="100" w:right="100"/>
            </w:pPr>
            <w:r>
              <w:rPr>
                <w:rFonts w:eastAsia="Arial" w:hAnsi="Arial" w:cs="Arial"/>
                <w:color w:val="000000"/>
                <w:sz w:val="22"/>
                <w:szCs w:val="22"/>
              </w:rPr>
              <w:t>111 (54.4%)</w:t>
            </w:r>
          </w:p>
        </w:tc>
      </w:tr>
      <w:tr w:rsidR="008B1365" w14:paraId="7651946A" w14:textId="77777777" w:rsidTr="00D16F14">
        <w:trPr>
          <w:cantSplit/>
          <w:jc w:val="center"/>
        </w:trPr>
        <w:tc>
          <w:tcPr>
            <w:tcW w:w="0" w:type="auto"/>
            <w:gridSpan w:val="3"/>
            <w:shd w:val="clear" w:color="auto" w:fill="FFFFFF"/>
            <w:tcMar>
              <w:top w:w="0" w:type="dxa"/>
              <w:left w:w="0" w:type="dxa"/>
              <w:bottom w:w="0" w:type="dxa"/>
              <w:right w:w="0" w:type="dxa"/>
            </w:tcMar>
            <w:vAlign w:val="center"/>
          </w:tcPr>
          <w:p w14:paraId="33D7BBEF" w14:textId="77777777" w:rsidR="008B1365" w:rsidRDefault="008B1365" w:rsidP="008B1365">
            <w:pPr>
              <w:spacing w:before="100" w:after="100" w:line="240" w:lineRule="auto"/>
              <w:ind w:left="100" w:right="100"/>
            </w:pPr>
            <w:r>
              <w:rPr>
                <w:rFonts w:eastAsia="Arial" w:hAnsi="Arial" w:cs="Arial"/>
                <w:color w:val="000000"/>
                <w:sz w:val="22"/>
                <w:szCs w:val="22"/>
                <w:vertAlign w:val="superscript"/>
              </w:rPr>
              <w:t>1</w:t>
            </w:r>
            <w:r>
              <w:rPr>
                <w:rFonts w:eastAsia="Arial" w:hAnsi="Arial" w:cs="Arial"/>
                <w:color w:val="000000"/>
                <w:sz w:val="22"/>
                <w:szCs w:val="22"/>
              </w:rPr>
              <w:t>Mean (SD) for continuous variables; Frequency (%) for categorical variables</w:t>
            </w:r>
          </w:p>
        </w:tc>
      </w:tr>
      <w:tr w:rsidR="008B1365" w14:paraId="4AEDC101" w14:textId="77777777" w:rsidTr="00D16F14">
        <w:trPr>
          <w:cantSplit/>
          <w:jc w:val="center"/>
        </w:trPr>
        <w:tc>
          <w:tcPr>
            <w:tcW w:w="0" w:type="auto"/>
            <w:gridSpan w:val="3"/>
            <w:shd w:val="clear" w:color="auto" w:fill="FFFFFF"/>
            <w:tcMar>
              <w:top w:w="0" w:type="dxa"/>
              <w:left w:w="0" w:type="dxa"/>
              <w:bottom w:w="0" w:type="dxa"/>
              <w:right w:w="0" w:type="dxa"/>
            </w:tcMar>
            <w:vAlign w:val="center"/>
          </w:tcPr>
          <w:p w14:paraId="32B7A97C" w14:textId="77777777" w:rsidR="008B1365" w:rsidRDefault="008B1365" w:rsidP="008B1365">
            <w:pPr>
              <w:spacing w:before="100" w:after="100" w:line="240" w:lineRule="auto"/>
              <w:ind w:left="100" w:right="100"/>
            </w:pPr>
            <w:r>
              <w:rPr>
                <w:rFonts w:eastAsia="Arial" w:hAnsi="Arial" w:cs="Arial"/>
                <w:color w:val="000000"/>
                <w:sz w:val="22"/>
                <w:szCs w:val="22"/>
                <w:vertAlign w:val="superscript"/>
              </w:rPr>
              <w:t>2</w:t>
            </w:r>
            <w:r>
              <w:rPr>
                <w:rFonts w:eastAsia="Arial" w:hAnsi="Arial" w:cs="Arial"/>
                <w:color w:val="000000"/>
                <w:sz w:val="22"/>
                <w:szCs w:val="22"/>
              </w:rPr>
              <w:t>Missing values were imputed prior to main analyses</w:t>
            </w:r>
          </w:p>
        </w:tc>
      </w:tr>
    </w:tbl>
    <w:p w14:paraId="2CBB8B55" w14:textId="77777777" w:rsidR="008B1365" w:rsidRDefault="008B1365" w:rsidP="00ED2E93">
      <w:pPr>
        <w:pStyle w:val="BodyText"/>
        <w:rPr>
          <w:highlight w:val="yellow"/>
        </w:rPr>
      </w:pPr>
    </w:p>
    <w:p w14:paraId="470D9A35" w14:textId="4100703A" w:rsidR="00A531F8" w:rsidRDefault="00905393" w:rsidP="009341B7">
      <w:pPr>
        <w:pStyle w:val="FirstParagraph"/>
      </w:pPr>
      <w:r w:rsidRPr="00905393">
        <w:t xml:space="preserve">Figure </w:t>
      </w:r>
      <w:r w:rsidRPr="00905393">
        <w:rPr>
          <w:highlight w:val="yellow"/>
        </w:rPr>
        <w:t>xx</w:t>
      </w:r>
      <w:r w:rsidRPr="00905393">
        <w:t xml:space="preserve"> contrasts the mean prevalence estimates (TMLE estimates) of social participation related to various longitudinal hypothetical interventions to the prevalence estimate (TMLE estimate) of social participation in the data under the observed dental status.</w:t>
      </w:r>
      <w:r w:rsidR="00C74C75">
        <w:t xml:space="preserve"> Having </w:t>
      </w:r>
      <w:r w:rsidR="00EF471A">
        <w:t xml:space="preserve">a </w:t>
      </w:r>
      <w:r w:rsidR="00701ADC">
        <w:t xml:space="preserve">relatively lower number of teeth negatively affected social participation </w:t>
      </w:r>
      <w:r w:rsidR="00C74C75">
        <w:t xml:space="preserve">after the </w:t>
      </w:r>
      <w:r w:rsidR="00701ADC">
        <w:t xml:space="preserve">six-year follow-up. </w:t>
      </w:r>
      <w:r w:rsidR="009A58B9">
        <w:t>After adjusting for age, sex, baseline social participation and time</w:t>
      </w:r>
      <w:r w:rsidR="00C74C75">
        <w:t>-</w:t>
      </w:r>
      <w:r w:rsidR="009A58B9">
        <w:t xml:space="preserve">varying confounders such as annual household income, IADL score, </w:t>
      </w:r>
      <w:r w:rsidR="00E32C44">
        <w:t xml:space="preserve">denture use, </w:t>
      </w:r>
      <w:r w:rsidR="009A58B9">
        <w:t>and marital status</w:t>
      </w:r>
      <w:r w:rsidR="00C74C75">
        <w:t>,</w:t>
      </w:r>
      <w:r w:rsidR="009A58B9">
        <w:t xml:space="preserve"> consistent exposure to edentulousness</w:t>
      </w:r>
      <w:r w:rsidR="00A531F8">
        <w:t xml:space="preserve"> would have</w:t>
      </w:r>
      <w:r w:rsidR="009A58B9">
        <w:t xml:space="preserve"> </w:t>
      </w:r>
      <w:r w:rsidR="00A531F8">
        <w:t xml:space="preserve">lower the likelihood of social participation by </w:t>
      </w:r>
      <w:r w:rsidR="00056EA7">
        <w:t>9</w:t>
      </w:r>
      <w:r w:rsidR="009A58B9">
        <w:t>% (OR= 0.</w:t>
      </w:r>
      <w:r w:rsidR="00056EA7">
        <w:t>91</w:t>
      </w:r>
      <w:r w:rsidR="009A58B9">
        <w:t xml:space="preserve"> &amp; 95%CI= 0.8</w:t>
      </w:r>
      <w:r w:rsidR="00056EA7">
        <w:t>4</w:t>
      </w:r>
      <w:r w:rsidR="009A58B9">
        <w:t>,0.9</w:t>
      </w:r>
      <w:r w:rsidR="00056EA7">
        <w:t>9</w:t>
      </w:r>
      <w:r w:rsidR="009A58B9">
        <w:t>)</w:t>
      </w:r>
      <w:r w:rsidR="00A531F8">
        <w:t xml:space="preserve">. </w:t>
      </w:r>
      <w:r w:rsidR="006A1E88">
        <w:t>S</w:t>
      </w:r>
      <w:r w:rsidR="003A745D">
        <w:t xml:space="preserve">imilarly, </w:t>
      </w:r>
      <w:r w:rsidR="006A1E88">
        <w:t xml:space="preserve">the odds of social participation </w:t>
      </w:r>
      <w:proofErr w:type="gramStart"/>
      <w:r w:rsidR="00056EA7">
        <w:t>was</w:t>
      </w:r>
      <w:proofErr w:type="gramEnd"/>
      <w:r w:rsidR="006A1E88">
        <w:t xml:space="preserve"> lower if everyone in the sample population deteriorate their dental status by one step in terms of number of teeth category (OR= 0.</w:t>
      </w:r>
      <w:r w:rsidR="00056EA7">
        <w:t>91</w:t>
      </w:r>
      <w:r w:rsidR="006A1E88">
        <w:t xml:space="preserve"> &amp; 95%CI= 0.8</w:t>
      </w:r>
      <w:r w:rsidR="00056EA7">
        <w:t>6</w:t>
      </w:r>
      <w:r w:rsidR="006A1E88">
        <w:t>,0.9</w:t>
      </w:r>
      <w:r w:rsidR="00056EA7">
        <w:t>6</w:t>
      </w:r>
      <w:r w:rsidR="006A1E88">
        <w:t>)</w:t>
      </w:r>
      <w:r w:rsidR="00056EA7">
        <w:t>.</w:t>
      </w:r>
      <w:r w:rsidR="006A1E88">
        <w:t xml:space="preserve"> </w:t>
      </w:r>
      <w:r w:rsidR="00A531F8">
        <w:t>On the other hand, continuously being in 20</w:t>
      </w:r>
      <w:r w:rsidR="007C1BE0">
        <w:t xml:space="preserve"> or more teeth category </w:t>
      </w:r>
      <w:r w:rsidR="00056EA7">
        <w:t>increased the</w:t>
      </w:r>
      <w:r w:rsidR="007C1BE0">
        <w:t xml:space="preserve"> social participation by </w:t>
      </w:r>
      <w:r w:rsidR="00056EA7">
        <w:t>9</w:t>
      </w:r>
      <w:r w:rsidR="007C1BE0">
        <w:t>% (OR= 1.0</w:t>
      </w:r>
      <w:r w:rsidR="00056EA7">
        <w:t>9</w:t>
      </w:r>
      <w:r w:rsidR="007C1BE0">
        <w:t xml:space="preserve"> &amp; 95%CI= 1.0</w:t>
      </w:r>
      <w:r w:rsidR="00056EA7">
        <w:t>7</w:t>
      </w:r>
      <w:r w:rsidR="007C1BE0">
        <w:t>,1.1</w:t>
      </w:r>
      <w:r w:rsidR="00056EA7">
        <w:t>1</w:t>
      </w:r>
      <w:r w:rsidR="007C1BE0">
        <w:t>).</w:t>
      </w:r>
      <w:r w:rsidR="006A1E88">
        <w:t xml:space="preserve"> </w:t>
      </w:r>
    </w:p>
    <w:p w14:paraId="2E766B75" w14:textId="1AE5942B" w:rsidR="006A1E88" w:rsidRDefault="006A1E88" w:rsidP="006A1E88">
      <w:pPr>
        <w:pStyle w:val="BodyText"/>
        <w:rPr>
          <w:highlight w:val="yellow"/>
        </w:rPr>
      </w:pPr>
      <w:r>
        <w:t xml:space="preserve">Results related to </w:t>
      </w:r>
      <w:r w:rsidR="009D6BAD">
        <w:t xml:space="preserve">the effect of denture use </w:t>
      </w:r>
      <w:r w:rsidR="00181C0A">
        <w:t xml:space="preserve">on social participation for different number of teeth categories are shown in Figure </w:t>
      </w:r>
      <w:r w:rsidR="00181C0A" w:rsidRPr="00181C0A">
        <w:rPr>
          <w:highlight w:val="yellow"/>
        </w:rPr>
        <w:t>xx</w:t>
      </w:r>
      <w:r w:rsidR="00181C0A">
        <w:rPr>
          <w:highlight w:val="yellow"/>
        </w:rPr>
        <w:t>.</w:t>
      </w:r>
    </w:p>
    <w:p w14:paraId="7472057E" w14:textId="46184E29" w:rsidR="00181C0A" w:rsidRPr="006A1E88" w:rsidRDefault="008B1365" w:rsidP="006A1E88">
      <w:pPr>
        <w:pStyle w:val="BodyText"/>
      </w:pPr>
      <w:r>
        <w:rPr>
          <w:noProof/>
        </w:rPr>
        <w:lastRenderedPageBreak/>
        <w:drawing>
          <wp:inline distT="0" distB="0" distL="0" distR="0" wp14:anchorId="2D7B5D21" wp14:editId="7EAD780C">
            <wp:extent cx="5824244" cy="347214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6181" cy="3491187"/>
                    </a:xfrm>
                    <a:prstGeom prst="rect">
                      <a:avLst/>
                    </a:prstGeom>
                  </pic:spPr>
                </pic:pic>
              </a:graphicData>
            </a:graphic>
          </wp:inline>
        </w:drawing>
      </w:r>
    </w:p>
    <w:p w14:paraId="65247327" w14:textId="79421DEC" w:rsidR="008B1365" w:rsidRDefault="008B1365" w:rsidP="008B1365">
      <w:pPr>
        <w:pStyle w:val="BodyText"/>
        <w:rPr>
          <w:highlight w:val="yellow"/>
        </w:rPr>
      </w:pPr>
      <w:r w:rsidRPr="00ED2E93">
        <w:rPr>
          <w:highlight w:val="yellow"/>
        </w:rPr>
        <w:t>[Figure caption: Odds ratio for social participation under different hypothetical interventions (no intervention as the reference): OR,95% CI, p-value]</w:t>
      </w:r>
    </w:p>
    <w:p w14:paraId="7882CE0F" w14:textId="5DBBC6B5" w:rsidR="008B1365" w:rsidRPr="00ED2E93" w:rsidRDefault="008B1365" w:rsidP="008B1365">
      <w:pPr>
        <w:pStyle w:val="BodyText"/>
        <w:rPr>
          <w:highlight w:val="yellow"/>
        </w:rPr>
      </w:pPr>
      <w:r>
        <w:rPr>
          <w:noProof/>
        </w:rPr>
        <w:drawing>
          <wp:inline distT="0" distB="0" distL="0" distR="0" wp14:anchorId="07C2FEC0" wp14:editId="206D9765">
            <wp:extent cx="5898596" cy="3484964"/>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5277" cy="3494819"/>
                    </a:xfrm>
                    <a:prstGeom prst="rect">
                      <a:avLst/>
                    </a:prstGeom>
                  </pic:spPr>
                </pic:pic>
              </a:graphicData>
            </a:graphic>
          </wp:inline>
        </w:drawing>
      </w:r>
    </w:p>
    <w:p w14:paraId="7A4B6762" w14:textId="56A4465A" w:rsidR="00470B76" w:rsidRPr="00ED2E93" w:rsidRDefault="00470B76" w:rsidP="00470B76">
      <w:pPr>
        <w:pStyle w:val="BodyText"/>
        <w:rPr>
          <w:highlight w:val="yellow"/>
        </w:rPr>
      </w:pPr>
      <w:r w:rsidRPr="00ED2E93">
        <w:rPr>
          <w:highlight w:val="yellow"/>
        </w:rPr>
        <w:lastRenderedPageBreak/>
        <w:t xml:space="preserve">[Figure caption: Odds ratio for social participation </w:t>
      </w:r>
      <w:r>
        <w:rPr>
          <w:highlight w:val="yellow"/>
        </w:rPr>
        <w:t xml:space="preserve">for different number of teeth categories under hypothetical denture status levels </w:t>
      </w:r>
      <w:r w:rsidRPr="00ED2E93">
        <w:rPr>
          <w:highlight w:val="yellow"/>
        </w:rPr>
        <w:t>(</w:t>
      </w:r>
      <w:r>
        <w:rPr>
          <w:highlight w:val="yellow"/>
        </w:rPr>
        <w:t xml:space="preserve">observed denture status </w:t>
      </w:r>
      <w:r w:rsidRPr="00ED2E93">
        <w:rPr>
          <w:highlight w:val="yellow"/>
        </w:rPr>
        <w:t>as the reference): OR,95% CI, p-value]</w:t>
      </w:r>
    </w:p>
    <w:p w14:paraId="78714E76" w14:textId="653C37D0" w:rsidR="004E68ED" w:rsidRDefault="00A51230" w:rsidP="00470B76">
      <w:pPr>
        <w:pStyle w:val="BodyText"/>
      </w:pPr>
      <w:r w:rsidRPr="00A51230">
        <w:t>The overall trend of the results indicated that denture wear had a positive effect on social participation across all</w:t>
      </w:r>
      <w:r>
        <w:t xml:space="preserve"> </w:t>
      </w:r>
      <w:r w:rsidRPr="00A51230">
        <w:t>number</w:t>
      </w:r>
      <w:r>
        <w:t xml:space="preserve"> of teeth</w:t>
      </w:r>
      <w:r w:rsidRPr="00A51230">
        <w:t xml:space="preserve"> categories.</w:t>
      </w:r>
      <w:r w:rsidR="00470B76">
        <w:t xml:space="preserve"> </w:t>
      </w:r>
      <w:r w:rsidRPr="00A51230">
        <w:t>However, the findings revealed that a significant beneficial effect of denture use on social participation could only be found in the 10-19 and 1-9 t</w:t>
      </w:r>
      <w:r>
        <w:t>eeth</w:t>
      </w:r>
      <w:r w:rsidRPr="00A51230">
        <w:t xml:space="preserve"> categories</w:t>
      </w:r>
      <w:r>
        <w:t xml:space="preserve"> </w:t>
      </w:r>
      <w:r w:rsidR="000F44DA">
        <w:t>(OR= 1.</w:t>
      </w:r>
      <w:r w:rsidR="000059B3">
        <w:t>1</w:t>
      </w:r>
      <w:r w:rsidR="000F44DA">
        <w:t>6 &amp; 95%CI= 1.0</w:t>
      </w:r>
      <w:r w:rsidR="000059B3">
        <w:t>5</w:t>
      </w:r>
      <w:r w:rsidR="000F44DA">
        <w:t>,1.</w:t>
      </w:r>
      <w:r w:rsidR="000059B3">
        <w:t>27; OR= 1.19 &amp; 95%CI= 1.01,1.38, respectively</w:t>
      </w:r>
      <w:r w:rsidR="000F44DA">
        <w:t xml:space="preserve">). </w:t>
      </w:r>
      <w:r w:rsidRPr="00A51230">
        <w:t>Social participation among the edentate group and those with more than 20 teeth did not appear to be affected by denture status.</w:t>
      </w:r>
    </w:p>
    <w:p w14:paraId="560E9276" w14:textId="3C1FCEB5" w:rsidR="004E68ED" w:rsidRDefault="007531F3" w:rsidP="003B0168">
      <w:pPr>
        <w:pStyle w:val="Heading3"/>
      </w:pPr>
      <w:r w:rsidRPr="003B0168">
        <w:t>Discussion</w:t>
      </w:r>
      <w:r>
        <w:t xml:space="preserve"> </w:t>
      </w:r>
    </w:p>
    <w:p w14:paraId="4FDCC853" w14:textId="336A7A84" w:rsidR="002D1016" w:rsidRDefault="00094C7E" w:rsidP="007531F3">
      <w:pPr>
        <w:pStyle w:val="BodyText"/>
      </w:pPr>
      <w:r>
        <w:t>Using</w:t>
      </w:r>
      <w:r w:rsidR="002D1016">
        <w:t xml:space="preserve"> an analytic approach that enabled assessing the effect of different levels of an exposure over time while adjusting for time-variant covariates</w:t>
      </w:r>
      <w:r>
        <w:t>,</w:t>
      </w:r>
      <w:r w:rsidR="002D1016">
        <w:t xml:space="preserve"> </w:t>
      </w:r>
      <w:r>
        <w:t>w</w:t>
      </w:r>
      <w:r w:rsidR="002D1016">
        <w:t xml:space="preserve">e estimated the effect of dental status on </w:t>
      </w:r>
      <w:r>
        <w:t xml:space="preserve">social participation. A doubly-robust estimator (TMLE) in combination with machine learning based ensemble (SuperLearner) was used to obtain the estimates. </w:t>
      </w:r>
      <w:r w:rsidR="00851DFD">
        <w:t xml:space="preserve">To the best of our </w:t>
      </w:r>
      <w:r w:rsidR="00820387">
        <w:t xml:space="preserve">knowledge, this is the first study to estimate the effect of number of remaining natural teeth on social participation. </w:t>
      </w:r>
    </w:p>
    <w:p w14:paraId="0F23213D" w14:textId="3D320783" w:rsidR="004E68ED" w:rsidRDefault="00820387" w:rsidP="00470B76">
      <w:pPr>
        <w:pStyle w:val="BodyText"/>
      </w:pPr>
      <w:r>
        <w:t>Our analysis revealed that having</w:t>
      </w:r>
      <w:r w:rsidR="00A76942">
        <w:t xml:space="preserve"> a</w:t>
      </w:r>
      <w:r>
        <w:t xml:space="preserve"> relatively higher number of teeth during the follow-up period improved the social participation among older adults in our study population. </w:t>
      </w:r>
      <w:r w:rsidR="00FF76A2" w:rsidRPr="00FF76A2">
        <w:t xml:space="preserve">Being edentate and experiencing consistent tooth loss during the follow-up period </w:t>
      </w:r>
      <w:r w:rsidR="00D17679">
        <w:t xml:space="preserve">reduced </w:t>
      </w:r>
      <w:r w:rsidR="00FF76A2">
        <w:t xml:space="preserve">the </w:t>
      </w:r>
      <w:r w:rsidR="00FF76A2" w:rsidRPr="00FF76A2">
        <w:t>social participation.</w:t>
      </w:r>
      <w:r w:rsidR="00FF76A2">
        <w:t xml:space="preserve"> </w:t>
      </w:r>
      <w:r w:rsidR="00F50B18" w:rsidRPr="00F50B18">
        <w:t xml:space="preserve">Furthermore, our findings suggested that wearing dentures would improve social participation </w:t>
      </w:r>
      <w:r w:rsidR="00F50B18">
        <w:t xml:space="preserve">among </w:t>
      </w:r>
      <w:r w:rsidR="00F50B18" w:rsidRPr="00F50B18">
        <w:t>older adults with 1-9 teeth or 10-19 teeth.</w:t>
      </w:r>
      <w:r w:rsidR="00F50B18">
        <w:t xml:space="preserve"> </w:t>
      </w:r>
      <w:r w:rsidR="00F50B18" w:rsidRPr="00F50B18">
        <w:t>Dentures did not appear to provide a significant benefit to edentate people in terms of improving social participation.</w:t>
      </w:r>
    </w:p>
    <w:p w14:paraId="373BB9BF" w14:textId="7314C0EC" w:rsidR="00D17679" w:rsidRDefault="00D17679" w:rsidP="00470B76">
      <w:pPr>
        <w:pStyle w:val="BodyText"/>
      </w:pPr>
      <w:r w:rsidRPr="00927CA0">
        <w:t>Our findings are consistent with prior findings related to the link between oral health and social participation</w:t>
      </w:r>
      <w:r w:rsidR="000154DB" w:rsidRPr="00927CA0">
        <w:t xml:space="preserve"> [@]</w:t>
      </w:r>
      <w:r w:rsidRPr="00927CA0">
        <w:t xml:space="preserve">. However, previous studies </w:t>
      </w:r>
      <w:r w:rsidR="000154DB" w:rsidRPr="00927CA0">
        <w:t xml:space="preserve">were based on </w:t>
      </w:r>
      <w:r w:rsidRPr="00927CA0">
        <w:t xml:space="preserve">cross-sectional data and treated oral </w:t>
      </w:r>
      <w:r w:rsidRPr="00927CA0">
        <w:lastRenderedPageBreak/>
        <w:t xml:space="preserve">health as the dependent variable. </w:t>
      </w:r>
      <w:r w:rsidR="002E0C6C" w:rsidRPr="00927CA0">
        <w:t xml:space="preserve">Our analysis </w:t>
      </w:r>
      <w:r w:rsidR="00342DD8" w:rsidRPr="00927CA0">
        <w:t xml:space="preserve">gave insight </w:t>
      </w:r>
      <w:r w:rsidR="000154DB" w:rsidRPr="00927CA0">
        <w:t>in</w:t>
      </w:r>
      <w:r w:rsidR="00342DD8" w:rsidRPr="00927CA0">
        <w:t>to</w:t>
      </w:r>
      <w:r w:rsidR="002E0C6C" w:rsidRPr="00927CA0">
        <w:t xml:space="preserve"> how dental status would affect social participation using longitudinal data. </w:t>
      </w:r>
      <w:r w:rsidR="00BD2FE5" w:rsidRPr="00BD2FE5">
        <w:t>Given the evidence that social participation improves the health and well-being of older adults, any mechanism that leads to increased levels of social participation should be promoted and encouraged</w:t>
      </w:r>
      <w:r w:rsidR="00927CA0">
        <w:t xml:space="preserve"> [@]</w:t>
      </w:r>
      <w:r w:rsidR="00BD2FE5" w:rsidRPr="00BD2FE5">
        <w:t>.</w:t>
      </w:r>
      <w:r w:rsidR="00BD2FE5">
        <w:t xml:space="preserve"> </w:t>
      </w:r>
      <w:r w:rsidR="00BD2FE5" w:rsidRPr="00BD2FE5">
        <w:t>In that context, our findings emphasi</w:t>
      </w:r>
      <w:r w:rsidR="00927CA0">
        <w:t>s</w:t>
      </w:r>
      <w:r w:rsidR="00BD2FE5" w:rsidRPr="00BD2FE5">
        <w:t xml:space="preserve">e the importance of older adults retaining a higher number of teeth, not only for obvious benefits on oral functions </w:t>
      </w:r>
      <w:r w:rsidR="00927CA0">
        <w:t>such as</w:t>
      </w:r>
      <w:r w:rsidR="00BD2FE5" w:rsidRPr="00BD2FE5">
        <w:t xml:space="preserve"> mastication and speech, but also to have better social relationships and thus reap the benefits associated with social participation.</w:t>
      </w:r>
      <w:r w:rsidR="006878FF">
        <w:t xml:space="preserve"> </w:t>
      </w:r>
    </w:p>
    <w:p w14:paraId="6554D0BA" w14:textId="77777777" w:rsidR="00337907" w:rsidRDefault="002F4696" w:rsidP="00470B76">
      <w:pPr>
        <w:pStyle w:val="BodyText"/>
      </w:pPr>
      <w:r w:rsidRPr="002F4696">
        <w:t xml:space="preserve">Our secondary analysis, which was </w:t>
      </w:r>
      <w:r>
        <w:t>intend</w:t>
      </w:r>
      <w:r w:rsidRPr="002F4696">
        <w:t xml:space="preserve">ed to see if denture use could reduce the impact of dental status on social participation, </w:t>
      </w:r>
      <w:r>
        <w:t>identified</w:t>
      </w:r>
      <w:r w:rsidRPr="002F4696">
        <w:t xml:space="preserve"> that the benefit of dentures was limited to </w:t>
      </w:r>
      <w:r>
        <w:t xml:space="preserve">those who had </w:t>
      </w:r>
      <w:r w:rsidRPr="002F4696">
        <w:t>1-9 teeth or 10-19 teeth.</w:t>
      </w:r>
      <w:r w:rsidR="006878FF">
        <w:t xml:space="preserve"> These two groups are unique as they </w:t>
      </w:r>
      <w:r>
        <w:t xml:space="preserve">are </w:t>
      </w:r>
      <w:r w:rsidR="006878FF">
        <w:t xml:space="preserve">in an unstable intermediary phase between minimal functional dentition (&gt;=20 teeth) and edentate state. It is plausible </w:t>
      </w:r>
      <w:r w:rsidR="00FE5DC3" w:rsidRPr="00FE5DC3">
        <w:t>that these two groups are more susceptible to the challenges posed by impaired oral functions as a result of tooth loss.</w:t>
      </w:r>
      <w:r w:rsidR="00FE5DC3">
        <w:t xml:space="preserve"> E</w:t>
      </w:r>
      <w:r w:rsidR="009465D6">
        <w:t>dentate people</w:t>
      </w:r>
      <w:r w:rsidR="00FE5DC3" w:rsidRPr="00FE5DC3">
        <w:t xml:space="preserve">, on the other hand, transition into </w:t>
      </w:r>
      <w:r w:rsidR="00FE5DC3">
        <w:t>their</w:t>
      </w:r>
      <w:r w:rsidR="00FE5DC3" w:rsidRPr="00FE5DC3">
        <w:t xml:space="preserve"> edentate state over </w:t>
      </w:r>
      <w:r w:rsidR="00FE5DC3">
        <w:t xml:space="preserve">a long </w:t>
      </w:r>
      <w:r w:rsidR="00FE5DC3" w:rsidRPr="00FE5DC3">
        <w:t>time</w:t>
      </w:r>
      <w:r w:rsidR="00FE5DC3">
        <w:t xml:space="preserve"> period</w:t>
      </w:r>
      <w:r w:rsidR="00FE5DC3" w:rsidRPr="00FE5DC3">
        <w:t>, so their baseline level of social participation may already be established, making them less likely to be affected by denture use.</w:t>
      </w:r>
      <w:r w:rsidR="00FE5DC3">
        <w:t xml:space="preserve"> </w:t>
      </w:r>
      <w:r w:rsidR="00FE5DC3" w:rsidRPr="00FE5DC3">
        <w:t>Overall, these findings suggest that preventing tooth loss in order to maintain a minimum functional dentition in older adults would be more effective than providing dental prosthesis in terms of improving social participation.</w:t>
      </w:r>
      <w:r w:rsidR="00FE5DC3">
        <w:t xml:space="preserve"> </w:t>
      </w:r>
    </w:p>
    <w:p w14:paraId="5EA4CEA0" w14:textId="3B428A22" w:rsidR="004E68ED" w:rsidRDefault="00B97D24" w:rsidP="00470B76">
      <w:pPr>
        <w:pStyle w:val="BodyText"/>
      </w:pPr>
      <w:r w:rsidRPr="00B97D24">
        <w:t>The use of a doubly-robust TMLE estimator to estimate the effects of multiple hypothetical interventions that are otherwise unmeasurable</w:t>
      </w:r>
      <w:r w:rsidR="00004722">
        <w:t>,</w:t>
      </w:r>
      <w:r w:rsidRPr="00B97D24">
        <w:t xml:space="preserve"> </w:t>
      </w:r>
      <w:r w:rsidR="00004722">
        <w:t xml:space="preserve">can be considered </w:t>
      </w:r>
      <w:r w:rsidRPr="00B97D24">
        <w:t>the study's main strength.</w:t>
      </w:r>
      <w:r w:rsidR="00004722">
        <w:t xml:space="preserve"> </w:t>
      </w:r>
      <w:r w:rsidR="00337907">
        <w:t xml:space="preserve">Furthermore, our estimates were based on longitudinal data while allowing time varying nature of the exposure and confounders. However, </w:t>
      </w:r>
      <w:r w:rsidR="00BB4DEE">
        <w:t xml:space="preserve">several limitations </w:t>
      </w:r>
      <w:r w:rsidR="00337907">
        <w:t>should be noted</w:t>
      </w:r>
      <w:r w:rsidR="00BB4DEE">
        <w:t xml:space="preserve">. Variables used in this study were </w:t>
      </w:r>
      <w:r w:rsidR="006674B1">
        <w:t xml:space="preserve">based on </w:t>
      </w:r>
      <w:r w:rsidR="00BB4DEE">
        <w:t>self-reported</w:t>
      </w:r>
      <w:r w:rsidR="006674B1">
        <w:t xml:space="preserve"> measures, which are prone to measurement and classification errors. </w:t>
      </w:r>
      <w:r w:rsidR="003815ED">
        <w:t xml:space="preserve">However, previous studies conducted in Japan have shown the validity of </w:t>
      </w:r>
      <w:r w:rsidR="003815ED">
        <w:lastRenderedPageBreak/>
        <w:t>self-reported number of teeth</w:t>
      </w:r>
      <w:r w:rsidR="00E22162">
        <w:t xml:space="preserve"> [@</w:t>
      </w:r>
      <w:r w:rsidR="00E22162" w:rsidRPr="00E22162">
        <w:t>Matsui2016</w:t>
      </w:r>
      <w:r w:rsidR="00E22162">
        <w:t>; @</w:t>
      </w:r>
      <w:r w:rsidR="00E22162" w:rsidRPr="00E22162">
        <w:rPr>
          <w:lang w:val="en-GB"/>
        </w:rPr>
        <w:t>Ueno2018</w:t>
      </w:r>
      <w:r w:rsidR="00E22162">
        <w:t>]</w:t>
      </w:r>
      <w:r w:rsidR="00A554C4">
        <w:t>.</w:t>
      </w:r>
      <w:r w:rsidR="004766F8">
        <w:t xml:space="preserve"> Causal inference </w:t>
      </w:r>
      <w:r w:rsidR="00C83666">
        <w:t xml:space="preserve">for </w:t>
      </w:r>
      <w:r w:rsidR="004766F8">
        <w:t>time-varying exposure</w:t>
      </w:r>
      <w:r w:rsidR="00C83666">
        <w:t xml:space="preserve"> </w:t>
      </w:r>
      <w:r w:rsidR="004766F8">
        <w:t>necessitates no unmeasured confounding assumption at each time point (</w:t>
      </w:r>
      <w:r w:rsidR="004766F8" w:rsidRPr="004766F8">
        <w:t>conditional exchangeability</w:t>
      </w:r>
      <w:r w:rsidR="004766F8">
        <w:t xml:space="preserve"> assumption). </w:t>
      </w:r>
      <w:r w:rsidR="0016177A" w:rsidRPr="0016177A">
        <w:t>Despite the fact that we adjusted estimates for multiple time-varying and time-invariant confounders, as well as baseline levels of social participation, the possibility of unmeasured confounding cannot be ruled out.</w:t>
      </w:r>
      <w:r w:rsidR="00126C97">
        <w:t xml:space="preserve"> </w:t>
      </w:r>
      <w:r w:rsidR="008A42BF">
        <w:t>In our analyses we used panel data with participant who participated in all three waves of the JAGES. Therefore, we had a large attrition of our sample population (n= 52053 at baseline to n= 22451 at 2016 follow-up)</w:t>
      </w:r>
      <w:r w:rsidR="007E5951">
        <w:t>.</w:t>
      </w:r>
      <w:r w:rsidR="0097477B">
        <w:t xml:space="preserve"> </w:t>
      </w:r>
      <w:r w:rsidR="009A7800">
        <w:t xml:space="preserve">We examined the baseline characteristics associated with the attrition (supplementary table </w:t>
      </w:r>
      <w:r w:rsidR="009A7800" w:rsidRPr="009A7800">
        <w:rPr>
          <w:highlight w:val="yellow"/>
        </w:rPr>
        <w:t>xx</w:t>
      </w:r>
      <w:r w:rsidR="009A7800">
        <w:t xml:space="preserve">) and </w:t>
      </w:r>
      <w:r w:rsidR="00252187">
        <w:t>showed</w:t>
      </w:r>
      <w:r w:rsidR="009A7800">
        <w:t xml:space="preserve"> that it was associated lower number of teeth at the baseline. Low</w:t>
      </w:r>
      <w:r w:rsidR="00252187">
        <w:t xml:space="preserve"> number of teeth affected negatively to social participation, thus, any selection bias caused due to attrition would have led to underestimation of the effects of tooth loss on social participation.</w:t>
      </w:r>
    </w:p>
    <w:bookmarkEnd w:id="5"/>
    <w:p w14:paraId="26566887" w14:textId="4B890204" w:rsidR="00086219" w:rsidRDefault="006C1239" w:rsidP="003B0168">
      <w:pPr>
        <w:pStyle w:val="Heading3"/>
      </w:pPr>
      <w:r>
        <w:t>Conclusions</w:t>
      </w:r>
    </w:p>
    <w:p w14:paraId="621F3010" w14:textId="77777777" w:rsidR="006C1239" w:rsidRDefault="006C1239" w:rsidP="000F44DA">
      <w:pPr>
        <w:pStyle w:val="Bibliography"/>
        <w:numPr>
          <w:ilvl w:val="0"/>
          <w:numId w:val="0"/>
        </w:numPr>
        <w:ind w:left="360" w:hanging="360"/>
      </w:pPr>
      <w:bookmarkStart w:id="6" w:name="_GoBack"/>
      <w:bookmarkEnd w:id="6"/>
    </w:p>
    <w:sectPr w:rsidR="006C1239" w:rsidSect="0062781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2C5B" w14:textId="77777777" w:rsidR="006E217A" w:rsidRDefault="006E217A">
      <w:pPr>
        <w:spacing w:after="0" w:line="240" w:lineRule="auto"/>
      </w:pPr>
      <w:r>
        <w:separator/>
      </w:r>
    </w:p>
  </w:endnote>
  <w:endnote w:type="continuationSeparator" w:id="0">
    <w:p w14:paraId="48B614F5" w14:textId="77777777" w:rsidR="006E217A" w:rsidRDefault="006E2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5975F" w14:textId="77777777" w:rsidR="00645BD7" w:rsidRDefault="00645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452925"/>
      <w:docPartObj>
        <w:docPartGallery w:val="Page Numbers (Bottom of Page)"/>
        <w:docPartUnique/>
      </w:docPartObj>
    </w:sdtPr>
    <w:sdtEndPr>
      <w:rPr>
        <w:noProof/>
      </w:rPr>
    </w:sdtEndPr>
    <w:sdtContent>
      <w:p w14:paraId="069A72C3" w14:textId="77777777" w:rsidR="00645BD7" w:rsidRDefault="00645B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16034" w14:textId="77777777" w:rsidR="00645BD7" w:rsidRDefault="00645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51E30" w14:textId="77777777" w:rsidR="00645BD7" w:rsidRDefault="00645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322A" w14:textId="77777777" w:rsidR="006E217A" w:rsidRDefault="006E217A">
      <w:r>
        <w:separator/>
      </w:r>
    </w:p>
  </w:footnote>
  <w:footnote w:type="continuationSeparator" w:id="0">
    <w:p w14:paraId="550A62FB" w14:textId="77777777" w:rsidR="006E217A" w:rsidRDefault="006E2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E108E" w14:textId="77777777" w:rsidR="00645BD7" w:rsidRDefault="00645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33A4" w14:textId="77777777" w:rsidR="00645BD7" w:rsidRDefault="00645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B931" w14:textId="77777777" w:rsidR="00645BD7" w:rsidRDefault="00645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86A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082830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EC87A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9EFB9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3C4B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BC875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841F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8CEF5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3EAE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C2EE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2843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023F0B"/>
    <w:multiLevelType w:val="hybridMultilevel"/>
    <w:tmpl w:val="9DBE0002"/>
    <w:lvl w:ilvl="0" w:tplc="1BF4D552">
      <w:start w:val="1"/>
      <w:numFmt w:val="decimal"/>
      <w:pStyle w:val="Bibliography"/>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1C262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wNTM2MzAzMTO2NDBQ0lEKTi0uzszPAykwrAUAylcO/SwAAAA="/>
  </w:docVars>
  <w:rsids>
    <w:rsidRoot w:val="00590D07"/>
    <w:rsid w:val="000022D9"/>
    <w:rsid w:val="00004722"/>
    <w:rsid w:val="000059B3"/>
    <w:rsid w:val="00011C8B"/>
    <w:rsid w:val="000154DB"/>
    <w:rsid w:val="00036997"/>
    <w:rsid w:val="00046E5E"/>
    <w:rsid w:val="00046EA5"/>
    <w:rsid w:val="00056EA7"/>
    <w:rsid w:val="000609BE"/>
    <w:rsid w:val="00064D91"/>
    <w:rsid w:val="00064E99"/>
    <w:rsid w:val="0007281C"/>
    <w:rsid w:val="00086219"/>
    <w:rsid w:val="00092A43"/>
    <w:rsid w:val="00094C7E"/>
    <w:rsid w:val="00095827"/>
    <w:rsid w:val="000B3D88"/>
    <w:rsid w:val="000B7238"/>
    <w:rsid w:val="000D0101"/>
    <w:rsid w:val="000D3E00"/>
    <w:rsid w:val="000F29A5"/>
    <w:rsid w:val="000F44DA"/>
    <w:rsid w:val="000F573F"/>
    <w:rsid w:val="001130BA"/>
    <w:rsid w:val="00126C97"/>
    <w:rsid w:val="00153D87"/>
    <w:rsid w:val="00154437"/>
    <w:rsid w:val="0016177A"/>
    <w:rsid w:val="00167571"/>
    <w:rsid w:val="00171230"/>
    <w:rsid w:val="00174508"/>
    <w:rsid w:val="00181C0A"/>
    <w:rsid w:val="001A160C"/>
    <w:rsid w:val="001A4632"/>
    <w:rsid w:val="001A6FFD"/>
    <w:rsid w:val="001B0BA7"/>
    <w:rsid w:val="001B3E21"/>
    <w:rsid w:val="001D536B"/>
    <w:rsid w:val="001E1560"/>
    <w:rsid w:val="001E25AC"/>
    <w:rsid w:val="002131EA"/>
    <w:rsid w:val="00215DB7"/>
    <w:rsid w:val="00216888"/>
    <w:rsid w:val="0022202C"/>
    <w:rsid w:val="00222E0F"/>
    <w:rsid w:val="00245932"/>
    <w:rsid w:val="00252187"/>
    <w:rsid w:val="00297371"/>
    <w:rsid w:val="002A0D04"/>
    <w:rsid w:val="002B19BB"/>
    <w:rsid w:val="002C479F"/>
    <w:rsid w:val="002D1016"/>
    <w:rsid w:val="002D37CC"/>
    <w:rsid w:val="002E0C6C"/>
    <w:rsid w:val="002E202F"/>
    <w:rsid w:val="002E4E06"/>
    <w:rsid w:val="002E5880"/>
    <w:rsid w:val="002F4696"/>
    <w:rsid w:val="00326C57"/>
    <w:rsid w:val="00337907"/>
    <w:rsid w:val="00342DD8"/>
    <w:rsid w:val="00350D58"/>
    <w:rsid w:val="00355A3F"/>
    <w:rsid w:val="00360A40"/>
    <w:rsid w:val="00364405"/>
    <w:rsid w:val="00367B48"/>
    <w:rsid w:val="003725EF"/>
    <w:rsid w:val="00375B49"/>
    <w:rsid w:val="003815ED"/>
    <w:rsid w:val="003903B0"/>
    <w:rsid w:val="003A745D"/>
    <w:rsid w:val="003B0168"/>
    <w:rsid w:val="003B157A"/>
    <w:rsid w:val="003C17A8"/>
    <w:rsid w:val="003D2C10"/>
    <w:rsid w:val="003F14D5"/>
    <w:rsid w:val="004128F8"/>
    <w:rsid w:val="00414D44"/>
    <w:rsid w:val="00417DFC"/>
    <w:rsid w:val="004503DF"/>
    <w:rsid w:val="00451E75"/>
    <w:rsid w:val="00456424"/>
    <w:rsid w:val="00463EC3"/>
    <w:rsid w:val="00470B76"/>
    <w:rsid w:val="00471B71"/>
    <w:rsid w:val="004766F8"/>
    <w:rsid w:val="004B22CD"/>
    <w:rsid w:val="004C304E"/>
    <w:rsid w:val="004C395B"/>
    <w:rsid w:val="004C3D0A"/>
    <w:rsid w:val="004E10D8"/>
    <w:rsid w:val="004E29B3"/>
    <w:rsid w:val="004E4E66"/>
    <w:rsid w:val="004E68ED"/>
    <w:rsid w:val="004F25CE"/>
    <w:rsid w:val="004F5573"/>
    <w:rsid w:val="00504242"/>
    <w:rsid w:val="005569E6"/>
    <w:rsid w:val="00560EDF"/>
    <w:rsid w:val="00565456"/>
    <w:rsid w:val="00587BF9"/>
    <w:rsid w:val="00590D07"/>
    <w:rsid w:val="005A3D1F"/>
    <w:rsid w:val="005B7255"/>
    <w:rsid w:val="00602652"/>
    <w:rsid w:val="006033F6"/>
    <w:rsid w:val="006044EA"/>
    <w:rsid w:val="0060698E"/>
    <w:rsid w:val="00627818"/>
    <w:rsid w:val="006326DF"/>
    <w:rsid w:val="0063391A"/>
    <w:rsid w:val="00645BD7"/>
    <w:rsid w:val="0065074F"/>
    <w:rsid w:val="006527C0"/>
    <w:rsid w:val="00663659"/>
    <w:rsid w:val="006674B1"/>
    <w:rsid w:val="006878FF"/>
    <w:rsid w:val="006901C3"/>
    <w:rsid w:val="00694AFD"/>
    <w:rsid w:val="006A1E88"/>
    <w:rsid w:val="006B23F2"/>
    <w:rsid w:val="006C1239"/>
    <w:rsid w:val="006E217A"/>
    <w:rsid w:val="00701ADC"/>
    <w:rsid w:val="00701BAA"/>
    <w:rsid w:val="007036BB"/>
    <w:rsid w:val="00710DC8"/>
    <w:rsid w:val="007531F3"/>
    <w:rsid w:val="007543E6"/>
    <w:rsid w:val="00756236"/>
    <w:rsid w:val="0076078D"/>
    <w:rsid w:val="007838C0"/>
    <w:rsid w:val="00784D58"/>
    <w:rsid w:val="007A31BC"/>
    <w:rsid w:val="007A714E"/>
    <w:rsid w:val="007C1BE0"/>
    <w:rsid w:val="007E5951"/>
    <w:rsid w:val="007F2F8F"/>
    <w:rsid w:val="00800B57"/>
    <w:rsid w:val="0081373C"/>
    <w:rsid w:val="00820387"/>
    <w:rsid w:val="00840BAF"/>
    <w:rsid w:val="00851DFD"/>
    <w:rsid w:val="008A3572"/>
    <w:rsid w:val="008A42BF"/>
    <w:rsid w:val="008B1365"/>
    <w:rsid w:val="008B44C3"/>
    <w:rsid w:val="008B62EC"/>
    <w:rsid w:val="008C3243"/>
    <w:rsid w:val="008C60C5"/>
    <w:rsid w:val="008D6863"/>
    <w:rsid w:val="00905393"/>
    <w:rsid w:val="0091017D"/>
    <w:rsid w:val="00911164"/>
    <w:rsid w:val="00927CA0"/>
    <w:rsid w:val="00931151"/>
    <w:rsid w:val="009341B7"/>
    <w:rsid w:val="00937940"/>
    <w:rsid w:val="00943450"/>
    <w:rsid w:val="00945997"/>
    <w:rsid w:val="009465D6"/>
    <w:rsid w:val="009629D0"/>
    <w:rsid w:val="009725BF"/>
    <w:rsid w:val="0097477B"/>
    <w:rsid w:val="009804C1"/>
    <w:rsid w:val="00981E2C"/>
    <w:rsid w:val="0098353F"/>
    <w:rsid w:val="0099233F"/>
    <w:rsid w:val="009A58B9"/>
    <w:rsid w:val="009A7800"/>
    <w:rsid w:val="009C166D"/>
    <w:rsid w:val="009C6B95"/>
    <w:rsid w:val="009D6BAD"/>
    <w:rsid w:val="009D74F6"/>
    <w:rsid w:val="009E0275"/>
    <w:rsid w:val="009E28C9"/>
    <w:rsid w:val="009E73C2"/>
    <w:rsid w:val="009F562C"/>
    <w:rsid w:val="009F6555"/>
    <w:rsid w:val="00A51230"/>
    <w:rsid w:val="00A5205E"/>
    <w:rsid w:val="00A531F8"/>
    <w:rsid w:val="00A53E73"/>
    <w:rsid w:val="00A554C4"/>
    <w:rsid w:val="00A664CF"/>
    <w:rsid w:val="00A76942"/>
    <w:rsid w:val="00AD1D9F"/>
    <w:rsid w:val="00B047AA"/>
    <w:rsid w:val="00B12B4A"/>
    <w:rsid w:val="00B153CF"/>
    <w:rsid w:val="00B23031"/>
    <w:rsid w:val="00B4589E"/>
    <w:rsid w:val="00B502CA"/>
    <w:rsid w:val="00B72F44"/>
    <w:rsid w:val="00B827DA"/>
    <w:rsid w:val="00B86B75"/>
    <w:rsid w:val="00B873C6"/>
    <w:rsid w:val="00B87FE8"/>
    <w:rsid w:val="00B97D24"/>
    <w:rsid w:val="00BB1BF8"/>
    <w:rsid w:val="00BB4DEE"/>
    <w:rsid w:val="00BC48D5"/>
    <w:rsid w:val="00BC5354"/>
    <w:rsid w:val="00BD0DE4"/>
    <w:rsid w:val="00BD2CF6"/>
    <w:rsid w:val="00BD2FE5"/>
    <w:rsid w:val="00C04850"/>
    <w:rsid w:val="00C05D59"/>
    <w:rsid w:val="00C36279"/>
    <w:rsid w:val="00C559F4"/>
    <w:rsid w:val="00C635A9"/>
    <w:rsid w:val="00C74C75"/>
    <w:rsid w:val="00C83666"/>
    <w:rsid w:val="00CA039D"/>
    <w:rsid w:val="00CA2383"/>
    <w:rsid w:val="00CB0BBB"/>
    <w:rsid w:val="00CB1849"/>
    <w:rsid w:val="00CC0133"/>
    <w:rsid w:val="00CD0B76"/>
    <w:rsid w:val="00CD3284"/>
    <w:rsid w:val="00CF0179"/>
    <w:rsid w:val="00CF26D5"/>
    <w:rsid w:val="00D174B3"/>
    <w:rsid w:val="00D17679"/>
    <w:rsid w:val="00D25CE3"/>
    <w:rsid w:val="00D25D3D"/>
    <w:rsid w:val="00D30D63"/>
    <w:rsid w:val="00D53ACF"/>
    <w:rsid w:val="00D55254"/>
    <w:rsid w:val="00D765C5"/>
    <w:rsid w:val="00DA4E8E"/>
    <w:rsid w:val="00DC312C"/>
    <w:rsid w:val="00DD5F07"/>
    <w:rsid w:val="00DE0D83"/>
    <w:rsid w:val="00DE10FA"/>
    <w:rsid w:val="00DF2B10"/>
    <w:rsid w:val="00DF50D1"/>
    <w:rsid w:val="00E22162"/>
    <w:rsid w:val="00E268FD"/>
    <w:rsid w:val="00E306FD"/>
    <w:rsid w:val="00E315A3"/>
    <w:rsid w:val="00E31B76"/>
    <w:rsid w:val="00E32C44"/>
    <w:rsid w:val="00E5226E"/>
    <w:rsid w:val="00E554AB"/>
    <w:rsid w:val="00E60CA0"/>
    <w:rsid w:val="00E95085"/>
    <w:rsid w:val="00EA2199"/>
    <w:rsid w:val="00EB3258"/>
    <w:rsid w:val="00ED2E93"/>
    <w:rsid w:val="00EE2647"/>
    <w:rsid w:val="00EF371B"/>
    <w:rsid w:val="00EF471A"/>
    <w:rsid w:val="00F21B97"/>
    <w:rsid w:val="00F22439"/>
    <w:rsid w:val="00F3069F"/>
    <w:rsid w:val="00F37D06"/>
    <w:rsid w:val="00F50B18"/>
    <w:rsid w:val="00F5133F"/>
    <w:rsid w:val="00F81EC0"/>
    <w:rsid w:val="00F84D7D"/>
    <w:rsid w:val="00FA5B32"/>
    <w:rsid w:val="00FC684D"/>
    <w:rsid w:val="00FE5DC3"/>
    <w:rsid w:val="00FF1558"/>
    <w:rsid w:val="00FF4D2E"/>
    <w:rsid w:val="00FF76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85A5F7"/>
  <w15:docId w15:val="{F93E0250-76BB-492C-9DE2-1854B2A8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1B44"/>
    <w:pPr>
      <w:spacing w:line="480" w:lineRule="auto"/>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11B44"/>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3B0168"/>
    <w:pPr>
      <w:keepNext/>
      <w:keepLines/>
      <w:spacing w:before="200" w:after="0"/>
      <w:outlineLvl w:val="2"/>
    </w:pPr>
    <w:rPr>
      <w:rFonts w:eastAsiaTheme="majorEastAsia" w:cstheme="majorBidi"/>
      <w:b/>
      <w:bCs/>
    </w:rPr>
  </w:style>
  <w:style w:type="paragraph" w:styleId="Heading4">
    <w:name w:val="heading 4"/>
    <w:basedOn w:val="Normal"/>
    <w:next w:val="BodyText"/>
    <w:autoRedefine/>
    <w:uiPriority w:val="9"/>
    <w:unhideWhenUsed/>
    <w:qFormat/>
    <w:rsid w:val="00C86394"/>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62EB1"/>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04850"/>
    <w:pPr>
      <w:keepNext/>
      <w:keepLines/>
      <w:spacing w:before="120" w:after="120"/>
      <w:jc w:val="center"/>
    </w:pPr>
    <w:rPr>
      <w:rFonts w:eastAsiaTheme="majorEastAsia" w:cstheme="majorBidi"/>
      <w:b/>
      <w:bCs/>
      <w:color w:val="000000" w:themeColor="text1"/>
      <w:sz w:val="28"/>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E371E"/>
    <w:pPr>
      <w:numPr>
        <w:numId w:val="12"/>
      </w:numPr>
      <w:ind w:left="36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FA268F"/>
    <w:pPr>
      <w:keepNext/>
      <w:spacing w:line="240" w:lineRule="auto"/>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D0CF8"/>
    <w:rPr>
      <w:rFonts w:ascii="Times New Roman" w:hAnsi="Times New Roman"/>
      <w:i/>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CB1283"/>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FD0CF8"/>
    <w:pPr>
      <w:shd w:val="clear" w:color="auto" w:fill="F8F8F8"/>
      <w:wordWrap w:val="0"/>
      <w:spacing w:line="360" w:lineRule="auto"/>
    </w:pPr>
    <w:rPr>
      <w:i/>
    </w:rPr>
  </w:style>
  <w:style w:type="character" w:customStyle="1" w:styleId="KeywordTok">
    <w:name w:val="KeywordTok"/>
    <w:basedOn w:val="VerbatimChar"/>
    <w:rPr>
      <w:rFonts w:ascii="Times New Roman" w:hAnsi="Times New Roman"/>
      <w:b/>
      <w:i/>
      <w:color w:val="204A87"/>
      <w:shd w:val="clear" w:color="auto" w:fill="F8F8F8"/>
    </w:rPr>
  </w:style>
  <w:style w:type="character" w:customStyle="1" w:styleId="DataTypeTok">
    <w:name w:val="DataTypeTok"/>
    <w:basedOn w:val="VerbatimChar"/>
    <w:rPr>
      <w:rFonts w:ascii="Times New Roman" w:hAnsi="Times New Roman"/>
      <w:i/>
      <w:color w:val="204A87"/>
      <w:shd w:val="clear" w:color="auto" w:fill="F8F8F8"/>
    </w:rPr>
  </w:style>
  <w:style w:type="character" w:customStyle="1" w:styleId="DecValTok">
    <w:name w:val="DecValTok"/>
    <w:basedOn w:val="VerbatimChar"/>
    <w:rPr>
      <w:rFonts w:ascii="Times New Roman" w:hAnsi="Times New Roman"/>
      <w:i/>
      <w:color w:val="0000CF"/>
      <w:shd w:val="clear" w:color="auto" w:fill="F8F8F8"/>
    </w:rPr>
  </w:style>
  <w:style w:type="character" w:customStyle="1" w:styleId="BaseNTok">
    <w:name w:val="BaseNTok"/>
    <w:basedOn w:val="VerbatimChar"/>
    <w:rPr>
      <w:rFonts w:ascii="Times New Roman" w:hAnsi="Times New Roman"/>
      <w:i/>
      <w:color w:val="0000CF"/>
      <w:shd w:val="clear" w:color="auto" w:fill="F8F8F8"/>
    </w:rPr>
  </w:style>
  <w:style w:type="character" w:customStyle="1" w:styleId="FloatTok">
    <w:name w:val="FloatTok"/>
    <w:basedOn w:val="VerbatimChar"/>
    <w:rPr>
      <w:rFonts w:ascii="Times New Roman" w:hAnsi="Times New Roman"/>
      <w:i/>
      <w:color w:val="0000CF"/>
      <w:shd w:val="clear" w:color="auto" w:fill="F8F8F8"/>
    </w:rPr>
  </w:style>
  <w:style w:type="character" w:customStyle="1" w:styleId="ConstantTok">
    <w:name w:val="ConstantTok"/>
    <w:basedOn w:val="VerbatimChar"/>
    <w:rPr>
      <w:rFonts w:ascii="Times New Roman" w:hAnsi="Times New Roman"/>
      <w:i/>
      <w:color w:val="000000"/>
      <w:shd w:val="clear" w:color="auto" w:fill="F8F8F8"/>
    </w:rPr>
  </w:style>
  <w:style w:type="character" w:customStyle="1" w:styleId="CharTok">
    <w:name w:val="CharTok"/>
    <w:basedOn w:val="VerbatimChar"/>
    <w:rPr>
      <w:rFonts w:ascii="Times New Roman" w:hAnsi="Times New Roman"/>
      <w:i/>
      <w:color w:val="4E9A06"/>
      <w:shd w:val="clear" w:color="auto" w:fill="F8F8F8"/>
    </w:rPr>
  </w:style>
  <w:style w:type="character" w:customStyle="1" w:styleId="SpecialCharTok">
    <w:name w:val="SpecialCharTok"/>
    <w:basedOn w:val="VerbatimChar"/>
    <w:rPr>
      <w:rFonts w:ascii="Times New Roman" w:hAnsi="Times New Roman"/>
      <w:i/>
      <w:color w:val="000000"/>
      <w:shd w:val="clear" w:color="auto" w:fill="F8F8F8"/>
    </w:rPr>
  </w:style>
  <w:style w:type="character" w:customStyle="1" w:styleId="StringTok">
    <w:name w:val="StringTok"/>
    <w:basedOn w:val="VerbatimChar"/>
    <w:rPr>
      <w:rFonts w:ascii="Times New Roman" w:hAnsi="Times New Roman"/>
      <w:i/>
      <w:color w:val="4E9A06"/>
      <w:shd w:val="clear" w:color="auto" w:fill="F8F8F8"/>
    </w:rPr>
  </w:style>
  <w:style w:type="character" w:customStyle="1" w:styleId="VerbatimStringTok">
    <w:name w:val="VerbatimStringTok"/>
    <w:basedOn w:val="VerbatimChar"/>
    <w:rPr>
      <w:rFonts w:ascii="Times New Roman" w:hAnsi="Times New Roman"/>
      <w:i/>
      <w:color w:val="4E9A06"/>
      <w:shd w:val="clear" w:color="auto" w:fill="F8F8F8"/>
    </w:rPr>
  </w:style>
  <w:style w:type="character" w:customStyle="1" w:styleId="SpecialStringTok">
    <w:name w:val="SpecialStringTok"/>
    <w:basedOn w:val="VerbatimChar"/>
    <w:rPr>
      <w:rFonts w:ascii="Times New Roman" w:hAnsi="Times New Roman"/>
      <w:i/>
      <w:color w:val="4E9A06"/>
      <w:shd w:val="clear" w:color="auto" w:fill="F8F8F8"/>
    </w:rPr>
  </w:style>
  <w:style w:type="character" w:customStyle="1" w:styleId="ImportTok">
    <w:name w:val="ImportTok"/>
    <w:basedOn w:val="VerbatimChar"/>
    <w:rPr>
      <w:rFonts w:ascii="Times New Roman" w:hAnsi="Times New Roman"/>
      <w:i/>
      <w:shd w:val="clear" w:color="auto" w:fill="F8F8F8"/>
    </w:rPr>
  </w:style>
  <w:style w:type="character" w:customStyle="1" w:styleId="CommentTok">
    <w:name w:val="CommentTok"/>
    <w:basedOn w:val="VerbatimChar"/>
    <w:rPr>
      <w:rFonts w:ascii="Times New Roman" w:hAnsi="Times New Roman"/>
      <w:i w:val="0"/>
      <w:color w:val="8F5902"/>
      <w:shd w:val="clear" w:color="auto" w:fill="F8F8F8"/>
    </w:rPr>
  </w:style>
  <w:style w:type="character" w:customStyle="1" w:styleId="DocumentationTok">
    <w:name w:val="DocumentationTok"/>
    <w:basedOn w:val="VerbatimChar"/>
    <w:rPr>
      <w:rFonts w:ascii="Times New Roman" w:hAnsi="Times New Roman"/>
      <w:b/>
      <w:i w:val="0"/>
      <w:color w:val="8F5902"/>
      <w:shd w:val="clear" w:color="auto" w:fill="F8F8F8"/>
    </w:rPr>
  </w:style>
  <w:style w:type="character" w:customStyle="1" w:styleId="AnnotationTok">
    <w:name w:val="AnnotationTok"/>
    <w:basedOn w:val="VerbatimChar"/>
    <w:rPr>
      <w:rFonts w:ascii="Times New Roman" w:hAnsi="Times New Roman"/>
      <w:b/>
      <w:i w:val="0"/>
      <w:color w:val="8F5902"/>
      <w:shd w:val="clear" w:color="auto" w:fill="F8F8F8"/>
    </w:rPr>
  </w:style>
  <w:style w:type="character" w:customStyle="1" w:styleId="CommentVarTok">
    <w:name w:val="CommentVarTok"/>
    <w:basedOn w:val="VerbatimChar"/>
    <w:rPr>
      <w:rFonts w:ascii="Times New Roman" w:hAnsi="Times New Roman"/>
      <w:b/>
      <w:i w:val="0"/>
      <w:color w:val="8F5902"/>
      <w:shd w:val="clear" w:color="auto" w:fill="F8F8F8"/>
    </w:rPr>
  </w:style>
  <w:style w:type="character" w:customStyle="1" w:styleId="OtherTok">
    <w:name w:val="OtherTok"/>
    <w:basedOn w:val="VerbatimChar"/>
    <w:rPr>
      <w:rFonts w:ascii="Times New Roman" w:hAnsi="Times New Roman"/>
      <w:i/>
      <w:color w:val="8F5902"/>
      <w:shd w:val="clear" w:color="auto" w:fill="F8F8F8"/>
    </w:rPr>
  </w:style>
  <w:style w:type="character" w:customStyle="1" w:styleId="FunctionTok">
    <w:name w:val="FunctionTok"/>
    <w:basedOn w:val="VerbatimChar"/>
    <w:rPr>
      <w:rFonts w:ascii="Times New Roman" w:hAnsi="Times New Roman"/>
      <w:i/>
      <w:color w:val="000000"/>
      <w:shd w:val="clear" w:color="auto" w:fill="F8F8F8"/>
    </w:rPr>
  </w:style>
  <w:style w:type="character" w:customStyle="1" w:styleId="VariableTok">
    <w:name w:val="VariableTok"/>
    <w:basedOn w:val="VerbatimChar"/>
    <w:rPr>
      <w:rFonts w:ascii="Times New Roman" w:hAnsi="Times New Roman"/>
      <w:i/>
      <w:color w:val="000000"/>
      <w:shd w:val="clear" w:color="auto" w:fill="F8F8F8"/>
    </w:rPr>
  </w:style>
  <w:style w:type="character" w:customStyle="1" w:styleId="ControlFlowTok">
    <w:name w:val="ControlFlowTok"/>
    <w:basedOn w:val="VerbatimChar"/>
    <w:rPr>
      <w:rFonts w:ascii="Times New Roman" w:hAnsi="Times New Roman"/>
      <w:b/>
      <w:i/>
      <w:color w:val="204A87"/>
      <w:shd w:val="clear" w:color="auto" w:fill="F8F8F8"/>
    </w:rPr>
  </w:style>
  <w:style w:type="character" w:customStyle="1" w:styleId="OperatorTok">
    <w:name w:val="OperatorTok"/>
    <w:basedOn w:val="VerbatimChar"/>
    <w:rPr>
      <w:rFonts w:ascii="Times New Roman" w:hAnsi="Times New Roman"/>
      <w:b/>
      <w:i/>
      <w:color w:val="CE5C00"/>
      <w:shd w:val="clear" w:color="auto" w:fill="F8F8F8"/>
    </w:rPr>
  </w:style>
  <w:style w:type="character" w:customStyle="1" w:styleId="BuiltInTok">
    <w:name w:val="BuiltInTok"/>
    <w:basedOn w:val="VerbatimChar"/>
    <w:rPr>
      <w:rFonts w:ascii="Times New Roman" w:hAnsi="Times New Roman"/>
      <w:i/>
      <w:shd w:val="clear" w:color="auto" w:fill="F8F8F8"/>
    </w:rPr>
  </w:style>
  <w:style w:type="character" w:customStyle="1" w:styleId="ExtensionTok">
    <w:name w:val="ExtensionTok"/>
    <w:basedOn w:val="VerbatimChar"/>
    <w:rPr>
      <w:rFonts w:ascii="Times New Roman" w:hAnsi="Times New Roman"/>
      <w:i/>
      <w:shd w:val="clear" w:color="auto" w:fill="F8F8F8"/>
    </w:rPr>
  </w:style>
  <w:style w:type="character" w:customStyle="1" w:styleId="PreprocessorTok">
    <w:name w:val="PreprocessorTok"/>
    <w:basedOn w:val="VerbatimChar"/>
    <w:rPr>
      <w:rFonts w:ascii="Times New Roman" w:hAnsi="Times New Roman"/>
      <w:i w:val="0"/>
      <w:color w:val="8F5902"/>
      <w:shd w:val="clear" w:color="auto" w:fill="F8F8F8"/>
    </w:rPr>
  </w:style>
  <w:style w:type="character" w:customStyle="1" w:styleId="AttributeTok">
    <w:name w:val="AttributeTok"/>
    <w:basedOn w:val="VerbatimChar"/>
    <w:rPr>
      <w:rFonts w:ascii="Times New Roman" w:hAnsi="Times New Roman"/>
      <w:i/>
      <w:color w:val="C4A000"/>
      <w:shd w:val="clear" w:color="auto" w:fill="F8F8F8"/>
    </w:rPr>
  </w:style>
  <w:style w:type="character" w:customStyle="1" w:styleId="RegionMarkerTok">
    <w:name w:val="RegionMarkerTok"/>
    <w:basedOn w:val="VerbatimChar"/>
    <w:rPr>
      <w:rFonts w:ascii="Times New Roman" w:hAnsi="Times New Roman"/>
      <w:i/>
      <w:shd w:val="clear" w:color="auto" w:fill="F8F8F8"/>
    </w:rPr>
  </w:style>
  <w:style w:type="character" w:customStyle="1" w:styleId="InformationTok">
    <w:name w:val="InformationTok"/>
    <w:basedOn w:val="VerbatimChar"/>
    <w:rPr>
      <w:rFonts w:ascii="Times New Roman" w:hAnsi="Times New Roman"/>
      <w:b/>
      <w:i w:val="0"/>
      <w:color w:val="8F5902"/>
      <w:shd w:val="clear" w:color="auto" w:fill="F8F8F8"/>
    </w:rPr>
  </w:style>
  <w:style w:type="character" w:customStyle="1" w:styleId="WarningTok">
    <w:name w:val="WarningTok"/>
    <w:basedOn w:val="VerbatimChar"/>
    <w:rPr>
      <w:rFonts w:ascii="Times New Roman" w:hAnsi="Times New Roman"/>
      <w:b/>
      <w:i w:val="0"/>
      <w:color w:val="8F5902"/>
      <w:shd w:val="clear" w:color="auto" w:fill="F8F8F8"/>
    </w:rPr>
  </w:style>
  <w:style w:type="character" w:customStyle="1" w:styleId="AlertTok">
    <w:name w:val="AlertTok"/>
    <w:basedOn w:val="VerbatimChar"/>
    <w:rPr>
      <w:rFonts w:ascii="Times New Roman" w:hAnsi="Times New Roman"/>
      <w:i/>
      <w:color w:val="EF2929"/>
      <w:shd w:val="clear" w:color="auto" w:fill="F8F8F8"/>
    </w:rPr>
  </w:style>
  <w:style w:type="character" w:customStyle="1" w:styleId="ErrorTok">
    <w:name w:val="ErrorTok"/>
    <w:basedOn w:val="VerbatimChar"/>
    <w:rPr>
      <w:rFonts w:ascii="Times New Roman" w:hAnsi="Times New Roman"/>
      <w:b/>
      <w:i/>
      <w:color w:val="A40000"/>
      <w:shd w:val="clear" w:color="auto" w:fill="F8F8F8"/>
    </w:rPr>
  </w:style>
  <w:style w:type="character" w:customStyle="1" w:styleId="NormalTok">
    <w:name w:val="NormalTok"/>
    <w:basedOn w:val="VerbatimChar"/>
    <w:rPr>
      <w:rFonts w:ascii="Times New Roman" w:hAnsi="Times New Roman"/>
      <w:i/>
      <w:shd w:val="clear" w:color="auto" w:fill="F8F8F8"/>
    </w:rPr>
  </w:style>
  <w:style w:type="character" w:customStyle="1" w:styleId="BodyTextChar">
    <w:name w:val="Body Text Char"/>
    <w:basedOn w:val="DefaultParagraphFont"/>
    <w:link w:val="BodyText"/>
    <w:rsid w:val="00662EB1"/>
    <w:rPr>
      <w:rFonts w:ascii="Times New Roman" w:hAnsi="Times New Roman"/>
    </w:rPr>
  </w:style>
  <w:style w:type="character" w:styleId="LineNumber">
    <w:name w:val="line number"/>
    <w:basedOn w:val="DefaultParagraphFont"/>
    <w:semiHidden/>
    <w:unhideWhenUsed/>
    <w:rsid w:val="00E60846"/>
  </w:style>
  <w:style w:type="paragraph" w:styleId="Header">
    <w:name w:val="header"/>
    <w:basedOn w:val="Normal"/>
    <w:link w:val="HeaderChar"/>
    <w:unhideWhenUsed/>
    <w:rsid w:val="00E60846"/>
    <w:pPr>
      <w:tabs>
        <w:tab w:val="center" w:pos="4513"/>
        <w:tab w:val="right" w:pos="9026"/>
      </w:tabs>
      <w:spacing w:after="0" w:line="240" w:lineRule="auto"/>
    </w:pPr>
  </w:style>
  <w:style w:type="character" w:customStyle="1" w:styleId="HeaderChar">
    <w:name w:val="Header Char"/>
    <w:basedOn w:val="DefaultParagraphFont"/>
    <w:link w:val="Header"/>
    <w:rsid w:val="00E60846"/>
    <w:rPr>
      <w:rFonts w:ascii="Times New Roman" w:hAnsi="Times New Roman"/>
    </w:rPr>
  </w:style>
  <w:style w:type="paragraph" w:styleId="Footer">
    <w:name w:val="footer"/>
    <w:basedOn w:val="Normal"/>
    <w:link w:val="FooterChar"/>
    <w:uiPriority w:val="99"/>
    <w:unhideWhenUsed/>
    <w:rsid w:val="00E6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846"/>
    <w:rPr>
      <w:rFonts w:ascii="Times New Roman" w:hAnsi="Times New Roman"/>
    </w:rPr>
  </w:style>
  <w:style w:type="character" w:styleId="CommentReference">
    <w:name w:val="annotation reference"/>
    <w:basedOn w:val="DefaultParagraphFont"/>
    <w:semiHidden/>
    <w:unhideWhenUsed/>
    <w:rsid w:val="009E0275"/>
    <w:rPr>
      <w:sz w:val="18"/>
      <w:szCs w:val="18"/>
    </w:rPr>
  </w:style>
  <w:style w:type="paragraph" w:styleId="CommentText">
    <w:name w:val="annotation text"/>
    <w:basedOn w:val="Normal"/>
    <w:link w:val="CommentTextChar"/>
    <w:semiHidden/>
    <w:unhideWhenUsed/>
    <w:rsid w:val="009E0275"/>
  </w:style>
  <w:style w:type="character" w:customStyle="1" w:styleId="CommentTextChar">
    <w:name w:val="Comment Text Char"/>
    <w:basedOn w:val="DefaultParagraphFont"/>
    <w:link w:val="CommentText"/>
    <w:semiHidden/>
    <w:rsid w:val="009E0275"/>
    <w:rPr>
      <w:rFonts w:ascii="Times New Roman" w:hAnsi="Times New Roman"/>
    </w:rPr>
  </w:style>
  <w:style w:type="paragraph" w:styleId="CommentSubject">
    <w:name w:val="annotation subject"/>
    <w:basedOn w:val="CommentText"/>
    <w:next w:val="CommentText"/>
    <w:link w:val="CommentSubjectChar"/>
    <w:semiHidden/>
    <w:unhideWhenUsed/>
    <w:rsid w:val="009E0275"/>
    <w:rPr>
      <w:b/>
      <w:bCs/>
    </w:rPr>
  </w:style>
  <w:style w:type="character" w:customStyle="1" w:styleId="CommentSubjectChar">
    <w:name w:val="Comment Subject Char"/>
    <w:basedOn w:val="CommentTextChar"/>
    <w:link w:val="CommentSubject"/>
    <w:semiHidden/>
    <w:rsid w:val="009E0275"/>
    <w:rPr>
      <w:rFonts w:ascii="Times New Roman" w:hAnsi="Times New Roman"/>
      <w:b/>
      <w:bCs/>
    </w:rPr>
  </w:style>
  <w:style w:type="paragraph" w:styleId="BalloonText">
    <w:name w:val="Balloon Text"/>
    <w:basedOn w:val="Normal"/>
    <w:link w:val="BalloonTextChar"/>
    <w:semiHidden/>
    <w:unhideWhenUsed/>
    <w:rsid w:val="00F30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3069F"/>
    <w:rPr>
      <w:rFonts w:ascii="Segoe UI" w:hAnsi="Segoe UI" w:cs="Segoe UI"/>
      <w:sz w:val="18"/>
      <w:szCs w:val="18"/>
    </w:rPr>
  </w:style>
  <w:style w:type="character" w:styleId="UnresolvedMention">
    <w:name w:val="Unresolved Mention"/>
    <w:basedOn w:val="DefaultParagraphFont"/>
    <w:uiPriority w:val="99"/>
    <w:semiHidden/>
    <w:unhideWhenUsed/>
    <w:rsid w:val="00663659"/>
    <w:rPr>
      <w:color w:val="605E5C"/>
      <w:shd w:val="clear" w:color="auto" w:fill="E1DFDD"/>
    </w:rPr>
  </w:style>
  <w:style w:type="paragraph" w:styleId="HTMLPreformatted">
    <w:name w:val="HTML Preformatted"/>
    <w:basedOn w:val="Normal"/>
    <w:link w:val="HTMLPreformattedChar"/>
    <w:semiHidden/>
    <w:unhideWhenUsed/>
    <w:rsid w:val="00E221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E221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7781">
      <w:bodyDiv w:val="1"/>
      <w:marLeft w:val="0"/>
      <w:marRight w:val="0"/>
      <w:marTop w:val="0"/>
      <w:marBottom w:val="0"/>
      <w:divBdr>
        <w:top w:val="none" w:sz="0" w:space="0" w:color="auto"/>
        <w:left w:val="none" w:sz="0" w:space="0" w:color="auto"/>
        <w:bottom w:val="none" w:sz="0" w:space="0" w:color="auto"/>
        <w:right w:val="none" w:sz="0" w:space="0" w:color="auto"/>
      </w:divBdr>
    </w:div>
    <w:div w:id="808137001">
      <w:bodyDiv w:val="1"/>
      <w:marLeft w:val="0"/>
      <w:marRight w:val="0"/>
      <w:marTop w:val="0"/>
      <w:marBottom w:val="0"/>
      <w:divBdr>
        <w:top w:val="none" w:sz="0" w:space="0" w:color="auto"/>
        <w:left w:val="none" w:sz="0" w:space="0" w:color="auto"/>
        <w:bottom w:val="none" w:sz="0" w:space="0" w:color="auto"/>
        <w:right w:val="none" w:sz="0" w:space="0" w:color="auto"/>
      </w:divBdr>
    </w:div>
    <w:div w:id="931201534">
      <w:bodyDiv w:val="1"/>
      <w:marLeft w:val="0"/>
      <w:marRight w:val="0"/>
      <w:marTop w:val="0"/>
      <w:marBottom w:val="0"/>
      <w:divBdr>
        <w:top w:val="none" w:sz="0" w:space="0" w:color="auto"/>
        <w:left w:val="none" w:sz="0" w:space="0" w:color="auto"/>
        <w:bottom w:val="none" w:sz="0" w:space="0" w:color="auto"/>
        <w:right w:val="none" w:sz="0" w:space="0" w:color="auto"/>
      </w:divBdr>
    </w:div>
    <w:div w:id="1082724052">
      <w:bodyDiv w:val="1"/>
      <w:marLeft w:val="0"/>
      <w:marRight w:val="0"/>
      <w:marTop w:val="0"/>
      <w:marBottom w:val="0"/>
      <w:divBdr>
        <w:top w:val="none" w:sz="0" w:space="0" w:color="auto"/>
        <w:left w:val="none" w:sz="0" w:space="0" w:color="auto"/>
        <w:bottom w:val="none" w:sz="0" w:space="0" w:color="auto"/>
        <w:right w:val="none" w:sz="0" w:space="0" w:color="auto"/>
      </w:divBdr>
    </w:div>
    <w:div w:id="1439449165">
      <w:bodyDiv w:val="1"/>
      <w:marLeft w:val="0"/>
      <w:marRight w:val="0"/>
      <w:marTop w:val="0"/>
      <w:marBottom w:val="0"/>
      <w:divBdr>
        <w:top w:val="none" w:sz="0" w:space="0" w:color="auto"/>
        <w:left w:val="none" w:sz="0" w:space="0" w:color="auto"/>
        <w:bottom w:val="none" w:sz="0" w:space="0" w:color="auto"/>
        <w:right w:val="none" w:sz="0" w:space="0" w:color="auto"/>
      </w:divBdr>
    </w:div>
    <w:div w:id="1773277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upulcooray/socialParticip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08F64-D184-4D66-A687-116C17B3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21946</TotalTime>
  <Pages>13</Pages>
  <Words>2788</Words>
  <Characters>15892</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Effect of dental status on social participation: using a doubly robust estimator</vt:lpstr>
      <vt:lpstr>Effect of dental status on social participation: using a doubly robust estimator</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dental status on social participation: using a doubly robust estimator</dc:title>
  <dc:subject/>
  <dc:creator>Upul Cooray, Jun Aida, Georgios Tsakos,…</dc:creator>
  <cp:keywords/>
  <dc:description/>
  <cp:lastModifiedBy>Upul</cp:lastModifiedBy>
  <cp:revision>11</cp:revision>
  <dcterms:created xsi:type="dcterms:W3CDTF">2021-08-24T14:03:00Z</dcterms:created>
  <dcterms:modified xsi:type="dcterms:W3CDTF">2021-10-25T13:48:00Z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CSE-author-date2.csl</vt:lpwstr>
  </property>
  <property fmtid="{D5CDD505-2E9C-101B-9397-08002B2CF9AE}" pid="4" name="date">
    <vt:lpwstr>Last compiled on 21 June, 2021 at 00:12</vt:lpwstr>
  </property>
  <property fmtid="{D5CDD505-2E9C-101B-9397-08002B2CF9AE}" pid="5" name="output">
    <vt:lpwstr/>
  </property>
</Properties>
</file>