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00" w:after="0"/>
        <w:jc w:val="center"/>
        <w:rPr>
          <w:rFonts w:ascii="sans-serif" w:hAnsi="sans-serif"/>
          <w:sz w:val="26"/>
          <w:szCs w:val="26"/>
        </w:rPr>
      </w:pPr>
      <w:bookmarkStart w:id="0" w:name="page69R_mcid2"/>
      <w:bookmarkEnd w:id="0"/>
      <w:r>
        <w:rPr>
          <w:rFonts w:ascii="Arial" w:hAnsi="Arial"/>
          <w:sz w:val="26"/>
          <w:szCs w:val="26"/>
        </w:rPr>
        <w:t xml:space="preserve">Abstract for </w:t>
      </w:r>
      <w:r>
        <w:rPr>
          <w:rFonts w:ascii="Arial" w:hAnsi="Arial"/>
          <w:sz w:val="26"/>
          <w:szCs w:val="26"/>
        </w:rPr>
        <w:t>2022 IADR/APR Oral Epi-Forum</w:t>
      </w:r>
    </w:p>
    <w:p>
      <w:pPr>
        <w:pStyle w:val="Normal"/>
        <w:bidi w:val="0"/>
        <w:spacing w:before="200" w:after="0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bidi w:val="0"/>
        <w:spacing w:before="200" w:after="0"/>
        <w:jc w:val="center"/>
        <w:rPr>
          <w:rFonts w:ascii="Arial" w:hAnsi="Arial"/>
        </w:rPr>
      </w:pPr>
      <w:r>
        <w:rPr>
          <w:rFonts w:ascii="Arial" w:hAnsi="Arial"/>
          <w:b/>
          <w:bCs/>
          <w:i w:val="false"/>
          <w:sz w:val="30"/>
          <w:szCs w:val="30"/>
        </w:rPr>
        <w:t xml:space="preserve">Effect of </w:t>
      </w:r>
      <w:r>
        <w:rPr>
          <w:rFonts w:ascii="Arial" w:hAnsi="Arial"/>
          <w:b/>
          <w:bCs/>
          <w:sz w:val="30"/>
          <w:szCs w:val="30"/>
        </w:rPr>
        <w:t>number of teeth on social participation among older adults in Japan: longitudinal modified treatment policy approach</w:t>
      </w:r>
    </w:p>
    <w:p>
      <w:pPr>
        <w:pStyle w:val="Normal"/>
        <w:bidi w:val="0"/>
        <w:spacing w:before="200" w:after="0"/>
        <w:jc w:val="center"/>
        <w:rPr>
          <w:rFonts w:ascii="Arial" w:hAnsi="Arial"/>
        </w:rPr>
      </w:pPr>
      <w:r>
        <w:rPr/>
      </w:r>
    </w:p>
    <w:p>
      <w:pPr>
        <w:pStyle w:val="FirstParagraph"/>
        <w:rPr>
          <w:rFonts w:ascii="Arial" w:hAnsi="Arial"/>
        </w:rPr>
      </w:pPr>
      <w:r>
        <w:rPr>
          <w:rFonts w:ascii="Arial" w:hAnsi="Arial"/>
        </w:rPr>
        <w:t>*Upul Cooray</w:t>
      </w:r>
      <w:r>
        <w:rPr>
          <w:rFonts w:ascii="Arial" w:hAnsi="Arial"/>
          <w:vertAlign w:val="superscript"/>
        </w:rPr>
        <w:t>1</w:t>
      </w:r>
      <w:r>
        <w:rPr>
          <w:rFonts w:ascii="Arial" w:hAnsi="Arial"/>
        </w:rPr>
        <w:t>, Georgios Tsakos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>, Anja Heilmann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>, Richard G Watt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>, Kenji Takeuchi</w:t>
      </w:r>
      <w:r>
        <w:rPr>
          <w:rFonts w:ascii="Arial" w:hAnsi="Arial"/>
          <w:vertAlign w:val="superscript"/>
        </w:rPr>
        <w:t>1</w:t>
      </w:r>
      <w:r>
        <w:rPr>
          <w:rFonts w:ascii="Arial" w:hAnsi="Arial"/>
        </w:rPr>
        <w:t>, Katsunori Kondo</w:t>
      </w:r>
      <w:r>
        <w:rPr>
          <w:rFonts w:ascii="Arial" w:hAnsi="Arial"/>
          <w:vertAlign w:val="superscript"/>
        </w:rPr>
        <w:t>4,5</w:t>
      </w:r>
      <w:r>
        <w:rPr>
          <w:rFonts w:ascii="Arial" w:hAnsi="Arial"/>
        </w:rPr>
        <w:t>, Ken Osaka</w:t>
      </w:r>
      <w:r>
        <w:rPr>
          <w:rFonts w:ascii="Arial" w:hAnsi="Arial"/>
          <w:vertAlign w:val="superscript"/>
        </w:rPr>
        <w:t>1</w:t>
      </w:r>
      <w:r>
        <w:rPr>
          <w:rFonts w:ascii="Arial" w:hAnsi="Arial"/>
        </w:rPr>
        <w:t xml:space="preserve"> &amp; Jun Aida</w:t>
      </w:r>
      <w:r>
        <w:rPr>
          <w:rFonts w:ascii="Arial" w:hAnsi="Arial"/>
          <w:vertAlign w:val="superscript"/>
        </w:rPr>
        <w:t>3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  <w:vertAlign w:val="superscript"/>
        </w:rPr>
        <w:t>1</w:t>
      </w:r>
      <w:r>
        <w:rPr>
          <w:rFonts w:ascii="Arial" w:hAnsi="Arial"/>
        </w:rPr>
        <w:t>Department of International and Community Oral Health, Tohoku University Graduate School of Dentistry, Sendai, Japan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>Department of Epidemiology and Public Health, University College London, London, United Kingdom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  <w:vertAlign w:val="superscript"/>
        </w:rPr>
        <w:t>3</w:t>
      </w:r>
      <w:r>
        <w:rPr>
          <w:rFonts w:ascii="Arial" w:hAnsi="Arial"/>
        </w:rPr>
        <w:t>Department of Oral Health Promotion, Graduate School of Medical and Dental Sciences, Tokyo Medical and Dental University, Tokyo, Japan 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  <w:vertAlign w:val="superscript"/>
        </w:rPr>
        <w:t>4</w:t>
      </w:r>
      <w:r>
        <w:rPr>
          <w:rFonts w:ascii="Arial" w:hAnsi="Arial"/>
        </w:rPr>
        <w:t>Center for Preventive Medical Sciences, Chiba University, Chiba, Japan</w:t>
      </w:r>
    </w:p>
    <w:p>
      <w:pPr>
        <w:pStyle w:val="TextBody"/>
        <w:bidi w:val="0"/>
        <w:spacing w:before="200" w:after="0"/>
        <w:jc w:val="left"/>
        <w:rPr>
          <w:rFonts w:ascii="Arial" w:hAnsi="Arial"/>
        </w:rPr>
      </w:pPr>
      <w:r>
        <w:rPr>
          <w:rFonts w:ascii="Arial" w:hAnsi="Arial"/>
          <w:vertAlign w:val="superscript"/>
        </w:rPr>
        <w:t>5</w:t>
      </w:r>
      <w:r>
        <w:rPr>
          <w:rFonts w:ascii="Arial" w:hAnsi="Arial"/>
        </w:rPr>
        <w:t>Center for Gerontology and Social Science, National Center for Geriatrics and Gerontology, Obu, Japan</w:t>
      </w:r>
    </w:p>
    <w:p>
      <w:pPr>
        <w:pStyle w:val="TextBody"/>
        <w:bidi w:val="0"/>
        <w:spacing w:before="200" w:after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before="200" w:after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This work has not been published</w:t>
      </w:r>
    </w:p>
    <w:p>
      <w:pPr>
        <w:pStyle w:val="TextBody"/>
        <w:bidi w:val="0"/>
        <w:spacing w:before="200" w:after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200" w:after="0"/>
        <w:jc w:val="left"/>
        <w:rPr>
          <w:rFonts w:ascii="Arial" w:hAnsi="Arial" w:eastAsia="Tahoma" w:cs="Lohit Devanagari"/>
          <w:color w:val="auto"/>
          <w:kern w:val="2"/>
          <w:sz w:val="24"/>
          <w:szCs w:val="24"/>
          <w:lang w:val="en-US" w:eastAsia="zh-CN" w:bidi="hi-IN"/>
        </w:rPr>
      </w:pPr>
      <w:bookmarkStart w:id="1" w:name="page69R_mcid41"/>
      <w:bookmarkEnd w:id="1"/>
      <w:r>
        <w:rPr>
          <w:rFonts w:eastAsia="Tahoma" w:cs="Lohit Devanagari" w:ascii="Arial" w:hAnsi="Arial"/>
          <w:color w:val="auto"/>
          <w:kern w:val="2"/>
          <w:sz w:val="24"/>
          <w:szCs w:val="24"/>
          <w:lang w:val="en-US" w:eastAsia="zh-CN" w:bidi="hi-IN"/>
        </w:rPr>
        <w:t>*Presenter:</w:t>
      </w:r>
    </w:p>
    <w:p>
      <w:pPr>
        <w:pStyle w:val="Normal"/>
        <w:bidi w:val="0"/>
        <w:spacing w:before="200" w:after="0"/>
        <w:jc w:val="left"/>
        <w:rPr>
          <w:rFonts w:ascii="Arial" w:hAnsi="Arial" w:eastAsia="Tahoma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FirstParagraph"/>
        <w:rPr>
          <w:rFonts w:ascii="Arial" w:hAnsi="Arial" w:eastAsia="Tahoma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color w:val="auto"/>
          <w:kern w:val="2"/>
          <w:sz w:val="24"/>
          <w:szCs w:val="24"/>
          <w:lang w:val="en-US" w:eastAsia="zh-CN" w:bidi="hi-IN"/>
        </w:rPr>
        <w:t>Upul Cooray (PhD student)</w:t>
      </w:r>
    </w:p>
    <w:p>
      <w:pPr>
        <w:pStyle w:val="TextBody"/>
        <w:rPr>
          <w:rFonts w:ascii="Arial" w:hAnsi="Arial" w:eastAsia="Tahoma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color w:val="auto"/>
          <w:kern w:val="2"/>
          <w:sz w:val="24"/>
          <w:szCs w:val="24"/>
          <w:lang w:val="en-US" w:eastAsia="zh-CN" w:bidi="hi-IN"/>
        </w:rPr>
        <w:t>Department of International and Community Oral Health, Graduate School of Dentistry, Tohoku University, Sendai, Japan</w:t>
      </w:r>
    </w:p>
    <w:p>
      <w:pPr>
        <w:pStyle w:val="TextBody"/>
        <w:bidi w:val="0"/>
        <w:spacing w:before="200" w:after="0"/>
        <w:jc w:val="left"/>
        <w:rPr>
          <w:rFonts w:ascii="Arial" w:hAnsi="Arial" w:eastAsia="Tahoma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color w:val="auto"/>
          <w:kern w:val="2"/>
          <w:sz w:val="24"/>
          <w:szCs w:val="24"/>
          <w:lang w:val="en-US" w:eastAsia="zh-CN" w:bidi="hi-IN"/>
        </w:rPr>
        <w:t xml:space="preserve">E-mail: </w:t>
      </w:r>
      <w:hyperlink r:id="rId2">
        <w:r>
          <w:rPr>
            <w:rStyle w:val="InternetLink"/>
            <w:rFonts w:eastAsia="Tahoma" w:cs="Lohit Devanagari" w:ascii="Arial" w:hAnsi="Arial"/>
            <w:color w:val="auto"/>
            <w:kern w:val="2"/>
            <w:sz w:val="24"/>
            <w:szCs w:val="24"/>
            <w:lang w:val="en-US" w:eastAsia="zh-CN" w:bidi="hi-IN"/>
          </w:rPr>
          <w:t>upul.cooray.15@ucl.ac.uk</w:t>
        </w:r>
      </w:hyperlink>
      <w:r>
        <w:rPr>
          <w:rFonts w:eastAsia="Tahoma" w:cs="Lohit Devanagari" w:ascii="Arial" w:hAnsi="Arial"/>
          <w:color w:val="auto"/>
          <w:kern w:val="2"/>
          <w:sz w:val="24"/>
          <w:szCs w:val="24"/>
          <w:lang w:val="en-US" w:eastAsia="zh-CN" w:bidi="hi-IN"/>
        </w:rPr>
        <w:t>, Tel: +81-2-2717-7639</w:t>
      </w:r>
    </w:p>
    <w:p>
      <w:pPr>
        <w:pStyle w:val="Normal"/>
        <w:bidi w:val="0"/>
        <w:spacing w:before="200" w:after="0"/>
        <w:jc w:val="left"/>
        <w:rPr>
          <w:rFonts w:ascii="Arial" w:hAnsi="Arial" w:eastAsia="Tahoma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before="200" w:after="0"/>
        <w:jc w:val="left"/>
        <w:rPr>
          <w:rFonts w:ascii="Arial" w:hAnsi="Arial" w:eastAsia="Tahoma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before="200" w:after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spacing w:before="200" w:after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spacing w:before="200" w:after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spacing w:before="200" w:after="0"/>
        <w:jc w:val="left"/>
        <w:rPr>
          <w:rFonts w:ascii="Arial" w:hAnsi="Arial"/>
        </w:rPr>
      </w:pPr>
      <w:r>
        <w:rPr/>
      </w:r>
    </w:p>
    <w:p>
      <w:pPr>
        <w:pStyle w:val="Heading2"/>
        <w:bidi w:val="0"/>
        <w:spacing w:before="200" w:after="0"/>
        <w:jc w:val="left"/>
        <w:rPr>
          <w:rFonts w:ascii="Arial" w:hAnsi="Arial"/>
        </w:rPr>
      </w:pPr>
      <w:r>
        <w:rPr/>
      </w:r>
    </w:p>
    <w:p>
      <w:pPr>
        <w:pStyle w:val="Heading2"/>
        <w:bidi w:val="0"/>
        <w:spacing w:before="20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Abstract </w:t>
      </w:r>
      <w:r>
        <w:rPr>
          <w:rFonts w:ascii="Arial" w:hAnsi="Arial"/>
        </w:rPr>
        <w:t>(3</w:t>
      </w:r>
      <w:r>
        <w:rPr>
          <w:rFonts w:ascii="Arial" w:hAnsi="Arial"/>
        </w:rPr>
        <w:t>89</w:t>
      </w:r>
      <w:r>
        <w:rPr>
          <w:rFonts w:ascii="Arial" w:hAnsi="Arial"/>
        </w:rPr>
        <w:t xml:space="preserve"> words)</w:t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Background</w:t>
      </w:r>
    </w:p>
    <w:p>
      <w:pPr>
        <w:pStyle w:val="FirstParagraph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Participating in social activities and interacting with others in the community has numerous positive effects on older adults’ health and quality of life. </w:t>
      </w:r>
      <w:r>
        <w:rPr>
          <w:rFonts w:ascii="Arial" w:hAnsi="Arial"/>
        </w:rPr>
        <w:t xml:space="preserve">Studies that use causal inference methods are primarily based on binary exposures. </w:t>
      </w:r>
      <w:r>
        <w:rPr>
          <w:rFonts w:ascii="Arial" w:hAnsi="Arial"/>
        </w:rPr>
        <w:t xml:space="preserve">We aimed to estimate the causal effect of number of teeth on social participation among older adults in Japan </w:t>
      </w:r>
      <w:r>
        <w:rPr>
          <w:rFonts w:ascii="Arial" w:hAnsi="Arial"/>
        </w:rPr>
        <w:t xml:space="preserve">using a method that  </w:t>
      </w:r>
      <w:r>
        <w:rPr>
          <w:rFonts w:ascii="Arial" w:hAnsi="Arial"/>
        </w:rPr>
        <w:t>allow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non-binary exposures.</w:t>
      </w:r>
      <w:r>
        <w:rPr>
          <w:rFonts w:ascii="Arial" w:hAnsi="Arial"/>
        </w:rPr>
        <w:t xml:space="preserve">   </w:t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Methods</w:t>
      </w:r>
    </w:p>
    <w:p>
      <w:pPr>
        <w:pStyle w:val="FirstParagraph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Using longitudinal data (baseline=2010, follow-ups=2013 and 2016) from 24,872 participants of the Japan Gerontological Evaluation Study, we employed a longitudinal modified treatment policy approach to determine the causal effect of number of teeth on social participation. </w:t>
      </w:r>
      <w:r>
        <w:rPr>
          <w:rFonts w:ascii="Arial" w:hAnsi="Arial"/>
        </w:rPr>
        <w:t xml:space="preserve">Participation in any of the activities such as hobby groups, sports clubs, senior citizens’ clubs, residence groups, or volunteer groups at least once a month in 2016 was assessed as the outcome. 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he observed level of number of teeth of each individual was shifted to several new levels mimicking multiple hypothetical interventions </w:t>
      </w:r>
      <w:r>
        <w:rPr>
          <w:rFonts w:ascii="Arial" w:hAnsi="Arial"/>
        </w:rPr>
        <w:t xml:space="preserve">to specify the effect of number of teeth on counterfactual outcomes. </w:t>
      </w:r>
      <w:r>
        <w:rPr>
          <w:rFonts w:ascii="Arial" w:hAnsi="Arial"/>
        </w:rPr>
        <w:t xml:space="preserve"> Corresponding statistical parameters were estimated using targeted minimum loss-based estimation (TMLE). Number of teeth (edentate, 1-9 teeth, 10-19 teeth,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≥</m:t>
        </m:r>
      </m:oMath>
      <w:r>
        <w:rPr>
          <w:rFonts w:ascii="Arial" w:hAnsi="Arial"/>
        </w:rPr>
        <w:t xml:space="preserve"> 20 teeth) was treated as a time-varying exposure and the estimates were adjusted for time-varying (income, self-rated health, denture use, marital status) and time-invariant (age, sex, baseline social participation) covariates.</w:t>
      </w:r>
      <w:bookmarkStart w:id="2" w:name="methods"/>
      <w:bookmarkEnd w:id="2"/>
      <w:r>
        <w:rPr>
          <w:rFonts w:ascii="Arial" w:hAnsi="Arial"/>
        </w:rPr>
        <w:t xml:space="preserve">  The </w:t>
      </w:r>
      <w:r>
        <w:rPr>
          <w:rStyle w:val="VerbatimChar"/>
        </w:rPr>
        <w:t>lmtp</w:t>
      </w:r>
      <w:r>
        <w:rPr>
          <w:rFonts w:ascii="Arial" w:hAnsi="Arial"/>
        </w:rPr>
        <w:t xml:space="preserve"> R package was used to compute TMLE estimates with Super Learner </w:t>
      </w:r>
      <w:r>
        <w:rPr>
          <w:rFonts w:ascii="Arial" w:hAnsi="Arial"/>
        </w:rPr>
        <w:t xml:space="preserve">(glm, xgboost, and neural nets were used as candidate algorithms). All the R codes used in analyses can be found at </w:t>
      </w:r>
      <w:r>
        <w:rPr>
          <w:rStyle w:val="VerbatimChar"/>
        </w:rPr>
        <w:t>https://github.com/upulcooray/social-participation</w:t>
      </w:r>
      <w:r>
        <w:rPr>
          <w:rFonts w:ascii="Arial" w:hAnsi="Arial"/>
        </w:rPr>
        <w:t>.</w:t>
      </w:r>
      <w:bookmarkStart w:id="3" w:name="methods-1"/>
      <w:bookmarkStart w:id="4" w:name="statistical-analysis"/>
      <w:bookmarkEnd w:id="3"/>
      <w:bookmarkEnd w:id="4"/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Results</w:t>
      </w:r>
    </w:p>
    <w:p>
      <w:pPr>
        <w:pStyle w:val="FirstParagraph"/>
        <w:bidi w:val="0"/>
        <w:jc w:val="left"/>
        <w:rPr>
          <w:rFonts w:ascii="Arial" w:hAnsi="Arial"/>
        </w:rPr>
      </w:pPr>
      <w:r>
        <w:rPr>
          <w:rFonts w:ascii="Arial" w:hAnsi="Arial"/>
        </w:rPr>
        <w:t>After six years of follow-up, 48.4% reported less frequent social participation (</w:t>
      </w:r>
      <w:r>
        <w:rPr>
          <w:rFonts w:ascii="Arial" w:hAnsi="Arial"/>
        </w:rPr>
        <w:t>less than</w:t>
      </w:r>
      <w:r>
        <w:rPr>
          <w:rFonts w:ascii="Arial" w:hAnsi="Arial"/>
        </w:rPr>
        <w:t xml:space="preserve"> once a month). Causal odds ratios, calculated by contrasting counterfactual TMLE estimates at different levels of the exposure, showed a clear dose-response effect on social participation. When the exposure was shifted from being edentate to having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≥</m:t>
        </m:r>
      </m:oMath>
      <w:r>
        <w:rPr>
          <w:rFonts w:ascii="Arial" w:hAnsi="Arial"/>
        </w:rPr>
        <w:t xml:space="preserve"> 20 teeth, the likelihood of social participation increased by 30% (OR=1.30, 95%CI=1.23-1.38). A </w:t>
      </w:r>
      <w:r>
        <w:rPr>
          <w:rFonts w:eastAsia="Tahoma" w:cs="Lohit Devanagari" w:ascii="Arial" w:hAnsi="Arial"/>
          <w:color w:val="auto"/>
          <w:kern w:val="2"/>
          <w:sz w:val="24"/>
          <w:szCs w:val="24"/>
          <w:lang w:val="en-US" w:eastAsia="zh-CN" w:bidi="hi-IN"/>
        </w:rPr>
        <w:t xml:space="preserve">shift from the observed </w:t>
      </w:r>
      <w:r>
        <w:rPr>
          <w:rFonts w:eastAsia="Tahoma" w:cs="Lohit Devanagari" w:ascii="Arial" w:hAnsi="Arial"/>
          <w:color w:val="auto"/>
          <w:kern w:val="2"/>
          <w:sz w:val="24"/>
          <w:szCs w:val="24"/>
          <w:lang w:val="en-US" w:eastAsia="zh-CN" w:bidi="hi-IN"/>
        </w:rPr>
        <w:t>level</w:t>
      </w:r>
      <w:r>
        <w:rPr>
          <w:rFonts w:eastAsia="Tahoma" w:cs="Lohit Devanagari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number of teeth to all participants being edentate, r</w:t>
      </w:r>
      <w:r>
        <w:rPr>
          <w:rFonts w:ascii="Arial" w:hAnsi="Arial"/>
        </w:rPr>
        <w:t>educed social participation by 15% (OR=0.85, 95%CI=0.79-0.92</w:t>
      </w:r>
      <w:bookmarkStart w:id="5" w:name="results"/>
      <w:bookmarkEnd w:id="5"/>
      <w:r>
        <w:rPr>
          <w:rFonts w:ascii="Arial" w:hAnsi="Arial"/>
        </w:rPr>
        <w:t>).</w:t>
      </w:r>
    </w:p>
    <w:p>
      <w:pPr>
        <w:pStyle w:val="Normal"/>
        <w:bidi w:val="0"/>
        <w:jc w:val="left"/>
        <w:rPr>
          <w:rFonts w:ascii="Arial" w:hAnsi="Arial" w:eastAsia="Tahoma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bookmarkStart w:id="6" w:name="page69R_mcid23"/>
      <w:bookmarkEnd w:id="6"/>
      <w:r>
        <w:rPr>
          <w:rFonts w:eastAsia="Tahoma" w:cs="Lohit Devanagari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summary</w:t>
      </w:r>
    </w:p>
    <w:p>
      <w:pPr>
        <w:pStyle w:val="FirstParagraph"/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>This study provide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causal evidence that having a higher number of teeth and maintaining a functional dentition positively affects social participation among Japanese older adults, while being edentate or having relatively fewer teeth negatively affects social participation.</w:t>
      </w:r>
    </w:p>
    <w:p>
      <w:pPr>
        <w:pStyle w:val="Normal"/>
        <w:bidi w:val="0"/>
        <w:spacing w:before="0" w:after="140"/>
        <w:jc w:val="left"/>
        <w:rPr>
          <w:rFonts w:ascii="Arial" w:hAnsi="Arial" w:eastAsia="Tahoma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N</w:t>
      </w:r>
      <w:r>
        <w:rPr>
          <w:rFonts w:eastAsia="Tahoma" w:cs="Lohit Devanagari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ext step</w:t>
      </w:r>
    </w:p>
    <w:p>
      <w:pPr>
        <w:pStyle w:val="Normal"/>
        <w:bidi w:val="0"/>
        <w:spacing w:before="0" w:after="140"/>
        <w:jc w:val="left"/>
        <w:rPr>
          <w:rFonts w:ascii="Arial" w:hAnsi="Arial" w:eastAsia="Tahoma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Check the robustness of evidence by conducting same the analysis using longitudinal data from a different country (eg: ELSA data).</w:t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  <w:b/>
          <w:bCs/>
          <w:sz w:val="27"/>
        </w:rPr>
        <w:t>Q</w:t>
      </w:r>
      <w:r>
        <w:rPr>
          <w:rFonts w:ascii="Arial" w:hAnsi="Arial"/>
          <w:b/>
          <w:bCs/>
          <w:sz w:val="27"/>
        </w:rPr>
        <w:t>uestions</w:t>
      </w:r>
      <w:r>
        <w:rPr>
          <w:rFonts w:ascii="Arial" w:hAnsi="Arial"/>
          <w:sz w:val="27"/>
        </w:rPr>
        <w:t xml:space="preserve"> </w:t>
      </w:r>
      <w:r>
        <w:rPr>
          <w:rFonts w:ascii="Arial" w:hAnsi="Arial"/>
          <w:b/>
          <w:bCs/>
          <w:sz w:val="27"/>
        </w:rPr>
        <w:t>for discussion</w:t>
      </w:r>
    </w:p>
    <w:p>
      <w:pPr>
        <w:pStyle w:val="Normal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140"/>
        <w:jc w:val="left"/>
        <w:rPr>
          <w:rFonts w:ascii="Arial" w:hAnsi="Arial" w:eastAsia="Tahoma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1. What are/ Are there other methods available to </w:t>
      </w:r>
      <w:r>
        <w:rPr>
          <w:rFonts w:eastAsia="Tahoma" w:cs="Lohit Devanagari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define causal effects with non-binary exposures (continuous/ categorical)?</w:t>
      </w:r>
    </w:p>
    <w:p>
      <w:pPr>
        <w:pStyle w:val="Normal"/>
        <w:bidi w:val="0"/>
        <w:spacing w:before="0" w:after="140"/>
        <w:jc w:val="left"/>
        <w:rPr>
          <w:rFonts w:ascii="Arial" w:hAnsi="Arial" w:eastAsia="Tahoma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140"/>
        <w:jc w:val="left"/>
        <w:rPr>
          <w:rFonts w:ascii="Arial" w:hAnsi="Arial" w:eastAsia="Tahoma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2. </w:t>
      </w:r>
      <w:r>
        <w:rPr>
          <w:rFonts w:eastAsia="Tahoma" w:cs="Lohit Devanagari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How important is it to investigate dose-response effect in causal inference studies?</w:t>
      </w:r>
    </w:p>
    <w:p>
      <w:pPr>
        <w:pStyle w:val="Normal"/>
        <w:bidi w:val="0"/>
        <w:spacing w:before="0" w:after="140"/>
        <w:jc w:val="left"/>
        <w:rPr>
          <w:rFonts w:ascii="Arial" w:hAnsi="Arial" w:eastAsia="Tahoma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140"/>
        <w:jc w:val="left"/>
        <w:rPr>
          <w:rFonts w:ascii="Arial" w:hAnsi="Arial" w:eastAsia="Tahoma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Tahoma" w:cs="Lohit Devanagari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3. What are the pros and cons of incorporating machine learning algorithms into causal inference methods? </w:t>
      </w:r>
    </w:p>
    <w:p>
      <w:pPr>
        <w:pStyle w:val="TextBody"/>
        <w:bidi w:val="0"/>
        <w:spacing w:before="0" w:after="14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ns-serif">
    <w:altName w:val="Arial"/>
    <w:charset w:val="00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eastAsia="MS Gothic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qFormat/>
    <w:pPr>
      <w:keepNext w:val="true"/>
      <w:keepLines/>
      <w:spacing w:before="200" w:after="0"/>
      <w:outlineLvl w:val="2"/>
    </w:pPr>
    <w:rPr>
      <w:rFonts w:eastAsia="MS Gothic"/>
      <w:bCs/>
      <w:i/>
    </w:rPr>
  </w:style>
  <w:style w:type="character" w:styleId="DefaultParagraphFont">
    <w:name w:val="Default Paragraph Font"/>
    <w:qFormat/>
    <w:rPr/>
  </w:style>
  <w:style w:type="character" w:styleId="CaptionChar">
    <w:name w:val="Caption Char"/>
    <w:basedOn w:val="DefaultParagraphFont"/>
    <w:qFormat/>
    <w:rPr/>
  </w:style>
  <w:style w:type="character" w:styleId="VerbatimChar">
    <w:name w:val="Verbatim Char"/>
    <w:basedOn w:val="CaptionChar"/>
    <w:qFormat/>
    <w:rPr>
      <w:rFonts w:ascii="Times New Roman" w:hAnsi="Times New Roman"/>
      <w:i/>
      <w:shd w:fill="F8F8F8" w:val="clear"/>
    </w:rPr>
  </w:style>
  <w:style w:type="character" w:styleId="InternetLink">
    <w:name w:val="Hyperlink"/>
    <w:basedOn w:val="CaptionChar"/>
    <w:rPr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>
    <w:name w:val="First Paragraph"/>
    <w:basedOn w:val="TextBody"/>
    <w:next w:val="TextBod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ul.cooray.15@ucl.ac.uk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LibreOffice/7.2.6.2$Linux_X86_64 LibreOffice_project/20$Build-2</Application>
  <AppVersion>15.0000</AppVersion>
  <Pages>3</Pages>
  <Words>582</Words>
  <Characters>3580</Characters>
  <CharactersWithSpaces>4145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2022-04-24T15:46:17Z</dcterms:created>
  <dc:creator/>
  <dc:description/>
  <dc:language>en-US</dc:language>
  <cp:lastModifiedBy/>
  <dcterms:modified xsi:type="dcterms:W3CDTF">2022-04-24T22:10:00Z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