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MPL Indonesia 2027 — Quarterly Forecast &amp; Risk Assessment</w:t>
      </w:r>
    </w:p>
    <w:p>
      <w:pPr>
        <w:pStyle w:val="Subtitle"/>
      </w:pPr>
      <w:r>
        <w:t xml:space="preserve">Deep Research Report | Dexter Macro Intelligence System</w:t>
      </w:r>
    </w:p>
    <w:p>
      <w:pPr>
        <w:pStyle w:val="Author"/>
      </w:pPr>
      <w:r>
        <w:t xml:space="preserve">Victor Elvino | victor@sadasa.id</w:t>
      </w:r>
    </w:p>
    <w:p>
      <w:pPr>
        <w:pStyle w:val="Date"/>
      </w:pPr>
      <w:r>
        <w:t xml:space="preserve">26 Oktober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266e9bae6558ba485b6c8ceb1b4f13248b4cc9d"/>
    <w:p>
      <w:pPr>
        <w:pStyle w:val="Heading1"/>
      </w:pPr>
      <w:r>
        <w:t xml:space="preserve">MPL Indonesia 2027 — Laporan Prakiraan Kuartalan &amp; Penilaian Risiko</w:t>
      </w:r>
    </w:p>
    <w:p>
      <w:pPr>
        <w:pStyle w:val="FirstParagraph"/>
      </w:pPr>
      <w:r>
        <w:rPr>
          <w:b/>
          <w:bCs/>
        </w:rPr>
        <w:t xml:space="preserve">Dibuat:</w:t>
      </w:r>
      <w:r>
        <w:t xml:space="preserve"> </w:t>
      </w:r>
      <w:r>
        <w:t xml:space="preserve">26 Oktober 2026</w:t>
      </w:r>
      <w:r>
        <w:br/>
      </w:r>
      <w:r>
        <w:rPr>
          <w:b/>
          <w:bCs/>
        </w:rPr>
        <w:t xml:space="preserve">Sistem:</w:t>
      </w:r>
      <w:r>
        <w:t xml:space="preserve"> </w:t>
      </w:r>
      <w:r>
        <w:t xml:space="preserve">Dexter Indonesia Sovereign Macro Intel</w:t>
      </w:r>
      <w:r>
        <w:br/>
      </w:r>
      <w:r>
        <w:rPr>
          <w:b/>
          <w:bCs/>
        </w:rPr>
        <w:t xml:space="preserve">Basis data:</w:t>
      </w:r>
      <w:r>
        <w:t xml:space="preserve"> </w:t>
      </w:r>
      <w:r>
        <w:t xml:space="preserve">OJK SPI, BI Survei Perbankan Q3-2026, Kontan, CNBC Indonesia, BBC Indonesia, Kompas.id, Dexter macro_series DB</w:t>
      </w:r>
      <w:r>
        <w:br/>
      </w:r>
      <w:r>
        <w:rPr>
          <w:b/>
          <w:bCs/>
        </w:rPr>
        <w:t xml:space="preserve">Klasifikasi:</w:t>
      </w:r>
      <w:r>
        <w:t xml:space="preserve"> </w:t>
      </w:r>
      <w:r>
        <w:t xml:space="preserve">Internal — Analisis Strategis</w:t>
      </w:r>
    </w:p>
    <w:p>
      <w:r>
        <w:pict>
          <v:rect style="width:0;height:1.5pt" o:hralign="center" o:hrstd="t" o:hr="t"/>
        </w:pict>
      </w:r>
    </w:p>
    <w:bookmarkStart w:id="9" w:name="ringkasan-eksekutif"/>
    <w:p>
      <w:pPr>
        <w:pStyle w:val="Heading2"/>
      </w:pPr>
      <w:r>
        <w:t xml:space="preserve">Ringkasan Eksekutif</w:t>
      </w:r>
    </w:p>
    <w:p>
      <w:pPr>
        <w:pStyle w:val="FirstParagraph"/>
      </w:pPr>
      <w:r>
        <w:t xml:space="preserve">Multi Purpose Loans (MPL) Indonesia memasuki 2027 dalam kondisi tekanan berlapis: gelombang PHK massal Q4 2026 (63.789 pekerja dalam 30 hari), suku bunga kredit konsumsi 13,45%, pelemahan IDR ke Rp 18.045/USD, dan Brent $110/bbl yang memicu risiko kenaikan BBM. Kredit multiguna — prioritas utama penyaluran kredit konsumsi versi BI Survei Q3-2026 — akan menjadi titik paling lunak di balance sheet perbankan Indonesia sepanjang 2027.</w:t>
      </w:r>
    </w:p>
    <w:p>
      <w:pPr>
        <w:pStyle w:val="BodyText"/>
      </w:pPr>
      <w:r>
        <w:rPr>
          <w:b/>
          <w:bCs/>
        </w:rPr>
        <w:t xml:space="preserve">Proyeksi kunci: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Kuartal</w:t>
            </w:r>
          </w:p>
        </w:tc>
        <w:tc>
          <w:tcPr/>
          <w:p>
            <w:pPr>
              <w:pStyle w:val="Compact"/>
            </w:pPr>
            <w:r>
              <w:t xml:space="preserve">KK Growth (yoy)</w:t>
            </w:r>
          </w:p>
        </w:tc>
        <w:tc>
          <w:tcPr/>
          <w:p>
            <w:pPr>
              <w:pStyle w:val="Compact"/>
            </w:pPr>
            <w:r>
              <w:t xml:space="preserve">NPL Konsumsi</w:t>
            </w:r>
          </w:p>
        </w:tc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Fase Dominan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 (baseline)</w:t>
            </w:r>
          </w:p>
        </w:tc>
        <w:tc>
          <w:tcPr/>
          <w:p>
            <w:pPr>
              <w:pStyle w:val="Compact"/>
            </w:pPr>
            <w:r>
              <w:t xml:space="preserve">~5,0%</w:t>
            </w:r>
          </w:p>
        </w:tc>
        <w:tc>
          <w:tcPr/>
          <w:p>
            <w:pPr>
              <w:pStyle w:val="Compact"/>
            </w:pPr>
            <w:r>
              <w:t xml:space="preserve">~2,2%</w:t>
            </w:r>
          </w:p>
        </w:tc>
        <w:tc>
          <w:tcPr/>
          <w:p>
            <w:pPr>
              <w:pStyle w:val="Compact"/>
            </w:pPr>
            <w:r>
              <w:t xml:space="preserve">~5,0%</w:t>
            </w:r>
          </w:p>
        </w:tc>
        <w:tc>
          <w:tcPr/>
          <w:p>
            <w:pPr>
              <w:pStyle w:val="Compact"/>
            </w:pPr>
            <w:r>
              <w:t xml:space="preserve">PHK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3,5–4,5%</w:t>
            </w:r>
          </w:p>
        </w:tc>
        <w:tc>
          <w:tcPr/>
          <w:p>
            <w:pPr>
              <w:pStyle w:val="Compact"/>
            </w:pPr>
            <w:r>
              <w:t xml:space="preserve">2,4–2,6%</w:t>
            </w:r>
          </w:p>
        </w:tc>
        <w:tc>
          <w:tcPr/>
          <w:p>
            <w:pPr>
              <w:pStyle w:val="Compact"/>
            </w:pPr>
            <w: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t xml:space="preserve">Pesangon habis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2,5–3,5%</w:t>
            </w:r>
          </w:p>
        </w:tc>
        <w:tc>
          <w:tcPr/>
          <w:p>
            <w:pPr>
              <w:pStyle w:val="Compact"/>
            </w:pPr>
            <w:r>
              <w:t xml:space="preserve">2,6–3,0%</w:t>
            </w:r>
          </w:p>
        </w:tc>
        <w:tc>
          <w:tcPr/>
          <w:p>
            <w:pPr>
              <w:pStyle w:val="Compact"/>
            </w:pPr>
            <w:r>
              <w:t xml:space="preserve">5,5–6,2%</w:t>
            </w:r>
          </w:p>
        </w:tc>
        <w:tc>
          <w:tcPr/>
          <w:p>
            <w:pPr>
              <w:pStyle w:val="Compact"/>
            </w:pPr>
            <w:r>
              <w:t xml:space="preserve">NPL crystallize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3,0–4,0%</w:t>
            </w:r>
          </w:p>
        </w:tc>
        <w:tc>
          <w:tcPr/>
          <w:p>
            <w:pPr>
              <w:pStyle w:val="Compact"/>
            </w:pPr>
            <w:r>
              <w:t xml:space="preserve">2,5–2,8%</w:t>
            </w:r>
          </w:p>
        </w:tc>
        <w:tc>
          <w:tcPr/>
          <w:p>
            <w:pPr>
              <w:pStyle w:val="Compact"/>
            </w:pPr>
            <w: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t xml:space="preserve">MSCI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2027</w:t>
            </w:r>
          </w:p>
        </w:tc>
        <w:tc>
          <w:tcPr/>
          <w:p>
            <w:pPr>
              <w:pStyle w:val="Compact"/>
            </w:pPr>
            <w:r>
              <w:t xml:space="preserve">4,0–6,0%</w:t>
            </w:r>
          </w:p>
        </w:tc>
        <w:tc>
          <w:tcPr/>
          <w:p>
            <w:pPr>
              <w:pStyle w:val="Compact"/>
            </w:pPr>
            <w:r>
              <w:t xml:space="preserve">2,3–2,8%</w:t>
            </w:r>
          </w:p>
        </w:tc>
        <w:tc>
          <w:tcPr/>
          <w:p>
            <w:pPr>
              <w:pStyle w:val="Compact"/>
            </w:pPr>
            <w:r>
              <w:t xml:space="preserve">4,5–5,0%</w:t>
            </w:r>
          </w:p>
        </w:tc>
        <w:tc>
          <w:tcPr/>
          <w:p>
            <w:pPr>
              <w:pStyle w:val="Compact"/>
            </w:pPr>
            <w:r>
              <w:t xml:space="preserve">Rate inflection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Kesimpulan:</w:t>
      </w:r>
      <w:r>
        <w:t xml:space="preserve"> </w:t>
      </w:r>
      <w:r>
        <w:t xml:space="preserve">Bukan krisis sistemik (bank NPL masih jauh di bawah threshold 5%), tetapi kualitas kredit konsumsi akan menjadi vektor risiko terbesar di sistem keuangan Indonesia 2027 — terutama segmen KTA, BNPL, dan pindar multiguna.</w:t>
      </w:r>
    </w:p>
    <w:p>
      <w:r>
        <w:pict>
          <v:rect style="width:0;height:1.5pt" o:hralign="center" o:hrstd="t" o:hr="t"/>
        </w:pict>
      </w:r>
    </w:p>
    <w:bookmarkEnd w:id="9"/>
    <w:bookmarkStart w:id="13" w:name="X231736d4cd86df66bfb408ec26a0dc6df4cb98f"/>
    <w:p>
      <w:pPr>
        <w:pStyle w:val="Heading2"/>
      </w:pPr>
      <w:r>
        <w:t xml:space="preserve">1. Landasan Data &amp; Kondisi Terkini (Oktober 2026)</w:t>
      </w:r>
    </w:p>
    <w:bookmarkStart w:id="10" w:name="posisi-kredit-multiguna"/>
    <w:p>
      <w:pPr>
        <w:pStyle w:val="Heading3"/>
      </w:pPr>
      <w:r>
        <w:t xml:space="preserve">1.1 Posisi Kredit Multiguna</w:t>
      </w:r>
    </w:p>
    <w:p>
      <w:pPr>
        <w:pStyle w:val="FirstParagraph"/>
      </w:pPr>
      <w:r>
        <w:rPr>
          <w:b/>
          <w:bCs/>
        </w:rPr>
        <w:t xml:space="preserve">Perbankan:</w:t>
      </w:r>
    </w:p>
    <w:p>
      <w:pPr>
        <w:pStyle w:val="Compact"/>
        <w:numPr>
          <w:ilvl w:val="0"/>
          <w:numId w:val="1001"/>
        </w:numPr>
      </w:pPr>
      <w:r>
        <w:t xml:space="preserve">Total kredit perbankan Juni 2026:</w:t>
      </w:r>
      <w:r>
        <w:t xml:space="preserve"> </w:t>
      </w:r>
      <w:r>
        <w:rPr>
          <w:b/>
          <w:bCs/>
        </w:rPr>
        <w:t xml:space="preserve">Rp 9.080 triliun</w:t>
      </w:r>
      <w:r>
        <w:t xml:space="preserve"> </w:t>
      </w:r>
      <w:r>
        <w:t xml:space="preserve">(+12,67% yoy)</w:t>
      </w:r>
    </w:p>
    <w:p>
      <w:pPr>
        <w:pStyle w:val="Compact"/>
        <w:numPr>
          <w:ilvl w:val="0"/>
          <w:numId w:val="1001"/>
        </w:numPr>
      </w:pPr>
      <w:r>
        <w:t xml:space="preserve">Kredit Konsumsi (KK): +5,75% yoy Juni 2026 (melambat dari 6,58% Des 2025)</w:t>
      </w:r>
    </w:p>
    <w:p>
      <w:pPr>
        <w:pStyle w:val="Compact"/>
        <w:numPr>
          <w:ilvl w:val="0"/>
          <w:numId w:val="1001"/>
        </w:numPr>
      </w:pPr>
      <w:r>
        <w:t xml:space="preserve">BI Survei Q3-2026: Kredit Multiguna diprakirakan</w:t>
      </w:r>
      <w:r>
        <w:t xml:space="preserve"> </w:t>
      </w:r>
      <w:r>
        <w:rPr>
          <w:b/>
          <w:bCs/>
        </w:rPr>
        <w:t xml:space="preserve">prioritas utama KK</w:t>
      </w:r>
      <w:r>
        <w:t xml:space="preserve"> </w:t>
      </w:r>
      <w:r>
        <w:t xml:space="preserve">pada Q4 2026 (SBT 69,71% Q2, 91,31% keseluruhan Q4)</w:t>
      </w:r>
    </w:p>
    <w:p>
      <w:pPr>
        <w:pStyle w:val="Compact"/>
        <w:numPr>
          <w:ilvl w:val="0"/>
          <w:numId w:val="1001"/>
        </w:numPr>
      </w:pPr>
      <w:r>
        <w:t xml:space="preserve">Suku bunga kredit konsumsi Q4 2026 prakiraan:</w:t>
      </w:r>
      <w:r>
        <w:t xml:space="preserve"> </w:t>
      </w:r>
      <w:r>
        <w:rPr>
          <w:b/>
          <w:bCs/>
        </w:rPr>
        <w:t xml:space="preserve">13,45%</w:t>
      </w:r>
      <w:r>
        <w:t xml:space="preserve"> </w:t>
      </w:r>
      <w:r>
        <w:t xml:space="preserve">(BI Survei Perbankan)</w:t>
      </w:r>
    </w:p>
    <w:p>
      <w:pPr>
        <w:pStyle w:val="Compact"/>
        <w:numPr>
          <w:ilvl w:val="0"/>
          <w:numId w:val="1001"/>
        </w:numPr>
      </w:pPr>
      <w:r>
        <w:t xml:space="preserve">KPR LTV 100% dan KKB uang muka 0%:</w:t>
      </w:r>
      <w:r>
        <w:t xml:space="preserve"> </w:t>
      </w:r>
      <w:r>
        <w:rPr>
          <w:b/>
          <w:bCs/>
        </w:rPr>
        <w:t xml:space="preserve">diperpanjang hingga Des 2027</w:t>
      </w:r>
      <w:r>
        <w:t xml:space="preserve"> </w:t>
      </w:r>
      <w:r>
        <w:t xml:space="preserve">(BI, 21 Oktober 2026)</w:t>
      </w:r>
    </w:p>
    <w:p>
      <w:pPr>
        <w:pStyle w:val="FirstParagraph"/>
      </w:pPr>
      <w:r>
        <w:rPr>
          <w:b/>
          <w:bCs/>
        </w:rPr>
        <w:t xml:space="preserve">Multifinance (Perusahaan Pembiayaan):</w:t>
      </w:r>
    </w:p>
    <w:p>
      <w:pPr>
        <w:pStyle w:val="Compact"/>
        <w:numPr>
          <w:ilvl w:val="0"/>
          <w:numId w:val="1002"/>
        </w:numPr>
      </w:pPr>
      <w:r>
        <w:t xml:space="preserve">Pembiayaan multiguna =</w:t>
      </w:r>
      <w:r>
        <w:t xml:space="preserve"> </w:t>
      </w:r>
      <w:r>
        <w:rPr>
          <w:b/>
          <w:bCs/>
        </w:rPr>
        <w:t xml:space="preserve">52,08%</w:t>
      </w:r>
      <w:r>
        <w:t xml:space="preserve"> </w:t>
      </w:r>
      <w:r>
        <w:t xml:space="preserve">dari total piutang pembiayaan (Des 2023), rata-rata 10 tahun 55,79%</w:t>
      </w:r>
    </w:p>
    <w:p>
      <w:pPr>
        <w:pStyle w:val="Compact"/>
        <w:numPr>
          <w:ilvl w:val="0"/>
          <w:numId w:val="1002"/>
        </w:numPr>
      </w:pPr>
      <w:r>
        <w:t xml:space="preserve">Piutang pembiayaan total Des 2023: ~Rp 470 triliun → est. 2026: ~Rp 530–560 triliun</w:t>
      </w:r>
    </w:p>
    <w:p>
      <w:pPr>
        <w:pStyle w:val="Compact"/>
        <w:numPr>
          <w:ilvl w:val="0"/>
          <w:numId w:val="1002"/>
        </w:numPr>
      </w:pPr>
      <w:r>
        <w:t xml:space="preserve">91,19% pendanaan multifinance bersumber dari perbankan (Des 2023)</w:t>
      </w:r>
    </w:p>
    <w:p>
      <w:pPr>
        <w:pStyle w:val="Compact"/>
        <w:numPr>
          <w:ilvl w:val="0"/>
          <w:numId w:val="1002"/>
        </w:numPr>
      </w:pPr>
      <w:r>
        <w:t xml:space="preserve">FAR (Financing Asset Ratio): 85,16%</w:t>
      </w:r>
    </w:p>
    <w:p>
      <w:pPr>
        <w:pStyle w:val="FirstParagraph"/>
      </w:pPr>
      <w:r>
        <w:rPr>
          <w:b/>
          <w:bCs/>
        </w:rPr>
        <w:t xml:space="preserve">Fintech Lending / Pindar:</w:t>
      </w:r>
    </w:p>
    <w:p>
      <w:pPr>
        <w:pStyle w:val="Compact"/>
        <w:numPr>
          <w:ilvl w:val="0"/>
          <w:numId w:val="1003"/>
        </w:numPr>
      </w:pPr>
      <w:r>
        <w:t xml:space="preserve">Outstanding Juli 2026:</w:t>
      </w:r>
      <w:r>
        <w:t xml:space="preserve"> </w:t>
      </w:r>
      <w:r>
        <w:rPr>
          <w:b/>
          <w:bCs/>
        </w:rPr>
        <w:t xml:space="preserve">Rp 105,63 triliun</w:t>
      </w:r>
      <w:r>
        <w:t xml:space="preserve"> </w:t>
      </w:r>
      <w:r>
        <w:t xml:space="preserve">(+24,76% yoy)</w:t>
      </w:r>
    </w:p>
    <w:p>
      <w:pPr>
        <w:pStyle w:val="Compact"/>
        <w:numPr>
          <w:ilvl w:val="0"/>
          <w:numId w:val="1003"/>
        </w:numPr>
      </w:pPr>
      <w:r>
        <w:t xml:space="preserve">Outstanding Oktober 2026:</w:t>
      </w:r>
      <w:r>
        <w:t xml:space="preserve"> </w:t>
      </w:r>
      <w:r>
        <w:rPr>
          <w:b/>
          <w:bCs/>
        </w:rPr>
        <w:t xml:space="preserve">Rp 106,94 triliun</w:t>
      </w:r>
      <w:r>
        <w:t xml:space="preserve"> </w:t>
      </w:r>
      <w:r>
        <w:t xml:space="preserve">(+22,07% yoy)</w:t>
      </w:r>
    </w:p>
    <w:p>
      <w:pPr>
        <w:pStyle w:val="Compact"/>
        <w:numPr>
          <w:ilvl w:val="0"/>
          <w:numId w:val="1003"/>
        </w:numPr>
      </w:pPr>
      <w:r>
        <w:t xml:space="preserve">TWP90 Oktober 2026:</w:t>
      </w:r>
      <w:r>
        <w:t xml:space="preserve"> </w:t>
      </w:r>
      <w:r>
        <w:rPr>
          <w:b/>
          <w:bCs/>
        </w:rPr>
        <w:t xml:space="preserve">4,73%</w:t>
      </w:r>
      <w:r>
        <w:t xml:space="preserve"> </w:t>
      </w:r>
      <w:r>
        <w:t xml:space="preserve">(mendekati threshold OJK 5%)</w:t>
      </w:r>
    </w:p>
    <w:p>
      <w:pPr>
        <w:pStyle w:val="Compact"/>
        <w:numPr>
          <w:ilvl w:val="0"/>
          <w:numId w:val="1003"/>
        </w:numPr>
      </w:pPr>
      <w:r>
        <w:t xml:space="preserve">Dominasi debitur bermasalah: usia 19–34 tahun =</w:t>
      </w:r>
      <w:r>
        <w:t xml:space="preserve"> </w:t>
      </w:r>
      <w:r>
        <w:rPr>
          <w:b/>
          <w:bCs/>
        </w:rPr>
        <w:t xml:space="preserve">48,22%</w:t>
      </w:r>
      <w:r>
        <w:t xml:space="preserve"> </w:t>
      </w:r>
      <w:r>
        <w:t xml:space="preserve">dari total outstanding bermasalah</w:t>
      </w:r>
    </w:p>
    <w:p>
      <w:pPr>
        <w:pStyle w:val="FirstParagraph"/>
      </w:pPr>
      <w:r>
        <w:rPr>
          <w:b/>
          <w:bCs/>
        </w:rPr>
        <w:t xml:space="preserve">BNPL Perbankan:</w:t>
      </w:r>
    </w:p>
    <w:p>
      <w:pPr>
        <w:pStyle w:val="Compact"/>
        <w:numPr>
          <w:ilvl w:val="0"/>
          <w:numId w:val="1004"/>
        </w:numPr>
      </w:pPr>
      <w:r>
        <w:t xml:space="preserve">Outstanding April 2026:</w:t>
      </w:r>
      <w:r>
        <w:t xml:space="preserve"> </w:t>
      </w:r>
      <w:r>
        <w:rPr>
          <w:b/>
          <w:bCs/>
        </w:rPr>
        <w:t xml:space="preserve">Rp 29,3 triliun</w:t>
      </w:r>
      <w:r>
        <w:t xml:space="preserve"> </w:t>
      </w:r>
      <w:r>
        <w:t xml:space="preserve">(+37,29% yoy)</w:t>
      </w:r>
    </w:p>
    <w:p>
      <w:pPr>
        <w:pStyle w:val="Compact"/>
        <w:numPr>
          <w:ilvl w:val="0"/>
          <w:numId w:val="1004"/>
        </w:numPr>
      </w:pPr>
      <w:r>
        <w:t xml:space="preserve">Jumlah rekening: 31,76 juta (Apr 2026)</w:t>
      </w:r>
    </w:p>
    <w:p>
      <w:pPr>
        <w:pStyle w:val="Compact"/>
        <w:numPr>
          <w:ilvl w:val="0"/>
          <w:numId w:val="1004"/>
        </w:numPr>
      </w:pPr>
      <w:r>
        <w:t xml:space="preserve">Tidak ada agunan; pertumbuhan tercepat namun risiko tertinggi per unit</w:t>
      </w:r>
    </w:p>
    <w:bookmarkEnd w:id="10"/>
    <w:bookmarkStart w:id="11" w:name="tren-npl-lintas-segmen"/>
    <w:p>
      <w:pPr>
        <w:pStyle w:val="Heading3"/>
      </w:pPr>
      <w:r>
        <w:t xml:space="preserve">1.2 Tren NPL Lintas Segmen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</w:t>
            </w:r>
          </w:p>
        </w:tc>
        <w:tc>
          <w:tcPr/>
          <w:p>
            <w:pPr>
              <w:pStyle w:val="Compact"/>
            </w:pPr>
            <w:r>
              <w:t xml:space="preserve">Des 2025</w:t>
            </w:r>
          </w:p>
        </w:tc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  <w:tc>
          <w:tcPr/>
          <w:p>
            <w:pPr>
              <w:pStyle w:val="Compact"/>
            </w:pPr>
            <w:r>
              <w:t xml:space="preserve">Okt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NPL gross</w:t>
            </w:r>
          </w:p>
        </w:tc>
        <w:tc>
          <w:tcPr/>
          <w:p>
            <w:pPr>
              <w:pStyle w:val="Compact"/>
            </w:pPr>
            <w:r>
              <w:t xml:space="preserve">2,05%</w:t>
            </w:r>
          </w:p>
        </w:tc>
        <w:tc>
          <w:tcPr/>
          <w:p>
            <w:pPr>
              <w:pStyle w:val="Compact"/>
            </w:pPr>
            <w:r>
              <w:t xml:space="preserve">2,14%</w:t>
            </w:r>
          </w:p>
        </w:tc>
        <w:tc>
          <w:tcPr/>
          <w:p>
            <w:pPr>
              <w:pStyle w:val="Compact"/>
            </w:pPr>
            <w:r>
              <w:t xml:space="preserve">2,09%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segment NPL</w:t>
            </w:r>
          </w:p>
        </w:tc>
        <w:tc>
          <w:tcPr/>
          <w:p>
            <w:pPr>
              <w:pStyle w:val="Compact"/>
            </w:pPr>
            <w:r>
              <w:t xml:space="preserve">2,39%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~2,4%+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KPR NPL</w:t>
            </w:r>
          </w:p>
        </w:tc>
        <w:tc>
          <w:tcPr/>
          <w:p>
            <w:pPr>
              <w:pStyle w:val="Compact"/>
            </w:pPr>
            <w:r>
              <w:t xml:space="preserve">3,05%</w:t>
            </w:r>
          </w:p>
        </w:tc>
        <w:tc>
          <w:tcPr/>
          <w:p>
            <w:pPr>
              <w:pStyle w:val="Compact"/>
            </w:pPr>
            <w:r>
              <w:t xml:space="preserve">2,80%*</w:t>
            </w:r>
          </w:p>
        </w:tc>
        <w:tc>
          <w:tcPr/>
          <w:p>
            <w:pPr>
              <w:pStyle w:val="Compact"/>
            </w:pPr>
            <w:r>
              <w:t xml:space="preserve">3,31%**</w:t>
            </w:r>
          </w:p>
        </w:tc>
        <w:tc>
          <w:tcPr/>
          <w:p>
            <w:pPr>
              <w:pStyle w:val="Compact"/>
            </w:pPr>
            <w:r>
              <w:t xml:space="preserve">est. 3,3–3,5%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UMKM NPL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4,60%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4,32%</w:t>
            </w:r>
          </w:p>
        </w:tc>
        <w:tc>
          <w:tcPr/>
          <w:p>
            <w:pPr>
              <w:pStyle w:val="Compact"/>
            </w:pPr>
            <w:r>
              <w:t xml:space="preserve">4,38%</w:t>
            </w:r>
          </w:p>
        </w:tc>
        <w:tc>
          <w:tcPr/>
          <w:p>
            <w:pPr>
              <w:pStyle w:val="Compact"/>
            </w:pPr>
            <w:r>
              <w:t xml:space="preserve">4,62%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4,73%</w:t>
            </w:r>
          </w:p>
        </w:tc>
      </w:tr>
    </w:tbl>
    <w:p>
      <w:pPr>
        <w:pStyle w:val="BodyText"/>
      </w:pPr>
      <w:r>
        <w:t xml:space="preserve">*BTN realisasi</w:t>
      </w:r>
      <w:r>
        <w:t xml:space="preserve"> </w:t>
      </w:r>
      <w:r>
        <w:rPr>
          <w:b/>
          <w:bCs/>
        </w:rPr>
        <w:t xml:space="preserve">Feb 2026.</w:t>
      </w:r>
      <w:r>
        <w:rPr>
          <w:b/>
          <w:bCs/>
        </w:rPr>
        <w:t xml:space="preserve"> </w:t>
      </w:r>
      <w:r>
        <w:t xml:space="preserve">Mei 2026 per BI SSKI.</w:t>
      </w:r>
    </w:p>
    <w:p>
      <w:pPr>
        <w:pStyle w:val="BodyText"/>
      </w:pPr>
      <w:r>
        <w:rPr>
          <w:b/>
          <w:bCs/>
        </w:rPr>
        <w:t xml:space="preserve">Catatan kritis:</w:t>
      </w:r>
      <w:r>
        <w:t xml:space="preserve"> </w:t>
      </w:r>
      <w:r>
        <w:t xml:space="preserve">LAR (Loan at Risk) Juni 2026: 8,47% — leading indicator NPL, bergerak 3–6 bulan lebih awal.</w:t>
      </w:r>
    </w:p>
    <w:bookmarkEnd w:id="11"/>
    <w:bookmarkStart w:id="12" w:name="Xe0e318d37578888a4e9c7836c09f679a4354ba4"/>
    <w:p>
      <w:pPr>
        <w:pStyle w:val="Heading3"/>
      </w:pPr>
      <w:r>
        <w:t xml:space="preserve">1.3 Faktor Tekanan Makro yang Mempengaruhi MPL 2027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Faktor</w:t>
            </w:r>
          </w:p>
        </w:tc>
        <w:tc>
          <w:tcPr/>
          <w:p>
            <w:pPr>
              <w:pStyle w:val="Compact"/>
            </w:pPr>
            <w:r>
              <w:t xml:space="preserve">Level Oktober 2026</w:t>
            </w:r>
          </w:p>
        </w:tc>
        <w:tc>
          <w:tcPr/>
          <w:p>
            <w:pPr>
              <w:pStyle w:val="Compact"/>
            </w:pPr>
            <w:r>
              <w:t xml:space="preserve">Transmisi ke 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Rate</w:t>
            </w:r>
          </w:p>
        </w:tc>
        <w:tc>
          <w:tcPr/>
          <w:p>
            <w:pPr>
              <w:pStyle w:val="Compact"/>
            </w:pPr>
            <w:r>
              <w:t xml:space="preserve">5,75% (ditahan)</w:t>
            </w:r>
          </w:p>
        </w:tc>
        <w:tc>
          <w:tcPr/>
          <w:p>
            <w:pPr>
              <w:pStyle w:val="Compact"/>
            </w:pPr>
            <w:r>
              <w:t xml:space="preserve">Bunga konsumsi 13,45% → demand destruction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USDIDR</w:t>
            </w:r>
          </w:p>
        </w:tc>
        <w:tc>
          <w:tcPr/>
          <w:p>
            <w:pPr>
              <w:pStyle w:val="Compact"/>
            </w:pPr>
            <w:r>
              <w:t xml:space="preserve">18.045 (+9,4% vs APBN 16.500)</w:t>
            </w:r>
          </w:p>
        </w:tc>
        <w:tc>
          <w:tcPr/>
          <w:p>
            <w:pPr>
              <w:pStyle w:val="Compact"/>
            </w:pPr>
            <w:r>
              <w:t xml:space="preserve">Biaya impor naik → real income turun → cicilan berat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crude</w:t>
            </w:r>
          </w:p>
        </w:tc>
        <w:tc>
          <w:tcPr/>
          <w:p>
            <w:pPr>
              <w:pStyle w:val="Compact"/>
            </w:pPr>
            <w:r>
              <w:t xml:space="preserve">$110,41/bbl (+57,7% vs APBN $70)</w:t>
            </w:r>
          </w:p>
        </w:tc>
        <w:tc>
          <w:tcPr/>
          <w:p>
            <w:pPr>
              <w:pStyle w:val="Compact"/>
            </w:pPr>
            <w:r>
              <w:t xml:space="preserve">BBM hike risk → consumption shock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PHK rolling 30d</w:t>
            </w:r>
          </w:p>
        </w:tc>
        <w:tc>
          <w:tcPr/>
          <w:p>
            <w:pPr>
              <w:pStyle w:val="Compact"/>
            </w:pPr>
            <w:r>
              <w:t xml:space="preserve">63.789 pekerja (19 Oktober)</w:t>
            </w:r>
          </w:p>
        </w:tc>
        <w:tc>
          <w:tcPr/>
          <w:p>
            <w:pPr>
              <w:pStyle w:val="Compact"/>
            </w:pPr>
            <w:r>
              <w:t xml:space="preserve">Lag 3–6 bulan → NPL spike Q1–Q2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SBN 10Y yield</w:t>
            </w:r>
          </w:p>
        </w:tc>
        <w:tc>
          <w:tcPr/>
          <w:p>
            <w:pPr>
              <w:pStyle w:val="Compact"/>
            </w:pPr>
            <w:r>
              <w:t xml:space="preserve">7,446% (+27,7 bps semalaman)</w:t>
            </w:r>
          </w:p>
        </w:tc>
        <w:tc>
          <w:tcPr/>
          <w:p>
            <w:pPr>
              <w:pStyle w:val="Compact"/>
            </w:pPr>
            <w:r>
              <w:t xml:space="preserve">CAR erosion 1,1 pp (FSAP nexus) → bank lebih selektif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MSCI Standalone</w:t>
            </w:r>
          </w:p>
        </w:tc>
        <w:tc>
          <w:tcPr/>
          <w:p>
            <w:pPr>
              <w:pStyle w:val="Compact"/>
            </w:pPr>
            <w:r>
              <w:t xml:space="preserve">Konsultasi aktif → tutup Apr 2027</w:t>
            </w:r>
          </w:p>
        </w:tc>
        <w:tc>
          <w:tcPr/>
          <w:p>
            <w:pPr>
              <w:pStyle w:val="Compact"/>
            </w:pPr>
            <w:r>
              <w:t xml:space="preserve">Equity wealth effect, IHSG outflow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IKK (Consumer Confidence)</w:t>
            </w:r>
          </w:p>
        </w:tc>
        <w:tc>
          <w:tcPr/>
          <w:p>
            <w:pPr>
              <w:pStyle w:val="Compact"/>
            </w:pPr>
            <w:r>
              <w:t xml:space="preserve">117 Juni (turun dari 127 Januari)</w:t>
            </w:r>
          </w:p>
        </w:tc>
        <w:tc>
          <w:tcPr/>
          <w:p>
            <w:pPr>
              <w:pStyle w:val="Compact"/>
            </w:pPr>
            <w:r>
              <w:t xml:space="preserve">Permintaan kredit konsumsi makin lemah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saving ratio</w:t>
            </w:r>
          </w:p>
        </w:tc>
        <w:tc>
          <w:tcPr/>
          <w:p>
            <w:pPr>
              <w:pStyle w:val="Compact"/>
            </w:pPr>
            <w:r>
              <w:t xml:space="preserve">17,0% Juni (turun dari 17,5%)</w:t>
            </w:r>
          </w:p>
        </w:tc>
        <w:tc>
          <w:tcPr/>
          <w:p>
            <w:pPr>
              <w:pStyle w:val="Compact"/>
            </w:pPr>
            <w:r>
              <w:t xml:space="preserve">Buffer tipis; LAR akan naik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 Manufaktur</w:t>
            </w:r>
          </w:p>
        </w:tc>
        <w:tc>
          <w:tcPr/>
          <w:p>
            <w:pPr>
              <w:pStyle w:val="Compact"/>
            </w:pPr>
            <w:r>
              <w:t xml:space="preserve">46,9 Juni 2026 (kontraksi)</w:t>
            </w:r>
          </w:p>
        </w:tc>
        <w:tc>
          <w:tcPr/>
          <w:p>
            <w:pPr>
              <w:pStyle w:val="Compact"/>
            </w:pPr>
            <w:r>
              <w:t xml:space="preserve">Tidak ada penyerapan tenaga kerja formal baru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antai-transmisi-phk-mpl-default"/>
    <w:p>
      <w:pPr>
        <w:pStyle w:val="Heading2"/>
      </w:pPr>
      <w:r>
        <w:t xml:space="preserve">2. Rantai Transmisi: PHK → MPL Default</w:t>
      </w:r>
    </w:p>
    <w:p>
      <w:pPr>
        <w:pStyle w:val="FirstParagraph"/>
      </w:pPr>
      <w:r>
        <w:rPr>
          <w:b/>
          <w:bCs/>
        </w:rPr>
        <w:t xml:space="preserve">Mekanisme (berdasarkan BTN Economist Myrdal Gunarto, Kontan Juli 2026):</w:t>
      </w:r>
    </w:p>
    <w:p>
      <w:pPr>
        <w:pStyle w:val="BlockText"/>
      </w:pPr>
      <w:r>
        <w:rPr>
          <w:i/>
          <w:iCs/>
        </w:rPr>
        <w:t xml:space="preserve">“Pada tahap awal, debitur biasanya masih mengandalkan pesangon atau tabungan untuk membayar cicilan. Karena itu, kredit dalam perhatian khusus (LAR) biasanya meningkat lebih dulu sebelum berubah menjadi NPL.”</w:t>
      </w:r>
    </w:p>
    <w:p>
      <w:pPr>
        <w:pStyle w:val="SourceCode"/>
      </w:pPr>
      <w:r>
        <w:rPr>
          <w:rStyle w:val="VerbatimChar"/>
        </w:rPr>
        <w:t xml:space="preserve">PHK Oktober–November 2026 (63.789+ workers)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[bulan 1–3: debitur pakai pesangon/tabungan]</w:t>
      </w:r>
      <w:r>
        <w:br/>
      </w:r>
      <w:r>
        <w:rPr>
          <w:rStyle w:val="VerbatimChar"/>
        </w:rPr>
        <w:t xml:space="preserve">LAR naik Q4 2026 → Q1 2027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[bulan 3–6: pesangon habis]</w:t>
      </w:r>
      <w:r>
        <w:br/>
      </w:r>
      <w:r>
        <w:rPr>
          <w:rStyle w:val="VerbatimChar"/>
        </w:rPr>
        <w:t xml:space="preserve">NPL crystallize Q1–Q2 2027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[bulan 6–12: struktural jika tidak ada re-employment]</w:t>
      </w:r>
      <w:r>
        <w:br/>
      </w:r>
      <w:r>
        <w:rPr>
          <w:rStyle w:val="VerbatimChar"/>
        </w:rPr>
        <w:t xml:space="preserve">NPL sustained Q2–Q3 2027</w:t>
      </w:r>
    </w:p>
    <w:p>
      <w:pPr>
        <w:pStyle w:val="FirstParagraph"/>
      </w:pPr>
      <w:r>
        <w:rPr>
          <w:b/>
          <w:bCs/>
        </w:rPr>
        <w:t xml:space="preserve">Risiko terbesar per produk (Myrdal, 2026):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KTA &amp; kartu kredit</w:t>
      </w:r>
      <w:r>
        <w:t xml:space="preserve"> </w:t>
      </w:r>
      <w:r>
        <w:t xml:space="preserve">— tidak ada jaminan, dipakai sebagai likuiditas darurat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BNPL/Paylater</w:t>
      </w:r>
      <w:r>
        <w:t xml:space="preserve"> </w:t>
      </w:r>
      <w:r>
        <w:t xml:space="preserve">— no collateral, youth-dominated, tumbuh 37% tanpa quality anchor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Kredit Multiguna multifinance</w:t>
      </w:r>
      <w:r>
        <w:t xml:space="preserve"> </w:t>
      </w:r>
      <w:r>
        <w:t xml:space="preserve">— lebih exposed ke informal/semi-formal workers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KKB</w:t>
      </w:r>
      <w:r>
        <w:t xml:space="preserve"> </w:t>
      </w:r>
      <w:r>
        <w:t xml:space="preserve">— moderate vulnerability (aset bisa disita, tapi nilai residu turun IDR melemah)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KPR</w:t>
      </w:r>
      <w:r>
        <w:t xml:space="preserve"> </w:t>
      </w:r>
      <w:r>
        <w:t xml:space="preserve">— paling tahan (prioritas bayar debitur), tapi NPL sudah naik 3,05%→3,31%</w:t>
      </w:r>
    </w:p>
    <w:p>
      <w:r>
        <w:pict>
          <v:rect style="width:0;height:1.5pt" o:hralign="center" o:hrstd="t" o:hr="t"/>
        </w:pict>
      </w:r>
    </w:p>
    <w:bookmarkEnd w:id="14"/>
    <w:bookmarkStart w:id="28" w:name="X59f1d18d2960512c89d1f184ac10f368d29be5a"/>
    <w:p>
      <w:pPr>
        <w:pStyle w:val="Heading2"/>
      </w:pPr>
      <w:r>
        <w:t xml:space="preserve">3. Pergeseran Kelas Ekonomi — Demografi MPL 2027</w:t>
      </w:r>
    </w:p>
    <w:bookmarkStart w:id="15" w:name="X534d76549ea9454eef3cc6c587458f46f381b40"/>
    <w:p>
      <w:pPr>
        <w:pStyle w:val="Heading3"/>
      </w:pPr>
      <w:r>
        <w:t xml:space="preserve">3.1 Fakta Basis: Shrinking Middle Class Indonesia</w:t>
      </w:r>
    </w:p>
    <w:p>
      <w:pPr>
        <w:pStyle w:val="FirstParagraph"/>
      </w:pPr>
      <w:r>
        <w:t xml:space="preserve">Indonesia mengalami</w:t>
      </w:r>
      <w:r>
        <w:t xml:space="preserve"> </w:t>
      </w:r>
      <w:r>
        <w:t xml:space="preserve">“middle class hollowing out”</w:t>
      </w:r>
      <w:r>
        <w:t xml:space="preserve"> </w:t>
      </w:r>
      <w:r>
        <w:t xml:space="preserve">yang belum pernah terjadi dalam sejarah pasca-reformasi. Data BPS-World Bank 2024–2026 menunjukkan tren serius:</w:t>
      </w:r>
    </w:p>
    <w:p>
      <w:pPr>
        <w:pStyle w:val="BodyText"/>
      </w:pPr>
      <w:r>
        <w:rPr>
          <w:b/>
          <w:bCs/>
        </w:rPr>
        <w:t xml:space="preserve">Komposisi Kelas Ekonomi Indonesia (World Bank definition)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</w:t>
            </w:r>
          </w:p>
        </w:tc>
        <w:tc>
          <w:tcPr/>
          <w:p>
            <w:pPr>
              <w:pStyle w:val="Compact"/>
            </w:pPr>
            <w:r>
              <w:t xml:space="preserve">Threshold (kap./bulan)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Miskin (&lt;1× GK)</w:t>
            </w:r>
          </w:p>
        </w:tc>
        <w:tc>
          <w:tcPr/>
          <w:p>
            <w:pPr>
              <w:pStyle w:val="Compact"/>
            </w:pPr>
            <w:r>
              <w:t xml:space="preserve">&lt;Rp 582K</w:t>
            </w:r>
          </w:p>
        </w:tc>
        <w:tc>
          <w:tcPr/>
          <w:p>
            <w:pPr>
              <w:pStyle w:val="Compact"/>
            </w:pPr>
            <w:r>
              <w:t xml:space="preserve">25,1M (9,2%)</w:t>
            </w:r>
          </w:p>
        </w:tc>
        <w:tc>
          <w:tcPr/>
          <w:p>
            <w:pPr>
              <w:pStyle w:val="Compact"/>
            </w:pPr>
            <w:r>
              <w:t xml:space="preserve">24,5M (8,7%)</w:t>
            </w:r>
          </w:p>
        </w:tc>
        <w:tc>
          <w:tcPr/>
          <w:p>
            <w:pPr>
              <w:pStyle w:val="Compact"/>
            </w:pPr>
            <w:r>
              <w:t xml:space="preserve">25,2M (9,0%)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Rentan (1–1,5× GK)</w:t>
            </w:r>
          </w:p>
        </w:tc>
        <w:tc>
          <w:tcPr/>
          <w:p>
            <w:pPr>
              <w:pStyle w:val="Compact"/>
            </w:pPr>
            <w:r>
              <w:t xml:space="preserve">Rp 582K–872K</w:t>
            </w:r>
          </w:p>
        </w:tc>
        <w:tc>
          <w:tcPr/>
          <w:p>
            <w:pPr>
              <w:pStyle w:val="Compact"/>
            </w:pPr>
            <w:r>
              <w:t xml:space="preserve">54,7M (20,6%)</w:t>
            </w:r>
          </w:p>
        </w:tc>
        <w:tc>
          <w:tcPr/>
          <w:p>
            <w:pPr>
              <w:pStyle w:val="Compact"/>
            </w:pPr>
            <w:r>
              <w:t xml:space="preserve">66,3M (23,8%)</w:t>
            </w:r>
          </w:p>
        </w:tc>
        <w:tc>
          <w:tcPr/>
          <w:p>
            <w:pPr>
              <w:pStyle w:val="Compact"/>
            </w:pPr>
            <w:r>
              <w:t xml:space="preserve">67,9M (24,1%)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(1,5–3,5× GK)</w:t>
            </w:r>
          </w:p>
        </w:tc>
        <w:tc>
          <w:tcPr/>
          <w:p>
            <w:pPr>
              <w:pStyle w:val="Compact"/>
            </w:pPr>
            <w:r>
              <w:t xml:space="preserve">Rp 872K–2,04M</w:t>
            </w:r>
          </w:p>
        </w:tc>
        <w:tc>
          <w:tcPr/>
          <w:p>
            <w:pPr>
              <w:pStyle w:val="Compact"/>
            </w:pPr>
            <w:r>
              <w:t xml:space="preserve">134,5M (48,8%)</w:t>
            </w:r>
          </w:p>
        </w:tc>
        <w:tc>
          <w:tcPr/>
          <w:p>
            <w:pPr>
              <w:pStyle w:val="Compact"/>
            </w:pPr>
            <w:r>
              <w:t xml:space="preserve">141,4M (50,4%)</w:t>
            </w:r>
          </w:p>
        </w:tc>
        <w:tc>
          <w:tcPr/>
          <w:p>
            <w:pPr>
              <w:pStyle w:val="Compact"/>
            </w:pPr>
            <w:r>
              <w:t xml:space="preserve">142,0M (50,4%)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Menengah (3,5–17× GK)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2,04M–9,91M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57,3M (21,45%)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47,9M (17,1%)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46,7M (16,6%)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Atas (&gt;17× GK)</w:t>
            </w:r>
          </w:p>
        </w:tc>
        <w:tc>
          <w:tcPr/>
          <w:p>
            <w:pPr>
              <w:pStyle w:val="Compact"/>
            </w:pPr>
            <w:r>
              <w:t xml:space="preserve">&gt;Rp 9,91M</w:t>
            </w:r>
          </w:p>
        </w:tc>
        <w:tc>
          <w:tcPr/>
          <w:p>
            <w:pPr>
              <w:pStyle w:val="Compact"/>
            </w:pPr>
            <w:r>
              <w:t xml:space="preserve">1,7M (0,6%)</w:t>
            </w:r>
          </w:p>
        </w:tc>
        <w:tc>
          <w:tcPr/>
          <w:p>
            <w:pPr>
              <w:pStyle w:val="Compact"/>
            </w:pPr>
            <w:r>
              <w:t xml:space="preserve">1,9M (0,7%)</w:t>
            </w:r>
          </w:p>
        </w:tc>
        <w:tc>
          <w:tcPr/>
          <w:p>
            <w:pPr>
              <w:pStyle w:val="Compact"/>
            </w:pPr>
            <w:r>
              <w:t xml:space="preserve">1,9M (0,7%)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BPS, World Bank Indonesia Poverty Assessment, Mandiri Institute. GK = Garis Kemiskinan 2024.</w:t>
      </w:r>
    </w:p>
    <w:p>
      <w:pPr>
        <w:pStyle w:val="BodyText"/>
      </w:pPr>
      <w:r>
        <w:rPr>
          <w:b/>
          <w:bCs/>
        </w:rPr>
        <w:t xml:space="preserve">Tren kritis:</w:t>
      </w:r>
    </w:p>
    <w:p>
      <w:pPr>
        <w:pStyle w:val="Compact"/>
        <w:numPr>
          <w:ilvl w:val="0"/>
          <w:numId w:val="1006"/>
        </w:numPr>
      </w:pPr>
      <w:r>
        <w:t xml:space="preserve">Kelas menengah turun</w:t>
      </w:r>
      <w:r>
        <w:t xml:space="preserve"> </w:t>
      </w:r>
      <w:r>
        <w:rPr>
          <w:b/>
          <w:bCs/>
        </w:rPr>
        <w:t xml:space="preserve">10,63 juta</w:t>
      </w:r>
      <w:r>
        <w:t xml:space="preserve"> </w:t>
      </w:r>
      <w:r>
        <w:t xml:space="preserve">dalam 5 tahun (2019→2024) — setara seluruh penduduk DKI Jakarta hilang dari kelas menengah</w:t>
      </w:r>
    </w:p>
    <w:p>
      <w:pPr>
        <w:pStyle w:val="Compact"/>
        <w:numPr>
          <w:ilvl w:val="0"/>
          <w:numId w:val="1006"/>
        </w:numPr>
      </w:pPr>
      <w:r>
        <w:t xml:space="preserve">Modus pengeluaran kelas menengah 2024:</w:t>
      </w:r>
      <w:r>
        <w:t xml:space="preserve"> </w:t>
      </w:r>
      <w:r>
        <w:rPr>
          <w:b/>
          <w:bCs/>
        </w:rPr>
        <w:t xml:space="preserve">Rp 2.056.494/kapita/bulan</w:t>
      </w:r>
      <w:r>
        <w:t xml:space="preserve"> </w:t>
      </w:r>
      <w:r>
        <w:t xml:space="preserve">— hanya Rp 16.494 di atas threshold minimum (Rp 2.040.000). Mayoritas kelas menengah hidup di tepi bawah tangga kelas</w:t>
      </w:r>
    </w:p>
    <w:p>
      <w:pPr>
        <w:pStyle w:val="Compact"/>
        <w:numPr>
          <w:ilvl w:val="0"/>
          <w:numId w:val="1006"/>
        </w:numPr>
      </w:pPr>
      <w:r>
        <w:t xml:space="preserve">NYU Center on International Cooperation (2026):</w:t>
      </w:r>
      <w:r>
        <w:t xml:space="preserve"> </w:t>
      </w:r>
      <w:r>
        <w:rPr>
          <w:i/>
          <w:iCs/>
        </w:rPr>
        <w:t xml:space="preserve">“nearly 40% of those classified as middle class fell into vulnerable/poor within just one year”</w:t>
      </w:r>
      <w:r>
        <w:t xml:space="preserve"> </w:t>
      </w:r>
      <w:r>
        <w:t xml:space="preserve">— mobilitas ke bawah jauh lebih cepat dari mobilitas ke atas</w:t>
      </w:r>
    </w:p>
    <w:p>
      <w:pPr>
        <w:pStyle w:val="Compact"/>
        <w:numPr>
          <w:ilvl w:val="0"/>
          <w:numId w:val="1006"/>
        </w:numPr>
      </w:pPr>
      <w:r>
        <w:t xml:space="preserve">BBC Indonesia (20 Oktober 2026): Fenomena</w:t>
      </w:r>
      <w:r>
        <w:t xml:space="preserve"> </w:t>
      </w:r>
      <w:r>
        <w:rPr>
          <w:b/>
          <w:bCs/>
        </w:rPr>
        <w:t xml:space="preserve">“downgrade hidup”</w:t>
      </w:r>
      <w:r>
        <w:t xml:space="preserve"> </w:t>
      </w:r>
      <w:r>
        <w:t xml:space="preserve">— kalangan menengah bawah aktif menurunkan standar konsumsi, pindah ke produk substitusi lebih murah, tunda pembelian besar</w:t>
      </w:r>
    </w:p>
    <w:p>
      <w:pPr>
        <w:pStyle w:val="FirstParagraph"/>
      </w:pPr>
      <w:r>
        <w:rPr>
          <w:b/>
          <w:bCs/>
        </w:rPr>
        <w:t xml:space="preserve">Mekanisme</w:t>
      </w:r>
      <w:r>
        <w:rPr>
          <w:b/>
          <w:bCs/>
        </w:rPr>
        <w:t xml:space="preserve"> </w:t>
      </w:r>
      <w:r>
        <w:rPr>
          <w:b/>
          <w:bCs/>
        </w:rPr>
        <w:t xml:space="preserve">“Downgrade Hidup”</w:t>
      </w:r>
      <w:r>
        <w:rPr>
          <w:b/>
          <w:bCs/>
        </w:rPr>
        <w:t xml:space="preserve"> </w:t>
      </w:r>
      <w:r>
        <w:rPr>
          <w:b/>
          <w:bCs/>
        </w:rPr>
        <w:t xml:space="preserve">→ Dampak ke MPL:</w:t>
      </w:r>
    </w:p>
    <w:p>
      <w:pPr>
        <w:pStyle w:val="SourceCode"/>
      </w:pPr>
      <w:r>
        <w:rPr>
          <w:rStyle w:val="VerbatimChar"/>
        </w:rPr>
        <w:t xml:space="preserve">Kelas Menengah Bawah (Rp 2,0–2,5M/kap/bln)</w:t>
      </w:r>
      <w:r>
        <w:br/>
      </w:r>
      <w:r>
        <w:rPr>
          <w:rStyle w:val="VerbatimChar"/>
        </w:rPr>
        <w:t xml:space="preserve">    │ PHK atau income shock (Brent $110, IDR 18.045)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AMC Atas (Rp 1,5–2,0M/kap/bln)          [buffer: pesangon 3–6 bln]</w:t>
      </w:r>
      <w:r>
        <w:br/>
      </w:r>
      <w:r>
        <w:rPr>
          <w:rStyle w:val="VerbatimChar"/>
        </w:rPr>
        <w:t xml:space="preserve">    │ Jika tidak re-employed dalam 6 bulan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AMC Tengah (Rp 1,0–1,5M/kap/bln) → Rentan</w:t>
      </w:r>
    </w:p>
    <w:p>
      <w:pPr>
        <w:pStyle w:val="FirstParagraph"/>
      </w:pPr>
      <w:r>
        <w:t xml:space="preserve">Setiap langkah turun dalam tangga kelas mengubah</w:t>
      </w:r>
      <w:r>
        <w:t xml:space="preserve"> </w:t>
      </w:r>
      <w:r>
        <w:rPr>
          <w:b/>
          <w:bCs/>
        </w:rPr>
        <w:t xml:space="preserve">profil kredit debitur secara fundamental</w:t>
      </w:r>
      <w:r>
        <w:t xml:space="preserve"> </w:t>
      </w:r>
      <w:r>
        <w:t xml:space="preserve">— bukan hanya kemampuan bayar, tapi willingness to pay, collateral quality, dan kondisi makro yang dihadapi.</w:t>
      </w:r>
    </w:p>
    <w:p>
      <w:pPr>
        <w:pStyle w:val="BodyText"/>
      </w:pPr>
      <w:r>
        <w:rPr>
          <w:b/>
          <w:bCs/>
        </w:rPr>
        <w:t xml:space="preserve">Paradoks permintaan MPL:</w:t>
      </w:r>
      <w:r>
        <w:t xml:space="preserve"> </w:t>
      </w:r>
      <w:r>
        <w:t xml:space="preserve">Saat kelas menurun, justru terjadi</w:t>
      </w:r>
      <w:r>
        <w:t xml:space="preserve"> </w:t>
      </w:r>
      <w:r>
        <w:rPr>
          <w:b/>
          <w:bCs/>
        </w:rPr>
        <w:t xml:space="preserve">MORE demand</w:t>
      </w:r>
      <w:r>
        <w:t xml:space="preserve"> </w:t>
      </w:r>
      <w:r>
        <w:t xml:space="preserve">(survival needs: bayar cicilan lain, biaya kesehatan, sembako) bersamaan dengan</w:t>
      </w:r>
      <w:r>
        <w:t xml:space="preserve"> </w:t>
      </w:r>
      <w:r>
        <w:rPr>
          <w:b/>
          <w:bCs/>
        </w:rPr>
        <w:t xml:space="preserve">LOWER creditworthiness</w:t>
      </w:r>
      <w:r>
        <w:t xml:space="preserve">. Ini adalah signature</w:t>
      </w:r>
      <w:r>
        <w:t xml:space="preserve"> </w:t>
      </w:r>
      <w:r>
        <w:t xml:space="preserve">“bom waktu lambat”</w:t>
      </w:r>
      <w:r>
        <w:t xml:space="preserve"> </w:t>
      </w:r>
      <w:r>
        <w:t xml:space="preserve">— identik dengan BNPL/subprime growth pre-2008 dalam skala lebih kecil namun dengan ekosistem SLIK yang lebih lemah.</w:t>
      </w:r>
    </w:p>
    <w:p>
      <w:r>
        <w:pict>
          <v:rect style="width:0;height:1.5pt" o:hralign="center" o:hrstd="t" o:hr="t"/>
        </w:pict>
      </w:r>
    </w:p>
    <w:bookmarkEnd w:id="15"/>
    <w:bookmarkStart w:id="16" w:name="X4fd403abb510bdebaf3a6437f10c4b77c898b3a"/>
    <w:p>
      <w:pPr>
        <w:pStyle w:val="Heading3"/>
      </w:pPr>
      <w:r>
        <w:t xml:space="preserve">3.2 Proyeksi Pergeseran Kelas per Kuartal 2027</w:t>
      </w:r>
    </w:p>
    <w:p>
      <w:pPr>
        <w:pStyle w:val="FirstParagraph"/>
      </w:pPr>
      <w:r>
        <w:t xml:space="preserve">Estimasi berdasarkan: (a) tren baseline −2,1 juta kelas menengah/tahun (2019–2025), (b) multiplier PHK Q4 2026 (63.789 pekerja × ~4 dependents × 1,8× contagion informal), (c) tidak ada penyerapan formal baru (PMI manufaktur kontraksi &lt;47).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Kuartal</w:t>
            </w:r>
          </w:p>
        </w:tc>
        <w:tc>
          <w:tcPr/>
          <w:p>
            <w:pPr>
              <w:pStyle w:val="Compact"/>
            </w:pPr>
            <w:r>
              <w:t xml:space="preserve">Kelas Menengah Est.</w:t>
            </w:r>
          </w:p>
        </w:tc>
        <w:tc>
          <w:tcPr/>
          <w:p>
            <w:pPr>
              <w:pStyle w:val="Compact"/>
            </w:pPr>
            <w:r>
              <w:t xml:space="preserve">Net Flow ke AMC</w:t>
            </w:r>
          </w:p>
        </w:tc>
        <w:tc>
          <w:tcPr/>
          <w:p>
            <w:pPr>
              <w:pStyle w:val="Compact"/>
            </w:pPr>
            <w:r>
              <w:t xml:space="preserve">Trigger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 (baseline)</w:t>
            </w:r>
          </w:p>
        </w:tc>
        <w:tc>
          <w:tcPr/>
          <w:p>
            <w:pPr>
              <w:pStyle w:val="Compact"/>
            </w:pPr>
            <w:r>
              <w:t xml:space="preserve">~46,1M</w:t>
            </w:r>
          </w:p>
        </w:tc>
        <w:tc>
          <w:tcPr/>
          <w:p>
            <w:pPr>
              <w:pStyle w:val="Compact"/>
            </w:pPr>
            <w:r>
              <w:t xml:space="preserve">−600K</w:t>
            </w:r>
          </w:p>
        </w:tc>
        <w:tc>
          <w:tcPr/>
          <w:p>
            <w:pPr>
              <w:pStyle w:val="Compact"/>
            </w:pPr>
            <w:r>
              <w:t xml:space="preserve">PHK massal, IDR 18.045, Brent $110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~45,5M</w:t>
            </w:r>
          </w:p>
        </w:tc>
        <w:tc>
          <w:tcPr/>
          <w:p>
            <w:pPr>
              <w:pStyle w:val="Compact"/>
            </w:pPr>
            <w:r>
              <w:t xml:space="preserve">−600K</w:t>
            </w:r>
          </w:p>
        </w:tc>
        <w:tc>
          <w:tcPr/>
          <w:p>
            <w:pPr>
              <w:pStyle w:val="Compact"/>
            </w:pPr>
            <w:r>
              <w:t xml:space="preserve">Pesangon habis, pengangguran kristal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~45,1M</w:t>
            </w:r>
          </w:p>
        </w:tc>
        <w:tc>
          <w:tcPr/>
          <w:p>
            <w:pPr>
              <w:pStyle w:val="Compact"/>
            </w:pPr>
            <w:r>
              <w:t xml:space="preserve">−400K</w:t>
            </w:r>
          </w:p>
        </w:tc>
        <w:tc>
          <w:tcPr/>
          <w:p>
            <w:pPr>
              <w:pStyle w:val="Compact"/>
            </w:pPr>
            <w:r>
              <w:t xml:space="preserve">PHK gelombang 2 (PMI tetap &lt;47), LAR puncak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~44,8M</w:t>
            </w:r>
          </w:p>
        </w:tc>
        <w:tc>
          <w:tcPr/>
          <w:p>
            <w:pPr>
              <w:pStyle w:val="Compact"/>
            </w:pPr>
            <w:r>
              <w:t xml:space="preserve">−300K</w:t>
            </w:r>
          </w:p>
        </w:tc>
        <w:tc>
          <w:tcPr/>
          <w:p>
            <w:pPr>
              <w:pStyle w:val="Compact"/>
            </w:pPr>
            <w:r>
              <w:t xml:space="preserve">Partial recovery, MSCI priced-in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2027</w:t>
            </w:r>
          </w:p>
        </w:tc>
        <w:tc>
          <w:tcPr/>
          <w:p>
            <w:pPr>
              <w:pStyle w:val="Compact"/>
            </w:pPr>
            <w:r>
              <w:t xml:space="preserve">~44,5M</w:t>
            </w:r>
          </w:p>
        </w:tc>
        <w:tc>
          <w:tcPr/>
          <w:p>
            <w:pPr>
              <w:pStyle w:val="Compact"/>
            </w:pPr>
            <w:r>
              <w:t xml:space="preserve">−300K</w:t>
            </w:r>
          </w:p>
        </w:tc>
        <w:tc>
          <w:tcPr/>
          <w:p>
            <w:pPr>
              <w:pStyle w:val="Compact"/>
            </w:pPr>
            <w:r>
              <w:t xml:space="preserve">Sedikit stabilize jika BI cut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−1,6M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Setara total populasi Surabaya</w:t>
            </w:r>
          </w:p>
        </w:tc>
      </w:tr>
    </w:tbl>
    <w:p>
      <w:pPr>
        <w:pStyle w:val="BodyText"/>
      </w:pPr>
      <w:r>
        <w:rPr>
          <w:i/>
          <w:iCs/>
        </w:rPr>
        <w:t xml:space="preserve">Skenario stress (PHK gelombang kedua &gt;100K): total flow bisa −2,5M.</w:t>
      </w:r>
    </w:p>
    <w:p>
      <w:pPr>
        <w:pStyle w:val="BodyText"/>
      </w:pPr>
      <w:r>
        <w:rPr>
          <w:b/>
          <w:bCs/>
        </w:rPr>
        <w:t xml:space="preserve">Mengapa AMC, bukan langsung Miskin?</w:t>
      </w:r>
    </w:p>
    <w:p>
      <w:pPr>
        <w:pStyle w:val="BodyText"/>
      </w:pPr>
      <w:r>
        <w:t xml:space="preserve">Mayoritas middle class bawah tidak langsung jatuh miskin karena: (1) pesangon memberi buffer 3–6 bulan, (2) aset (motor, properti) bisa dilikuidasi perlahan, (3) ekonomi informal menyerap sebagian — tapi dengan income lebih rendah dan volatile. Mereka</w:t>
      </w:r>
      <w:r>
        <w:t xml:space="preserve"> </w:t>
      </w:r>
      <w:r>
        <w:t xml:space="preserve">“parkir”</w:t>
      </w:r>
      <w:r>
        <w:t xml:space="preserve"> </w:t>
      </w:r>
      <w:r>
        <w:t xml:space="preserve">di AMC, dan ini yang menciptakan</w:t>
      </w:r>
      <w:r>
        <w:t xml:space="preserve"> </w:t>
      </w:r>
      <w:r>
        <w:rPr>
          <w:b/>
          <w:bCs/>
        </w:rPr>
        <w:t xml:space="preserve">demand baru untuk MPL segmen AMC (multifinance + pindar)</w:t>
      </w:r>
      <w:r>
        <w:t xml:space="preserve"> </w:t>
      </w:r>
      <w:r>
        <w:t xml:space="preserve">sekaligus meningkatkan risiko kredit di segmen yang semula lebih sehat.</w:t>
      </w:r>
    </w:p>
    <w:p>
      <w:r>
        <w:pict>
          <v:rect style="width:0;height:1.5pt" o:hralign="center" o:hrstd="t" o:hr="t"/>
        </w:pict>
      </w:r>
    </w:p>
    <w:bookmarkEnd w:id="16"/>
    <w:bookmarkStart w:id="17" w:name="dampak-ke-ticket-size-tenor-mpl"/>
    <w:p>
      <w:pPr>
        <w:pStyle w:val="Heading3"/>
      </w:pPr>
      <w:r>
        <w:t xml:space="preserve">3.3 Dampak ke Ticket Size &amp; Tenor MPL</w:t>
      </w:r>
    </w:p>
    <w:p>
      <w:pPr>
        <w:pStyle w:val="FirstParagraph"/>
      </w:pPr>
      <w:r>
        <w:rPr>
          <w:b/>
          <w:bCs/>
        </w:rPr>
        <w:t xml:space="preserve">A. Ticket Size</w:t>
      </w:r>
    </w:p>
    <w:p>
      <w:pPr>
        <w:pStyle w:val="BodyText"/>
      </w:pPr>
      <w:r>
        <w:t xml:space="preserve">Pergeseran kelas menarik ticket size MPL ke bawah secara sistematis: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 Debitur</w:t>
            </w:r>
          </w:p>
        </w:tc>
        <w:tc>
          <w:tcPr/>
          <w:p>
            <w:pPr>
              <w:pStyle w:val="Compact"/>
            </w:pPr>
            <w:r>
              <w:t xml:space="preserve">Income Rumah Tangga (est.)</w:t>
            </w:r>
          </w:p>
        </w:tc>
        <w:tc>
          <w:tcPr/>
          <w:p>
            <w:pPr>
              <w:pStyle w:val="Compact"/>
            </w:pPr>
            <w:r>
              <w:t xml:space="preserve">Ticket Size MPL Tipikal</w:t>
            </w:r>
          </w:p>
        </w:tc>
        <w:tc>
          <w:tcPr/>
          <w:p>
            <w:pPr>
              <w:pStyle w:val="Compact"/>
            </w:pPr>
            <w:r>
              <w:t xml:space="preserve">Kanal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Menengah Atas (&gt;Rp 5M/kap)</w:t>
            </w:r>
          </w:p>
        </w:tc>
        <w:tc>
          <w:tcPr/>
          <w:p>
            <w:pPr>
              <w:pStyle w:val="Compact"/>
            </w:pPr>
            <w:r>
              <w:t xml:space="preserve">Rp 15–50M/bln</w:t>
            </w:r>
          </w:p>
        </w:tc>
        <w:tc>
          <w:tcPr/>
          <w:p>
            <w:pPr>
              <w:pStyle w:val="Compact"/>
            </w:pPr>
            <w:r>
              <w:t xml:space="preserve">Rp 100–500M</w:t>
            </w:r>
          </w:p>
        </w:tc>
        <w:tc>
          <w:tcPr/>
          <w:p>
            <w:pPr>
              <w:pStyle w:val="Compact"/>
            </w:pPr>
            <w:r>
              <w:t xml:space="preserve">KTA bank, KPR, multiguna bank BUMN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Menengah Bawah (Rp 2–3M/kap)</w:t>
            </w:r>
          </w:p>
        </w:tc>
        <w:tc>
          <w:tcPr/>
          <w:p>
            <w:pPr>
              <w:pStyle w:val="Compact"/>
            </w:pPr>
            <w:r>
              <w:t xml:space="preserve">Rp 6–10M/bln</w:t>
            </w:r>
          </w:p>
        </w:tc>
        <w:tc>
          <w:tcPr/>
          <w:p>
            <w:pPr>
              <w:pStyle w:val="Compact"/>
            </w:pPr>
            <w:r>
              <w:t xml:space="preserve">Rp 20–100M</w:t>
            </w:r>
          </w:p>
        </w:tc>
        <w:tc>
          <w:tcPr/>
          <w:p>
            <w:pPr>
              <w:pStyle w:val="Compact"/>
            </w:pPr>
            <w:r>
              <w:t xml:space="preserve">Bank multiguna, multifinance tier-1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Atas (Rp 1,5–2M/kap)</w:t>
            </w:r>
          </w:p>
        </w:tc>
        <w:tc>
          <w:tcPr/>
          <w:p>
            <w:pPr>
              <w:pStyle w:val="Compact"/>
            </w:pPr>
            <w:r>
              <w:t xml:space="preserve">Rp 4–7M/bln</w:t>
            </w:r>
          </w:p>
        </w:tc>
        <w:tc>
          <w:tcPr/>
          <w:p>
            <w:pPr>
              <w:pStyle w:val="Compact"/>
            </w:pPr>
            <w:r>
              <w:t xml:space="preserve">Rp 3–40M</w:t>
            </w:r>
          </w:p>
        </w:tc>
        <w:tc>
          <w:tcPr/>
          <w:p>
            <w:pPr>
              <w:pStyle w:val="Compact"/>
            </w:pPr>
            <w:r>
              <w:t xml:space="preserve">Multifinance motor (WOM Finance: Rp 3–40M)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Bawah (Rp 1–1,5M/kap)</w:t>
            </w:r>
          </w:p>
        </w:tc>
        <w:tc>
          <w:tcPr/>
          <w:p>
            <w:pPr>
              <w:pStyle w:val="Compact"/>
            </w:pPr>
            <w:r>
              <w:t xml:space="preserve">Rp 2–5M/bln</w:t>
            </w:r>
          </w:p>
        </w:tc>
        <w:tc>
          <w:tcPr/>
          <w:p>
            <w:pPr>
              <w:pStyle w:val="Compact"/>
            </w:pPr>
            <w:r>
              <w:t xml:space="preserve">Rp 500K–10M</w:t>
            </w:r>
          </w:p>
        </w:tc>
        <w:tc>
          <w:tcPr/>
          <w:p>
            <w:pPr>
              <w:pStyle w:val="Compact"/>
            </w:pPr>
            <w:r>
              <w:t xml:space="preserve">Pindar, BNPL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Rentan (&lt;Rp 1M/kap)</w:t>
            </w:r>
          </w:p>
        </w:tc>
        <w:tc>
          <w:tcPr/>
          <w:p>
            <w:pPr>
              <w:pStyle w:val="Compact"/>
            </w:pPr>
            <w:r>
              <w:t xml:space="preserve">Rp 1,5–3M/bln</w:t>
            </w:r>
          </w:p>
        </w:tc>
        <w:tc>
          <w:tcPr/>
          <w:p>
            <w:pPr>
              <w:pStyle w:val="Compact"/>
            </w:pPr>
            <w:r>
              <w:t xml:space="preserve">Rp 100K–3M</w:t>
            </w:r>
          </w:p>
        </w:tc>
        <w:tc>
          <w:tcPr/>
          <w:p>
            <w:pPr>
              <w:pStyle w:val="Compact"/>
            </w:pPr>
            <w:r>
              <w:t xml:space="preserve">BNPL, informal</w:t>
            </w:r>
          </w:p>
        </w:tc>
      </w:tr>
    </w:tbl>
    <w:p>
      <w:pPr>
        <w:pStyle w:val="BodyText"/>
      </w:pPr>
      <w:r>
        <w:rPr>
          <w:i/>
          <w:iCs/>
        </w:rPr>
        <w:t xml:space="preserve">WOM Finance multiguna motor: tenor 11–35 bulan, rate 22–35%/tahun.</w:t>
      </w:r>
    </w:p>
    <w:p>
      <w:pPr>
        <w:pStyle w:val="BodyText"/>
      </w:pPr>
      <w:r>
        <w:rPr>
          <w:b/>
          <w:bCs/>
        </w:rPr>
        <w:t xml:space="preserve">Implikasi 2027: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600K–1,6M debitur</w:t>
      </w:r>
      <w:r>
        <w:t xml:space="preserve"> </w:t>
      </w:r>
      <w:r>
        <w:t xml:space="preserve">bergerak dari bucket Rp 20–100M ke bucket Rp 3–40M</w:t>
      </w:r>
    </w:p>
    <w:p>
      <w:pPr>
        <w:pStyle w:val="Compact"/>
        <w:numPr>
          <w:ilvl w:val="0"/>
          <w:numId w:val="1007"/>
        </w:numPr>
      </w:pPr>
      <w:r>
        <w:t xml:space="preserve">Bank kehilangan volume dari</w:t>
      </w:r>
      <w:r>
        <w:t xml:space="preserve"> </w:t>
      </w:r>
      <w:r>
        <w:rPr>
          <w:b/>
          <w:bCs/>
        </w:rPr>
        <w:t xml:space="preserve">unit besar</w:t>
      </w:r>
      <w:r>
        <w:t xml:space="preserve"> </w:t>
      </w:r>
      <w:r>
        <w:t xml:space="preserve">→ mencoba kompensasi dengan</w:t>
      </w:r>
      <w:r>
        <w:t xml:space="preserve"> </w:t>
      </w:r>
      <w:r>
        <w:rPr>
          <w:b/>
          <w:bCs/>
        </w:rPr>
        <w:t xml:space="preserve">unit kecil</w:t>
      </w:r>
      <w:r>
        <w:t xml:space="preserve"> </w:t>
      </w:r>
      <w:r>
        <w:t xml:space="preserve">→ biaya operasional per rupiah kredit naik → NIM tertekan</w:t>
      </w:r>
    </w:p>
    <w:p>
      <w:pPr>
        <w:pStyle w:val="Compact"/>
        <w:numPr>
          <w:ilvl w:val="0"/>
          <w:numId w:val="1007"/>
        </w:numPr>
      </w:pPr>
      <w:r>
        <w:t xml:space="preserve">Multifinance motor (WOM, Adira, FIF) akan melihat lebih banyak debitur</w:t>
      </w:r>
      <w:r>
        <w:t xml:space="preserve"> </w:t>
      </w:r>
      <w:r>
        <w:t xml:space="preserve">“baru”</w:t>
      </w:r>
      <w:r>
        <w:t xml:space="preserve"> </w:t>
      </w:r>
      <w:r>
        <w:t xml:space="preserve">dari eks-kelas menengah dengan income volatility lebih tinggi → NPF naik bahkan untuk portfolio baru yang ter-underwrite dengan prudent</w:t>
      </w:r>
    </w:p>
    <w:p>
      <w:pPr>
        <w:pStyle w:val="Compact"/>
        <w:numPr>
          <w:ilvl w:val="0"/>
          <w:numId w:val="1007"/>
        </w:numPr>
      </w:pPr>
      <w:r>
        <w:t xml:space="preserve">Pindar meledak: outstanding Rp 106,94T (Oktober 2026) → proyeksi Rp 120–128T akhir 2027 (+15–20%), seluruhnya didorong demand survival loans dari segmen AMC baru</w:t>
      </w:r>
    </w:p>
    <w:p>
      <w:pPr>
        <w:pStyle w:val="FirstParagraph"/>
      </w:pPr>
      <w:r>
        <w:rPr>
          <w:b/>
          <w:bCs/>
        </w:rPr>
        <w:t xml:space="preserve">B. Tenor</w:t>
      </w:r>
    </w:p>
    <w:p>
      <w:pPr>
        <w:pStyle w:val="BodyText"/>
      </w:pPr>
      <w:r>
        <w:t xml:space="preserve">Pergeseran kelas menciptakan</w:t>
      </w:r>
      <w:r>
        <w:t xml:space="preserve"> </w:t>
      </w:r>
      <w:r>
        <w:rPr>
          <w:b/>
          <w:bCs/>
        </w:rPr>
        <w:t xml:space="preserve">tekanan berlawanan arah</w:t>
      </w:r>
      <w:r>
        <w:t xml:space="preserve"> </w:t>
      </w:r>
      <w:r>
        <w:t xml:space="preserve">pada tenor: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Sisi</w:t>
            </w:r>
          </w:p>
        </w:tc>
        <w:tc>
          <w:tcPr/>
          <w:p>
            <w:pPr>
              <w:pStyle w:val="Compact"/>
            </w:pPr>
            <w:r>
              <w:t xml:space="preserve">Arah Tenor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Debitur ingin tenor lebih panjang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Cicilan bulanan lebih kecil → manageable di income rendah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Kreditur ingin tenor lebih pendek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Semakin panjang tenor, semakin besar exposure ke income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OJK DTI max 30% (SEOJK 19/2025)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Pindar dipaksa jaga plafon kecil OR tenor pendek agar cicilan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multiguna baru (debitur downgraded)</w:t>
            </w:r>
          </w:p>
        </w:tc>
        <w:tc>
          <w:tcPr/>
          <w:p>
            <w:pPr>
              <w:pStyle w:val="Compact"/>
            </w:pPr>
            <w:r>
              <w:t xml:space="preserve">Kompresi ke 48–60 bln</w:t>
            </w:r>
          </w:p>
        </w:tc>
        <w:tc>
          <w:tcPr/>
          <w:p>
            <w:pPr>
              <w:pStyle w:val="Compact"/>
            </w:pPr>
            <w:r>
              <w:t xml:space="preserve">Bank tahan tawarkan 84–120 bln untuk debitur dengan income volatile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motor</w:t>
            </w:r>
          </w:p>
        </w:tc>
        <w:tc>
          <w:tcPr/>
          <w:p>
            <w:pPr>
              <w:pStyle w:val="Compact"/>
            </w:pPr>
            <w:r>
              <w:t xml:space="preserve">Sweet spot 24–36 bln</w:t>
            </w:r>
          </w:p>
        </w:tc>
        <w:tc>
          <w:tcPr/>
          <w:p>
            <w:pPr>
              <w:pStyle w:val="Compact"/>
            </w:pPr>
            <w:r>
              <w:t xml:space="preserve">WOM Finance 11–35 bln; titik tengah 23–28 bln makin populer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konsumtif</w:t>
            </w:r>
          </w:p>
        </w:tc>
        <w:tc>
          <w:tcPr/>
          <w:p>
            <w:pPr>
              <w:pStyle w:val="Compact"/>
            </w:pPr>
            <w:r>
              <w:t xml:space="preserve">Sangat pendek: 1–12 bln</w:t>
            </w:r>
          </w:p>
        </w:tc>
        <w:tc>
          <w:tcPr/>
          <w:p>
            <w:pPr>
              <w:pStyle w:val="Compact"/>
            </w:pPr>
            <w:r>
              <w:t xml:space="preserve">Regulatory cap mendorong ke cicilan kecil, tenor pendek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Equilibrium tenor 2027:</w:t>
      </w:r>
      <w:r>
        <w:t xml:space="preserve"> </w:t>
      </w:r>
      <w:r>
        <w:t xml:space="preserve">Bank multiguna offer 48–60 bulan (bukan 84–120 bulan) untuk debitur baru dengan income volatile. Multifinance: 24–36 bulan jadi sweet spot. Pindar: &lt;12 bulan atau cicilan sangat kecil menjadi dominan.</w:t>
      </w:r>
    </w:p>
    <w:p>
      <w:r>
        <w:pict>
          <v:rect style="width:0;height:1.5pt" o:hralign="center" o:hrstd="t" o:hr="t"/>
        </w:pict>
      </w:r>
    </w:p>
    <w:bookmarkEnd w:id="17"/>
    <w:bookmarkStart w:id="23" w:name="analisis-5c-per-kuartal-2027"/>
    <w:p>
      <w:pPr>
        <w:pStyle w:val="Heading3"/>
      </w:pPr>
      <w:r>
        <w:t xml:space="preserve">3.4 Analisis 5C per Kuartal 2027</w:t>
      </w:r>
    </w:p>
    <w:p>
      <w:pPr>
        <w:pStyle w:val="FirstParagraph"/>
      </w:pPr>
      <w:r>
        <w:t xml:space="preserve">Framework 5C adalah pondasi credit intelligence di semua segmen — perbankan, multifinance, hingga pindar. Di sini dipetakan bagaimana</w:t>
      </w:r>
      <w:r>
        <w:t xml:space="preserve"> </w:t>
      </w:r>
      <w:r>
        <w:rPr>
          <w:b/>
          <w:bCs/>
        </w:rPr>
        <w:t xml:space="preserve">pergeseran kelas demografi secara sistematis mendegradasi setiap C</w:t>
      </w:r>
      <w:r>
        <w:t xml:space="preserve">.</w:t>
      </w:r>
    </w:p>
    <w:bookmarkStart w:id="18" w:name="c1-character-itikad-membayar"/>
    <w:p>
      <w:pPr>
        <w:pStyle w:val="Heading4"/>
      </w:pPr>
      <w:r>
        <w:t xml:space="preserve">C1 — Character (Itikad Membayar)</w:t>
      </w:r>
    </w:p>
    <w:p>
      <w:pPr>
        <w:pStyle w:val="FirstParagraph"/>
      </w:pPr>
      <w:r>
        <w:rPr>
          <w:i/>
          <w:iCs/>
        </w:rPr>
        <w:t xml:space="preserve">Proksi: riwayat SLIK, track record repayment, stabilitas pekerjaan/domisili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Kuartal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Dinamika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⚠️ Mulai Melemah</w:t>
            </w:r>
          </w:p>
        </w:tc>
        <w:tc>
          <w:tcPr/>
          <w:p>
            <w:pPr>
              <w:pStyle w:val="Compact"/>
            </w:pPr>
            <w:r>
              <w:t xml:space="preserve">Debitur PHK masih bayar pakai pesangon → SLIK masih clean. Tapi</w:t>
            </w:r>
            <w:r>
              <w:t xml:space="preserve"> </w:t>
            </w:r>
            <w:r>
              <w:t xml:space="preserve">“willingness”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“ability”</w:t>
            </w:r>
            <w:r>
              <w:t xml:space="preserve"> </w:t>
            </w:r>
            <w:r>
              <w:t xml:space="preserve">mulai diverge.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🔴 Degradasi</w:t>
            </w:r>
          </w:p>
        </w:tc>
        <w:tc>
          <w:tcPr/>
          <w:p>
            <w:pPr>
              <w:pStyle w:val="Compact"/>
            </w:pPr>
            <w:r>
              <w:t xml:space="preserve">Pesangon habis → pembayaran terlewat pertama kali. SLIK tercemar (kolektibilitas 2). Debitur</w:t>
            </w:r>
            <w:r>
              <w:t xml:space="preserve"> </w:t>
            </w:r>
            <w:r>
              <w:t xml:space="preserve">“prime”</w:t>
            </w:r>
            <w:r>
              <w:t xml:space="preserve"> </w:t>
            </w:r>
            <w:r>
              <w:t xml:space="preserve">jadi</w:t>
            </w:r>
            <w:r>
              <w:t xml:space="preserve"> </w:t>
            </w:r>
            <w:r>
              <w:t xml:space="preserve">“subprime”</w:t>
            </w:r>
            <w:r>
              <w:t xml:space="preserve"> </w:t>
            </w:r>
            <w:r>
              <w:t xml:space="preserve">bukan karena moral hazard tapi income shock struktural.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🔴 Persisten</w:t>
            </w:r>
          </w:p>
        </w:tc>
        <w:tc>
          <w:tcPr/>
          <w:p>
            <w:pPr>
              <w:pStyle w:val="Compact"/>
            </w:pPr>
            <w:r>
              <w:t xml:space="preserve">SLIK contamination meluas. Debitur masuk restrukturisasi OJK terlihat</w:t>
            </w:r>
            <w:r>
              <w:t xml:space="preserve"> </w:t>
            </w:r>
            <w:r>
              <w:t xml:space="preserve">“terjaga”</w:t>
            </w:r>
            <w:r>
              <w:t xml:space="preserve"> </w:t>
            </w:r>
            <w:r>
              <w:t xml:space="preserve">di laporan, tapi underlying character tetap tertekan karena belum re-employed.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Q3–Q4 2027</w:t>
            </w:r>
          </w:p>
        </w:tc>
        <w:tc>
          <w:tcPr/>
          <w:p>
            <w:pPr>
              <w:pStyle w:val="Compact"/>
            </w:pPr>
            <w:r>
              <w:t xml:space="preserve">🟡 Partial Recovery</w:t>
            </w:r>
          </w:p>
        </w:tc>
        <w:tc>
          <w:tcPr/>
          <w:p>
            <w:pPr>
              <w:pStyle w:val="Compact"/>
            </w:pPr>
            <w:r>
              <w:t xml:space="preserve">Debitur yang berhasil re-employed recovery character score. Tapi ~40% yang turun ke rentan: SLIK damage persisten 2–3 tahun ke depan.</w:t>
            </w:r>
          </w:p>
        </w:tc>
      </w:tr>
    </w:tbl>
    <w:p>
      <w:pPr>
        <w:pStyle w:val="BodyText"/>
      </w:pPr>
      <w:r>
        <w:rPr>
          <w:i/>
          <w:iCs/>
        </w:rPr>
        <w:t xml:space="preserve">Implikasi underwriting:</w:t>
      </w:r>
      <w:r>
        <w:t xml:space="preserve"> </w:t>
      </w:r>
      <w:r>
        <w:t xml:space="preserve">Perlu pisahkan</w:t>
      </w:r>
      <w:r>
        <w:t xml:space="preserve"> </w:t>
      </w:r>
      <w:r>
        <w:t xml:space="preserve">“structural downturn default”</w:t>
      </w:r>
      <w:r>
        <w:t xml:space="preserve"> </w:t>
      </w:r>
      <w:r>
        <w:t xml:space="preserve">dari</w:t>
      </w:r>
      <w:r>
        <w:t xml:space="preserve"> </w:t>
      </w:r>
      <w:r>
        <w:t xml:space="preserve">“true character risk.”</w:t>
      </w:r>
      <w:r>
        <w:t xml:space="preserve"> </w:t>
      </w:r>
      <w:r>
        <w:t xml:space="preserve">Debitur eks-kelas menengah dengan 5+ tahun SLIK clean yang default Q1 2027 = character baik, capacity shock. Over-penalizing character ini akan misalokasi kredit di recovery 2028.</w:t>
      </w:r>
    </w:p>
    <w:bookmarkEnd w:id="18"/>
    <w:bookmarkStart w:id="19" w:name="c2-capacity-kemampuan-membayar"/>
    <w:p>
      <w:pPr>
        <w:pStyle w:val="Heading4"/>
      </w:pPr>
      <w:r>
        <w:t xml:space="preserve">C2 — Capacity (Kemampuan Membayar)</w:t>
      </w:r>
    </w:p>
    <w:p>
      <w:pPr>
        <w:pStyle w:val="FirstParagraph"/>
      </w:pPr>
      <w:r>
        <w:rPr>
          <w:i/>
          <w:iCs/>
        </w:rPr>
        <w:t xml:space="preserve">Proksi: pendapatan bersih, DTI ratio, employment stability</w:t>
      </w:r>
    </w:p>
    <w:p>
      <w:pPr>
        <w:pStyle w:val="BodyText"/>
      </w:pPr>
      <w:r>
        <w:rPr>
          <w:b/>
          <w:bCs/>
        </w:rPr>
        <w:t xml:space="preserve">C yang paling terdampak langsung oleh pergeseran kelas.</w:t>
      </w:r>
    </w:p>
    <w:p>
      <w:pPr>
        <w:pStyle w:val="BodyText"/>
      </w:pPr>
      <w:r>
        <w:t xml:space="preserve">Satu langkah downgrade kelas langsung melewati threshold OJK/bank: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Downgrade Kelas</w:t>
            </w:r>
          </w:p>
        </w:tc>
        <w:tc>
          <w:tcPr/>
          <w:p>
            <w:pPr>
              <w:pStyle w:val="Compact"/>
            </w:pPr>
            <w:r>
              <w:t xml:space="preserve">Income Sebelum → Sesudah</w:t>
            </w:r>
          </w:p>
        </w:tc>
        <w:tc>
          <w:tcPr/>
          <w:p>
            <w:pPr>
              <w:pStyle w:val="Compact"/>
            </w:pPr>
            <w:r>
              <w:t xml:space="preserve">Cicilan Eksisting (est.)</w:t>
            </w:r>
          </w:p>
        </w:tc>
        <w:tc>
          <w:tcPr/>
          <w:p>
            <w:pPr>
              <w:pStyle w:val="Compact"/>
            </w:pPr>
            <w:r>
              <w:t xml:space="preserve">DTI Sebelum → Sesudah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Menengah Bawah → AMC Atas</w:t>
            </w:r>
          </w:p>
        </w:tc>
        <w:tc>
          <w:tcPr/>
          <w:p>
            <w:pPr>
              <w:pStyle w:val="Compact"/>
            </w:pPr>
            <w:r>
              <w:t xml:space="preserve">Rp 8M → Rp 5M/bln</w:t>
            </w:r>
          </w:p>
        </w:tc>
        <w:tc>
          <w:tcPr/>
          <w:p>
            <w:pPr>
              <w:pStyle w:val="Compact"/>
            </w:pPr>
            <w:r>
              <w:t xml:space="preserve">Rp 2,5M/bln</w:t>
            </w:r>
          </w:p>
        </w:tc>
        <w:tc>
          <w:tcPr/>
          <w:p>
            <w:pPr>
              <w:pStyle w:val="Compact"/>
            </w:pPr>
            <w:r>
              <w:t xml:space="preserve">31,25% →</w:t>
            </w:r>
            <w:r>
              <w:t xml:space="preserve"> </w:t>
            </w:r>
            <w:r>
              <w:rPr>
                <w:b/>
                <w:bCs/>
              </w:rPr>
              <w:t xml:space="preserve">50,0%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Atas → AMC Tengah</w:t>
            </w:r>
          </w:p>
        </w:tc>
        <w:tc>
          <w:tcPr/>
          <w:p>
            <w:pPr>
              <w:pStyle w:val="Compact"/>
            </w:pPr>
            <w:r>
              <w:t xml:space="preserve">Rp 5M → Rp 3,5M/bln</w:t>
            </w:r>
          </w:p>
        </w:tc>
        <w:tc>
          <w:tcPr/>
          <w:p>
            <w:pPr>
              <w:pStyle w:val="Compact"/>
            </w:pPr>
            <w:r>
              <w:t xml:space="preserve">Rp 1,5M/bln</w:t>
            </w:r>
          </w:p>
        </w:tc>
        <w:tc>
          <w:tcPr/>
          <w:p>
            <w:pPr>
              <w:pStyle w:val="Compact"/>
            </w:pPr>
            <w:r>
              <w:t xml:space="preserve">30,0% →</w:t>
            </w:r>
            <w:r>
              <w:t xml:space="preserve"> </w:t>
            </w:r>
            <w:r>
              <w:rPr>
                <w:b/>
                <w:bCs/>
              </w:rPr>
              <w:t xml:space="preserve">42,9%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Tengah → Rentan</w:t>
            </w:r>
          </w:p>
        </w:tc>
        <w:tc>
          <w:tcPr/>
          <w:p>
            <w:pPr>
              <w:pStyle w:val="Compact"/>
            </w:pPr>
            <w:r>
              <w:t xml:space="preserve">Rp 3,5M → Rp 2M/bln</w:t>
            </w:r>
          </w:p>
        </w:tc>
        <w:tc>
          <w:tcPr/>
          <w:p>
            <w:pPr>
              <w:pStyle w:val="Compact"/>
            </w:pPr>
            <w:r>
              <w:t xml:space="preserve">Rp 800K/bln</w:t>
            </w:r>
          </w:p>
        </w:tc>
        <w:tc>
          <w:tcPr/>
          <w:p>
            <w:pPr>
              <w:pStyle w:val="Compact"/>
            </w:pPr>
            <w:r>
              <w:t xml:space="preserve">22,9% →</w:t>
            </w:r>
            <w:r>
              <w:t xml:space="preserve"> </w:t>
            </w:r>
            <w:r>
              <w:rPr>
                <w:b/>
                <w:bCs/>
              </w:rPr>
              <w:t xml:space="preserve">40,0%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 kuartal: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2027:</w:t>
      </w:r>
      <w:r>
        <w:t xml:space="preserve"> </w:t>
      </w:r>
      <w:r>
        <w:t xml:space="preserve">Capacity shock paling akut — pesangon habis, income = 0 atau informal-partial. SLIK mulai catat kolektibilitas 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2027:</w:t>
      </w:r>
      <w:r>
        <w:t xml:space="preserve"> </w:t>
      </w:r>
      <w:r>
        <w:t xml:space="preserve">Capacity masih compressed — re-employment masih rendah, PMI kontraksi. DTI violation meluas ke gelombang PHK November–Desember 2026.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2027:</w:t>
      </w:r>
      <w:r>
        <w:t xml:space="preserve"> </w:t>
      </w:r>
      <w:r>
        <w:t xml:space="preserve">Partial recovery untuk sebagian (sektor informal absorb). Capacity belum kembali ke pre-PHK.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2027:</w:t>
      </w:r>
      <w:r>
        <w:t xml:space="preserve"> </w:t>
      </w:r>
      <w:r>
        <w:t xml:space="preserve">Capacity sedikit improve jika BI cut rate → cicilan variable rate turun; tapi fixed rate KTA/multiguna tidak otomatis turun.</w:t>
      </w:r>
    </w:p>
    <w:bookmarkEnd w:id="19"/>
    <w:bookmarkStart w:id="20" w:name="c3-capital-modalkekayaan-bersih"/>
    <w:p>
      <w:pPr>
        <w:pStyle w:val="Heading4"/>
      </w:pPr>
      <w:r>
        <w:t xml:space="preserve">C3 — Capital (Modal/Kekayaan Bersih)</w:t>
      </w:r>
    </w:p>
    <w:p>
      <w:pPr>
        <w:pStyle w:val="FirstParagraph"/>
      </w:pPr>
      <w:r>
        <w:rPr>
          <w:i/>
          <w:iCs/>
        </w:rPr>
        <w:t xml:space="preserve">Proksi: aset bersih, tabungan, equity properti, kepemilikan kendaraan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</w:t>
            </w:r>
          </w:p>
        </w:tc>
        <w:tc>
          <w:tcPr/>
          <w:p>
            <w:pPr>
              <w:pStyle w:val="Compact"/>
            </w:pPr>
            <w:r>
              <w:t xml:space="preserve">Capital Karakteristik</w:t>
            </w:r>
          </w:p>
        </w:tc>
        <w:tc>
          <w:tcPr/>
          <w:p>
            <w:pPr>
              <w:pStyle w:val="Compact"/>
            </w:pPr>
            <w:r>
              <w:t xml:space="preserve">Degradasi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Menengah Bawah</w:t>
            </w:r>
          </w:p>
        </w:tc>
        <w:tc>
          <w:tcPr/>
          <w:p>
            <w:pPr>
              <w:pStyle w:val="Compact"/>
            </w:pPr>
            <w:r>
              <w:t xml:space="preserve">Tabungan Rp 20–80M, motor 1–2 unit, KPR aktif</w:t>
            </w:r>
          </w:p>
        </w:tc>
        <w:tc>
          <w:tcPr/>
          <w:p>
            <w:pPr>
              <w:pStyle w:val="Compact"/>
            </w:pPr>
            <w:r>
              <w:t xml:space="preserve">IDR lemah → nilai aset turun USD-adjusted. Equity properti tertekan.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Atas</w:t>
            </w:r>
          </w:p>
        </w:tc>
        <w:tc>
          <w:tcPr/>
          <w:p>
            <w:pPr>
              <w:pStyle w:val="Compact"/>
            </w:pPr>
            <w:r>
              <w:t xml:space="preserve">Tabungan Rp 5–20M, motor 1 unit, sewa</w:t>
            </w:r>
          </w:p>
        </w:tc>
        <w:tc>
          <w:tcPr/>
          <w:p>
            <w:pPr>
              <w:pStyle w:val="Compact"/>
            </w:pPr>
            <w:r>
              <w:t xml:space="preserve">Buffer tipis. Motor bisa dilikuidasi tapi second-hand oversupplied.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Bawah</w:t>
            </w:r>
          </w:p>
        </w:tc>
        <w:tc>
          <w:tcPr/>
          <w:p>
            <w:pPr>
              <w:pStyle w:val="Compact"/>
            </w:pPr>
            <w:r>
              <w:t xml:space="preserve">Tabungan &lt;Rp 5M, motor masih kredit, sewa</w:t>
            </w:r>
          </w:p>
        </w:tc>
        <w:tc>
          <w:tcPr/>
          <w:p>
            <w:pPr>
              <w:pStyle w:val="Compact"/>
            </w:pPr>
            <w:r>
              <w:t xml:space="preserve">Hampir tidak ada buffer. BPKB dijaminkan ke kreditur → tidak bisa dilikuidasi.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2027 assessment:</w:t>
      </w:r>
      <w:r>
        <w:t xml:space="preserve"> </w:t>
      </w:r>
      <w:r>
        <w:t xml:space="preserve">Capital sebagai</w:t>
      </w:r>
      <w:r>
        <w:t xml:space="preserve"> </w:t>
      </w:r>
      <w:r>
        <w:t xml:space="preserve">“cushion”</w:t>
      </w:r>
      <w:r>
        <w:t xml:space="preserve"> </w:t>
      </w:r>
      <w:r>
        <w:t xml:space="preserve">sebelum default makin tipis untuk semua kelas yang downgrade. Middle class yang turun ke AMC biasanya sudah gunakan capital (tabungan + BPKB) untuk bertahan di Q4 2026 → masuk Q1 2027 dengan capital sudah terdeplesi.</w:t>
      </w:r>
    </w:p>
    <w:bookmarkEnd w:id="20"/>
    <w:bookmarkStart w:id="21" w:name="c4-collateral-jaminan"/>
    <w:p>
      <w:pPr>
        <w:pStyle w:val="Heading4"/>
      </w:pPr>
      <w:r>
        <w:t xml:space="preserve">C4 — Collateral (Jaminan)</w:t>
      </w:r>
    </w:p>
    <w:p>
      <w:pPr>
        <w:pStyle w:val="FirstParagraph"/>
      </w:pPr>
      <w:r>
        <w:rPr>
          <w:i/>
          <w:iCs/>
        </w:rPr>
        <w:t xml:space="preserve">Proksi: kualitas dan likuiditas aset jaminan — BPKB, SHM/SHGB, efek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 Collateral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Q4 2027</w:t>
            </w:r>
          </w:p>
        </w:tc>
        <w:tc>
          <w:tcPr/>
          <w:p>
            <w:pPr>
              <w:pStyle w:val="Compact"/>
            </w:pPr>
            <w:r>
              <w:t xml:space="preserve">Tren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 SHM (KPR)</w:t>
            </w:r>
          </w:p>
        </w:tc>
        <w:tc>
          <w:tcPr/>
          <w:p>
            <w:pPr>
              <w:pStyle w:val="Compact"/>
            </w:pPr>
            <w:r>
              <w:t xml:space="preserve">Nilai stabil</w:t>
            </w:r>
          </w:p>
        </w:tc>
        <w:tc>
          <w:tcPr/>
          <w:p>
            <w:pPr>
              <w:pStyle w:val="Compact"/>
            </w:pPr>
            <w:r>
              <w:t xml:space="preserve">−5% nominal risk</w:t>
            </w:r>
          </w:p>
        </w:tc>
        <w:tc>
          <w:tcPr/>
          <w:p>
            <w:pPr>
              <w:pStyle w:val="Compact"/>
            </w:pPr>
            <w:r>
              <w:t xml:space="preserve">Partial recovery</w:t>
            </w:r>
          </w:p>
        </w:tc>
        <w:tc>
          <w:tcPr/>
          <w:p>
            <w:pPr>
              <w:pStyle w:val="Compact"/>
            </w:pPr>
            <w:r>
              <w:t xml:space="preserve">Liquid tapi proses lambat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BPKB Motor (multifinance)</w:t>
            </w:r>
          </w:p>
        </w:tc>
        <w:tc>
          <w:tcPr/>
          <w:p>
            <w:pPr>
              <w:pStyle w:val="Compact"/>
            </w:pPr>
            <w:r>
              <w:t xml:space="preserve">Nilai ok</w:t>
            </w:r>
          </w:p>
        </w:tc>
        <w:tc>
          <w:tcPr/>
          <w:p>
            <w:pPr>
              <w:pStyle w:val="Compact"/>
            </w:pPr>
            <w:r>
              <w:t xml:space="preserve">−3–5% YoY</w:t>
            </w:r>
          </w:p>
        </w:tc>
        <w:tc>
          <w:tcPr/>
          <w:p>
            <w:pPr>
              <w:pStyle w:val="Compact"/>
            </w:pPr>
            <w:r>
              <w:t xml:space="preserve">Stabilize</w:t>
            </w:r>
          </w:p>
        </w:tc>
        <w:tc>
          <w:tcPr/>
          <w:p>
            <w:pPr>
              <w:pStyle w:val="Compact"/>
            </w:pPr>
            <w:r>
              <w:t xml:space="preserve">OK tapi second-hand oversupply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BPKB Mobil</w:t>
            </w:r>
          </w:p>
        </w:tc>
        <w:tc>
          <w:tcPr/>
          <w:p>
            <w:pPr>
              <w:pStyle w:val="Compact"/>
            </w:pPr>
            <w:r>
              <w:t xml:space="preserve">Nilai ok</w:t>
            </w:r>
          </w:p>
        </w:tc>
        <w:tc>
          <w:tcPr/>
          <w:p>
            <w:pPr>
              <w:pStyle w:val="Compact"/>
            </w:pPr>
            <w:r>
              <w:t xml:space="preserve">−5–8% YoY</w:t>
            </w:r>
          </w:p>
        </w:tc>
        <w:tc>
          <w:tcPr/>
          <w:p>
            <w:pPr>
              <w:pStyle w:val="Compact"/>
            </w:pPr>
            <w:r>
              <w:t xml:space="preserve">Stabilize</w:t>
            </w:r>
          </w:p>
        </w:tc>
        <w:tc>
          <w:tcPr/>
          <w:p>
            <w:pPr>
              <w:pStyle w:val="Compact"/>
            </w:pPr>
            <w:r>
              <w:t xml:space="preserve">IDR lemah → spare parts mahal → nilai secondary turun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Efek/Reksa Dana</w:t>
            </w:r>
          </w:p>
        </w:tc>
        <w:tc>
          <w:tcPr/>
          <w:p>
            <w:pPr>
              <w:pStyle w:val="Compact"/>
            </w:pPr>
            <w:r>
              <w:t xml:space="preserve">Acuan IHSG</w:t>
            </w:r>
          </w:p>
        </w:tc>
        <w:tc>
          <w:tcPr/>
          <w:p>
            <w:pPr>
              <w:pStyle w:val="Compact"/>
            </w:pPr>
            <w:r>
              <w:t xml:space="preserve">IHSG floor ~4.400 (−16% risk)</w:t>
            </w:r>
          </w:p>
        </w:tc>
        <w:tc>
          <w:tcPr/>
          <w:p>
            <w:pPr>
              <w:pStyle w:val="Compact"/>
            </w:pPr>
            <w:r>
              <w:t xml:space="preserve">Partial recovery</w:t>
            </w:r>
          </w:p>
        </w:tc>
        <w:tc>
          <w:tcPr/>
          <w:p>
            <w:pPr>
              <w:pStyle w:val="Compact"/>
            </w:pPr>
            <w:r>
              <w:t xml:space="preserve">Highly volatile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jaminan (KTA/BNPL/Pindar)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Pure income 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Pergeseran kelas berarti lebih banyak debitur menggunakan produk</w:t>
      </w:r>
      <w:r>
        <w:t xml:space="preserve"> </w:t>
      </w:r>
      <w:r>
        <w:rPr>
          <w:b/>
          <w:bCs/>
        </w:rPr>
        <w:t xml:space="preserve">tanpa collateral</w:t>
      </w:r>
      <w:r>
        <w:t xml:space="preserve"> </w:t>
      </w:r>
      <w:r>
        <w:t xml:space="preserve">(BNPL, pindar) karena tidak memenuhi syarat bank. Pyramid terbalik: segmen paling berisiko (tanpa jaminan) tumbuh paling cepat tepat saat income sedang tertekan — ini adalah amplifier sistemik.</w:t>
      </w:r>
    </w:p>
    <w:bookmarkEnd w:id="21"/>
    <w:bookmarkStart w:id="22" w:name="X732b1e354a0356d1dc58de41bca224a03e17499"/>
    <w:p>
      <w:pPr>
        <w:pStyle w:val="Heading4"/>
      </w:pPr>
      <w:r>
        <w:t xml:space="preserve">C5 — Conditions (Kondisi Makro &amp; Tujuan Kredit)</w:t>
      </w:r>
    </w:p>
    <w:p>
      <w:pPr>
        <w:pStyle w:val="FirstParagraph"/>
      </w:pPr>
      <w:r>
        <w:rPr>
          <w:i/>
          <w:iCs/>
        </w:rPr>
        <w:t xml:space="preserve">Proksi: lingkungan ekonomi makro, purpose of loan, industri debitur</w:t>
      </w:r>
    </w:p>
    <w:p>
      <w:pPr>
        <w:pStyle w:val="BodyText"/>
      </w:pPr>
      <w:r>
        <w:rPr>
          <w:b/>
          <w:bCs/>
        </w:rPr>
        <w:t xml:space="preserve">C dengan deteriorasi paling universal — tidak bergantung kelas debitur.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Sub-kondisi</w:t>
            </w:r>
          </w:p>
        </w:tc>
        <w:tc>
          <w:tcPr/>
          <w:p>
            <w:pPr>
              <w:pStyle w:val="Compact"/>
            </w:pPr>
            <w:r>
              <w:t xml:space="preserve">Status 2027</w:t>
            </w:r>
          </w:p>
        </w:tc>
        <w:tc>
          <w:tcPr/>
          <w:p>
            <w:pPr>
              <w:pStyle w:val="Compact"/>
            </w:pPr>
            <w:r>
              <w:t xml:space="preserve">Level Tekanan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Rate (5,75%)</w:t>
            </w:r>
          </w:p>
        </w:tc>
        <w:tc>
          <w:tcPr/>
          <w:p>
            <w:pPr>
              <w:pStyle w:val="Compact"/>
            </w:pPr>
            <w:r>
              <w:t xml:space="preserve">Masih tinggi seluruh 2027</w:t>
            </w:r>
          </w:p>
        </w:tc>
        <w:tc>
          <w:tcPr/>
          <w:p>
            <w:pPr>
              <w:pStyle w:val="Compact"/>
            </w:pPr>
            <w:r>
              <w:t xml:space="preserve">🔴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IDR (18.000+)</w:t>
            </w:r>
          </w:p>
        </w:tc>
        <w:tc>
          <w:tcPr/>
          <w:p>
            <w:pPr>
              <w:pStyle w:val="Compact"/>
            </w:pPr>
            <w:r>
              <w:t xml:space="preserve">Biaya impor → inflasi → real income turun</w:t>
            </w:r>
          </w:p>
        </w:tc>
        <w:tc>
          <w:tcPr/>
          <w:p>
            <w:pPr>
              <w:pStyle w:val="Compact"/>
            </w:pPr>
            <w:r>
              <w:t xml:space="preserve">🔴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crude ($110)</w:t>
            </w:r>
          </w:p>
        </w:tc>
        <w:tc>
          <w:tcPr/>
          <w:p>
            <w:pPr>
              <w:pStyle w:val="Compact"/>
            </w:pPr>
            <w:r>
              <w:t xml:space="preserve">BBM hike risk → consumption shock</w:t>
            </w:r>
          </w:p>
        </w:tc>
        <w:tc>
          <w:tcPr/>
          <w:p>
            <w:pPr>
              <w:pStyle w:val="Compact"/>
            </w:pPr>
            <w:r>
              <w:t xml:space="preserve">🔴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 Manufaktur (&lt;47)</w:t>
            </w:r>
          </w:p>
        </w:tc>
        <w:tc>
          <w:tcPr/>
          <w:p>
            <w:pPr>
              <w:pStyle w:val="Compact"/>
            </w:pPr>
            <w:r>
              <w:t xml:space="preserve">Tidak ada penyerapan formal baru</w:t>
            </w:r>
          </w:p>
        </w:tc>
        <w:tc>
          <w:tcPr/>
          <w:p>
            <w:pPr>
              <w:pStyle w:val="Compact"/>
            </w:pPr>
            <w:r>
              <w:t xml:space="preserve">🔴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MSCI Standalone</w:t>
            </w:r>
          </w:p>
        </w:tc>
        <w:tc>
          <w:tcPr/>
          <w:p>
            <w:pPr>
              <w:pStyle w:val="Compact"/>
            </w:pPr>
            <w:r>
              <w:t xml:space="preserve">Equity wealth effect negatif</w:t>
            </w:r>
          </w:p>
        </w:tc>
        <w:tc>
          <w:tcPr/>
          <w:p>
            <w:pPr>
              <w:pStyle w:val="Compact"/>
            </w:pPr>
            <w:r>
              <w:t xml:space="preserve">🟠 Sedang–Tinggi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loan (tujuan kredit)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dari terencana ke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“survival loan”</w:t>
            </w:r>
          </w:p>
        </w:tc>
        <w:tc>
          <w:tcPr/>
          <w:p>
            <w:pPr>
              <w:pStyle w:val="Compact"/>
            </w:pPr>
            <w:r>
              <w:t xml:space="preserve">🔴 Kritis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 shift — signal yang sering diabaikan dalam underwriting:</w:t>
      </w:r>
    </w:p>
    <w:p>
      <w:pPr>
        <w:pStyle w:val="Compact"/>
        <w:numPr>
          <w:ilvl w:val="0"/>
          <w:numId w:val="1008"/>
        </w:numPr>
      </w:pPr>
      <w:r>
        <w:t xml:space="preserve">Kelas Menengah 2024: Kredit multiguna untuk renovasi, pendidikan, liburan → productive/planned.</w:t>
      </w:r>
    </w:p>
    <w:p>
      <w:pPr>
        <w:pStyle w:val="Compact"/>
        <w:numPr>
          <w:ilvl w:val="0"/>
          <w:numId w:val="1008"/>
        </w:numPr>
      </w:pPr>
      <w:r>
        <w:t xml:space="preserve">AMC 2027: Kredit untuk bayar cicilan lain (debt rollover), biaya kesehatan darurat, sembako saat pending re-employment →</w:t>
      </w:r>
      <w:r>
        <w:t xml:space="preserve"> </w:t>
      </w:r>
      <w:r>
        <w:rPr>
          <w:b/>
          <w:bCs/>
        </w:rPr>
        <w:t xml:space="preserve">survival loan</w:t>
      </w:r>
      <w:r>
        <w:t xml:space="preserve">.</w:t>
      </w:r>
    </w:p>
    <w:p>
      <w:pPr>
        <w:pStyle w:val="FirstParagraph"/>
      </w:pPr>
      <w:r>
        <w:t xml:space="preserve">Survival loans memiliki</w:t>
      </w:r>
      <w:r>
        <w:t xml:space="preserve"> </w:t>
      </w:r>
      <w:r>
        <w:rPr>
          <w:b/>
          <w:bCs/>
        </w:rPr>
        <w:t xml:space="preserve">probabilitas default 2,3–3,5× lebih tinggi</w:t>
      </w:r>
      <w:r>
        <w:t xml:space="preserve"> </w:t>
      </w:r>
      <w:r>
        <w:t xml:space="preserve">dibanding planned loans untuk kelas yang sama (CELIOS consumer stress model, 2026), karena: (1) tidak ada ROI, (2) masalah underlying tidak terselesaikan oleh kredit, (3) debt stack makin dalam setiap siklus pinjam.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kstensi-7c-indonesian-market-additions"/>
    <w:p>
      <w:pPr>
        <w:pStyle w:val="Heading3"/>
      </w:pPr>
      <w:r>
        <w:t xml:space="preserve">3.5 Ekstensi 7C — Indonesian Market Additions</w:t>
      </w:r>
    </w:p>
    <w:p>
      <w:pPr>
        <w:pStyle w:val="FirstParagraph"/>
      </w:pPr>
      <w:r>
        <w:t xml:space="preserve">Beberapa bank Indonesia (BCA, Mandiri corporate) dan analis multifinance menggunakan</w:t>
      </w:r>
      <w:r>
        <w:t xml:space="preserve"> </w:t>
      </w:r>
      <w:r>
        <w:rPr>
          <w:b/>
          <w:bCs/>
        </w:rPr>
        <w:t xml:space="preserve">7C</w:t>
      </w:r>
      <w:r>
        <w:t xml:space="preserve"> </w:t>
      </w:r>
      <w:r>
        <w:t xml:space="preserve">menambah dua C ke framework standar:</w:t>
      </w:r>
    </w:p>
    <w:bookmarkStart w:id="24" w:name="c6-coverage-asuransi-perlindungan-kredit"/>
    <w:p>
      <w:pPr>
        <w:pStyle w:val="Heading4"/>
      </w:pPr>
      <w:r>
        <w:t xml:space="preserve">C6 — Coverage (Asuransi &amp; Perlindungan Kredit)</w:t>
      </w:r>
    </w:p>
    <w:p>
      <w:pPr>
        <w:pStyle w:val="FirstParagraph"/>
      </w:pPr>
      <w:r>
        <w:rPr>
          <w:i/>
          <w:iCs/>
        </w:rPr>
        <w:t xml:space="preserve">Proksi: asuransi jiwa kredit, BPJS Ketenagakerjaan aktif, asuransi produk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Debitur</w:t>
            </w:r>
          </w:p>
        </w:tc>
        <w:tc>
          <w:tcPr/>
          <w:p>
            <w:pPr>
              <w:pStyle w:val="Compact"/>
            </w:pPr>
            <w:r>
              <w:t xml:space="preserve">Implikasi MPL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PHK → BPJS Ketenagakerjaan nonaktif</w:t>
            </w:r>
          </w:p>
        </w:tc>
        <w:tc>
          <w:tcPr/>
          <w:p>
            <w:pPr>
              <w:pStyle w:val="Compact"/>
            </w:pPr>
            <w:r>
              <w:t xml:space="preserve">Tidak ada JKK/JKm backup. Default tidak ter-cover asuransi jiwa kerja.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MPL: asuransi jiwa kredit bundled</w:t>
            </w:r>
          </w:p>
        </w:tc>
        <w:tc>
          <w:tcPr/>
          <w:p>
            <w:pPr>
              <w:pStyle w:val="Compact"/>
            </w:pPr>
            <w:r>
              <w:t xml:space="preserve">Standard — melindungi bank (bukan debitur) dari default akibat kematian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motor: asuransi kendaraan</w:t>
            </w:r>
          </w:p>
        </w:tc>
        <w:tc>
          <w:tcPr/>
          <w:p>
            <w:pPr>
              <w:pStyle w:val="Compact"/>
            </w:pPr>
            <w:r>
              <w:t xml:space="preserve">Sering tidak penuh. Total loss adjustment menjadi sengketa saat klaim.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konsumtif: tanpa coverage</w:t>
            </w:r>
          </w:p>
        </w:tc>
        <w:tc>
          <w:tcPr/>
          <w:p>
            <w:pPr>
              <w:pStyle w:val="Compact"/>
            </w:pPr>
            <w:r>
              <w:t xml:space="preserve">100% credit risk — OJK tidak wajibkan coverage untuk pindar konsumtif.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2027 signal:</w:t>
      </w:r>
      <w:r>
        <w:t xml:space="preserve"> </w:t>
      </w:r>
      <w:r>
        <w:t xml:space="preserve">PHK massal → coverage hilang → debitur lebih vulnerable → default probability naik tanpa safety net. Coverage sebagai C6 harus diukur saat underwriting: debitur dengan BPJS Ketenagakerjaan aktif = lower risk multiplier yang measurable.</w:t>
      </w:r>
    </w:p>
    <w:bookmarkEnd w:id="24"/>
    <w:bookmarkStart w:id="25" w:name="X8b137421554cc46cb9162812c9b881d6c2bc31e"/>
    <w:p>
      <w:pPr>
        <w:pStyle w:val="Heading4"/>
      </w:pPr>
      <w:r>
        <w:t xml:space="preserve">C7 — Compliance (Kepatuhan Regulasi &amp; Profil Legal)</w:t>
      </w:r>
    </w:p>
    <w:p>
      <w:pPr>
        <w:pStyle w:val="FirstParagraph"/>
      </w:pPr>
      <w:r>
        <w:rPr>
          <w:i/>
          <w:iCs/>
        </w:rPr>
        <w:t xml:space="preserve">Proksi: status pajak (NPWP), legalitas pekerjaan, kelengkapan dokumen verifiable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 Debitur</w:t>
            </w:r>
          </w:p>
        </w:tc>
        <w:tc>
          <w:tcPr/>
          <w:p>
            <w:pPr>
              <w:pStyle w:val="Compact"/>
            </w:pPr>
            <w:r>
              <w:t xml:space="preserve">Compliance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Karyawan formal PKWTT</w:t>
            </w:r>
          </w:p>
        </w:tc>
        <w:tc>
          <w:tcPr/>
          <w:p>
            <w:pPr>
              <w:pStyle w:val="Compact"/>
            </w:pPr>
            <w:r>
              <w:t xml:space="preserve">Rendah — slip gaji + NPWP + BPJS verifiable via SLIK + BPJSku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Karyawan kontrak PKWT</w:t>
            </w:r>
          </w:p>
        </w:tc>
        <w:tc>
          <w:tcPr/>
          <w:p>
            <w:pPr>
              <w:pStyle w:val="Compact"/>
            </w:pPr>
            <w:r>
              <w:t xml:space="preserve">Menengah — status kontrak berakhir tidak selalu dilaporkan ke kreditur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Gig economy / ojol / freelance</w:t>
            </w:r>
          </w:p>
        </w:tc>
        <w:tc>
          <w:tcPr/>
          <w:p>
            <w:pPr>
              <w:pStyle w:val="Compact"/>
            </w:pPr>
            <w:r>
              <w:t xml:space="preserve">Tinggi — income sulit diverifikasi, tidak ada payroll dokumen standar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UMKM dengan akses MPL</w:t>
            </w:r>
          </w:p>
        </w:tc>
        <w:tc>
          <w:tcPr/>
          <w:p>
            <w:pPr>
              <w:pStyle w:val="Compact"/>
            </w:pPr>
            <w:r>
              <w:t xml:space="preserve">Menengah–Tinggi — laporan keuangan sering tidak terstandar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2027 implication:</w:t>
      </w:r>
      <w:r>
        <w:t xml:space="preserve"> </w:t>
      </w:r>
      <w:r>
        <w:t xml:space="preserve">Saat kelas menengah di-PHK dan masuk gig economy,</w:t>
      </w:r>
      <w:r>
        <w:t xml:space="preserve"> </w:t>
      </w:r>
      <w:r>
        <w:rPr>
          <w:b/>
          <w:bCs/>
        </w:rPr>
        <w:t xml:space="preserve">compliance profile turun drastis</w:t>
      </w:r>
      <w:r>
        <w:t xml:space="preserve"> </w:t>
      </w:r>
      <w:r>
        <w:t xml:space="preserve">meskipun karakter (C1) tidak berubah. Bank sulit verifikasi income → underwriting makin conservative → exclusion meningkat → debitur terpaksa ke pindar (less regulated) → risiko sistemik justru naik lewat kanal yang kurang termonitor.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2ff82466b7535cd7596daec80c02539a2e8bf36"/>
    <w:p>
      <w:pPr>
        <w:pStyle w:val="Heading3"/>
      </w:pPr>
      <w:r>
        <w:t xml:space="preserve">3.6 Matriks Terintegrasi: Kelas × Kuartal × Credit Intelligence 2027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Q3 2027</w:t>
            </w:r>
          </w:p>
        </w:tc>
        <w:tc>
          <w:tcPr/>
          <w:p>
            <w:pPr>
              <w:pStyle w:val="Compact"/>
            </w:pPr>
            <w:r>
              <w:t xml:space="preserve">Q4 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Kelas Menengah (sisa ~45,5M)</w:t>
            </w:r>
          </w:p>
        </w:tc>
        <w:tc>
          <w:tcPr/>
          <w:p>
            <w:pPr>
              <w:pStyle w:val="Compact"/>
            </w:pPr>
            <w:r>
              <w:t xml:space="preserve">Ticket compress (Rp 30–80M); Bank tighten; C1 ok, C2 tertekan DTI</w:t>
            </w:r>
          </w:p>
        </w:tc>
        <w:tc>
          <w:tcPr/>
          <w:p>
            <w:pPr>
              <w:pStyle w:val="Compact"/>
            </w:pPr>
            <w:r>
              <w:t xml:space="preserve">NPL mulai naik; restrukturisasi; C3 terdeplesi; tenor di-compress</w:t>
            </w:r>
          </w:p>
        </w:tc>
        <w:tc>
          <w:tcPr/>
          <w:p>
            <w:pPr>
              <w:pStyle w:val="Compact"/>
            </w:pPr>
            <w:r>
              <w:t xml:space="preserve">Stabilize untuk yang survive; partial recovery</w:t>
            </w:r>
          </w:p>
        </w:tc>
        <w:tc>
          <w:tcPr/>
          <w:p>
            <w:pPr>
              <w:pStyle w:val="Compact"/>
            </w:pPr>
            <w:r>
              <w:t xml:space="preserve">Partial recovery jika BI cut; C7 rebuild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AMC new entrant (eks-Menengah)</w:t>
            </w:r>
          </w:p>
        </w:tc>
        <w:tc>
          <w:tcPr/>
          <w:p>
            <w:pPr>
              <w:pStyle w:val="Compact"/>
            </w:pPr>
            <w:r>
              <w:t xml:space="preserve">Ticket Rp 5–30M; multifinance/pindar; C1 baru rusak; C2 shock akut</w:t>
            </w:r>
          </w:p>
        </w:tc>
        <w:tc>
          <w:tcPr/>
          <w:p>
            <w:pPr>
              <w:pStyle w:val="Compact"/>
            </w:pPr>
            <w:r>
              <w:t xml:space="preserve">Survival loan dominan; DTI &gt;40%; C4: BPKB dijaminkan; C6 hilang</w:t>
            </w:r>
          </w:p>
        </w:tc>
        <w:tc>
          <w:tcPr/>
          <w:p>
            <w:pPr>
              <w:pStyle w:val="Compact"/>
            </w:pPr>
            <w:r>
              <w:t xml:space="preserve">Pindar satu-satunya akses; TWP90 naik</w:t>
            </w:r>
          </w:p>
        </w:tc>
        <w:tc>
          <w:tcPr/>
          <w:p>
            <w:pPr>
              <w:pStyle w:val="Compact"/>
            </w:pPr>
            <w:r>
              <w:t xml:space="preserve">Konsolidasi: sebagian exit kredit formal, masuk shadow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AMC lama / Rentan baru</w:t>
            </w:r>
          </w:p>
        </w:tc>
        <w:tc>
          <w:tcPr/>
          <w:p>
            <w:pPr>
              <w:pStyle w:val="Compact"/>
            </w:pPr>
            <w:r>
              <w:t xml:space="preserve">BNPL Rp 500K–5M; pindar quick; semua 5C deteriorasi</w:t>
            </w:r>
          </w:p>
        </w:tc>
        <w:tc>
          <w:tcPr/>
          <w:p>
            <w:pPr>
              <w:pStyle w:val="Compact"/>
            </w:pPr>
            <w:r>
              <w:t xml:space="preserve">TWP90 tembus 6%+</w:t>
            </w:r>
          </w:p>
        </w:tc>
        <w:tc>
          <w:tcPr/>
          <w:p>
            <w:pPr>
              <w:pStyle w:val="Compact"/>
            </w:pPr>
            <w:r>
              <w:t xml:space="preserve">OJK tighten → credit exclusion naik</w:t>
            </w:r>
          </w:p>
        </w:tc>
        <w:tc>
          <w:tcPr/>
          <w:p>
            <w:pPr>
              <w:pStyle w:val="Compact"/>
            </w:pPr>
            <w:r>
              <w:t xml:space="preserve">Shadow finance naik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Size tren</w:t>
            </w:r>
          </w:p>
        </w:tc>
        <w:tc>
          <w:tcPr/>
          <w:p>
            <w:pPr>
              <w:pStyle w:val="Compact"/>
            </w:pPr>
            <w:r>
              <w:t xml:space="preserve">↓ −30–40% vs Q4 2026</w:t>
            </w:r>
          </w:p>
        </w:tc>
        <w:tc>
          <w:tcPr/>
          <w:p>
            <w:pPr>
              <w:pStyle w:val="Compact"/>
            </w:pPr>
            <w:r>
              <w:t xml:space="preserve">↓ −40–50% (peak compression)</w:t>
            </w:r>
          </w:p>
        </w:tc>
        <w:tc>
          <w:tcPr/>
          <w:p>
            <w:pPr>
              <w:pStyle w:val="Compact"/>
            </w:pPr>
            <w:r>
              <w:t xml:space="preserve">→ Sideways</w:t>
            </w:r>
          </w:p>
        </w:tc>
        <w:tc>
          <w:tcPr/>
          <w:p>
            <w:pPr>
              <w:pStyle w:val="Compact"/>
            </w:pPr>
            <w:r>
              <w:t xml:space="preserve">↑ Partial recovery jika rate 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Tenor tren</w:t>
            </w:r>
          </w:p>
        </w:tc>
        <w:tc>
          <w:tcPr/>
          <w:p>
            <w:pPr>
              <w:pStyle w:val="Compact"/>
            </w:pPr>
            <w:r>
              <w:t xml:space="preserve">Demand ↑ panjang; Supply ↓ pendek; Equilibrium 48–60 bln bank, 24–36 bln MF</w:t>
            </w:r>
          </w:p>
        </w:tc>
        <w:tc>
          <w:tcPr/>
          <w:p>
            <w:pPr>
              <w:pStyle w:val="Compact"/>
            </w:pPr>
            <w:r>
              <w:t xml:space="preserve">24–36 bln multifinance; &lt;12 bln pindar</w:t>
            </w:r>
          </w:p>
        </w:tc>
        <w:tc>
          <w:tcPr/>
          <w:p>
            <w:pPr>
              <w:pStyle w:val="Compact"/>
            </w:pPr>
            <w:r>
              <w:t xml:space="preserve">Stabilize</w:t>
            </w:r>
          </w:p>
        </w:tc>
        <w:tc>
          <w:tcPr/>
          <w:p>
            <w:pPr>
              <w:pStyle w:val="Compact"/>
            </w:pPr>
            <w:r>
              <w:t xml:space="preserve">Tenor rileks parsial jika NPL turun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NPL/TWP90 vector</w:t>
            </w:r>
          </w:p>
        </w:tc>
        <w:tc>
          <w:tcPr/>
          <w:p>
            <w:pPr>
              <w:pStyle w:val="Compact"/>
            </w:pPr>
            <w:r>
              <w:t xml:space="preserve">LAR puncak; NPL mulai naik</w:t>
            </w:r>
          </w:p>
        </w:tc>
        <w:tc>
          <w:tcPr/>
          <w:p>
            <w:pPr>
              <w:pStyle w:val="Compact"/>
            </w:pPr>
            <w:r>
              <w:t xml:space="preserve">NPL crystallize: 2,6–3,0% bank; 5,5–6,2% pindar</w:t>
            </w:r>
          </w:p>
        </w:tc>
        <w:tc>
          <w:tcPr/>
          <w:p>
            <w:pPr>
              <w:pStyle w:val="Compact"/>
            </w:pPr>
            <w:r>
              <w:t xml:space="preserve">Stabilize, plateau</w:t>
            </w:r>
          </w:p>
        </w:tc>
        <w:tc>
          <w:tcPr/>
          <w:p>
            <w:pPr>
              <w:pStyle w:val="Compact"/>
            </w:pPr>
            <w:r>
              <w:t xml:space="preserve">Base 2,3–2,8% bank; Stress 2,8–3,2%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Verifikasi argumen user:</w:t>
      </w:r>
    </w:p>
    <w:p>
      <w:pPr>
        <w:pStyle w:val="BodyText"/>
      </w:pPr>
      <w:r>
        <w:t xml:space="preserve">Rantai logika yang diajukan valid dan didukung data:</w:t>
      </w:r>
      <w:r>
        <w:t xml:space="preserve"> </w:t>
      </w:r>
      <w:r>
        <w:t xml:space="preserve">1. ✅ Situasi makro (Brent $110, IDR 18.045, PHK 63K+) → tekanan income</w:t>
      </w:r>
      <w:r>
        <w:t xml:space="preserve"> </w:t>
      </w:r>
      <w:r>
        <w:t xml:space="preserve">2. ✅ Tekanan income → shrinking middle class terakselerasi (dari baseline −2,1M/tahun menjadi −1,6M di 2027 dengan stress scenario −2,5M)</w:t>
      </w:r>
      <w:r>
        <w:t xml:space="preserve"> </w:t>
      </w:r>
      <w:r>
        <w:t xml:space="preserve">3. ✅ Pergeseran kelas → profil demografis debitur MPL berubah (dari menengah ke AMC)</w:t>
      </w:r>
      <w:r>
        <w:t xml:space="preserve"> </w:t>
      </w:r>
      <w:r>
        <w:t xml:space="preserve">4. ✅ Kelas AMC → ticket size lebih kecil (Rp 3–40M vs Rp 20–100M) — terkonfirmasi data WOM Finance + OJK</w:t>
      </w:r>
      <w:r>
        <w:t xml:space="preserve"> </w:t>
      </w:r>
      <w:r>
        <w:t xml:space="preserve">5. ✅ Kelas AMC + income volatile → tenor competing pressures; equilibrium lebih pendek di sisi supply, lebih panjang di sisi demand</w:t>
      </w:r>
      <w:r>
        <w:t xml:space="preserve"> </w:t>
      </w:r>
      <w:r>
        <w:t xml:space="preserve">6. ✅ Downgrade kelas → degradasi sistematis semua 5C, dengan C2 (Capacity) paling akut karena DTI langsung melewati threshold setelah satu langkah downgrade</w:t>
      </w:r>
      <w:r>
        <w:t xml:space="preserve"> </w:t>
      </w:r>
      <w:r>
        <w:t xml:space="preserve">7. ✅ 7C extension (C6 Coverage + C7 Compliance) relevan khusus untuk Indonesia karena PHK → hilang BPJS dan masuk informal = double downgrade di kedua C tambahan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akiraan-kuartalan-2027"/>
    <w:p>
      <w:pPr>
        <w:pStyle w:val="Heading2"/>
      </w:pPr>
      <w:r>
        <w:t xml:space="preserve">4. Prakiraan Kuartalan 2027</w:t>
      </w:r>
    </w:p>
    <w:bookmarkStart w:id="29" w:name="q1-2027-januarimaret-fase-pesangon-habis"/>
    <w:p>
      <w:pPr>
        <w:pStyle w:val="Heading3"/>
      </w:pPr>
      <w:r>
        <w:t xml:space="preserve">Q1 2027 (Januari–Maret) — Fase</w:t>
      </w:r>
      <w:r>
        <w:t xml:space="preserve"> </w:t>
      </w:r>
      <w:r>
        <w:t xml:space="preserve">“Pesangon Habis”</w:t>
      </w:r>
    </w:p>
    <w:p>
      <w:pPr>
        <w:pStyle w:val="FirstParagraph"/>
      </w:pPr>
      <w:r>
        <w:rPr>
          <w:b/>
          <w:bCs/>
        </w:rPr>
        <w:t xml:space="preserve">Narasi makro:</w:t>
      </w:r>
      <w:r>
        <w:t xml:space="preserve"> </w:t>
      </w:r>
      <w:r>
        <w:t xml:space="preserve">PHK massal Oktober–November 2026 menguras pesangon rata-rata 3–4 bulan. Pada Januari–Februari 2027, sebagian besar debitur terdampak mulai kesulitan membayar cicilan. Ini adalah</w:t>
      </w:r>
      <w:r>
        <w:t xml:space="preserve"> </w:t>
      </w:r>
      <w:r>
        <w:rPr>
          <w:b/>
          <w:bCs/>
        </w:rPr>
        <w:t xml:space="preserve">puncak tekanan LAR</w:t>
      </w:r>
      <w:r>
        <w:t xml:space="preserve"> </w:t>
      </w:r>
      <w:r>
        <w:t xml:space="preserve">sebelum NPL formal terkristal.</w:t>
      </w:r>
    </w:p>
    <w:p>
      <w:pPr>
        <w:pStyle w:val="BodyText"/>
      </w:pPr>
      <w:r>
        <w:rPr>
          <w:b/>
          <w:bCs/>
        </w:rPr>
        <w:t xml:space="preserve">Proyeksi kuantitatif: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</w:pPr>
            <w:r>
              <w:t xml:space="preserve">Q4 2026 Baseline</w:t>
            </w:r>
          </w:p>
        </w:tc>
        <w:tc>
          <w:tcPr/>
          <w:p>
            <w:pPr>
              <w:pStyle w:val="Compact"/>
            </w:pPr>
            <w:r>
              <w:t xml:space="preserve">Q1 2027 Proyeksi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Kredit Konsumsi growth (yoy)</w:t>
            </w:r>
          </w:p>
        </w:tc>
        <w:tc>
          <w:tcPr/>
          <w:p>
            <w:pPr>
              <w:pStyle w:val="Compact"/>
            </w:pPr>
            <w:r>
              <w:t xml:space="preserve">~5,0%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3,5–4,5%</w:t>
            </w:r>
          </w:p>
        </w:tc>
        <w:tc>
          <w:tcPr/>
          <w:p>
            <w:pPr>
              <w:pStyle w:val="Compact"/>
            </w:pPr>
            <w:r>
              <w:t xml:space="preserve">Bank selektif, demand lemah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NPL Konsumsi</w:t>
            </w:r>
          </w:p>
        </w:tc>
        <w:tc>
          <w:tcPr/>
          <w:p>
            <w:pPr>
              <w:pStyle w:val="Compact"/>
            </w:pPr>
            <w:r>
              <w:t xml:space="preserve">~2,2%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2,4–2,6%</w:t>
            </w:r>
          </w:p>
        </w:tc>
        <w:tc>
          <w:tcPr/>
          <w:p>
            <w:pPr>
              <w:pStyle w:val="Compact"/>
            </w:pPr>
            <w:r>
              <w:t xml:space="preserve">Household segment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 Perbankan</w:t>
            </w:r>
          </w:p>
        </w:tc>
        <w:tc>
          <w:tcPr/>
          <w:p>
            <w:pPr>
              <w:pStyle w:val="Compact"/>
            </w:pPr>
            <w:r>
              <w:t xml:space="preserve">~8,5–9%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9,5–10,5%</w:t>
            </w:r>
          </w:p>
        </w:tc>
        <w:tc>
          <w:tcPr/>
          <w:p>
            <w:pPr>
              <w:pStyle w:val="Compact"/>
            </w:pPr>
            <w:r>
              <w:t xml:space="preserve">Leading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KPR NPL</w:t>
            </w:r>
          </w:p>
        </w:tc>
        <w:tc>
          <w:tcPr/>
          <w:p>
            <w:pPr>
              <w:pStyle w:val="Compact"/>
            </w:pPr>
            <w:r>
              <w:t xml:space="preserve">est. 3,3–3,5%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3,5–3,8%</w:t>
            </w:r>
          </w:p>
        </w:tc>
        <w:tc>
          <w:tcPr/>
          <w:p>
            <w:pPr>
              <w:pStyle w:val="Compact"/>
            </w:pPr>
            <w:r>
              <w:t xml:space="preserve">Gradual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4,73%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t xml:space="preserve">Mendekati/melewati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Multiguna NPF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4,5–5,2%</w:t>
            </w:r>
          </w:p>
        </w:tc>
        <w:tc>
          <w:tcPr/>
          <w:p>
            <w:pPr>
              <w:pStyle w:val="Compact"/>
            </w:pPr>
            <w:r>
              <w:t xml:space="preserve">Risiko tembus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Kredit Multiguna Bank growth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3–4%</w:t>
            </w:r>
          </w:p>
        </w:tc>
        <w:tc>
          <w:tcPr/>
          <w:p>
            <w:pPr>
              <w:pStyle w:val="Compact"/>
            </w:pPr>
            <w:r>
              <w:t xml:space="preserve">Slowdown permintaan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Faktor penentu Q1: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BBM hike wildcard:</w:t>
      </w:r>
      <w:r>
        <w:t xml:space="preserve"> </w:t>
      </w:r>
      <w:r>
        <w:t xml:space="preserve">Jika pemerintah naikkan harga BBM Q4 2026/Q1 2027 (brent $110 + IDR 18.045 memaksa), dampak langsung: −2 hingga −3 pp pertumbuhan KK, NPL percepat +0,3–0,5 pp, 5–8 juta orang tambahan masuk kategori vulnerable.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OJK action:</w:t>
      </w:r>
      <w:r>
        <w:t xml:space="preserve"> </w:t>
      </w:r>
      <w:r>
        <w:t xml:space="preserve">Mulai perketat SLIK scoring. Oktober 2026 OJK sudah wanti-wanti multifinance/pindar untuk tidak menganggap penghapusan catatan SLIK &lt;Rp 1 juta sebagai lampu hijau relaksasi underwriting.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 makroprudensial:</w:t>
      </w:r>
      <w:r>
        <w:t xml:space="preserve"> </w:t>
      </w:r>
      <w:r>
        <w:t xml:space="preserve">KPR LTV 100% dan KKB 0% DP diperpanjang 2027 → stimulus sisi supply kredit properti dan kendaraan, tapi tidak langsung membantu kualitas MPL eksisting.</w:t>
      </w:r>
    </w:p>
    <w:p>
      <w:pPr>
        <w:pStyle w:val="FirstParagraph"/>
      </w:pPr>
      <w:r>
        <w:rPr>
          <w:b/>
          <w:bCs/>
        </w:rPr>
        <w:t xml:space="preserve">Risiko skenario ekstrem Q1:</w:t>
      </w:r>
      <w:r>
        <w:t xml:space="preserve"> </w:t>
      </w:r>
      <w:r>
        <w:t xml:space="preserve">Jika PHK berlanjut karena PMI manufaktur tetap kontraksi (&lt;47) dan tidak ada penyerapan baru → LAR bisa melewati 11%, NPL konsumsi ke 2,8%.</w:t>
      </w:r>
    </w:p>
    <w:p>
      <w:r>
        <w:pict>
          <v:rect style="width:0;height:1.5pt" o:hralign="center" o:hrstd="t" o:hr="t"/>
        </w:pict>
      </w:r>
    </w:p>
    <w:bookmarkEnd w:id="29"/>
    <w:bookmarkStart w:id="30" w:name="X0857518ef0d063ac18ef7d8db9e3d0b80d40187"/>
    <w:p>
      <w:pPr>
        <w:pStyle w:val="Heading3"/>
      </w:pPr>
      <w:r>
        <w:t xml:space="preserve">Q2 2027 (April–Juni) — Fase</w:t>
      </w:r>
      <w:r>
        <w:t xml:space="preserve"> </w:t>
      </w:r>
      <w:r>
        <w:t xml:space="preserve">“NPL Crystallize + MSCI Decision Risk”</w:t>
      </w:r>
    </w:p>
    <w:p>
      <w:pPr>
        <w:pStyle w:val="FirstParagraph"/>
      </w:pPr>
      <w:r>
        <w:rPr>
          <w:b/>
          <w:bCs/>
        </w:rPr>
        <w:t xml:space="preserve">Narasi makro:</w:t>
      </w:r>
      <w:r>
        <w:t xml:space="preserve"> </w:t>
      </w:r>
      <w:r>
        <w:t xml:space="preserve">PHK November–Desember 2026 sepenuhnya tercermin di data SLIK Maret–April 2027. Bersamaan: MSCI konsultasi tutup 30 April 2027 → pasar mulai price in konfirmasi downgrade.</w:t>
      </w:r>
    </w:p>
    <w:p>
      <w:pPr>
        <w:pStyle w:val="BodyText"/>
      </w:pPr>
      <w:r>
        <w:rPr>
          <w:b/>
          <w:bCs/>
        </w:rPr>
        <w:t xml:space="preserve">NPL terkristal: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Q2 2027 Proyeksi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NPL Konsumsi</w:t>
            </w:r>
          </w:p>
        </w:tc>
        <w:tc>
          <w:tcPr/>
          <w:p>
            <w:pPr>
              <w:pStyle w:val="Compact"/>
            </w:pPr>
            <w:r>
              <w:t xml:space="preserve">2,4–2,6%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2,6–3,0%</w:t>
            </w:r>
          </w:p>
        </w:tc>
        <w:tc>
          <w:tcPr/>
          <w:p>
            <w:pPr>
              <w:pStyle w:val="Compact"/>
            </w:pPr>
            <w:r>
              <w:t xml:space="preserve">Peak kuartalan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KTA (Kredit Tanpa Agunan)</w:t>
            </w:r>
          </w:p>
        </w:tc>
        <w:tc>
          <w:tcPr/>
          <w:p>
            <w:pPr>
              <w:pStyle w:val="Compact"/>
            </w:pPr>
            <w:r>
              <w:t xml:space="preserve">3,0–3,5%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3,5–4,5%</w:t>
            </w:r>
          </w:p>
        </w:tc>
        <w:tc>
          <w:tcPr/>
          <w:p>
            <w:pPr>
              <w:pStyle w:val="Compact"/>
            </w:pPr>
            <w:r>
              <w:t xml:space="preserve">Tidak ada jaminan, risiko tertinggi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BNPL Banking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risiko signifikan</w:t>
            </w:r>
          </w:p>
        </w:tc>
        <w:tc>
          <w:tcPr/>
          <w:p>
            <w:pPr>
              <w:pStyle w:val="Compact"/>
            </w:pPr>
            <w:r>
              <w:t xml:space="preserve">Rp 29,3T, no collateral, youth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KPR NPL</w:t>
            </w:r>
          </w:p>
        </w:tc>
        <w:tc>
          <w:tcPr/>
          <w:p>
            <w:pPr>
              <w:pStyle w:val="Compact"/>
            </w:pPr>
            <w:r>
              <w:t xml:space="preserve">3,5–3,8%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3,8–4,2%</w:t>
            </w:r>
          </w:p>
        </w:tc>
        <w:tc>
          <w:tcPr/>
          <w:p>
            <w:pPr>
              <w:pStyle w:val="Compact"/>
            </w:pPr>
            <w:r>
              <w:t xml:space="preserve">Pasar properti tertekan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5,5–6,2%</w:t>
            </w:r>
          </w:p>
        </w:tc>
        <w:tc>
          <w:tcPr/>
          <w:p>
            <w:pPr>
              <w:pStyle w:val="Compact"/>
            </w:pPr>
            <w:r>
              <w:t xml:space="preserve">18 platform sudah &gt;5% per Juli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Multiguna NPF</w:t>
            </w:r>
          </w:p>
        </w:tc>
        <w:tc>
          <w:tcPr/>
          <w:p>
            <w:pPr>
              <w:pStyle w:val="Compact"/>
            </w:pPr>
            <w:r>
              <w:t xml:space="preserve">4,5–5,2%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5,0–5,8%</w:t>
            </w:r>
          </w:p>
        </w:tc>
        <w:tc>
          <w:tcPr/>
          <w:p>
            <w:pPr>
              <w:pStyle w:val="Compact"/>
            </w:pPr>
            <w:r>
              <w:t xml:space="preserve">Risiko tembus &amp; bertahan di atas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Kredit Konsumsi growth</w:t>
            </w:r>
          </w:p>
        </w:tc>
        <w:tc>
          <w:tcPr/>
          <w:p>
            <w:pPr>
              <w:pStyle w:val="Compact"/>
            </w:pPr>
            <w:r>
              <w:t xml:space="preserve">3,5–4,5%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2,5–3,5%</w:t>
            </w:r>
          </w:p>
        </w:tc>
        <w:tc>
          <w:tcPr/>
          <w:p>
            <w:pPr>
              <w:pStyle w:val="Compact"/>
            </w:pPr>
            <w:r>
              <w:t xml:space="preserve">Trendline terendah sejak 2020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Channel MSCI ke MPL: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Equity wealth effect:</w:t>
      </w:r>
      <w:r>
        <w:t xml:space="preserve"> </w:t>
      </w:r>
      <w:r>
        <w:t xml:space="preserve">IHSG PE 7,9x (Oktober 2026) → jika MSCI confirma downgrade, bisa turun ke 6,5–7x. Investor retail reksa dana equity (&gt;15 juta rekening) mengalami penurunan NAV → consumption cut → indirect MPL demand destruction.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Foreign exit SBN/IHSG:</w:t>
      </w:r>
      <w:r>
        <w:t xml:space="preserve"> </w:t>
      </w:r>
      <w:r>
        <w:t xml:space="preserve">SBN foreign ownership 13,12% (sudah di bawah threshold 15%); outflow lanjutan menekan SBN → yield naik → bank CAR eroded (SBN mark-to-market).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Bank credit supply tighten:</w:t>
      </w:r>
      <w:r>
        <w:t xml:space="preserve"> </w:t>
      </w:r>
      <w:r>
        <w:t xml:space="preserve">CAR sudah tertekan dari 25,87% (Des 2025) → 23,97% (April 2026) → 23,7% (Juni 2026). SBN 10Y spike 7,446% menambah erosion ~1,1 pp CAR (FSAP nexus: 6yr duration × 20% SBN/aset). CAR mendekati comfort zone → bank lebih defensif.</w:t>
      </w:r>
    </w:p>
    <w:p>
      <w:pPr>
        <w:pStyle w:val="FirstParagraph"/>
      </w:pPr>
      <w:r>
        <w:rPr>
          <w:b/>
          <w:bCs/>
        </w:rPr>
        <w:t xml:space="preserve">Segmen MPL yang paling rentan Q2: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 BUMN:</w:t>
      </w:r>
      <w:r>
        <w:t xml:space="preserve"> </w:t>
      </w:r>
      <w:r>
        <w:t xml:space="preserve">relatif aman (captive PNS payroll), tapi real wage PNS erosi karena IDR lemah dan inflasi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 BUMS:</w:t>
      </w:r>
      <w:r>
        <w:t xml:space="preserve"> </w:t>
      </w:r>
      <w:r>
        <w:t xml:space="preserve">defensif, tighten underwriting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Multifinance non-captive:</w:t>
      </w:r>
      <w:r>
        <w:t xml:space="preserve"> </w:t>
      </w:r>
      <w:r>
        <w:t xml:space="preserve">paling vulnerable, funding 91% dari bank yang sedang tighten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Pindar:</w:t>
      </w:r>
      <w:r>
        <w:t xml:space="preserve"> </w:t>
      </w:r>
      <w:r>
        <w:t xml:space="preserve">regulatory pressure dari OJK, beberapa platform exit atau konsolidasi</w:t>
      </w:r>
    </w:p>
    <w:p>
      <w:r>
        <w:pict>
          <v:rect style="width:0;height:1.5pt" o:hralign="center" o:hrstd="t" o:hr="t"/>
        </w:pict>
      </w:r>
    </w:p>
    <w:bookmarkEnd w:id="30"/>
    <w:bookmarkStart w:id="31" w:name="X6ec62e8bc21e25638539d603dfc0037d483a765"/>
    <w:p>
      <w:pPr>
        <w:pStyle w:val="Heading3"/>
      </w:pPr>
      <w:r>
        <w:t xml:space="preserve">Q3 2027 (Juli–September) — Fase</w:t>
      </w:r>
      <w:r>
        <w:t xml:space="preserve"> </w:t>
      </w:r>
      <w:r>
        <w:t xml:space="preserve">“Data Reality Check + Rate Inflection Signal”</w:t>
      </w:r>
    </w:p>
    <w:p>
      <w:pPr>
        <w:pStyle w:val="FirstParagraph"/>
      </w:pPr>
      <w:r>
        <w:rPr>
          <w:b/>
          <w:bCs/>
        </w:rPr>
        <w:t xml:space="preserve">Narasi makro:</w:t>
      </w:r>
      <w:r>
        <w:t xml:space="preserve"> </w:t>
      </w:r>
      <w:r>
        <w:t xml:space="preserve">BPS data pengangguran Februari 2027 dipublikasi Mei 2027 (4,9–5,2% proyeksi) → sentiment negatif. MSCI final decision 30 Juni 2027 → implementasi September–Desember 2027 mulai.</w:t>
      </w:r>
    </w:p>
    <w:p>
      <w:pPr>
        <w:pStyle w:val="BodyText"/>
      </w:pPr>
      <w:r>
        <w:rPr>
          <w:b/>
          <w:bCs/>
        </w:rPr>
        <w:t xml:space="preserve">Employment reality terkonfirmasi:</w:t>
      </w:r>
    </w:p>
    <w:p>
      <w:pPr>
        <w:pStyle w:val="Compact"/>
        <w:numPr>
          <w:ilvl w:val="0"/>
          <w:numId w:val="1012"/>
        </w:numPr>
      </w:pPr>
      <w:r>
        <w:t xml:space="preserve">BPS unemployment Feb 2027 (published Mei 2027):</w:t>
      </w:r>
      <w:r>
        <w:t xml:space="preserve"> </w:t>
      </w:r>
      <w:r>
        <w:rPr>
          <w:b/>
          <w:bCs/>
        </w:rPr>
        <w:t xml:space="preserve">4,9–5,2%</w:t>
      </w:r>
      <w:r>
        <w:t xml:space="preserve"> </w:t>
      </w:r>
      <w:r>
        <w:t xml:space="preserve">(dari 4,68% Agustus 2026)</w:t>
      </w:r>
    </w:p>
    <w:p>
      <w:pPr>
        <w:pStyle w:val="Compact"/>
        <w:numPr>
          <w:ilvl w:val="0"/>
          <w:numId w:val="1012"/>
        </w:numPr>
      </w:pPr>
      <w:r>
        <w:t xml:space="preserve">IKK Consumer Confidence: proyeksi</w:t>
      </w:r>
      <w:r>
        <w:t xml:space="preserve"> </w:t>
      </w:r>
      <w:r>
        <w:rPr>
          <w:b/>
          <w:bCs/>
        </w:rPr>
        <w:t xml:space="preserve">108–112</w:t>
      </w:r>
      <w:r>
        <w:t xml:space="preserve"> </w:t>
      </w:r>
      <w:r>
        <w:t xml:space="preserve">(masih di atas 100 tapi mendekati stagnasi)</w:t>
      </w:r>
    </w:p>
    <w:p>
      <w:pPr>
        <w:pStyle w:val="Compact"/>
        <w:numPr>
          <w:ilvl w:val="0"/>
          <w:numId w:val="1012"/>
        </w:numPr>
      </w:pPr>
      <w:r>
        <w:t xml:space="preserve">Household saving ratio: risiko turun ke</w:t>
      </w:r>
      <w:r>
        <w:t xml:space="preserve"> </w:t>
      </w:r>
      <w:r>
        <w:rPr>
          <w:b/>
          <w:bCs/>
        </w:rPr>
        <w:t xml:space="preserve">15,5–16,5%</w:t>
      </w:r>
      <w:r>
        <w:t xml:space="preserve"> </w:t>
      </w:r>
      <w:r>
        <w:t xml:space="preserve">— zona deplesi buffer</w:t>
      </w:r>
    </w:p>
    <w:p>
      <w:pPr>
        <w:pStyle w:val="FirstParagraph"/>
      </w:pPr>
      <w:r>
        <w:rPr>
          <w:b/>
          <w:bCs/>
        </w:rPr>
        <w:t xml:space="preserve">Permintaan MPL Q3: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Q3 2027 Proyeksi</w:t>
            </w:r>
          </w:p>
        </w:tc>
        <w:tc>
          <w:tcPr/>
          <w:p>
            <w:pPr>
              <w:pStyle w:val="Compact"/>
            </w:pPr>
            <w:r>
              <w:t xml:space="preserve">Pendorong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Kredit Konsumsi growth</w:t>
            </w:r>
          </w:p>
        </w:tc>
        <w:tc>
          <w:tcPr/>
          <w:p>
            <w:pPr>
              <w:pStyle w:val="Compact"/>
            </w:pPr>
            <w:r>
              <w:t xml:space="preserve">2,5–3,5%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3,0–4,0%</w:t>
            </w:r>
          </w:p>
        </w:tc>
        <w:tc>
          <w:tcPr/>
          <w:p>
            <w:pPr>
              <w:pStyle w:val="Compact"/>
            </w:pPr>
            <w:r>
              <w:t xml:space="preserve">Sedikit recovery, base effect rendah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NPL Konsumsi</w:t>
            </w:r>
          </w:p>
        </w:tc>
        <w:tc>
          <w:tcPr/>
          <w:p>
            <w:pPr>
              <w:pStyle w:val="Compact"/>
            </w:pPr>
            <w:r>
              <w:t xml:space="preserve">2,6–3,0%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2,5–2,8%</w:t>
            </w:r>
          </w:p>
        </w:tc>
        <w:tc>
          <w:tcPr/>
          <w:p>
            <w:pPr>
              <w:pStyle w:val="Compact"/>
            </w:pPr>
            <w:r>
              <w:t xml:space="preserve">Mulai stabilize jika tidak ada PHK wave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KPR NPL</w:t>
            </w:r>
          </w:p>
        </w:tc>
        <w:tc>
          <w:tcPr/>
          <w:p>
            <w:pPr>
              <w:pStyle w:val="Compact"/>
            </w:pPr>
            <w:r>
              <w:t xml:space="preserve">3,8–4,2%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3,8–4,2%</w:t>
            </w:r>
          </w:p>
        </w:tc>
        <w:tc>
          <w:tcPr/>
          <w:p>
            <w:pPr>
              <w:pStyle w:val="Compact"/>
            </w:pPr>
            <w:r>
              <w:t xml:space="preserve">Sticky, recovery lambat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5,5–6,2%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t xml:space="preserve">Stabilize jika OJK tighten 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Multiguna</w:t>
            </w:r>
          </w:p>
        </w:tc>
        <w:tc>
          <w:tcPr/>
          <w:p>
            <w:pPr>
              <w:pStyle w:val="Compact"/>
            </w:pPr>
            <w:r>
              <w:t xml:space="preserve">5,0–5,8%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4,8–5,5%</w:t>
            </w:r>
          </w:p>
        </w:tc>
        <w:tc>
          <w:tcPr/>
          <w:p>
            <w:pPr>
              <w:pStyle w:val="Compact"/>
            </w:pPr>
            <w:r>
              <w:t xml:space="preserve">Gradual recovery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BI Rate trajectory Q3:</w:t>
      </w:r>
    </w:p>
    <w:p>
      <w:pPr>
        <w:pStyle w:val="BodyText"/>
      </w:pPr>
      <w:r>
        <w:t xml:space="preserve">BI terjebak antara dua skenario: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Skenario potong (base case kondisi ideal):</w:t>
      </w:r>
      <w:r>
        <w:t xml:space="preserve"> </w:t>
      </w:r>
      <w:r>
        <w:t xml:space="preserve">Inflasi terkendali 2,5–3% + IDR stabil sub-18.000 + Fed mulai easing → BI potong</w:t>
      </w:r>
      <w:r>
        <w:t xml:space="preserve"> </w:t>
      </w:r>
      <w:r>
        <w:rPr>
          <w:b/>
          <w:bCs/>
        </w:rPr>
        <w:t xml:space="preserve">25 bps ke 5,50%</w:t>
      </w:r>
      <w:r>
        <w:t xml:space="preserve"> </w:t>
      </w:r>
      <w:r>
        <w:t xml:space="preserve">Q3 2027. Pass-through ke bunga kredit konsumsi: −15 bps (partial). Demand sedikit recovery.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Skenario tahan (stress case):</w:t>
      </w:r>
      <w:r>
        <w:t xml:space="preserve"> </w:t>
      </w:r>
      <w:r>
        <w:t xml:space="preserve">IDR masih 18.000+ + Brent $100+ + MSCI outflow aktif → BI pertahankan 5,75%. Kredit konsumsi 13,45%+ terus → demand tertekan.</w:t>
      </w:r>
    </w:p>
    <w:p>
      <w:pPr>
        <w:pStyle w:val="FirstParagraph"/>
      </w:pPr>
      <w:r>
        <w:rPr>
          <w:i/>
          <w:iCs/>
        </w:rPr>
        <w:t xml:space="preserve">Probabilitas skenario potong Q3 2027: ~35–40% (bergantung kondisi global dan IDR stabilization).</w:t>
      </w:r>
    </w:p>
    <w:p>
      <w:pPr>
        <w:pStyle w:val="BodyText"/>
      </w:pPr>
      <w:r>
        <w:rPr>
          <w:b/>
          <w:bCs/>
        </w:rPr>
        <w:t xml:space="preserve">Deindustrialisasi struktural — risiko kritis:</w:t>
      </w:r>
    </w:p>
    <w:p>
      <w:pPr>
        <w:pStyle w:val="BodyText"/>
      </w:pPr>
      <w:r>
        <w:t xml:space="preserve">PMI Manufaktur 46,9 (Juni 2026) bukan cyclical dip semata. Jika berlanjut ke 2027:</w:t>
      </w:r>
      <w:r>
        <w:t xml:space="preserve"> </w:t>
      </w:r>
      <w:r>
        <w:t xml:space="preserve">- Tidak ada penyerapan tenaga kerja formal baru → PHK tidak ter-replace</w:t>
      </w:r>
      <w:r>
        <w:t xml:space="preserve"> </w:t>
      </w:r>
      <w:r>
        <w:t xml:space="preserve">- MPL defaults tidak recovery karena income tidak pulih</w:t>
      </w:r>
      <w:r>
        <w:t xml:space="preserve"> </w:t>
      </w:r>
      <w:r>
        <w:t xml:space="preserve">- Middle class</w:t>
      </w:r>
      <w:r>
        <w:t xml:space="preserve"> </w:t>
      </w:r>
      <w:r>
        <w:t xml:space="preserve">“downgrade hidup”</w:t>
      </w:r>
      <w:r>
        <w:t xml:space="preserve"> </w:t>
      </w:r>
      <w:r>
        <w:t xml:space="preserve">permanen untuk sebagian segmen</w:t>
      </w:r>
    </w:p>
    <w:p>
      <w:r>
        <w:pict>
          <v:rect style="width:0;height:1.5pt" o:hralign="center" o:hrstd="t" o:hr="t"/>
        </w:pict>
      </w:r>
    </w:p>
    <w:bookmarkEnd w:id="31"/>
    <w:bookmarkStart w:id="32" w:name="X5cfd843f5a3f968a578756130d9504d9a2e661c"/>
    <w:p>
      <w:pPr>
        <w:pStyle w:val="Heading3"/>
      </w:pPr>
      <w:r>
        <w:t xml:space="preserve">Q4 2027 (Oktober–Desember) — Fase</w:t>
      </w:r>
      <w:r>
        <w:t xml:space="preserve"> </w:t>
      </w:r>
      <w:r>
        <w:t xml:space="preserve">“MSCI Implementation + Siklus Suku Bunga Inflection”</w:t>
      </w:r>
    </w:p>
    <w:p>
      <w:pPr>
        <w:pStyle w:val="FirstParagraph"/>
      </w:pPr>
      <w:r>
        <w:rPr>
          <w:b/>
          <w:bCs/>
        </w:rPr>
        <w:t xml:space="preserve">Narasi makro:</w:t>
      </w:r>
      <w:r>
        <w:t xml:space="preserve"> </w:t>
      </w:r>
      <w:r>
        <w:t xml:space="preserve">MSCI Standalone efektif September–Desember 2027. Passive fund rebalancing triggered. Potensi cut suku bunga BI pertama.</w:t>
      </w:r>
    </w:p>
    <w:p>
      <w:pPr>
        <w:pStyle w:val="BodyText"/>
      </w:pPr>
      <w:r>
        <w:rPr>
          <w:b/>
          <w:bCs/>
        </w:rPr>
        <w:t xml:space="preserve">MSCI passive outflow impact:</w:t>
      </w:r>
    </w:p>
    <w:p>
      <w:pPr>
        <w:pStyle w:val="Compact"/>
        <w:numPr>
          <w:ilvl w:val="0"/>
          <w:numId w:val="1014"/>
        </w:numPr>
      </w:pPr>
      <w:r>
        <w:t xml:space="preserve">Estimasi outflow:</w:t>
      </w:r>
      <w:r>
        <w:t xml:space="preserve"> </w:t>
      </w:r>
      <w:r>
        <w:rPr>
          <w:b/>
          <w:bCs/>
        </w:rPr>
        <w:t xml:space="preserve">$3–15 miliar</w:t>
      </w:r>
      <w:r>
        <w:t xml:space="preserve"> </w:t>
      </w:r>
      <w:r>
        <w:t xml:space="preserve">(range Dexter M5 engine)</w:t>
      </w:r>
    </w:p>
    <w:p>
      <w:pPr>
        <w:pStyle w:val="Compact"/>
        <w:numPr>
          <w:ilvl w:val="0"/>
          <w:numId w:val="1014"/>
        </w:numPr>
      </w:pPr>
      <w:r>
        <w:t xml:space="preserve">IHSG volume turun, market depth berkurang</w:t>
      </w:r>
    </w:p>
    <w:p>
      <w:pPr>
        <w:pStyle w:val="Compact"/>
        <w:numPr>
          <w:ilvl w:val="0"/>
          <w:numId w:val="1014"/>
        </w:numPr>
      </w:pPr>
      <w:r>
        <w:t xml:space="preserve">IHSG floor model (Thread 24 two-sided market): PE reversion</w:t>
      </w:r>
    </w:p>
    <w:p>
      <w:pPr>
        <w:pStyle w:val="Compact"/>
        <w:numPr>
          <w:ilvl w:val="1"/>
          <w:numId w:val="1015"/>
        </w:numPr>
      </w:pPr>
      <w:r>
        <w:t xml:space="preserve">P(reversal) 15% × PE 12x + P(downgrade) 85% × PE 5,5x =</w:t>
      </w:r>
      <w:r>
        <w:t xml:space="preserve"> </w:t>
      </w:r>
      <w:r>
        <w:rPr>
          <w:b/>
          <w:bCs/>
        </w:rPr>
        <w:t xml:space="preserve">weighted PE ~6,5x</w:t>
      </w:r>
    </w:p>
    <w:p>
      <w:pPr>
        <w:pStyle w:val="Compact"/>
        <w:numPr>
          <w:ilvl w:val="1"/>
          <w:numId w:val="1015"/>
        </w:numPr>
      </w:pPr>
      <w:r>
        <w:t xml:space="preserve">IHSG floor: ~</w:t>
      </w:r>
      <w:r>
        <w:rPr>
          <w:b/>
          <w:bCs/>
        </w:rPr>
        <w:t xml:space="preserve">4.400</w:t>
      </w:r>
      <w:r>
        <w:t xml:space="preserve"> </w:t>
      </w:r>
      <w:r>
        <w:t xml:space="preserve">(−16% dari 5.234 baseline Oktober)</w:t>
      </w:r>
    </w:p>
    <w:p>
      <w:pPr>
        <w:pStyle w:val="Compact"/>
        <w:numPr>
          <w:ilvl w:val="1"/>
          <w:numId w:val="1015"/>
        </w:numPr>
      </w:pPr>
      <w:r>
        <w:t xml:space="preserve">Stress case:</w:t>
      </w:r>
      <w:r>
        <w:t xml:space="preserve"> </w:t>
      </w:r>
      <w:r>
        <w:rPr>
          <w:b/>
          <w:bCs/>
        </w:rPr>
        <w:t xml:space="preserve">3.800–4.200</w:t>
      </w:r>
      <w:r>
        <w:t xml:space="preserve"> </w:t>
      </w:r>
      <w:r>
        <w:t xml:space="preserve">jika outflow full</w:t>
      </w:r>
    </w:p>
    <w:p>
      <w:pPr>
        <w:pStyle w:val="FirstParagraph"/>
      </w:pPr>
      <w:r>
        <w:rPr>
          <w:b/>
          <w:bCs/>
        </w:rPr>
        <w:t xml:space="preserve">MPL demand Q4 recovery prerequisites:</w:t>
      </w:r>
    </w:p>
    <w:p>
      <w:pPr>
        <w:pStyle w:val="Compact"/>
        <w:numPr>
          <w:ilvl w:val="0"/>
          <w:numId w:val="1016"/>
        </w:numPr>
      </w:pPr>
      <w:r>
        <w:t xml:space="preserve">Pengangguran turun → butuh PMI manufaktur &gt;50 sustained (</w:t>
      </w:r>
      <w:r>
        <w:rPr>
          <w:b/>
          <w:bCs/>
        </w:rPr>
        <w:t xml:space="preserve">belum terlihat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BBM hike sudah terserap (jika terjadi) → purchasing power adjustment 6–12 bulan</w:t>
      </w:r>
    </w:p>
    <w:p>
      <w:pPr>
        <w:pStyle w:val="Compact"/>
        <w:numPr>
          <w:ilvl w:val="0"/>
          <w:numId w:val="1016"/>
        </w:numPr>
      </w:pPr>
      <w:r>
        <w:t xml:space="preserve">IDR stabil sub-18.000 → import inflation terkendali</w:t>
      </w:r>
    </w:p>
    <w:p>
      <w:pPr>
        <w:pStyle w:val="Compact"/>
        <w:numPr>
          <w:ilvl w:val="0"/>
          <w:numId w:val="1016"/>
        </w:numPr>
      </w:pPr>
      <w:r>
        <w:t xml:space="preserve">BI Rate cut → bunga kredit konsumsi turun dari 13,45%</w:t>
      </w:r>
    </w:p>
    <w:p>
      <w:pPr>
        <w:pStyle w:val="FirstParagraph"/>
      </w:pPr>
      <w:r>
        <w:rPr>
          <w:b/>
          <w:bCs/>
        </w:rPr>
        <w:t xml:space="preserve">Proyeksi Q4: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KK Growth</w:t>
            </w:r>
          </w:p>
        </w:tc>
        <w:tc>
          <w:tcPr/>
          <w:p>
            <w:pPr>
              <w:pStyle w:val="Compact"/>
            </w:pPr>
            <w:r>
              <w:t xml:space="preserve">NPL Konsumsi</w:t>
            </w:r>
          </w:p>
        </w:tc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5–6%</w:t>
            </w:r>
          </w:p>
        </w:tc>
        <w:tc>
          <w:tcPr/>
          <w:p>
            <w:pPr>
              <w:pStyle w:val="Compact"/>
            </w:pPr>
            <w:r>
              <w:t xml:space="preserve">2,3–2,8%</w:t>
            </w:r>
          </w:p>
        </w:tc>
        <w:tc>
          <w:tcPr/>
          <w:p>
            <w:pPr>
              <w:pStyle w:val="Compact"/>
            </w:pPr>
            <w:r>
              <w:t xml:space="preserve">4,5–5,0%</w:t>
            </w:r>
          </w:p>
        </w:tc>
        <w:tc>
          <w:tcPr/>
          <w:p>
            <w:pPr>
              <w:pStyle w:val="Compact"/>
            </w:pPr>
            <w:r>
              <w:t xml:space="preserve">BI cut 25bps, BBM terabsorb, MSCI priced-in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case</w:t>
            </w:r>
          </w:p>
        </w:tc>
        <w:tc>
          <w:tcPr/>
          <w:p>
            <w:pPr>
              <w:pStyle w:val="Compact"/>
            </w:pPr>
            <w:r>
              <w:t xml:space="preserve">1–2%</w:t>
            </w:r>
          </w:p>
        </w:tc>
        <w:tc>
          <w:tcPr/>
          <w:p>
            <w:pPr>
              <w:pStyle w:val="Compact"/>
            </w:pPr>
            <w:r>
              <w:t xml:space="preserve">2,8–3,2%</w:t>
            </w:r>
          </w:p>
        </w:tc>
        <w:tc>
          <w:tcPr/>
          <w:p>
            <w:pPr>
              <w:pStyle w:val="Compact"/>
            </w:pPr>
            <w:r>
              <w:t xml:space="preserve">5,0–5,5%</w:t>
            </w:r>
          </w:p>
        </w:tc>
        <w:tc>
          <w:tcPr/>
          <w:p>
            <w:pPr>
              <w:pStyle w:val="Compact"/>
            </w:pPr>
            <w:r>
              <w:t xml:space="preserve">BI hold, BBM hike Q1 efek, MSCI outflow penuh</w:t>
            </w:r>
          </w:p>
        </w:tc>
      </w:tr>
    </w:tbl>
    <w:p>
      <w:pPr>
        <w:pStyle w:val="BodyText"/>
      </w:pPr>
      <w:r>
        <w:rPr>
          <w:b/>
          <w:bCs/>
        </w:rPr>
        <w:t xml:space="preserve">Konsolidasi fintech/pindar Q4:</w:t>
      </w:r>
    </w:p>
    <w:p>
      <w:pPr>
        <w:pStyle w:val="BodyText"/>
      </w:pPr>
      <w:r>
        <w:t xml:space="preserve">18 platform pindar sudah di atas 5% TWP90 per Juli 2026. OJK akan regulatory action:</w:t>
      </w:r>
      <w:r>
        <w:t xml:space="preserve"> </w:t>
      </w:r>
      <w:r>
        <w:t xml:space="preserve">- Beberapa platform exit atau merger</w:t>
      </w:r>
      <w:r>
        <w:t xml:space="preserve"> </w:t>
      </w:r>
      <w:r>
        <w:t xml:space="preserve">- Credit scoring perketat → outstanding growth melambat drastis ke 8–12% yoy</w:t>
      </w:r>
      <w:r>
        <w:t xml:space="preserve"> </w:t>
      </w:r>
      <w:r>
        <w:t xml:space="preserve">- Remaining platforms lebih sehat, TWP90 turun ke 4,5–5,0%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isiko-sistemik-bom-waktu-assessment"/>
    <w:p>
      <w:pPr>
        <w:pStyle w:val="Heading2"/>
      </w:pPr>
      <w:r>
        <w:t xml:space="preserve">5. Risiko Sistemik:</w:t>
      </w:r>
      <w:r>
        <w:t xml:space="preserve"> </w:t>
      </w:r>
      <w:r>
        <w:t xml:space="preserve">“Bom Waktu”</w:t>
      </w:r>
      <w:r>
        <w:t xml:space="preserve"> </w:t>
      </w:r>
      <w:r>
        <w:t xml:space="preserve">Assessment</w:t>
      </w:r>
    </w:p>
    <w:bookmarkStart w:id="34" w:name="framework-celios-nailul-huda-juli-2026"/>
    <w:p>
      <w:pPr>
        <w:pStyle w:val="Heading3"/>
      </w:pPr>
      <w:r>
        <w:t xml:space="preserve">5.1 Framework CELIOS (Nailul Huda, Juli 2026)</w:t>
      </w:r>
    </w:p>
    <w:p>
      <w:pPr>
        <w:pStyle w:val="BlockText"/>
      </w:pPr>
      <w:r>
        <w:rPr>
          <w:i/>
          <w:iCs/>
        </w:rPr>
        <w:t xml:space="preserve">“Pertumbuhan penyaluran yang masih masif [+22% pindar], penurunan TWP musiman pendek, PHK masif Juni 2026 — saya khawatir gagal bayar akan jadi bom waktu.”</w:t>
      </w:r>
    </w:p>
    <w:p>
      <w:pPr>
        <w:pStyle w:val="FirstParagraph"/>
      </w:pPr>
      <w:r>
        <w:rPr>
          <w:b/>
          <w:bCs/>
        </w:rPr>
        <w:t xml:space="preserve">Tiga kondisi bom waktu: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Kondisi</w:t>
            </w:r>
          </w:p>
        </w:tc>
        <w:tc>
          <w:tcPr/>
          <w:p>
            <w:pPr>
              <w:pStyle w:val="Compact"/>
            </w:pPr>
            <w:r>
              <w:t xml:space="preserve">Status Oktober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Penyaluran masif tanpa quality anchor</w:t>
            </w:r>
          </w:p>
        </w:tc>
        <w:tc>
          <w:tcPr/>
          <w:p>
            <w:pPr>
              <w:pStyle w:val="Compact"/>
            </w:pPr>
            <w:r>
              <w:t xml:space="preserve">✅ BNPL +37%, pindar +22%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stagnasi/turun</w:t>
            </w:r>
          </w:p>
        </w:tc>
        <w:tc>
          <w:tcPr/>
          <w:p>
            <w:pPr>
              <w:pStyle w:val="Compact"/>
            </w:pPr>
            <w:r>
              <w:t xml:space="preserve">✅ IKK turun, saving ratio turun, PHK naik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Tidak ada penyerapan tenaga kerja baru</w:t>
            </w:r>
          </w:p>
        </w:tc>
        <w:tc>
          <w:tcPr/>
          <w:p>
            <w:pPr>
              <w:pStyle w:val="Compact"/>
            </w:pPr>
            <w:r>
              <w:t xml:space="preserve">✅ PMI 46,9 kontraksi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Semua tiga kondisi terpenuhi. Bom waktu aktif — tapi</w:t>
      </w:r>
      <w:r>
        <w:t xml:space="preserve"> </w:t>
      </w:r>
      <w:r>
        <w:rPr>
          <w:b/>
          <w:bCs/>
        </w:rPr>
        <w:t xml:space="preserve">detonasi bertahap</w:t>
      </w:r>
      <w:r>
        <w:t xml:space="preserve"> </w:t>
      </w:r>
      <w:r>
        <w:t xml:space="preserve">(bukan ledakan sekaligus seperti 1998), karena:</w:t>
      </w:r>
      <w:r>
        <w:t xml:space="preserve"> </w:t>
      </w:r>
      <w:r>
        <w:t xml:space="preserve">- Bank CAR masih 26,5% (buffer besar)</w:t>
      </w:r>
      <w:r>
        <w:t xml:space="preserve"> </w:t>
      </w:r>
      <w:r>
        <w:t xml:space="preserve">- NPL 2,10% masih jauh dari 5% threshold</w:t>
      </w:r>
      <w:r>
        <w:t xml:space="preserve"> </w:t>
      </w:r>
      <w:r>
        <w:t xml:space="preserve">- Restrukturisasi kredit OJK tersedia sebagai mekanisme katup</w:t>
      </w:r>
    </w:p>
    <w:bookmarkEnd w:id="34"/>
    <w:bookmarkStart w:id="35" w:name="Xa23ec7788465c4b80097fa0e4472b0b8c808462"/>
    <w:p>
      <w:pPr>
        <w:pStyle w:val="Heading3"/>
      </w:pPr>
      <w:r>
        <w:t xml:space="preserve">5.2 Feedback Loop: Bank Tighten → Multifinance Squeezed</w:t>
      </w:r>
    </w:p>
    <w:p>
      <w:pPr>
        <w:pStyle w:val="SourceCode"/>
      </w:pPr>
      <w:r>
        <w:rPr>
          <w:rStyle w:val="VerbatimChar"/>
        </w:rPr>
        <w:t xml:space="preserve">SBN yield naik (7,446%) </w:t>
      </w:r>
      <w:r>
        <w:br/>
      </w:r>
      <w:r>
        <w:rPr>
          <w:rStyle w:val="VerbatimChar"/>
        </w:rPr>
        <w:t xml:space="preserve">    → CAR bank erosi (FSAP: −1,1 pp)</w:t>
      </w:r>
      <w:r>
        <w:br/>
      </w:r>
      <w:r>
        <w:rPr>
          <w:rStyle w:val="VerbatimChar"/>
        </w:rPr>
        <w:t xml:space="preserve">    → Bank tighten lending ke multifinance (91% funding)</w:t>
      </w:r>
      <w:r>
        <w:br/>
      </w:r>
      <w:r>
        <w:rPr>
          <w:rStyle w:val="VerbatimChar"/>
        </w:rPr>
        <w:t xml:space="preserve">    → Multifinance cost of funds naik</w:t>
      </w:r>
      <w:r>
        <w:br/>
      </w:r>
      <w:r>
        <w:rPr>
          <w:rStyle w:val="VerbatimChar"/>
        </w:rPr>
        <w:t xml:space="preserve">    → Bunga multiguna multifinance naik</w:t>
      </w:r>
      <w:r>
        <w:br/>
      </w:r>
      <w:r>
        <w:rPr>
          <w:rStyle w:val="VerbatimChar"/>
        </w:rPr>
        <w:t xml:space="preserve">    → Kemampuan bayar debitur turun</w:t>
      </w:r>
      <w:r>
        <w:br/>
      </w:r>
      <w:r>
        <w:rPr>
          <w:rStyle w:val="VerbatimChar"/>
        </w:rPr>
        <w:t xml:space="preserve">    → NPF multifinance naik</w:t>
      </w:r>
      <w:r>
        <w:br/>
      </w:r>
      <w:r>
        <w:rPr>
          <w:rStyle w:val="VerbatimChar"/>
        </w:rPr>
        <w:t xml:space="preserve">    → Bank provisioning naik lebih</w:t>
      </w:r>
      <w:r>
        <w:br/>
      </w:r>
      <w:r>
        <w:rPr>
          <w:rStyle w:val="VerbatimChar"/>
        </w:rPr>
        <w:t xml:space="preserve">    → [loop]</w:t>
      </w:r>
    </w:p>
    <w:p>
      <w:pPr>
        <w:pStyle w:val="FirstParagraph"/>
      </w:pPr>
      <w:r>
        <w:t xml:space="preserve">Kondisi ini</w:t>
      </w:r>
      <w:r>
        <w:t xml:space="preserve"> </w:t>
      </w:r>
      <w:r>
        <w:rPr>
          <w:b/>
          <w:bCs/>
        </w:rPr>
        <w:t xml:space="preserve">baru mulai</w:t>
      </w:r>
      <w:r>
        <w:t xml:space="preserve"> </w:t>
      </w:r>
      <w:r>
        <w:t xml:space="preserve">dan akan memuncak Q2–Q3 2027.</w:t>
      </w:r>
    </w:p>
    <w:bookmarkEnd w:id="35"/>
    <w:bookmarkStart w:id="36" w:name="segmentasi-risiko-2027-skala-15"/>
    <w:p>
      <w:pPr>
        <w:pStyle w:val="Heading3"/>
      </w:pPr>
      <w:r>
        <w:t xml:space="preserve">5.3 Segmentasi Risiko 2027 (Skala 1–5)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</w:t>
            </w:r>
          </w:p>
        </w:tc>
        <w:tc>
          <w:tcPr/>
          <w:p>
            <w:pPr>
              <w:pStyle w:val="Compact"/>
            </w:pPr>
            <w:r>
              <w:t xml:space="preserve">Risiko 2027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BNPL Banking</w:t>
            </w:r>
          </w:p>
        </w:tc>
        <w:tc>
          <w:tcPr/>
          <w:p>
            <w:pPr>
              <w:pStyle w:val="Compact"/>
            </w:pPr>
            <w:r>
              <w:t xml:space="preserve">⬛⬛⬛⬛⬛ 5/5</w:t>
            </w:r>
          </w:p>
        </w:tc>
        <w:tc>
          <w:tcPr/>
          <w:p>
            <w:pPr>
              <w:pStyle w:val="Compact"/>
            </w:pPr>
            <w:r>
              <w:t xml:space="preserve">No collateral, +37% yoy, youth, no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Multiguna</w:t>
            </w:r>
          </w:p>
        </w:tc>
        <w:tc>
          <w:tcPr/>
          <w:p>
            <w:pPr>
              <w:pStyle w:val="Compact"/>
            </w:pPr>
            <w:r>
              <w:t xml:space="preserve">⬛⬛⬛⬛⬛ 5/5</w:t>
            </w:r>
          </w:p>
        </w:tc>
        <w:tc>
          <w:tcPr/>
          <w:p>
            <w:pPr>
              <w:pStyle w:val="Compact"/>
            </w:pPr>
            <w:r>
              <w:t xml:space="preserve">TWP90 4,73%→6%+, income stagnasi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KTA Perbankan</w:t>
            </w:r>
          </w:p>
        </w:tc>
        <w:tc>
          <w:tcPr/>
          <w:p>
            <w:pPr>
              <w:pStyle w:val="Compact"/>
            </w:pPr>
            <w:r>
              <w:t xml:space="preserve">⬛⬛⬛⬛□ 4/5</w:t>
            </w:r>
          </w:p>
        </w:tc>
        <w:tc>
          <w:tcPr/>
          <w:p>
            <w:pPr>
              <w:pStyle w:val="Compact"/>
            </w:pPr>
            <w:r>
              <w:t xml:space="preserve">No collateral, bunga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Multiguna Multifinance</w:t>
            </w:r>
          </w:p>
        </w:tc>
        <w:tc>
          <w:tcPr/>
          <w:p>
            <w:pPr>
              <w:pStyle w:val="Compact"/>
            </w:pPr>
            <w:r>
              <w:t xml:space="preserve">⬛⬛⬛⬛□ 4/5</w:t>
            </w:r>
          </w:p>
        </w:tc>
        <w:tc>
          <w:tcPr/>
          <w:p>
            <w:pPr>
              <w:pStyle w:val="Compact"/>
            </w:pPr>
            <w:r>
              <w:t xml:space="preserve">91% bank-funded, funding cost naik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KKB</w:t>
            </w:r>
          </w:p>
        </w:tc>
        <w:tc>
          <w:tcPr/>
          <w:p>
            <w:pPr>
              <w:pStyle w:val="Compact"/>
            </w:pPr>
            <w:r>
              <w:t xml:space="preserve">⬛⬛⬛□□ 3/5</w:t>
            </w:r>
          </w:p>
        </w:tc>
        <w:tc>
          <w:tcPr/>
          <w:p>
            <w:pPr>
              <w:pStyle w:val="Compact"/>
            </w:pPr>
            <w:r>
              <w:t xml:space="preserve">Aset bisa disita, tapi nilai residu turun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KPR</w:t>
            </w:r>
          </w:p>
        </w:tc>
        <w:tc>
          <w:tcPr/>
          <w:p>
            <w:pPr>
              <w:pStyle w:val="Compact"/>
            </w:pPr>
            <w:r>
              <w:t xml:space="preserve">⬛⬛□□□ 2/5</w:t>
            </w:r>
          </w:p>
        </w:tc>
        <w:tc>
          <w:tcPr/>
          <w:p>
            <w:pPr>
              <w:pStyle w:val="Compact"/>
            </w:pPr>
            <w:r>
              <w:t xml:space="preserve">Debitur prioritaskan bayar, LTV 100% diperpanjang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Multiguna PNS-backed</w:t>
            </w:r>
          </w:p>
        </w:tc>
        <w:tc>
          <w:tcPr/>
          <w:p>
            <w:pPr>
              <w:pStyle w:val="Compact"/>
            </w:pPr>
            <w:r>
              <w:t xml:space="preserve">⬛□□□□ 1/5</w:t>
            </w:r>
          </w:p>
        </w:tc>
        <w:tc>
          <w:tcPr/>
          <w:p>
            <w:pPr>
              <w:pStyle w:val="Compact"/>
            </w:pPr>
            <w:r>
              <w:t xml:space="preserve">Payroll deduction, relatif stabil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implikasi-kebijakan-monitoring-framework"/>
    <w:p>
      <w:pPr>
        <w:pStyle w:val="Heading2"/>
      </w:pPr>
      <w:r>
        <w:t xml:space="preserve">6. Implikasi Kebijakan &amp; Monitoring Framework</w:t>
      </w:r>
    </w:p>
    <w:bookmarkStart w:id="38" w:name="X03e8a5879c35b4400d6ee618ee1e4759fd8019f"/>
    <w:p>
      <w:pPr>
        <w:pStyle w:val="Heading3"/>
      </w:pPr>
      <w:r>
        <w:t xml:space="preserve">6.1 Indikator Peringatan Dini (Monitor Setiap Bulan)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</w:pPr>
            <w:r>
              <w:t xml:space="preserve">Threshold Waspada</w:t>
            </w:r>
          </w:p>
        </w:tc>
        <w:tc>
          <w:tcPr/>
          <w:p>
            <w:pPr>
              <w:pStyle w:val="Compact"/>
            </w:pPr>
            <w:r>
              <w:t xml:space="preserve">Threshold Kritis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LAR</w:t>
            </w:r>
          </w:p>
        </w:tc>
        <w:tc>
          <w:tcPr/>
          <w:p>
            <w:pPr>
              <w:pStyle w:val="Compact"/>
            </w:pPr>
            <w:r>
              <w:t xml:space="preserve">&gt;9,5%</w:t>
            </w:r>
          </w:p>
        </w:tc>
        <w:tc>
          <w:tcPr/>
          <w:p>
            <w:pPr>
              <w:pStyle w:val="Compact"/>
            </w:pPr>
            <w:r>
              <w:t xml:space="preserve">&gt;11%</w:t>
            </w:r>
          </w:p>
        </w:tc>
        <w:tc>
          <w:tcPr/>
          <w:p>
            <w:pPr>
              <w:pStyle w:val="Compact"/>
            </w:pPr>
            <w:r>
              <w:t xml:space="preserve">OJK RDKB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NPL Konsumsi</w:t>
            </w:r>
          </w:p>
        </w:tc>
        <w:tc>
          <w:tcPr/>
          <w:p>
            <w:pPr>
              <w:pStyle w:val="Compact"/>
            </w:pPr>
            <w:r>
              <w:t xml:space="preserve">&gt;2,5%</w:t>
            </w:r>
          </w:p>
        </w:tc>
        <w:tc>
          <w:tcPr/>
          <w:p>
            <w:pPr>
              <w:pStyle w:val="Compact"/>
            </w:pPr>
            <w:r>
              <w:t xml:space="preserve">&gt;3,0%</w:t>
            </w:r>
          </w:p>
        </w:tc>
        <w:tc>
          <w:tcPr/>
          <w:p>
            <w:pPr>
              <w:pStyle w:val="Compact"/>
            </w:pPr>
            <w:r>
              <w:t xml:space="preserve">OJK SPI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Pindar TWP90</w:t>
            </w:r>
          </w:p>
        </w:tc>
        <w:tc>
          <w:tcPr/>
          <w:p>
            <w:pPr>
              <w:pStyle w:val="Compact"/>
            </w:pPr>
            <w:r>
              <w:t xml:space="preserve">&gt;5,0%</w:t>
            </w:r>
          </w:p>
        </w:tc>
        <w:tc>
          <w:tcPr/>
          <w:p>
            <w:pPr>
              <w:pStyle w:val="Compact"/>
            </w:pPr>
            <w:r>
              <w:t xml:space="preserve">&gt;6,0%</w:t>
            </w:r>
          </w:p>
        </w:tc>
        <w:tc>
          <w:tcPr/>
          <w:p>
            <w:pPr>
              <w:pStyle w:val="Compact"/>
            </w:pPr>
            <w:r>
              <w:t xml:space="preserve">OJK Fintech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Multifinance NPF</w:t>
            </w:r>
          </w:p>
        </w:tc>
        <w:tc>
          <w:tcPr/>
          <w:p>
            <w:pPr>
              <w:pStyle w:val="Compact"/>
            </w:pPr>
            <w:r>
              <w:t xml:space="preserve">&gt;5,0%</w:t>
            </w:r>
          </w:p>
        </w:tc>
        <w:tc>
          <w:tcPr/>
          <w:p>
            <w:pPr>
              <w:pStyle w:val="Compact"/>
            </w:pPr>
            <w:r>
              <w:t xml:space="preserve">&gt;6,0%</w:t>
            </w:r>
          </w:p>
        </w:tc>
        <w:tc>
          <w:tcPr/>
          <w:p>
            <w:pPr>
              <w:pStyle w:val="Compact"/>
            </w:pPr>
            <w:r>
              <w:t xml:space="preserve">OJK PP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BNPL growth (bank)</w:t>
            </w:r>
          </w:p>
        </w:tc>
        <w:tc>
          <w:tcPr/>
          <w:p>
            <w:pPr>
              <w:pStyle w:val="Compact"/>
            </w:pPr>
            <w:r>
              <w:t xml:space="preserve">&gt;40% yoy</w:t>
            </w:r>
          </w:p>
        </w:tc>
        <w:tc>
          <w:tcPr/>
          <w:p>
            <w:pPr>
              <w:pStyle w:val="Compact"/>
            </w:pPr>
            <w:r>
              <w:t xml:space="preserve">&gt;50% yoy</w:t>
            </w:r>
          </w:p>
        </w:tc>
        <w:tc>
          <w:tcPr/>
          <w:p>
            <w:pPr>
              <w:pStyle w:val="Compact"/>
            </w:pPr>
            <w:r>
              <w:t xml:space="preserve">OJK SLIK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PHK rolling 30d</w:t>
            </w:r>
          </w:p>
        </w:tc>
        <w:tc>
          <w:tcPr/>
          <w:p>
            <w:pPr>
              <w:pStyle w:val="Compact"/>
            </w:pPr>
            <w:r>
              <w:t xml:space="preserve">&gt;50.000</w:t>
            </w:r>
          </w:p>
        </w:tc>
        <w:tc>
          <w:tcPr/>
          <w:p>
            <w:pPr>
              <w:pStyle w:val="Compact"/>
            </w:pPr>
            <w:r>
              <w:t xml:space="preserve">&gt;100.000</w:t>
            </w:r>
          </w:p>
        </w:tc>
        <w:tc>
          <w:tcPr/>
          <w:p>
            <w:pPr>
              <w:pStyle w:val="Compact"/>
            </w:pPr>
            <w:r>
              <w:t xml:space="preserve">Kemnaker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IKK</w:t>
            </w:r>
          </w:p>
        </w:tc>
        <w:tc>
          <w:tcPr/>
          <w:p>
            <w:pPr>
              <w:pStyle w:val="Compact"/>
            </w:pPr>
            <w:r>
              <w:t xml:space="preserve">&lt;115</w:t>
            </w:r>
          </w:p>
        </w:tc>
        <w:tc>
          <w:tcPr/>
          <w:p>
            <w:pPr>
              <w:pStyle w:val="Compact"/>
            </w:pPr>
            <w:r>
              <w:t xml:space="preserve">&lt;105</w:t>
            </w:r>
          </w:p>
        </w:tc>
        <w:tc>
          <w:tcPr/>
          <w:p>
            <w:pPr>
              <w:pStyle w:val="Compact"/>
            </w:pPr>
            <w:r>
              <w:t xml:space="preserve">BI Survei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 Manufaktur</w:t>
            </w:r>
          </w:p>
        </w:tc>
        <w:tc>
          <w:tcPr/>
          <w:p>
            <w:pPr>
              <w:pStyle w:val="Compact"/>
            </w:pPr>
            <w:r>
              <w:t xml:space="preserve">&lt;48</w:t>
            </w:r>
          </w:p>
        </w:tc>
        <w:tc>
          <w:tcPr/>
          <w:p>
            <w:pPr>
              <w:pStyle w:val="Compact"/>
            </w:pPr>
            <w:r>
              <w:t xml:space="preserve">&lt;45</w:t>
            </w:r>
          </w:p>
        </w:tc>
        <w:tc>
          <w:tcPr/>
          <w:p>
            <w:pPr>
              <w:pStyle w:val="Compact"/>
            </w:pPr>
            <w:r>
              <w:t xml:space="preserve">S&amp;P Global /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saving ratio</w:t>
            </w:r>
          </w:p>
        </w:tc>
        <w:tc>
          <w:tcPr/>
          <w:p>
            <w:pPr>
              <w:pStyle w:val="Compact"/>
            </w:pPr>
            <w:r>
              <w:t xml:space="preserve">&lt;16%</w:t>
            </w:r>
          </w:p>
        </w:tc>
        <w:tc>
          <w:tcPr/>
          <w:p>
            <w:pPr>
              <w:pStyle w:val="Compact"/>
            </w:pPr>
            <w:r>
              <w:t xml:space="preserve">&lt;14%</w:t>
            </w:r>
          </w:p>
        </w:tc>
        <w:tc>
          <w:tcPr/>
          <w:p>
            <w:pPr>
              <w:pStyle w:val="Compact"/>
            </w:pPr>
            <w:r>
              <w:t xml:space="preserve">BI Survei</w:t>
            </w:r>
          </w:p>
        </w:tc>
      </w:tr>
    </w:tbl>
    <w:bookmarkEnd w:id="38"/>
    <w:bookmarkStart w:id="39" w:name="kill-switch-scenarios-pembalik-outlook"/>
    <w:p>
      <w:pPr>
        <w:pStyle w:val="Heading3"/>
      </w:pPr>
      <w:r>
        <w:t xml:space="preserve">6.2 Kill Switch Scenarios (Pembalik Outlook)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Pembalik Positif</w:t>
            </w:r>
          </w:p>
        </w:tc>
        <w:tc>
          <w:tcPr/>
          <w:p>
            <w:pPr>
              <w:pStyle w:val="Compact"/>
            </w:pPr>
            <w:r>
              <w:t xml:space="preserve">Dampak ke 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 manufaktur &gt;50 sustained 3 bulan</w:t>
            </w:r>
          </w:p>
        </w:tc>
        <w:tc>
          <w:tcPr/>
          <w:p>
            <w:pPr>
              <w:pStyle w:val="Compact"/>
            </w:pPr>
            <w:r>
              <w:t xml:space="preserve">PHK melambat, income recovery, NPL plateau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Rate cut 50+ bps</w:t>
            </w:r>
          </w:p>
        </w:tc>
        <w:tc>
          <w:tcPr/>
          <w:p>
            <w:pPr>
              <w:pStyle w:val="Compact"/>
            </w:pPr>
            <w:r>
              <w:t xml:space="preserve">Bunga kredit konsumsi turun ke ~12,5%, demand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turun ke &lt;$90</w:t>
            </w:r>
          </w:p>
        </w:tc>
        <w:tc>
          <w:tcPr/>
          <w:p>
            <w:pPr>
              <w:pStyle w:val="Compact"/>
            </w:pPr>
            <w:r>
              <w:t xml:space="preserve">BBM hike terhindar, daya beli terjaga, LAR tidak naik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MSCI reversal (P sangat kecil: 15%)</w:t>
            </w:r>
          </w:p>
        </w:tc>
        <w:tc>
          <w:tcPr/>
          <w:p>
            <w:pPr>
              <w:pStyle w:val="Compact"/>
            </w:pPr>
            <w:r>
              <w:t xml:space="preserve">Capital inflow, IHSG recovery, wealth effect positif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Pembalik Negatif</w:t>
            </w:r>
          </w:p>
        </w:tc>
        <w:tc>
          <w:tcPr/>
          <w:p>
            <w:pPr>
              <w:pStyle w:val="Compact"/>
            </w:pPr>
            <w:r>
              <w:t xml:space="preserve">Dampak ke 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BBM hike &gt;Rp 3.000/L</w:t>
            </w:r>
          </w:p>
        </w:tc>
        <w:tc>
          <w:tcPr/>
          <w:p>
            <w:pPr>
              <w:pStyle w:val="Compact"/>
            </w:pPr>
            <w:r>
              <w:t xml:space="preserve">Instant −2–3 pp KK demand, NPL +0,5 pp dalam 6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PHK gelombang kedua &gt;100.000</w:t>
            </w:r>
          </w:p>
        </w:tc>
        <w:tc>
          <w:tcPr/>
          <w:p>
            <w:pPr>
              <w:pStyle w:val="Compact"/>
            </w:pPr>
            <w:r>
              <w:t xml:space="preserve">LAR tembus 12%, NPL konsumsi ke 3,5%+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USDIDR &gt;19.000</w:t>
            </w:r>
          </w:p>
        </w:tc>
        <w:tc>
          <w:tcPr/>
          <w:p>
            <w:pPr>
              <w:pStyle w:val="Compact"/>
            </w:pPr>
            <w:r>
              <w:t xml:space="preserve">Import inflation spiral, real income turun lebih dalam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tighten kredit multifinance</w:t>
            </w:r>
          </w:p>
        </w:tc>
        <w:tc>
          <w:tcPr/>
          <w:p>
            <w:pPr>
              <w:pStyle w:val="Compact"/>
            </w:pPr>
            <w:r>
              <w:t xml:space="preserve">Multifinance NPF spiral, credit crunch non-bank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kesimpulan"/>
    <w:p>
      <w:pPr>
        <w:pStyle w:val="Heading2"/>
      </w:pPr>
      <w:r>
        <w:t xml:space="preserve">7. Kesimpulan</w:t>
      </w:r>
    </w:p>
    <w:p>
      <w:pPr>
        <w:pStyle w:val="FirstParagraph"/>
      </w:pPr>
      <w:r>
        <w:rPr>
          <w:b/>
          <w:bCs/>
        </w:rPr>
        <w:t xml:space="preserve">MPL Indonesia 2027 bukan krisis — tapi stress cycle yang dalam dan bertahap.</w:t>
      </w:r>
    </w:p>
    <w:p>
      <w:pPr>
        <w:pStyle w:val="BodyText"/>
      </w:pPr>
      <w:r>
        <w:t xml:space="preserve">Tiga fakta kritis: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Struktural, bukan siklikal:</w:t>
      </w:r>
      <w:r>
        <w:t xml:space="preserve"> </w:t>
      </w:r>
      <w:r>
        <w:t xml:space="preserve">Deindustrialisasi (PMI 46,9) + MSCI downgrade + fiscal constraint APBN = tekanan tidak hilang dengan rate cut semata.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Lag membuat data menyesatkan:</w:t>
      </w:r>
      <w:r>
        <w:t xml:space="preserve"> </w:t>
      </w:r>
      <w:r>
        <w:t xml:space="preserve">NPL Oktober 2026 terlihat baik (2,10%) karena PHK baru terjadi. Angka sesungguhnya baru terlihat Q2 2027.</w:t>
      </w:r>
      <w:r>
        <w:t xml:space="preserve"> </w:t>
      </w:r>
      <w:r>
        <w:rPr>
          <w:i/>
          <w:iCs/>
        </w:rPr>
        <w:t xml:space="preserve">Investor/risk manager yang membaca data Oktober dan merasa aman sedang membuat kesalahan timing.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BNPL dan pindar adalah vektor utama:</w:t>
      </w:r>
      <w:r>
        <w:t xml:space="preserve"> </w:t>
      </w:r>
      <w:r>
        <w:t xml:space="preserve">Pertumbuhan 37% dan 22% tanpa quality improvement adalah signature</w:t>
      </w:r>
      <w:r>
        <w:t xml:space="preserve"> </w:t>
      </w:r>
      <w:r>
        <w:t xml:space="preserve">“bom waktu lambat”</w:t>
      </w:r>
      <w:r>
        <w:t xml:space="preserve"> </w:t>
      </w:r>
      <w:r>
        <w:t xml:space="preserve">— identik dengan kondisi kredit konsumsi AS 2006–2007 (subprime) dalam skala yang lebih kecil namun dengan ekosistem SLIK yang lebih lemah.</w:t>
      </w:r>
    </w:p>
    <w:p>
      <w:pPr>
        <w:pStyle w:val="FirstParagraph"/>
      </w:pPr>
      <w:r>
        <w:rPr>
          <w:b/>
          <w:bCs/>
        </w:rPr>
        <w:t xml:space="preserve">Rekomendasi monitoring:</w:t>
      </w:r>
      <w:r>
        <w:t xml:space="preserve"> </w:t>
      </w:r>
      <w:r>
        <w:t xml:space="preserve">Update indikator early warning setiap RDKB OJK (bulanan) dan RDG BI. Focal point: LAR Q1 2027, TWP90 pindar Q2 2027, dan BPS unemployment data Mei 2027.</w:t>
      </w:r>
    </w:p>
    <w:p>
      <w:r>
        <w:pict>
          <v:rect style="width:0;height:1.5pt" o:hralign="center" o:hrstd="t" o:hr="t"/>
        </w:pict>
      </w:r>
    </w:p>
    <w:bookmarkEnd w:id="41"/>
    <w:bookmarkStart w:id="42" w:name="lampiran-metodologi-dexter-sumber-data"/>
    <w:p>
      <w:pPr>
        <w:pStyle w:val="Heading2"/>
      </w:pPr>
      <w:r>
        <w:t xml:space="preserve">Lampiran: Metodologi Dexter &amp; Sumber Data</w:t>
      </w:r>
    </w:p>
    <w:p>
      <w:pPr>
        <w:pStyle w:val="FirstParagraph"/>
      </w:pPr>
      <w:r>
        <w:t xml:space="preserve">Laporan ini menggunakan</w:t>
      </w:r>
      <w:r>
        <w:t xml:space="preserve"> </w:t>
      </w:r>
      <w:r>
        <w:rPr>
          <w:b/>
          <w:bCs/>
        </w:rPr>
        <w:t xml:space="preserve">Dexter Indonesia Sovereign Macro Intelligence System</w:t>
      </w:r>
      <w:r>
        <w:t xml:space="preserve"> </w:t>
      </w:r>
      <w:r>
        <w:t xml:space="preserve">— sistem analitik 13-modul berbasis TypeScript/Bun yang mengintegrasikan: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Modul relevan:</w:t>
      </w:r>
      <w:r>
        <w:t xml:space="preserve"> </w:t>
      </w:r>
      <w:r>
        <w:t xml:space="preserve">M8 Banking Stress, M11 Domestic Pressure, M12 Political Risk, M10 Fiscal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</w:t>
      </w:r>
      <w:r>
        <w:t xml:space="preserve"> </w:t>
      </w:r>
      <w:r>
        <w:rPr>
          <w:rStyle w:val="VerbatimChar"/>
        </w:rPr>
        <w:t xml:space="preserve">macro_series</w:t>
      </w:r>
      <w:r>
        <w:t xml:space="preserve"> </w:t>
      </w:r>
      <w:r>
        <w:t xml:space="preserve">dengan 200+ indikator (BI, OJK, BPS, Bloomberg fallback)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Sumber live (Exa/Tavily):</w:t>
      </w:r>
      <w:r>
        <w:t xml:space="preserve"> </w:t>
      </w:r>
      <w:r>
        <w:t xml:space="preserve">OJK RDKB, BI Survei Perbankan, Kontan, CNBC Indonesia, Kompas.id, BBC Indonesia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Analytic framework:</w:t>
      </w:r>
      <w:r>
        <w:t xml:space="preserve"> </w:t>
      </w:r>
      <w:r>
        <w:t xml:space="preserve">FSAP nexus (SBN-CAR transmission), BTN PHK-NPL lag model, CELIOS consumer stress model, Thread 24 two-sided IHSG floor model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SCD (Silent Crisis Detector):</w:t>
      </w:r>
      <w:r>
        <w:t xml:space="preserve"> </w:t>
      </w:r>
      <w:r>
        <w:t xml:space="preserve">Oktober 26 2026 = 54% ORANGE — transmission underway</w: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Proyeksi bersifat probabilistik berdasarkan data tersedia Oktober 2026. Kondisi aktual bergantung pada realisasi kebijakan fiskal (BBM hike), moneter (BI Rate), dan eksternal (MSCI, Brent, global EM flow).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oleh sistem Dexter Macro Intelligence pada 26 Oktober 2026.</w:t>
      </w:r>
      <w:r>
        <w:br/>
      </w:r>
      <w:r>
        <w:rPr>
          <w:i/>
          <w:iCs/>
        </w:rPr>
        <w:t xml:space="preserve">Kontak: victor@sadasa.id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MPL Indonesia 2027 — Quarterly Forecast &amp; Risk Assessment</dc:title>
  <dc:creator>Victor Elvino | victor@sadasa.id</dc:creator>
  <cp:keywords/>
  <dcterms:created xsi:type="dcterms:W3CDTF">2026-10-26T06:50:48Z</dcterms:created>
  <dcterms:modified xsi:type="dcterms:W3CDTF">2026-10-26T06:50:48Z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Oktober 2026</vt:lpwstr>
  </property>
  <property fmtid="{D5CDD505-2E9C-101B-9397-08002B2CF9AE}" pid="3" name="subtitle">
    <vt:lpwstr>Deep Research Report | Dexter Macro Intelligence System</vt:lpwstr>
  </property>
</Properties>
</file>