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40"/>
          <w:szCs w:val="40"/>
        </w:rPr>
        <w:t xml:space="preserve">Related Work and Manager-Facing Recommendations</w:t>
      </w:r>
    </w:p>
    <w:p>
      <w:pPr>
        <w:pBdr>
          <w:bottom w:val="single" w:color="BFBFBF" w:sz="8" w:space="8"/>
        </w:pBdr>
        <w:spacing w:after="200"/>
      </w:pPr>
      <w:r>
        <w:rPr>
          <w:rFonts w:ascii="Calibri" w:cs="Calibri" w:eastAsia="Calibri" w:hAnsi="Calibri"/>
          <w:i/>
          <w:iCs/>
          <w:color w:val="595959"/>
          <w:sz w:val="20"/>
          <w:szCs w:val="20"/>
        </w:rPr>
        <w:t xml:space="preserve">Draft sections for the GPS-based haul-truck cycle and idle analysis paper</w:t>
      </w:r>
    </w:p>
    <w:p>
      <w:pPr>
        <w:pStyle w:val="Heading1"/>
        <w:spacing w:after="140" w:before="320"/>
      </w:pPr>
      <w:r>
        <w:rPr>
          <w:rFonts w:ascii="Calibri" w:cs="Calibri" w:eastAsia="Calibri" w:hAnsi="Calibri"/>
          <w:b/>
          <w:bCs/>
          <w:color w:val="1F3864"/>
          <w:sz w:val="30"/>
          <w:szCs w:val="30"/>
        </w:rPr>
        <w:t xml:space="preserve">1  Related Work</w:t>
      </w:r>
    </w:p>
    <w:p>
      <w:pPr>
        <w:spacing w:after="120"/>
        <w:jc w:val="both"/>
      </w:pPr>
      <w:r>
        <w:rPr>
          <w:rFonts w:ascii="Calibri" w:cs="Calibri" w:eastAsia="Calibri" w:hAnsi="Calibri"/>
          <w:b w:val="false"/>
          <w:bCs w:val="false"/>
          <w:i w:val="false"/>
          <w:iCs w:val="false"/>
          <w:color w:val="222222"/>
          <w:sz w:val="21"/>
          <w:szCs w:val="21"/>
        </w:rPr>
        <w:t xml:space="preserve">Prior work on haulage cycle analysis falls into four groups, distinguished less by algorithm than by the sensing each method assumes. Positioning our approach against these groups clarifies both what we borrow and where our contribution lies.</w:t>
      </w:r>
    </w:p>
    <w:p>
      <w:pPr>
        <w:pStyle w:val="Heading2"/>
        <w:spacing w:after="100" w:before="240"/>
      </w:pPr>
      <w:r>
        <w:rPr>
          <w:rFonts w:ascii="Calibri" w:cs="Calibri" w:eastAsia="Calibri" w:hAnsi="Calibri"/>
          <w:b/>
          <w:bCs/>
          <w:color w:val="2E5496"/>
          <w:sz w:val="24"/>
          <w:szCs w:val="24"/>
        </w:rPr>
        <w:t xml:space="preserve">1.1  Rich-signal cycle detection</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These methods recover the haul cycle accurately, but only because they read sensors an open-pit fleet often does not carry.</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[5] Skoczylas et al. (2023). </w:t>
      </w:r>
      <w:r>
        <w:rPr>
          <w:rFonts w:ascii="Calibri" w:cs="Calibri" w:eastAsia="Calibri" w:hAnsi="Calibri"/>
          <w:b w:val="false"/>
          <w:bCs w:val="false"/>
          <w:i w:val="false"/>
          <w:iCs w:val="false"/>
          <w:color w:val="222222"/>
          <w:sz w:val="21"/>
          <w:szCs w:val="21"/>
        </w:rPr>
        <w:t xml:space="preserve">Two neural networks (one for haul trucks, one for loaders), each built in a two-stage structure-then-hyperparameter search, detect the four-phase cycle (load, haul-full, dump, haul-empty) from engine speed, gear speed, and hydraulic-cylinder pressure.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we adopt their four-phase definition as our cycle backbone, but note the contrast — they mark the unloading event from a hydraulic-pressure spike, whereas we must recover the same event from zero speed inside a dump polygon. That substitution states our contribution in one line.</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[3] Gawelski et al. (2020). </w:t>
      </w:r>
      <w:r>
        <w:rPr>
          <w:rFonts w:ascii="Calibri" w:cs="Calibri" w:eastAsia="Calibri" w:hAnsi="Calibri"/>
          <w:b w:val="false"/>
          <w:bCs w:val="false"/>
          <w:i w:val="false"/>
          <w:iCs w:val="false"/>
          <w:color w:val="222222"/>
          <w:sz w:val="21"/>
          <w:szCs w:val="21"/>
        </w:rPr>
        <w:t xml:space="preserve">DBSCAN to segment operational states, combined with support-vector classification of cycle phases, over the same class of on-board signals.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evidence that DBSCAN for cycle work has precedent, but always paired with rich telemetry in underground operations — the sensor-heavy pole we move away from.</w:t>
      </w:r>
    </w:p>
    <w:p>
      <w:pPr>
        <w:pStyle w:val="Heading2"/>
        <w:spacing w:after="100" w:before="240"/>
      </w:pPr>
      <w:r>
        <w:rPr>
          <w:rFonts w:ascii="Calibri" w:cs="Calibri" w:eastAsia="Calibri" w:hAnsi="Calibri"/>
          <w:b/>
          <w:bCs/>
          <w:color w:val="2E5496"/>
          <w:sz w:val="24"/>
          <w:szCs w:val="24"/>
        </w:rPr>
        <w:t xml:space="preserve">1.2  GPS-only trajectory clustering</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These are the closest methods to ours, and our paper is defined by the three things they leave undone.</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[4] Priegnitz &amp; Yoo (2019). </w:t>
      </w:r>
      <w:r>
        <w:rPr>
          <w:rFonts w:ascii="Calibri" w:cs="Calibri" w:eastAsia="Calibri" w:hAnsi="Calibri"/>
          <w:b w:val="false"/>
          <w:bCs w:val="false"/>
          <w:i w:val="false"/>
          <w:iCs w:val="false"/>
          <w:color w:val="222222"/>
          <w:sz w:val="21"/>
          <w:szCs w:val="21"/>
        </w:rPr>
        <w:t xml:space="preserve">DBSCAN on low-speed GPS points, with eps = 100 m chosen from the observed physical queue length at a shovel; the method separates fixed infrastructure (shop, crusher) from dynamic loading and dumping areas, and incidentally surfaces a low-speed cluster with no matching infrastructure.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three concrete deltas over our nearest neighbor — we validate clusters against 104 surveyed polygons (they had no ground truth), we replace their single hand-picked eps with a sensitivity analysis over eps and min-samples, and we systematize the “idle with no infrastructure” location they found by accident into our unplanned-idle map. Their fixed-versus-dynamic distinction also explains why a hand-drawn zone map can drift over five months.</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[6] Chen et al. (2014), T-DBSCAN. </w:t>
      </w:r>
      <w:r>
        <w:rPr>
          <w:rFonts w:ascii="Calibri" w:cs="Calibri" w:eastAsia="Calibri" w:hAnsi="Calibri"/>
          <w:b w:val="false"/>
          <w:bCs w:val="false"/>
          <w:i w:val="false"/>
          <w:iCs w:val="false"/>
          <w:color w:val="222222"/>
          <w:sz w:val="21"/>
          <w:szCs w:val="21"/>
        </w:rPr>
        <w:t xml:space="preserve">A spatiotemporal variant of DBSCAN that processes points in time order, so a trajectory segments cleanly into stops and moves — which plain, time-blind DBSCAN does not.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the reference for the reviewer question “why plain DBSCAN and not a spatiotemporal variant?” We cite it and justify that zone-overlap labeling combined with our 10–30 s ping cadence makes the temporal variant unnecessary.</w:t>
      </w:r>
    </w:p>
    <w:p>
      <w:pPr>
        <w:pStyle w:val="Heading2"/>
        <w:spacing w:after="100" w:before="240"/>
      </w:pPr>
      <w:r>
        <w:rPr>
          <w:rFonts w:ascii="Calibri" w:cs="Calibri" w:eastAsia="Calibri" w:hAnsi="Calibri"/>
          <w:b/>
          <w:bCs/>
          <w:color w:val="2E5496"/>
          <w:sz w:val="24"/>
          <w:szCs w:val="24"/>
        </w:rPr>
        <w:t xml:space="preserve">1.3  Supervised prediction</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These models do not compete with our method — they consume exactly the measurements it produces.</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[1] Fan et al. (2025). </w:t>
      </w:r>
      <w:r>
        <w:rPr>
          <w:rFonts w:ascii="Calibri" w:cs="Calibri" w:eastAsia="Calibri" w:hAnsi="Calibri"/>
          <w:b w:val="false"/>
          <w:bCs w:val="false"/>
          <w:i w:val="false"/>
          <w:iCs w:val="false"/>
          <w:color w:val="222222"/>
          <w:sz w:val="21"/>
          <w:szCs w:val="21"/>
        </w:rPr>
        <w:t xml:space="preserve">Feature-optimized gradient boosting for cycle-time estimation (XGBoost outperforms ELM and ERT; recursive feature elimination is the best selector; Gaussian-mixture preprocessing helps accuracy while k-means does not), with waiting-at-shovel, spotting, and waiting-at-dump among the top predictors.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direct motivation — the model’s most important input features are our pipeline’s outputs, so our measurement layer feeds their prediction layer; their GMM-beats-k-means result is also a live hint to compare a Gaussian-mixture variant against our own k-means (k = 6) route clustering.</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[7] Zhao et al. (2025). </w:t>
      </w:r>
      <w:r>
        <w:rPr>
          <w:rFonts w:ascii="Calibri" w:cs="Calibri" w:eastAsia="Calibri" w:hAnsi="Calibri"/>
          <w:b w:val="false"/>
          <w:bCs w:val="false"/>
          <w:i w:val="false"/>
          <w:iCs w:val="false"/>
          <w:color w:val="222222"/>
          <w:sz w:val="21"/>
          <w:szCs w:val="21"/>
        </w:rPr>
        <w:t xml:space="preserve">An LSTM–TabTransformer hybrid for travel-time prediction on open-pit coal-mine data, with Pauta-criterion (3σ) outlier removal in preprocessing.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we position it as downstream — it presumes clean, segmented travel-time records that our method must first extract — and we borrow its Pauta/3σ step for our GPS glitch-removal stage.</w:t>
      </w:r>
    </w:p>
    <w:p>
      <w:pPr>
        <w:pStyle w:val="Heading2"/>
        <w:spacing w:after="100" w:before="240"/>
      </w:pPr>
      <w:r>
        <w:rPr>
          <w:rFonts w:ascii="Calibri" w:cs="Calibri" w:eastAsia="Calibri" w:hAnsi="Calibri"/>
          <w:b/>
          <w:bCs/>
          <w:color w:val="2E5496"/>
          <w:sz w:val="24"/>
          <w:szCs w:val="24"/>
        </w:rPr>
        <w:t xml:space="preserve">1.4  Analytical framing</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These give us the theory to interpret our measurements and the map to position them.</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[8] Kaungu et al. (2021). </w:t>
      </w:r>
      <w:r>
        <w:rPr>
          <w:rFonts w:ascii="Calibri" w:cs="Calibri" w:eastAsia="Calibri" w:hAnsi="Calibri"/>
          <w:b w:val="false"/>
          <w:bCs w:val="false"/>
          <w:i w:val="false"/>
          <w:iCs w:val="false"/>
          <w:color w:val="222222"/>
          <w:sz w:val="21"/>
          <w:szCs w:val="21"/>
        </w:rPr>
        <w:t xml:space="preserve">Queuing theory treating trucks as customers and shovels as servers to size the fleet and quantify waiting.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our lens for splitting observed idle into unavoidable versus excess, and the natural bridge to the just-in-time control introduced in our recommendations.</w:t>
      </w:r>
    </w:p>
    <w:p>
      <w:pPr>
        <w:pStyle w:val="ListParagraph"/>
        <w:numPr>
          <w:ilvl w:val="0"/>
          <w:numId w:val="2"/>
        </w:numPr>
        <w:spacing w:after="120"/>
        <w:jc w:val="both"/>
      </w:pPr>
      <w:r>
        <w:rPr>
          <w:rFonts w:ascii="Calibri" w:cs="Calibri" w:eastAsia="Calibri" w:hAnsi="Calibri"/>
          <w:b/>
          <w:bCs/>
          <w:i w:val="false"/>
          <w:iCs w:val="false"/>
          <w:color w:val="222222"/>
          <w:sz w:val="21"/>
          <w:szCs w:val="21"/>
        </w:rPr>
        <w:t xml:space="preserve">[2] Scoping review, Eng (2025). </w:t>
      </w:r>
      <w:r>
        <w:rPr>
          <w:rFonts w:ascii="Calibri" w:cs="Calibri" w:eastAsia="Calibri" w:hAnsi="Calibri"/>
          <w:b w:val="false"/>
          <w:bCs w:val="false"/>
          <w:i w:val="false"/>
          <w:iCs w:val="false"/>
          <w:color w:val="222222"/>
          <w:sz w:val="21"/>
          <w:szCs w:val="21"/>
        </w:rPr>
        <w:t xml:space="preserve">A catalog of cycle-detection methods across sensor modalities and algorithms. </w:t>
      </w:r>
      <w:r>
        <w:rPr>
          <w:rFonts w:ascii="Calibri" w:cs="Calibri" w:eastAsia="Calibri" w:hAnsi="Calibri"/>
          <w:b w:val="false"/>
          <w:bCs w:val="false"/>
          <w:i/>
          <w:iCs/>
          <w:color w:val="222222"/>
          <w:sz w:val="21"/>
          <w:szCs w:val="21"/>
        </w:rPr>
        <w:t xml:space="preserve">Use: </w:t>
      </w:r>
      <w:r>
        <w:rPr>
          <w:rFonts w:ascii="Calibri" w:cs="Calibri" w:eastAsia="Calibri" w:hAnsi="Calibri"/>
          <w:b w:val="false"/>
          <w:bCs w:val="false"/>
          <w:i w:val="false"/>
          <w:iCs w:val="false"/>
          <w:color w:val="222222"/>
          <w:sz w:val="21"/>
          <w:szCs w:val="21"/>
        </w:rPr>
        <w:t xml:space="preserve">our positioning device — we place ourselves in the low-cost, retrofit-free, GPS-only cell and show that this cell is under-served relative to the sensor-rich alternatives.</w:t>
      </w:r>
    </w:p>
    <w:p>
      <w:pPr>
        <w:spacing w:after="120"/>
        <w:jc w:val="both"/>
      </w:pPr>
      <w:r>
        <w:rPr>
          <w:rFonts w:ascii="Calibri" w:cs="Calibri" w:eastAsia="Calibri" w:hAnsi="Calibri"/>
          <w:b/>
          <w:bCs/>
          <w:i w:val="false"/>
          <w:iCs w:val="false"/>
          <w:color w:val="222222"/>
          <w:sz w:val="21"/>
          <w:szCs w:val="21"/>
        </w:rPr>
        <w:t xml:space="preserve">The recurring gap. </w:t>
      </w:r>
      <w:r>
        <w:rPr>
          <w:rFonts w:ascii="Calibri" w:cs="Calibri" w:eastAsia="Calibri" w:hAnsi="Calibri"/>
          <w:b w:val="false"/>
          <w:bCs w:val="false"/>
          <w:i w:val="false"/>
          <w:iCs w:val="false"/>
          <w:color w:val="222222"/>
          <w:sz w:val="21"/>
          <w:szCs w:val="21"/>
        </w:rPr>
        <w:t xml:space="preserve">Across all four groups the same limitation appears: existing methods either require sensing the site does not have, or assume the very measurements a bare-GPS layer must first recover. Our measurement layer is the hinge that fills this gap.</w:t>
      </w:r>
    </w:p>
    <w:p>
      <w:pPr>
        <w:pStyle w:val="Heading1"/>
        <w:spacing w:after="140" w:before="320"/>
      </w:pPr>
      <w:r>
        <w:rPr>
          <w:rFonts w:ascii="Calibri" w:cs="Calibri" w:eastAsia="Calibri" w:hAnsi="Calibri"/>
          <w:b/>
          <w:bCs/>
          <w:color w:val="1F3864"/>
          <w:sz w:val="30"/>
          <w:szCs w:val="30"/>
        </w:rPr>
        <w:t xml:space="preserve">2  Manager-Facing Recommendations</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A haul cycle loses time for three distinct reasons — the road is slow in places (WHERE), trucks arrive bunched and form queues (WHEN), or trucks go to the wrong place in the wrong numbers (WHO) — and the corresponding fixes run from cheapest to hardest.</w:t>
      </w:r>
    </w:p>
    <w:p>
      <w:pPr>
        <w:spacing w:after="120"/>
        <w:jc w:val="both"/>
      </w:pPr>
      <w:r>
        <w:rPr>
          <w:rFonts w:ascii="Calibri" w:cs="Calibri" w:eastAsia="Calibri" w:hAnsi="Calibri"/>
          <w:b w:val="false"/>
          <w:bCs w:val="false"/>
          <w:i w:val="false"/>
          <w:iCs w:val="false"/>
          <w:color w:val="222222"/>
          <w:sz w:val="21"/>
          <w:szCs w:val="21"/>
        </w:rPr>
        <w:t xml:space="preserve">The diagnostics above locate where haulage time is lost; managers, however, need to know what can be done about it. Each of the three reasons admits an intervention that can be driven, wholly or in part, from the trajectory data alone, and the three form a natural cost ordering: road repair, then light coordination, then full dispatch optimization.</w:t>
      </w:r>
    </w:p>
    <w:p>
      <w:pPr>
        <w:pStyle w:val="Heading2"/>
        <w:spacing w:after="100" w:before="240"/>
      </w:pPr>
      <w:r>
        <w:rPr>
          <w:rFonts w:ascii="Calibri" w:cs="Calibri" w:eastAsia="Calibri" w:hAnsi="Calibri"/>
          <w:b/>
          <w:bCs/>
          <w:color w:val="2E5496"/>
          <w:sz w:val="24"/>
          <w:szCs w:val="24"/>
        </w:rPr>
        <w:t xml:space="preserve">2.1  Direction 1 — Fix the road (WHERE)</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Certain road segments are slow for every truck every day, so we rank them by total fleet-time lost and repair the worst first.</w:t>
      </w:r>
    </w:p>
    <w:p>
      <w:pPr>
        <w:spacing w:after="120"/>
        <w:jc w:val="both"/>
      </w:pPr>
      <w:r>
        <w:rPr>
          <w:rFonts w:ascii="Calibri" w:cs="Calibri" w:eastAsia="Calibri" w:hAnsi="Calibri"/>
          <w:b/>
          <w:bCs/>
          <w:i w:val="false"/>
          <w:iCs w:val="false"/>
          <w:color w:val="222222"/>
          <w:sz w:val="21"/>
          <w:szCs w:val="21"/>
        </w:rPr>
        <w:t xml:space="preserve">Method. </w:t>
      </w:r>
      <w:r>
        <w:rPr>
          <w:rFonts w:ascii="Calibri" w:cs="Calibri" w:eastAsia="Calibri" w:hAnsi="Calibri"/>
          <w:b w:val="false"/>
          <w:bCs w:val="false"/>
          <w:i w:val="false"/>
          <w:iCs w:val="false"/>
          <w:color w:val="222222"/>
          <w:sz w:val="21"/>
          <w:szCs w:val="21"/>
        </w:rPr>
        <w:t xml:space="preserve">We fit a per-segment speed distribution over all truck passes, establish a grade-corrected free-flow baseline, and rank segments by the fleet-hours of excess delay they cause [9, 10]; the grade-and-speed relationships reported in [11, 12] translate these rankings into road-maintenance and speed-advisory actions. </w:t>
      </w:r>
      <w:r>
        <w:rPr>
          <w:rFonts w:ascii="Calibri" w:cs="Calibri" w:eastAsia="Calibri" w:hAnsi="Calibri"/>
          <w:b w:val="false"/>
          <w:bCs w:val="false"/>
          <w:i/>
          <w:iCs/>
          <w:color w:val="222222"/>
          <w:sz w:val="21"/>
          <w:szCs w:val="21"/>
        </w:rPr>
        <w:t xml:space="preserve">Status: </w:t>
      </w:r>
      <w:r>
        <w:rPr>
          <w:rFonts w:ascii="Calibri" w:cs="Calibri" w:eastAsia="Calibri" w:hAnsi="Calibri"/>
          <w:b w:val="false"/>
          <w:bCs w:val="false"/>
          <w:i w:val="false"/>
          <w:iCs w:val="false"/>
          <w:color w:val="222222"/>
          <w:sz w:val="21"/>
          <w:szCs w:val="21"/>
        </w:rPr>
        <w:t xml:space="preserve">deployable now on bare GPS. Manager action: grade or water rough stretches, widen pinch points, fix intersections, and post grade-specific speed limits.</w:t>
      </w:r>
    </w:p>
    <w:p>
      <w:pPr>
        <w:pStyle w:val="Heading2"/>
        <w:spacing w:after="100" w:before="240"/>
      </w:pPr>
      <w:r>
        <w:rPr>
          <w:rFonts w:ascii="Calibri" w:cs="Calibri" w:eastAsia="Calibri" w:hAnsi="Calibri"/>
          <w:b/>
          <w:bCs/>
          <w:color w:val="2E5496"/>
          <w:sz w:val="24"/>
          <w:szCs w:val="24"/>
        </w:rPr>
        <w:t xml:space="preserve">2.2  Direction 2 — Smooth the flow (WHEN)</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Queues can form from bunched arrivals even when capacity is adequate, and we can smooth them from the trucks’ own positions without ever observing the shovel.</w:t>
      </w:r>
    </w:p>
    <w:p>
      <w:pPr>
        <w:spacing w:after="120"/>
        <w:jc w:val="both"/>
      </w:pPr>
      <w:r>
        <w:rPr>
          <w:rFonts w:ascii="Calibri" w:cs="Calibri" w:eastAsia="Calibri" w:hAnsi="Calibri"/>
          <w:b/>
          <w:bCs/>
          <w:i w:val="false"/>
          <w:iCs w:val="false"/>
          <w:color w:val="222222"/>
          <w:sz w:val="21"/>
          <w:szCs w:val="21"/>
        </w:rPr>
        <w:t xml:space="preserve">Method. </w:t>
      </w:r>
      <w:r>
        <w:rPr>
          <w:rFonts w:ascii="Calibri" w:cs="Calibri" w:eastAsia="Calibri" w:hAnsi="Calibri"/>
          <w:b w:val="false"/>
          <w:bCs w:val="false"/>
          <w:i w:val="false"/>
          <w:iCs w:val="false"/>
          <w:color w:val="222222"/>
          <w:sz w:val="21"/>
          <w:szCs w:val="21"/>
        </w:rPr>
        <w:t xml:space="preserve">Bunching is measurable as headway variance at virtual gates on the approaches to loading and plant zones, and cooperative headway control [13] smooths it using only relative arrival times. Where the queue faces a shovel or crusher, we adopt the maritime just-in-time paradigm [14, 15], in which a vessel adjusts sailing speed to arrive as a berth becomes free — here, a truck’s arrival is planned against a service-readiness forecast derived from its own departure stream, removing the need for shovel-side data. </w:t>
      </w:r>
      <w:r>
        <w:rPr>
          <w:rFonts w:ascii="Calibri" w:cs="Calibri" w:eastAsia="Calibri" w:hAnsi="Calibri"/>
          <w:b w:val="false"/>
          <w:bCs w:val="false"/>
          <w:i/>
          <w:iCs/>
          <w:color w:val="222222"/>
          <w:sz w:val="21"/>
          <w:szCs w:val="21"/>
        </w:rPr>
        <w:t xml:space="preserve">Status: </w:t>
      </w:r>
      <w:r>
        <w:rPr>
          <w:rFonts w:ascii="Calibri" w:cs="Calibri" w:eastAsia="Calibri" w:hAnsi="Calibri"/>
          <w:b w:val="false"/>
          <w:bCs w:val="false"/>
          <w:i w:val="false"/>
          <w:iCs w:val="false"/>
          <w:color w:val="222222"/>
          <w:sz w:val="21"/>
          <w:szCs w:val="21"/>
        </w:rPr>
        <w:t xml:space="preserve">deployable with light coordination, and shovel-agnostic. Manager action: stagger releases at the dump exit, or issue just-in-time cruise-speed targets.</w:t>
      </w:r>
    </w:p>
    <w:p>
      <w:pPr>
        <w:pStyle w:val="Heading2"/>
        <w:spacing w:after="100" w:before="240"/>
      </w:pPr>
      <w:r>
        <w:rPr>
          <w:rFonts w:ascii="Calibri" w:cs="Calibri" w:eastAsia="Calibri" w:hAnsi="Calibri"/>
          <w:b/>
          <w:bCs/>
          <w:color w:val="2E5496"/>
          <w:sz w:val="24"/>
          <w:szCs w:val="24"/>
        </w:rPr>
        <w:t xml:space="preserve">2.3  Direction 3 — Assign smarter, right count (WHO)</w:t>
      </w:r>
    </w:p>
    <w:p>
      <w:pPr>
        <w:pBdr>
          <w:left w:val="single" w:color="E1A100" w:sz="18" w:space="8"/>
        </w:pBdr>
        <w:shd w:fill="FFF2CC" w:val="clear"/>
        <w:spacing w:after="120" w:before="60"/>
        <w:ind w:left="120"/>
      </w:pPr>
      <w:r>
        <w:rPr>
          <w:rFonts w:ascii="Calibri" w:cs="Calibri" w:eastAsia="Calibri" w:hAnsi="Calibri"/>
          <w:b/>
          <w:bCs/>
          <w:i/>
          <w:iCs/>
          <w:color w:val="5A4500"/>
          <w:sz w:val="21"/>
          <w:szCs w:val="21"/>
        </w:rPr>
        <w:t xml:space="preserve">Because our site exposes multiple observable unload areas, dump-side balancing and fleet-sizing are deployable now, while real-time shovel selection remains future work needing a fleet-management system.</w:t>
      </w:r>
    </w:p>
    <w:p>
      <w:pPr>
        <w:spacing w:after="120"/>
        <w:jc w:val="both"/>
      </w:pPr>
      <w:r>
        <w:rPr>
          <w:rFonts w:ascii="Calibri" w:cs="Calibri" w:eastAsia="Calibri" w:hAnsi="Calibri"/>
          <w:b/>
          <w:bCs/>
          <w:i w:val="false"/>
          <w:iCs w:val="false"/>
          <w:color w:val="222222"/>
          <w:sz w:val="21"/>
          <w:szCs w:val="21"/>
        </w:rPr>
        <w:t xml:space="preserve">Method. </w:t>
      </w:r>
      <w:r>
        <w:rPr>
          <w:rFonts w:ascii="Calibri" w:cs="Calibri" w:eastAsia="Calibri" w:hAnsi="Calibri"/>
          <w:b w:val="false"/>
          <w:bCs w:val="false"/>
          <w:i w:val="false"/>
          <w:iCs w:val="false"/>
          <w:color w:val="222222"/>
          <w:sz w:val="21"/>
          <w:szCs w:val="21"/>
        </w:rPr>
        <w:t xml:space="preserve">The site exposes multiple observable unload areas, so trucks can be rebalanced across dumping and plant zones — separated into material streams by destination label (plant for ore, dumping for waste) — directly from GPS, while route-level match-factor analysis [16] flags over- and under-trucked paths. The real-time selection of loading targets, by contrast, requires a dispatch system, for which the optimization and reinforcement-learning approaches of [16–19] define a future-work trajectory parameterized by the cycle-time distributions measured here. </w:t>
      </w:r>
      <w:r>
        <w:rPr>
          <w:rFonts w:ascii="Calibri" w:cs="Calibri" w:eastAsia="Calibri" w:hAnsi="Calibri"/>
          <w:b w:val="false"/>
          <w:bCs w:val="false"/>
          <w:i/>
          <w:iCs/>
          <w:color w:val="222222"/>
          <w:sz w:val="21"/>
          <w:szCs w:val="21"/>
        </w:rPr>
        <w:t xml:space="preserve">Status: </w:t>
      </w:r>
      <w:r>
        <w:rPr>
          <w:rFonts w:ascii="Calibri" w:cs="Calibri" w:eastAsia="Calibri" w:hAnsi="Calibri"/>
          <w:b w:val="false"/>
          <w:bCs w:val="false"/>
          <w:i w:val="false"/>
          <w:iCs w:val="false"/>
          <w:color w:val="222222"/>
          <w:sz w:val="21"/>
          <w:szCs w:val="21"/>
        </w:rPr>
        <w:t xml:space="preserve">dump-side balancing and fleet-sizing deployable now; live dispatch is future work.</w:t>
      </w:r>
    </w:p>
    <w:p>
      <w:pPr>
        <w:pStyle w:val="Heading1"/>
        <w:spacing w:after="140" w:before="320"/>
      </w:pPr>
      <w:r>
        <w:rPr>
          <w:rFonts w:ascii="Calibri" w:cs="Calibri" w:eastAsia="Calibri" w:hAnsi="Calibri"/>
          <w:b/>
          <w:bCs/>
          <w:color w:val="1F3864"/>
          <w:sz w:val="30"/>
          <w:szCs w:val="30"/>
        </w:rPr>
        <w:t xml:space="preserve">References</w:t>
      </w:r>
    </w:p>
    <w:p>
      <w:pPr>
        <w:spacing w:after="90"/>
        <w:ind w:left="360" w:hanging="360"/>
      </w:pPr>
      <w:r>
        <w:rPr>
          <w:rFonts w:ascii="Calibri" w:cs="Calibri" w:eastAsia="Calibri" w:hAnsi="Calibri"/>
          <w:b w:val="false"/>
          <w:bCs w:val="false"/>
          <w:i w:val="false"/>
          <w:iCs w:val="false"/>
          <w:color w:val="222222"/>
          <w:sz w:val="20"/>
          <w:szCs w:val="20"/>
        </w:rPr>
        <w:t xml:space="preserve">[1]  </w:t>
      </w:r>
      <w:r>
        <w:rPr>
          <w:rFonts w:ascii="Calibri" w:cs="Calibri" w:eastAsia="Calibri" w:hAnsi="Calibri"/>
          <w:b w:val="false"/>
          <w:bCs w:val="false"/>
          <w:i w:val="false"/>
          <w:iCs w:val="false"/>
          <w:color w:val="222222"/>
          <w:sz w:val="20"/>
          <w:szCs w:val="20"/>
        </w:rPr>
        <w:t xml:space="preserve">Fan, C., Zhang, N., Jiang, B., &amp; Liu, W. V. (2025). Rapid estimation of truck cycle time in open-pit mine haulage based on feature-optimized machine learning. </w:t>
      </w:r>
      <w:r>
        <w:rPr>
          <w:rFonts w:ascii="Calibri" w:cs="Calibri" w:eastAsia="Calibri" w:hAnsi="Calibri"/>
          <w:b w:val="false"/>
          <w:bCs w:val="false"/>
          <w:i/>
          <w:iCs/>
          <w:color w:val="222222"/>
          <w:sz w:val="20"/>
          <w:szCs w:val="20"/>
        </w:rPr>
        <w:t xml:space="preserve">Mining, Metallurgy &amp; Exploration, 42</w:t>
      </w:r>
      <w:r>
        <w:rPr>
          <w:rFonts w:ascii="Calibri" w:cs="Calibri" w:eastAsia="Calibri" w:hAnsi="Calibri"/>
          <w:b w:val="false"/>
          <w:bCs w:val="false"/>
          <w:i w:val="false"/>
          <w:iCs w:val="false"/>
          <w:color w:val="222222"/>
          <w:sz w:val="20"/>
          <w:szCs w:val="20"/>
        </w:rPr>
        <w:t xml:space="preserve">(2), 665–684. https://doi.org/10.1007/s42461-025-01225-0</w:t>
      </w:r>
    </w:p>
    <w:p>
      <w:pPr>
        <w:spacing w:after="90"/>
        <w:ind w:left="360" w:hanging="360"/>
      </w:pPr>
      <w:r>
        <w:rPr>
          <w:rFonts w:ascii="Calibri" w:cs="Calibri" w:eastAsia="Calibri" w:hAnsi="Calibri"/>
          <w:b w:val="false"/>
          <w:bCs w:val="false"/>
          <w:i w:val="false"/>
          <w:iCs w:val="false"/>
          <w:color w:val="222222"/>
          <w:sz w:val="20"/>
          <w:szCs w:val="20"/>
        </w:rPr>
        <w:t xml:space="preserve">[2]  </w:t>
      </w:r>
      <w:r>
        <w:rPr>
          <w:rFonts w:ascii="Calibri" w:cs="Calibri" w:eastAsia="Calibri" w:hAnsi="Calibri"/>
          <w:b w:val="false"/>
          <w:bCs w:val="false"/>
          <w:i w:val="false"/>
          <w:iCs w:val="false"/>
          <w:color w:val="222222"/>
          <w:sz w:val="20"/>
          <w:szCs w:val="20"/>
        </w:rPr>
        <w:t xml:space="preserve">Operational cycle detection for mobile mining equipment: An integrative scoping review with narrative synthesis. (2025). </w:t>
      </w:r>
      <w:r>
        <w:rPr>
          <w:rFonts w:ascii="Calibri" w:cs="Calibri" w:eastAsia="Calibri" w:hAnsi="Calibri"/>
          <w:b w:val="false"/>
          <w:bCs w:val="false"/>
          <w:i/>
          <w:iCs/>
          <w:color w:val="222222"/>
          <w:sz w:val="20"/>
          <w:szCs w:val="20"/>
        </w:rPr>
        <w:t xml:space="preserve">Eng, 6</w:t>
      </w:r>
      <w:r>
        <w:rPr>
          <w:rFonts w:ascii="Calibri" w:cs="Calibri" w:eastAsia="Calibri" w:hAnsi="Calibri"/>
          <w:b w:val="false"/>
          <w:bCs w:val="false"/>
          <w:i w:val="false"/>
          <w:iCs w:val="false"/>
          <w:color w:val="222222"/>
          <w:sz w:val="20"/>
          <w:szCs w:val="20"/>
        </w:rPr>
        <w:t xml:space="preserve">(10), 279. https://doi.org/10.3390/eng6100279</w:t>
      </w:r>
    </w:p>
    <w:p>
      <w:pPr>
        <w:spacing w:after="90"/>
        <w:ind w:left="360" w:hanging="360"/>
      </w:pPr>
      <w:r>
        <w:rPr>
          <w:rFonts w:ascii="Calibri" w:cs="Calibri" w:eastAsia="Calibri" w:hAnsi="Calibri"/>
          <w:b w:val="false"/>
          <w:bCs w:val="false"/>
          <w:i w:val="false"/>
          <w:iCs w:val="false"/>
          <w:color w:val="222222"/>
          <w:sz w:val="20"/>
          <w:szCs w:val="20"/>
        </w:rPr>
        <w:t xml:space="preserve">[3]  </w:t>
      </w:r>
      <w:r>
        <w:rPr>
          <w:rFonts w:ascii="Calibri" w:cs="Calibri" w:eastAsia="Calibri" w:hAnsi="Calibri"/>
          <w:b w:val="false"/>
          <w:bCs w:val="false"/>
          <w:i w:val="false"/>
          <w:iCs w:val="false"/>
          <w:color w:val="222222"/>
          <w:sz w:val="20"/>
          <w:szCs w:val="20"/>
        </w:rPr>
        <w:t xml:space="preserve">Gawelski, D., Jachnik, B., Stefaniak, P., &amp; Skoczylas, A. (2020). Haul truck cycle identification using support vector machine and DBSCAN models. In </w:t>
      </w:r>
      <w:r>
        <w:rPr>
          <w:rFonts w:ascii="Calibri" w:cs="Calibri" w:eastAsia="Calibri" w:hAnsi="Calibri"/>
          <w:b w:val="false"/>
          <w:bCs w:val="false"/>
          <w:i/>
          <w:iCs/>
          <w:color w:val="222222"/>
          <w:sz w:val="20"/>
          <w:szCs w:val="20"/>
        </w:rPr>
        <w:t xml:space="preserve">Advances in Computational Collective Intelligence (ICCCI 2020)</w:t>
      </w:r>
      <w:r>
        <w:rPr>
          <w:rFonts w:ascii="Calibri" w:cs="Calibri" w:eastAsia="Calibri" w:hAnsi="Calibri"/>
          <w:b w:val="false"/>
          <w:bCs w:val="false"/>
          <w:i w:val="false"/>
          <w:iCs w:val="false"/>
          <w:color w:val="222222"/>
          <w:sz w:val="20"/>
          <w:szCs w:val="20"/>
        </w:rPr>
        <w:t xml:space="preserve">, CCIS vol. 1287. Springer. https://doi.org/10.1007/978-3-030-63119-2_28</w:t>
      </w:r>
    </w:p>
    <w:p>
      <w:pPr>
        <w:spacing w:after="90"/>
        <w:ind w:left="360" w:hanging="360"/>
      </w:pPr>
      <w:r>
        <w:rPr>
          <w:rFonts w:ascii="Calibri" w:cs="Calibri" w:eastAsia="Calibri" w:hAnsi="Calibri"/>
          <w:b w:val="false"/>
          <w:bCs w:val="false"/>
          <w:i w:val="false"/>
          <w:iCs w:val="false"/>
          <w:color w:val="222222"/>
          <w:sz w:val="20"/>
          <w:szCs w:val="20"/>
        </w:rPr>
        <w:t xml:space="preserve">[4]  </w:t>
      </w:r>
      <w:r>
        <w:rPr>
          <w:rFonts w:ascii="Calibri" w:cs="Calibri" w:eastAsia="Calibri" w:hAnsi="Calibri"/>
          <w:b w:val="false"/>
          <w:bCs w:val="false"/>
          <w:i w:val="false"/>
          <w:iCs w:val="false"/>
          <w:color w:val="222222"/>
          <w:sz w:val="20"/>
          <w:szCs w:val="20"/>
        </w:rPr>
        <w:t xml:space="preserve">Priegnitz, N., &amp; Yoo, J. J.-W. (2019). Automated location classification of mining trucks from GPS data. </w:t>
      </w:r>
      <w:r>
        <w:rPr>
          <w:rFonts w:ascii="Calibri" w:cs="Calibri" w:eastAsia="Calibri" w:hAnsi="Calibri"/>
          <w:b w:val="false"/>
          <w:bCs w:val="false"/>
          <w:i/>
          <w:iCs/>
          <w:color w:val="222222"/>
          <w:sz w:val="20"/>
          <w:szCs w:val="20"/>
        </w:rPr>
        <w:t xml:space="preserve">IISE Annual Conference Proceedings</w:t>
      </w:r>
      <w:r>
        <w:rPr>
          <w:rFonts w:ascii="Calibri" w:cs="Calibri" w:eastAsia="Calibri" w:hAnsi="Calibri"/>
          <w:b w:val="false"/>
          <w:bCs w:val="false"/>
          <w:i w:val="false"/>
          <w:iCs w:val="false"/>
          <w:color w:val="222222"/>
          <w:sz w:val="20"/>
          <w:szCs w:val="20"/>
        </w:rPr>
        <w:t xml:space="preserve"> (pp. 276–281). Norcross.</w:t>
      </w:r>
    </w:p>
    <w:p>
      <w:pPr>
        <w:spacing w:after="90"/>
        <w:ind w:left="360" w:hanging="360"/>
      </w:pPr>
      <w:r>
        <w:rPr>
          <w:rFonts w:ascii="Calibri" w:cs="Calibri" w:eastAsia="Calibri" w:hAnsi="Calibri"/>
          <w:b w:val="false"/>
          <w:bCs w:val="false"/>
          <w:i w:val="false"/>
          <w:iCs w:val="false"/>
          <w:color w:val="222222"/>
          <w:sz w:val="20"/>
          <w:szCs w:val="20"/>
        </w:rPr>
        <w:t xml:space="preserve">[5]  </w:t>
      </w:r>
      <w:r>
        <w:rPr>
          <w:rFonts w:ascii="Calibri" w:cs="Calibri" w:eastAsia="Calibri" w:hAnsi="Calibri"/>
          <w:b w:val="false"/>
          <w:bCs w:val="false"/>
          <w:i w:val="false"/>
          <w:iCs w:val="false"/>
          <w:color w:val="222222"/>
          <w:sz w:val="20"/>
          <w:szCs w:val="20"/>
        </w:rPr>
        <w:t xml:space="preserve">Skoczylas, A., Rot, A., Stefaniak, P., &amp; Śliwiński, P. (2023). Haulage cycles identification for wheeled transport in underground mine using neural networks. </w:t>
      </w:r>
      <w:r>
        <w:rPr>
          <w:rFonts w:ascii="Calibri" w:cs="Calibri" w:eastAsia="Calibri" w:hAnsi="Calibri"/>
          <w:b w:val="false"/>
          <w:bCs w:val="false"/>
          <w:i/>
          <w:iCs/>
          <w:color w:val="222222"/>
          <w:sz w:val="20"/>
          <w:szCs w:val="20"/>
        </w:rPr>
        <w:t xml:space="preserve">Sensors, 23</w:t>
      </w:r>
      <w:r>
        <w:rPr>
          <w:rFonts w:ascii="Calibri" w:cs="Calibri" w:eastAsia="Calibri" w:hAnsi="Calibri"/>
          <w:b w:val="false"/>
          <w:bCs w:val="false"/>
          <w:i w:val="false"/>
          <w:iCs w:val="false"/>
          <w:color w:val="222222"/>
          <w:sz w:val="20"/>
          <w:szCs w:val="20"/>
        </w:rPr>
        <w:t xml:space="preserve">(3), 1331. https://doi.org/10.3390/s23031331</w:t>
      </w:r>
    </w:p>
    <w:p>
      <w:pPr>
        <w:spacing w:after="90"/>
        <w:ind w:left="360" w:hanging="360"/>
      </w:pPr>
      <w:r>
        <w:rPr>
          <w:rFonts w:ascii="Calibri" w:cs="Calibri" w:eastAsia="Calibri" w:hAnsi="Calibri"/>
          <w:b w:val="false"/>
          <w:bCs w:val="false"/>
          <w:i w:val="false"/>
          <w:iCs w:val="false"/>
          <w:color w:val="222222"/>
          <w:sz w:val="20"/>
          <w:szCs w:val="20"/>
        </w:rPr>
        <w:t xml:space="preserve">[6]  </w:t>
      </w:r>
      <w:r>
        <w:rPr>
          <w:rFonts w:ascii="Calibri" w:cs="Calibri" w:eastAsia="Calibri" w:hAnsi="Calibri"/>
          <w:b w:val="false"/>
          <w:bCs w:val="false"/>
          <w:i w:val="false"/>
          <w:iCs w:val="false"/>
          <w:color w:val="222222"/>
          <w:sz w:val="20"/>
          <w:szCs w:val="20"/>
        </w:rPr>
        <w:t xml:space="preserve">Chen, W., Ji, M. H., &amp; Wang, J. M. (2014). T-DBSCAN: A spatiotemporal density clustering for GPS trajectory segmentation. </w:t>
      </w:r>
      <w:r>
        <w:rPr>
          <w:rFonts w:ascii="Calibri" w:cs="Calibri" w:eastAsia="Calibri" w:hAnsi="Calibri"/>
          <w:b w:val="false"/>
          <w:bCs w:val="false"/>
          <w:i/>
          <w:iCs/>
          <w:color w:val="222222"/>
          <w:sz w:val="20"/>
          <w:szCs w:val="20"/>
        </w:rPr>
        <w:t xml:space="preserve">International Journal of Online Engineering, 10</w:t>
      </w:r>
      <w:r>
        <w:rPr>
          <w:rFonts w:ascii="Calibri" w:cs="Calibri" w:eastAsia="Calibri" w:hAnsi="Calibri"/>
          <w:b w:val="false"/>
          <w:bCs w:val="false"/>
          <w:i w:val="false"/>
          <w:iCs w:val="false"/>
          <w:color w:val="222222"/>
          <w:sz w:val="20"/>
          <w:szCs w:val="20"/>
        </w:rPr>
        <w:t xml:space="preserve">(6), 19–24. https://doi.org/10.3991/ijoe.v10i6.3881</w:t>
      </w:r>
    </w:p>
    <w:p>
      <w:pPr>
        <w:spacing w:after="90"/>
        <w:ind w:left="360" w:hanging="360"/>
      </w:pPr>
      <w:r>
        <w:rPr>
          <w:rFonts w:ascii="Calibri" w:cs="Calibri" w:eastAsia="Calibri" w:hAnsi="Calibri"/>
          <w:b w:val="false"/>
          <w:bCs w:val="false"/>
          <w:i w:val="false"/>
          <w:iCs w:val="false"/>
          <w:color w:val="222222"/>
          <w:sz w:val="20"/>
          <w:szCs w:val="20"/>
        </w:rPr>
        <w:t xml:space="preserve">[7]  </w:t>
      </w:r>
      <w:r>
        <w:rPr>
          <w:rFonts w:ascii="Calibri" w:cs="Calibri" w:eastAsia="Calibri" w:hAnsi="Calibri"/>
          <w:b w:val="false"/>
          <w:bCs w:val="false"/>
          <w:i w:val="false"/>
          <w:iCs w:val="false"/>
          <w:color w:val="222222"/>
          <w:sz w:val="20"/>
          <w:szCs w:val="20"/>
        </w:rPr>
        <w:t xml:space="preserve">Zhao, J., Gao, L., &amp; Ren, S. (2025). Prediction of open-pit mine truck travel time based on LSTM-TabTransformer. </w:t>
      </w:r>
      <w:r>
        <w:rPr>
          <w:rFonts w:ascii="Calibri" w:cs="Calibri" w:eastAsia="Calibri" w:hAnsi="Calibri"/>
          <w:b w:val="false"/>
          <w:bCs w:val="false"/>
          <w:i/>
          <w:iCs/>
          <w:color w:val="222222"/>
          <w:sz w:val="20"/>
          <w:szCs w:val="20"/>
        </w:rPr>
        <w:t xml:space="preserve">Scientific Reports, 15</w:t>
      </w:r>
      <w:r>
        <w:rPr>
          <w:rFonts w:ascii="Calibri" w:cs="Calibri" w:eastAsia="Calibri" w:hAnsi="Calibri"/>
          <w:b w:val="false"/>
          <w:bCs w:val="false"/>
          <w:i w:val="false"/>
          <w:iCs w:val="false"/>
          <w:color w:val="222222"/>
          <w:sz w:val="20"/>
          <w:szCs w:val="20"/>
        </w:rPr>
        <w:t xml:space="preserve">, 7427. https://doi.org/10.1038/s41598-025-88543-x</w:t>
      </w:r>
    </w:p>
    <w:p>
      <w:pPr>
        <w:spacing w:after="90"/>
        <w:ind w:left="360" w:hanging="360"/>
      </w:pPr>
      <w:r>
        <w:rPr>
          <w:rFonts w:ascii="Calibri" w:cs="Calibri" w:eastAsia="Calibri" w:hAnsi="Calibri"/>
          <w:b w:val="false"/>
          <w:bCs w:val="false"/>
          <w:i w:val="false"/>
          <w:iCs w:val="false"/>
          <w:color w:val="222222"/>
          <w:sz w:val="20"/>
          <w:szCs w:val="20"/>
        </w:rPr>
        <w:t xml:space="preserve">[8]  </w:t>
      </w:r>
      <w:r>
        <w:rPr>
          <w:rFonts w:ascii="Calibri" w:cs="Calibri" w:eastAsia="Calibri" w:hAnsi="Calibri"/>
          <w:b w:val="false"/>
          <w:bCs w:val="false"/>
          <w:i w:val="false"/>
          <w:iCs w:val="false"/>
          <w:color w:val="222222"/>
          <w:sz w:val="20"/>
          <w:szCs w:val="20"/>
        </w:rPr>
        <w:t xml:space="preserve">Kaungu, E., Githiria, J., Mutua, S., &amp; Dalmus, M. (2021). Optimisation of shovel-truck haulage system in an open pit using queuing approach. </w:t>
      </w:r>
      <w:r>
        <w:rPr>
          <w:rFonts w:ascii="Calibri" w:cs="Calibri" w:eastAsia="Calibri" w:hAnsi="Calibri"/>
          <w:b w:val="false"/>
          <w:bCs w:val="false"/>
          <w:i/>
          <w:iCs/>
          <w:color w:val="222222"/>
          <w:sz w:val="20"/>
          <w:szCs w:val="20"/>
        </w:rPr>
        <w:t xml:space="preserve">Arabian Journal of Geosciences, 14</w:t>
      </w:r>
      <w:r>
        <w:rPr>
          <w:rFonts w:ascii="Calibri" w:cs="Calibri" w:eastAsia="Calibri" w:hAnsi="Calibri"/>
          <w:b w:val="false"/>
          <w:bCs w:val="false"/>
          <w:i w:val="false"/>
          <w:iCs w:val="false"/>
          <w:color w:val="222222"/>
          <w:sz w:val="20"/>
          <w:szCs w:val="20"/>
        </w:rPr>
        <w:t xml:space="preserve">(11). https://doi.org/10.1007/s12517-021-07365-z</w:t>
      </w:r>
    </w:p>
    <w:p>
      <w:pPr>
        <w:spacing w:after="90"/>
        <w:ind w:left="360" w:hanging="360"/>
      </w:pPr>
      <w:r>
        <w:rPr>
          <w:rFonts w:ascii="Calibri" w:cs="Calibri" w:eastAsia="Calibri" w:hAnsi="Calibri"/>
          <w:b w:val="false"/>
          <w:bCs w:val="false"/>
          <w:i w:val="false"/>
          <w:iCs w:val="false"/>
          <w:color w:val="222222"/>
          <w:sz w:val="20"/>
          <w:szCs w:val="20"/>
        </w:rPr>
        <w:t xml:space="preserve">[9]  </w:t>
      </w:r>
      <w:r>
        <w:rPr>
          <w:rFonts w:ascii="Calibri" w:cs="Calibri" w:eastAsia="Calibri" w:hAnsi="Calibri"/>
          <w:b w:val="false"/>
          <w:bCs w:val="false"/>
          <w:i w:val="false"/>
          <w:iCs w:val="false"/>
          <w:color w:val="222222"/>
          <w:sz w:val="20"/>
          <w:szCs w:val="20"/>
        </w:rPr>
        <w:t xml:space="preserve">Zhao, W., McCormack, E., Dailey, D. J., &amp; Scharnhorst, E. (2013). Using truck probe GPS data to identify and rank roadway bottlenecks. </w:t>
      </w:r>
      <w:r>
        <w:rPr>
          <w:rFonts w:ascii="Calibri" w:cs="Calibri" w:eastAsia="Calibri" w:hAnsi="Calibri"/>
          <w:b w:val="false"/>
          <w:bCs w:val="false"/>
          <w:i/>
          <w:iCs/>
          <w:color w:val="222222"/>
          <w:sz w:val="20"/>
          <w:szCs w:val="20"/>
        </w:rPr>
        <w:t xml:space="preserve">Journal of Transportation Engineering, 139</w:t>
      </w:r>
      <w:r>
        <w:rPr>
          <w:rFonts w:ascii="Calibri" w:cs="Calibri" w:eastAsia="Calibri" w:hAnsi="Calibri"/>
          <w:b w:val="false"/>
          <w:bCs w:val="false"/>
          <w:i w:val="false"/>
          <w:iCs w:val="false"/>
          <w:color w:val="222222"/>
          <w:sz w:val="20"/>
          <w:szCs w:val="20"/>
        </w:rPr>
        <w:t xml:space="preserve">(1), 1–7. https://doi.org/10.1061/(ASCE)TE.1943-5436.0000444</w:t>
      </w:r>
    </w:p>
    <w:p>
      <w:pPr>
        <w:spacing w:after="90"/>
        <w:ind w:left="360" w:hanging="360"/>
      </w:pPr>
      <w:r>
        <w:rPr>
          <w:rFonts w:ascii="Calibri" w:cs="Calibri" w:eastAsia="Calibri" w:hAnsi="Calibri"/>
          <w:b w:val="false"/>
          <w:bCs w:val="false"/>
          <w:i w:val="false"/>
          <w:iCs w:val="false"/>
          <w:color w:val="222222"/>
          <w:sz w:val="20"/>
          <w:szCs w:val="20"/>
        </w:rPr>
        <w:t xml:space="preserve">[10]  </w:t>
      </w:r>
      <w:r>
        <w:rPr>
          <w:rFonts w:ascii="Calibri" w:cs="Calibri" w:eastAsia="Calibri" w:hAnsi="Calibri"/>
          <w:b w:val="false"/>
          <w:bCs w:val="false"/>
          <w:i w:val="false"/>
          <w:iCs w:val="false"/>
          <w:color w:val="222222"/>
          <w:sz w:val="20"/>
          <w:szCs w:val="20"/>
        </w:rPr>
        <w:t xml:space="preserve">Automatic freeway bottleneck identification and visualization. (2019). </w:t>
      </w:r>
      <w:r>
        <w:rPr>
          <w:rFonts w:ascii="Calibri" w:cs="Calibri" w:eastAsia="Calibri" w:hAnsi="Calibri"/>
          <w:b w:val="false"/>
          <w:bCs w:val="false"/>
          <w:i/>
          <w:iCs/>
          <w:color w:val="222222"/>
          <w:sz w:val="20"/>
          <w:szCs w:val="20"/>
        </w:rPr>
        <w:t xml:space="preserve">arXiv preprint</w:t>
      </w:r>
      <w:r>
        <w:rPr>
          <w:rFonts w:ascii="Calibri" w:cs="Calibri" w:eastAsia="Calibri" w:hAnsi="Calibri"/>
          <w:b w:val="false"/>
          <w:bCs w:val="false"/>
          <w:i w:val="false"/>
          <w:iCs w:val="false"/>
          <w:color w:val="222222"/>
          <w:sz w:val="20"/>
          <w:szCs w:val="20"/>
        </w:rPr>
        <w:t xml:space="preserve"> arXiv:1911.07395.</w:t>
      </w:r>
    </w:p>
    <w:p>
      <w:pPr>
        <w:spacing w:after="90"/>
        <w:ind w:left="360" w:hanging="360"/>
      </w:pPr>
      <w:r>
        <w:rPr>
          <w:rFonts w:ascii="Calibri" w:cs="Calibri" w:eastAsia="Calibri" w:hAnsi="Calibri"/>
          <w:b w:val="false"/>
          <w:bCs w:val="false"/>
          <w:i w:val="false"/>
          <w:iCs w:val="false"/>
          <w:color w:val="222222"/>
          <w:sz w:val="20"/>
          <w:szCs w:val="20"/>
        </w:rPr>
        <w:t xml:space="preserve">[11]  </w:t>
      </w:r>
      <w:r>
        <w:rPr>
          <w:rFonts w:ascii="Calibri" w:cs="Calibri" w:eastAsia="Calibri" w:hAnsi="Calibri"/>
          <w:b w:val="false"/>
          <w:bCs w:val="false"/>
          <w:i w:val="false"/>
          <w:iCs w:val="false"/>
          <w:color w:val="222222"/>
          <w:sz w:val="20"/>
          <w:szCs w:val="20"/>
        </w:rPr>
        <w:t xml:space="preserve">Geometric and operational design principles for autonomous haulage systems in open-pit mining: A systematic review. (2025). </w:t>
      </w:r>
      <w:r>
        <w:rPr>
          <w:rFonts w:ascii="Calibri" w:cs="Calibri" w:eastAsia="Calibri" w:hAnsi="Calibri"/>
          <w:b w:val="false"/>
          <w:bCs w:val="false"/>
          <w:i/>
          <w:iCs/>
          <w:color w:val="222222"/>
          <w:sz w:val="20"/>
          <w:szCs w:val="20"/>
        </w:rPr>
        <w:t xml:space="preserve">Mining, 6</w:t>
      </w:r>
      <w:r>
        <w:rPr>
          <w:rFonts w:ascii="Calibri" w:cs="Calibri" w:eastAsia="Calibri" w:hAnsi="Calibri"/>
          <w:b w:val="false"/>
          <w:bCs w:val="false"/>
          <w:i w:val="false"/>
          <w:iCs w:val="false"/>
          <w:color w:val="222222"/>
          <w:sz w:val="20"/>
          <w:szCs w:val="20"/>
        </w:rPr>
        <w:t xml:space="preserve">(3), 45. https://doi.org/10.3390/mining6030045</w:t>
      </w:r>
    </w:p>
    <w:p>
      <w:pPr>
        <w:spacing w:after="90"/>
        <w:ind w:left="360" w:hanging="360"/>
      </w:pPr>
      <w:r>
        <w:rPr>
          <w:rFonts w:ascii="Calibri" w:cs="Calibri" w:eastAsia="Calibri" w:hAnsi="Calibri"/>
          <w:b w:val="false"/>
          <w:bCs w:val="false"/>
          <w:i w:val="false"/>
          <w:iCs w:val="false"/>
          <w:color w:val="222222"/>
          <w:sz w:val="20"/>
          <w:szCs w:val="20"/>
        </w:rPr>
        <w:t xml:space="preserve">[12]  </w:t>
      </w:r>
      <w:r>
        <w:rPr>
          <w:rFonts w:ascii="Calibri" w:cs="Calibri" w:eastAsia="Calibri" w:hAnsi="Calibri"/>
          <w:b w:val="false"/>
          <w:bCs w:val="false"/>
          <w:i w:val="false"/>
          <w:iCs w:val="false"/>
          <w:color w:val="222222"/>
          <w:sz w:val="20"/>
          <w:szCs w:val="20"/>
        </w:rPr>
        <w:t xml:space="preserve">Žikić, Kukolj, Stojadinović, &amp; Tanikić (2018). Automatic control of haul truck travel speed on open pits. </w:t>
      </w:r>
      <w:r>
        <w:rPr>
          <w:rFonts w:ascii="Calibri" w:cs="Calibri" w:eastAsia="Calibri" w:hAnsi="Calibri"/>
          <w:b w:val="false"/>
          <w:bCs w:val="false"/>
          <w:i/>
          <w:iCs/>
          <w:color w:val="222222"/>
          <w:sz w:val="20"/>
          <w:szCs w:val="20"/>
        </w:rPr>
        <w:t xml:space="preserve">Tehnika</w:t>
      </w:r>
      <w:r>
        <w:rPr>
          <w:rFonts w:ascii="Calibri" w:cs="Calibri" w:eastAsia="Calibri" w:hAnsi="Calibri"/>
          <w:b w:val="false"/>
          <w:bCs w:val="false"/>
          <w:i w:val="false"/>
          <w:iCs w:val="false"/>
          <w:color w:val="222222"/>
          <w:sz w:val="20"/>
          <w:szCs w:val="20"/>
        </w:rPr>
        <w:t xml:space="preserve">. https://doi.org/10.5937/tehnika1804497Z</w:t>
      </w:r>
    </w:p>
    <w:p>
      <w:pPr>
        <w:spacing w:after="90"/>
        <w:ind w:left="360" w:hanging="360"/>
      </w:pPr>
      <w:r>
        <w:rPr>
          <w:rFonts w:ascii="Calibri" w:cs="Calibri" w:eastAsia="Calibri" w:hAnsi="Calibri"/>
          <w:b w:val="false"/>
          <w:bCs w:val="false"/>
          <w:i w:val="false"/>
          <w:iCs w:val="false"/>
          <w:color w:val="222222"/>
          <w:sz w:val="20"/>
          <w:szCs w:val="20"/>
        </w:rPr>
        <w:t xml:space="preserve">[13]  </w:t>
      </w:r>
      <w:r>
        <w:rPr>
          <w:rFonts w:ascii="Calibri" w:cs="Calibri" w:eastAsia="Calibri" w:hAnsi="Calibri"/>
          <w:b w:val="false"/>
          <w:bCs w:val="false"/>
          <w:i w:val="false"/>
          <w:iCs w:val="false"/>
          <w:color w:val="222222"/>
          <w:sz w:val="20"/>
          <w:szCs w:val="20"/>
        </w:rPr>
        <w:t xml:space="preserve">Daganzo, C. F., &amp; Pilachowski, J. (2011). Reducing bunching with bus-to-bus cooperation. </w:t>
      </w:r>
      <w:r>
        <w:rPr>
          <w:rFonts w:ascii="Calibri" w:cs="Calibri" w:eastAsia="Calibri" w:hAnsi="Calibri"/>
          <w:b w:val="false"/>
          <w:bCs w:val="false"/>
          <w:i/>
          <w:iCs/>
          <w:color w:val="222222"/>
          <w:sz w:val="20"/>
          <w:szCs w:val="20"/>
        </w:rPr>
        <w:t xml:space="preserve">Transportation Research Part B: Methodological, 45</w:t>
      </w:r>
      <w:r>
        <w:rPr>
          <w:rFonts w:ascii="Calibri" w:cs="Calibri" w:eastAsia="Calibri" w:hAnsi="Calibri"/>
          <w:b w:val="false"/>
          <w:bCs w:val="false"/>
          <w:i w:val="false"/>
          <w:iCs w:val="false"/>
          <w:color w:val="222222"/>
          <w:sz w:val="20"/>
          <w:szCs w:val="20"/>
        </w:rPr>
        <w:t xml:space="preserve">(1), 267–277. https://doi.org/10.1016/j.trb.2010.06.005</w:t>
      </w:r>
    </w:p>
    <w:p>
      <w:pPr>
        <w:spacing w:after="90"/>
        <w:ind w:left="360" w:hanging="360"/>
      </w:pPr>
      <w:r>
        <w:rPr>
          <w:rFonts w:ascii="Calibri" w:cs="Calibri" w:eastAsia="Calibri" w:hAnsi="Calibri"/>
          <w:b w:val="false"/>
          <w:bCs w:val="false"/>
          <w:i w:val="false"/>
          <w:iCs w:val="false"/>
          <w:color w:val="222222"/>
          <w:sz w:val="20"/>
          <w:szCs w:val="20"/>
        </w:rPr>
        <w:t xml:space="preserve">[14]  </w:t>
      </w:r>
      <w:r>
        <w:rPr>
          <w:rFonts w:ascii="Calibri" w:cs="Calibri" w:eastAsia="Calibri" w:hAnsi="Calibri"/>
          <w:b w:val="false"/>
          <w:bCs w:val="false"/>
          <w:i w:val="false"/>
          <w:iCs w:val="false"/>
          <w:color w:val="222222"/>
          <w:sz w:val="20"/>
          <w:szCs w:val="20"/>
        </w:rPr>
        <w:t xml:space="preserve">Slow steaming and just-in-time arrival strategies in maritime logistics. (2026). </w:t>
      </w:r>
      <w:r>
        <w:rPr>
          <w:rFonts w:ascii="Calibri" w:cs="Calibri" w:eastAsia="Calibri" w:hAnsi="Calibri"/>
          <w:b w:val="false"/>
          <w:bCs w:val="false"/>
          <w:i/>
          <w:iCs/>
          <w:color w:val="222222"/>
          <w:sz w:val="20"/>
          <w:szCs w:val="20"/>
        </w:rPr>
        <w:t xml:space="preserve">Journal of Marine Science and Engineering, 14</w:t>
      </w:r>
      <w:r>
        <w:rPr>
          <w:rFonts w:ascii="Calibri" w:cs="Calibri" w:eastAsia="Calibri" w:hAnsi="Calibri"/>
          <w:b w:val="false"/>
          <w:bCs w:val="false"/>
          <w:i w:val="false"/>
          <w:iCs w:val="false"/>
          <w:color w:val="222222"/>
          <w:sz w:val="20"/>
          <w:szCs w:val="20"/>
        </w:rPr>
        <w:t xml:space="preserve">(3), 299. https://doi.org/10.3390/jmse14030299</w:t>
      </w:r>
    </w:p>
    <w:p>
      <w:pPr>
        <w:spacing w:after="90"/>
        <w:ind w:left="360" w:hanging="360"/>
      </w:pPr>
      <w:r>
        <w:rPr>
          <w:rFonts w:ascii="Calibri" w:cs="Calibri" w:eastAsia="Calibri" w:hAnsi="Calibri"/>
          <w:b w:val="false"/>
          <w:bCs w:val="false"/>
          <w:i w:val="false"/>
          <w:iCs w:val="false"/>
          <w:color w:val="222222"/>
          <w:sz w:val="20"/>
          <w:szCs w:val="20"/>
        </w:rPr>
        <w:t xml:space="preserve">[15]  </w:t>
      </w:r>
      <w:r>
        <w:rPr>
          <w:rFonts w:ascii="Calibri" w:cs="Calibri" w:eastAsia="Calibri" w:hAnsi="Calibri"/>
          <w:b w:val="false"/>
          <w:bCs w:val="false"/>
          <w:i w:val="false"/>
          <w:iCs w:val="false"/>
          <w:color w:val="222222"/>
          <w:sz w:val="20"/>
          <w:szCs w:val="20"/>
        </w:rPr>
        <w:t xml:space="preserve">Coordinated vessel arrival time prediction and berth allocation optimization for efficient port operations. (2026). </w:t>
      </w:r>
      <w:r>
        <w:rPr>
          <w:rFonts w:ascii="Calibri" w:cs="Calibri" w:eastAsia="Calibri" w:hAnsi="Calibri"/>
          <w:b w:val="false"/>
          <w:bCs w:val="false"/>
          <w:i/>
          <w:iCs/>
          <w:color w:val="222222"/>
          <w:sz w:val="20"/>
          <w:szCs w:val="20"/>
        </w:rPr>
        <w:t xml:space="preserve">Journal of Marine Science and Engineering, 14</w:t>
      </w:r>
      <w:r>
        <w:rPr>
          <w:rFonts w:ascii="Calibri" w:cs="Calibri" w:eastAsia="Calibri" w:hAnsi="Calibri"/>
          <w:b w:val="false"/>
          <w:bCs w:val="false"/>
          <w:i w:val="false"/>
          <w:iCs w:val="false"/>
          <w:color w:val="222222"/>
          <w:sz w:val="20"/>
          <w:szCs w:val="20"/>
        </w:rPr>
        <w:t xml:space="preserve">(8), 758. https://doi.org/10.3390/jmse14080758</w:t>
      </w:r>
    </w:p>
    <w:p>
      <w:pPr>
        <w:spacing w:after="90"/>
        <w:ind w:left="360" w:hanging="360"/>
      </w:pPr>
      <w:r>
        <w:rPr>
          <w:rFonts w:ascii="Calibri" w:cs="Calibri" w:eastAsia="Calibri" w:hAnsi="Calibri"/>
          <w:b w:val="false"/>
          <w:bCs w:val="false"/>
          <w:i w:val="false"/>
          <w:iCs w:val="false"/>
          <w:color w:val="222222"/>
          <w:sz w:val="20"/>
          <w:szCs w:val="20"/>
        </w:rPr>
        <w:t xml:space="preserve">[16]  </w:t>
      </w:r>
      <w:r>
        <w:rPr>
          <w:rFonts w:ascii="Calibri" w:cs="Calibri" w:eastAsia="Calibri" w:hAnsi="Calibri"/>
          <w:b w:val="false"/>
          <w:bCs w:val="false"/>
          <w:i w:val="false"/>
          <w:iCs w:val="false"/>
          <w:color w:val="222222"/>
          <w:sz w:val="20"/>
          <w:szCs w:val="20"/>
        </w:rPr>
        <w:t xml:space="preserve">Mirzaei-Nasirabad, H., Mohtasham, M., Askari-Nasab, H., et al. (2023). An optimization model for the real-time truck dispatching problem in open-pit mining operations. </w:t>
      </w:r>
      <w:r>
        <w:rPr>
          <w:rFonts w:ascii="Calibri" w:cs="Calibri" w:eastAsia="Calibri" w:hAnsi="Calibri"/>
          <w:b w:val="false"/>
          <w:bCs w:val="false"/>
          <w:i/>
          <w:iCs/>
          <w:color w:val="222222"/>
          <w:sz w:val="20"/>
          <w:szCs w:val="20"/>
        </w:rPr>
        <w:t xml:space="preserve">Optimization and Engineering, 24</w:t>
      </w:r>
      <w:r>
        <w:rPr>
          <w:rFonts w:ascii="Calibri" w:cs="Calibri" w:eastAsia="Calibri" w:hAnsi="Calibri"/>
          <w:b w:val="false"/>
          <w:bCs w:val="false"/>
          <w:i w:val="false"/>
          <w:iCs w:val="false"/>
          <w:color w:val="222222"/>
          <w:sz w:val="20"/>
          <w:szCs w:val="20"/>
        </w:rPr>
        <w:t xml:space="preserve">, 2449–2473. https://doi.org/10.1007/s11081-022-09780-x</w:t>
      </w:r>
    </w:p>
    <w:p>
      <w:pPr>
        <w:spacing w:after="90"/>
        <w:ind w:left="360" w:hanging="360"/>
      </w:pPr>
      <w:r>
        <w:rPr>
          <w:rFonts w:ascii="Calibri" w:cs="Calibri" w:eastAsia="Calibri" w:hAnsi="Calibri"/>
          <w:b w:val="false"/>
          <w:bCs w:val="false"/>
          <w:i w:val="false"/>
          <w:iCs w:val="false"/>
          <w:color w:val="222222"/>
          <w:sz w:val="20"/>
          <w:szCs w:val="20"/>
        </w:rPr>
        <w:t xml:space="preserve">[17]  </w:t>
      </w:r>
      <w:r>
        <w:rPr>
          <w:rFonts w:ascii="Calibri" w:cs="Calibri" w:eastAsia="Calibri" w:hAnsi="Calibri"/>
          <w:b w:val="false"/>
          <w:bCs w:val="false"/>
          <w:i w:val="false"/>
          <w:iCs w:val="false"/>
          <w:color w:val="222222"/>
          <w:sz w:val="20"/>
          <w:szCs w:val="20"/>
        </w:rPr>
        <w:t xml:space="preserve">Hazrathosseini, A., &amp; Moradi Afrapoli, A. (2024). Transition to intelligent fleet management systems in open pit mines: A critical review on application of reinforcement-learning-based systems. </w:t>
      </w:r>
      <w:r>
        <w:rPr>
          <w:rFonts w:ascii="Calibri" w:cs="Calibri" w:eastAsia="Calibri" w:hAnsi="Calibri"/>
          <w:b w:val="false"/>
          <w:bCs w:val="false"/>
          <w:i/>
          <w:iCs/>
          <w:color w:val="222222"/>
          <w:sz w:val="20"/>
          <w:szCs w:val="20"/>
        </w:rPr>
        <w:t xml:space="preserve">Mining Technology: Transactions of the Institutions of Mining and Metallurgy</w:t>
      </w:r>
      <w:r>
        <w:rPr>
          <w:rFonts w:ascii="Calibri" w:cs="Calibri" w:eastAsia="Calibri" w:hAnsi="Calibri"/>
          <w:b w:val="false"/>
          <w:bCs w:val="false"/>
          <w:i w:val="false"/>
          <w:iCs w:val="false"/>
          <w:color w:val="222222"/>
          <w:sz w:val="20"/>
          <w:szCs w:val="20"/>
        </w:rPr>
        <w:t xml:space="preserve">. https://doi.org/10.1177/25726668231222998</w:t>
      </w:r>
    </w:p>
    <w:p>
      <w:pPr>
        <w:spacing w:after="90"/>
        <w:ind w:left="360" w:hanging="360"/>
      </w:pPr>
      <w:r>
        <w:rPr>
          <w:rFonts w:ascii="Calibri" w:cs="Calibri" w:eastAsia="Calibri" w:hAnsi="Calibri"/>
          <w:b w:val="false"/>
          <w:bCs w:val="false"/>
          <w:i w:val="false"/>
          <w:iCs w:val="false"/>
          <w:color w:val="222222"/>
          <w:sz w:val="20"/>
          <w:szCs w:val="20"/>
        </w:rPr>
        <w:t xml:space="preserve">[18]  </w:t>
      </w:r>
      <w:r>
        <w:rPr>
          <w:rFonts w:ascii="Calibri" w:cs="Calibri" w:eastAsia="Calibri" w:hAnsi="Calibri"/>
          <w:b w:val="false"/>
          <w:bCs w:val="false"/>
          <w:i w:val="false"/>
          <w:iCs w:val="false"/>
          <w:color w:val="222222"/>
          <w:sz w:val="20"/>
          <w:szCs w:val="20"/>
        </w:rPr>
        <w:t xml:space="preserve">A hybrid MARL clustering framework for real-time open-pit mine truck scheduling. (2025). </w:t>
      </w:r>
      <w:r>
        <w:rPr>
          <w:rFonts w:ascii="Calibri" w:cs="Calibri" w:eastAsia="Calibri" w:hAnsi="Calibri"/>
          <w:b w:val="false"/>
          <w:bCs w:val="false"/>
          <w:i/>
          <w:iCs/>
          <w:color w:val="222222"/>
          <w:sz w:val="20"/>
          <w:szCs w:val="20"/>
        </w:rPr>
        <w:t xml:space="preserve">Scientific Reports, 15</w:t>
      </w:r>
      <w:r>
        <w:rPr>
          <w:rFonts w:ascii="Calibri" w:cs="Calibri" w:eastAsia="Calibri" w:hAnsi="Calibri"/>
          <w:b w:val="false"/>
          <w:bCs w:val="false"/>
          <w:i w:val="false"/>
          <w:iCs w:val="false"/>
          <w:color w:val="222222"/>
          <w:sz w:val="20"/>
          <w:szCs w:val="20"/>
        </w:rPr>
        <w:t xml:space="preserve">. https://doi.org/10.1038/s41598-025-16347-0</w:t>
      </w:r>
    </w:p>
    <w:p>
      <w:pPr>
        <w:spacing w:after="90"/>
        <w:ind w:left="360" w:hanging="360"/>
      </w:pPr>
      <w:r>
        <w:rPr>
          <w:rFonts w:ascii="Calibri" w:cs="Calibri" w:eastAsia="Calibri" w:hAnsi="Calibri"/>
          <w:b w:val="false"/>
          <w:bCs w:val="false"/>
          <w:i w:val="false"/>
          <w:iCs w:val="false"/>
          <w:color w:val="222222"/>
          <w:sz w:val="20"/>
          <w:szCs w:val="20"/>
        </w:rPr>
        <w:t xml:space="preserve">[19]  </w:t>
      </w:r>
      <w:r>
        <w:rPr>
          <w:rFonts w:ascii="Calibri" w:cs="Calibri" w:eastAsia="Calibri" w:hAnsi="Calibri"/>
          <w:b w:val="false"/>
          <w:bCs w:val="false"/>
          <w:i w:val="false"/>
          <w:iCs w:val="false"/>
          <w:color w:val="222222"/>
          <w:sz w:val="20"/>
          <w:szCs w:val="20"/>
        </w:rPr>
        <w:t xml:space="preserve">Curriculum-inspired adaptive direct policy guidance for truck dispatching. (2025). </w:t>
      </w:r>
      <w:r>
        <w:rPr>
          <w:rFonts w:ascii="Calibri" w:cs="Calibri" w:eastAsia="Calibri" w:hAnsi="Calibri"/>
          <w:b w:val="false"/>
          <w:bCs w:val="false"/>
          <w:i/>
          <w:iCs/>
          <w:color w:val="222222"/>
          <w:sz w:val="20"/>
          <w:szCs w:val="20"/>
        </w:rPr>
        <w:t xml:space="preserve">arXiv preprint</w:t>
      </w:r>
      <w:r>
        <w:rPr>
          <w:rFonts w:ascii="Calibri" w:cs="Calibri" w:eastAsia="Calibri" w:hAnsi="Calibri"/>
          <w:b w:val="false"/>
          <w:bCs w:val="false"/>
          <w:i w:val="false"/>
          <w:iCs w:val="false"/>
          <w:color w:val="222222"/>
          <w:sz w:val="20"/>
          <w:szCs w:val="20"/>
        </w:rPr>
        <w:t xml:space="preserve"> arXiv:2502.20845.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2026-07-07T05:46:18.269Z</dcterms:created>
  <dcterms:modified xsi:type="dcterms:W3CDTF">2026-07-07T05:46:18.269Z</dcterms:modified>
</cp:coreProperties>
</file>

<file path=docProps/custom.xml><?xml version="1.0" encoding="utf-8"?>
<Properties xmlns="http://schemas.openxmlformats.org/officeDocument/2006/custom-properties" xmlns:vt="http://schemas.openxmlformats.org/officeDocument/2006/docPropsVTypes"/>
</file>