
<file path=[Content_Types].xml><?xml version="1.0" encoding="utf-8"?>
<Types xmlns="http://schemas.openxmlformats.org/package/2006/content-types">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190" w:rsidRPr="00B71439" w:rsidRDefault="00B71439" w:rsidP="00B71439">
      <w:pPr>
        <w:jc w:val="center"/>
        <w:rPr>
          <w:b/>
          <w:bCs/>
          <w:color w:val="548DD4" w:themeColor="text2" w:themeTint="99"/>
          <w:sz w:val="28"/>
          <w:lang w:val="en-IN"/>
        </w:rPr>
      </w:pPr>
      <w:r w:rsidRPr="00B71439">
        <w:rPr>
          <w:b/>
          <w:bCs/>
          <w:color w:val="548DD4" w:themeColor="text2" w:themeTint="99"/>
          <w:sz w:val="28"/>
          <w:lang w:val="en-IN"/>
        </w:rPr>
        <w:t>WEEK 2 TASK</w:t>
      </w:r>
    </w:p>
    <w:p w:rsidR="00B71439" w:rsidRPr="00B71439" w:rsidRDefault="00B71439" w:rsidP="00AD0A80">
      <w:pPr>
        <w:pStyle w:val="Title"/>
        <w:jc w:val="center"/>
        <w:rPr>
          <w:rFonts w:ascii="Bahnschrift" w:hAnsi="Bahnschrift"/>
          <w:sz w:val="48"/>
          <w:szCs w:val="48"/>
          <w:lang w:val="en-IN"/>
        </w:rPr>
      </w:pPr>
      <w:r w:rsidRPr="00B71439">
        <w:rPr>
          <w:rFonts w:ascii="Bahnschrift" w:hAnsi="Bahnschrift"/>
          <w:sz w:val="48"/>
          <w:szCs w:val="48"/>
          <w:lang w:val="en-IN"/>
        </w:rPr>
        <w:t>D</w:t>
      </w:r>
      <w:r>
        <w:rPr>
          <w:rFonts w:ascii="Bahnschrift" w:hAnsi="Bahnschrift"/>
          <w:sz w:val="48"/>
          <w:szCs w:val="48"/>
          <w:lang w:val="en-IN"/>
        </w:rPr>
        <w:t>ata Cleaning and Pre</w:t>
      </w:r>
      <w:r w:rsidR="00AD0A80">
        <w:rPr>
          <w:rFonts w:ascii="Bahnschrift" w:hAnsi="Bahnschrift"/>
          <w:sz w:val="48"/>
          <w:szCs w:val="48"/>
          <w:lang w:val="en-IN"/>
        </w:rPr>
        <w:t>-</w:t>
      </w:r>
      <w:r>
        <w:rPr>
          <w:rFonts w:ascii="Bahnschrift" w:hAnsi="Bahnschrift"/>
          <w:sz w:val="48"/>
          <w:szCs w:val="48"/>
          <w:lang w:val="en-IN"/>
        </w:rPr>
        <w:t>processing S</w:t>
      </w:r>
      <w:r w:rsidRPr="00B71439">
        <w:rPr>
          <w:rFonts w:ascii="Bahnschrift" w:hAnsi="Bahnschrift"/>
          <w:sz w:val="48"/>
          <w:szCs w:val="48"/>
          <w:lang w:val="en-IN"/>
        </w:rPr>
        <w:t>trategy</w:t>
      </w:r>
    </w:p>
    <w:p w:rsidR="00B71439" w:rsidRDefault="00B71439" w:rsidP="00B71439">
      <w:pPr>
        <w:jc w:val="center"/>
        <w:rPr>
          <w:i/>
          <w:iCs/>
          <w:lang w:val="en-IN"/>
        </w:rPr>
      </w:pPr>
      <w:r>
        <w:rPr>
          <w:i/>
          <w:iCs/>
          <w:lang w:val="en-IN"/>
        </w:rPr>
        <w:t>Junior Data Science Internship – Agribusiness Data Analysis</w:t>
      </w:r>
    </w:p>
    <w:p w:rsidR="00B71439" w:rsidRDefault="00B71439" w:rsidP="00B71439">
      <w:pPr>
        <w:jc w:val="center"/>
        <w:rPr>
          <w:b/>
          <w:bCs/>
          <w:lang w:val="en-IN"/>
        </w:rPr>
      </w:pPr>
      <w:r>
        <w:rPr>
          <w:b/>
          <w:bCs/>
          <w:lang w:val="en-IN"/>
        </w:rPr>
        <w:t>Prepared by:</w:t>
      </w:r>
      <w:r w:rsidR="00BC7B8D">
        <w:rPr>
          <w:b/>
          <w:bCs/>
          <w:lang w:val="en-IN"/>
        </w:rPr>
        <w:t xml:space="preserve"> </w:t>
      </w:r>
      <w:proofErr w:type="spellStart"/>
      <w:r w:rsidR="00BC7B8D">
        <w:rPr>
          <w:b/>
          <w:bCs/>
          <w:lang w:val="en-IN"/>
        </w:rPr>
        <w:t>Amisha</w:t>
      </w:r>
      <w:proofErr w:type="spellEnd"/>
      <w:r w:rsidR="00BC7B8D">
        <w:rPr>
          <w:b/>
          <w:bCs/>
          <w:lang w:val="en-IN"/>
        </w:rPr>
        <w:t xml:space="preserve"> </w:t>
      </w:r>
      <w:proofErr w:type="spellStart"/>
      <w:r w:rsidR="00BC7B8D">
        <w:rPr>
          <w:b/>
          <w:bCs/>
          <w:lang w:val="en-IN"/>
        </w:rPr>
        <w:t>Urang</w:t>
      </w:r>
      <w:proofErr w:type="spellEnd"/>
    </w:p>
    <w:p w:rsidR="00D71361" w:rsidRDefault="00D71361" w:rsidP="00B71439">
      <w:pPr>
        <w:jc w:val="center"/>
        <w:rPr>
          <w:b/>
          <w:bCs/>
          <w:lang w:val="en-IN"/>
        </w:rPr>
      </w:pPr>
    </w:p>
    <w:p w:rsidR="00D71361" w:rsidRDefault="00D71361" w:rsidP="00B71439">
      <w:pPr>
        <w:jc w:val="center"/>
        <w:rPr>
          <w:b/>
          <w:bCs/>
          <w:lang w:val="en-IN"/>
        </w:rPr>
      </w:pPr>
    </w:p>
    <w:p w:rsidR="00D71361" w:rsidRPr="00D71361" w:rsidRDefault="00D71361" w:rsidP="00B71439">
      <w:pPr>
        <w:jc w:val="center"/>
        <w:rPr>
          <w:b/>
          <w:bCs/>
          <w:sz w:val="24"/>
          <w:szCs w:val="24"/>
          <w:lang w:val="en-IN"/>
        </w:rPr>
      </w:pPr>
    </w:p>
    <w:p w:rsidR="00BC7B8D" w:rsidRDefault="00D71361" w:rsidP="00D71361">
      <w:pPr>
        <w:jc w:val="left"/>
        <w:rPr>
          <w:b/>
          <w:bCs/>
          <w:color w:val="365F91" w:themeColor="accent1" w:themeShade="BF"/>
          <w:sz w:val="32"/>
          <w:szCs w:val="32"/>
          <w:lang w:val="en-IN"/>
        </w:rPr>
      </w:pPr>
      <w:r>
        <w:rPr>
          <w:b/>
          <w:bCs/>
          <w:color w:val="365F91" w:themeColor="accent1" w:themeShade="BF"/>
          <w:sz w:val="32"/>
          <w:szCs w:val="32"/>
          <w:lang w:val="en-IN"/>
        </w:rPr>
        <w:t>1. Int</w:t>
      </w:r>
      <w:r w:rsidR="00B24932">
        <w:rPr>
          <w:b/>
          <w:bCs/>
          <w:color w:val="365F91" w:themeColor="accent1" w:themeShade="BF"/>
          <w:sz w:val="32"/>
          <w:szCs w:val="32"/>
          <w:lang w:val="en-IN"/>
        </w:rPr>
        <w:t>r</w:t>
      </w:r>
      <w:r>
        <w:rPr>
          <w:b/>
          <w:bCs/>
          <w:color w:val="365F91" w:themeColor="accent1" w:themeShade="BF"/>
          <w:sz w:val="32"/>
          <w:szCs w:val="32"/>
          <w:lang w:val="en-IN"/>
        </w:rPr>
        <w:t>oduction</w:t>
      </w:r>
    </w:p>
    <w:p w:rsidR="00D71361" w:rsidRPr="00D71361" w:rsidRDefault="00D71361" w:rsidP="00D71361">
      <w:pPr>
        <w:jc w:val="left"/>
        <w:rPr>
          <w:color w:val="000000" w:themeColor="text1"/>
          <w:sz w:val="24"/>
          <w:szCs w:val="24"/>
          <w:lang w:val="en-IN"/>
        </w:rPr>
      </w:pPr>
      <w:r w:rsidRPr="00D71361">
        <w:rPr>
          <w:color w:val="000000" w:themeColor="text1"/>
          <w:sz w:val="24"/>
          <w:szCs w:val="24"/>
          <w:lang w:val="en-IN"/>
        </w:rPr>
        <w:t>The procedures of data cleaning and pre</w:t>
      </w:r>
      <w:r w:rsidR="00B24932">
        <w:rPr>
          <w:color w:val="000000" w:themeColor="text1"/>
          <w:sz w:val="24"/>
          <w:szCs w:val="24"/>
          <w:lang w:val="en-IN"/>
        </w:rPr>
        <w:t>-</w:t>
      </w:r>
      <w:r w:rsidRPr="00D71361">
        <w:rPr>
          <w:color w:val="000000" w:themeColor="text1"/>
          <w:sz w:val="24"/>
          <w:szCs w:val="24"/>
          <w:lang w:val="en-IN"/>
        </w:rPr>
        <w:t>processing are vital in any data analysis endeavo</w:t>
      </w:r>
      <w:r w:rsidR="00E319D8">
        <w:rPr>
          <w:color w:val="000000" w:themeColor="text1"/>
          <w:sz w:val="24"/>
          <w:szCs w:val="24"/>
          <w:lang w:val="en-IN"/>
        </w:rPr>
        <w:t>u</w:t>
      </w:r>
      <w:r w:rsidRPr="00D71361">
        <w:rPr>
          <w:color w:val="000000" w:themeColor="text1"/>
          <w:sz w:val="24"/>
          <w:szCs w:val="24"/>
          <w:lang w:val="en-IN"/>
        </w:rPr>
        <w:t>r since the agricultural data collected is likely to have missing values, duplicates, unit inconsistency, improper data types, outliers, and formatting problems. If not taken care of appropriately, all of these factors can cause problems in any form of statistics, visualization, forecasting, machine learning, and decision making.</w:t>
      </w:r>
    </w:p>
    <w:p w:rsidR="00D71361" w:rsidRPr="00D71361" w:rsidRDefault="00D71361" w:rsidP="00D71361">
      <w:pPr>
        <w:jc w:val="left"/>
        <w:rPr>
          <w:color w:val="000000" w:themeColor="text1"/>
          <w:sz w:val="24"/>
          <w:szCs w:val="24"/>
          <w:lang w:val="en-IN"/>
        </w:rPr>
      </w:pPr>
    </w:p>
    <w:p w:rsidR="00D71361" w:rsidRDefault="00D71361" w:rsidP="00D71361">
      <w:pPr>
        <w:jc w:val="left"/>
        <w:rPr>
          <w:color w:val="000000" w:themeColor="text1"/>
          <w:sz w:val="24"/>
          <w:szCs w:val="24"/>
          <w:lang w:val="en-IN"/>
        </w:rPr>
      </w:pPr>
      <w:r w:rsidRPr="00D71361">
        <w:rPr>
          <w:color w:val="000000" w:themeColor="text1"/>
          <w:sz w:val="24"/>
          <w:szCs w:val="24"/>
          <w:lang w:val="en-IN"/>
        </w:rPr>
        <w:t>In this report, we will discuss a step-by-step process for pre</w:t>
      </w:r>
      <w:r w:rsidR="00B24932">
        <w:rPr>
          <w:color w:val="000000" w:themeColor="text1"/>
          <w:sz w:val="24"/>
          <w:szCs w:val="24"/>
          <w:lang w:val="en-IN"/>
        </w:rPr>
        <w:t>-</w:t>
      </w:r>
      <w:r w:rsidRPr="00D71361">
        <w:rPr>
          <w:color w:val="000000" w:themeColor="text1"/>
          <w:sz w:val="24"/>
          <w:szCs w:val="24"/>
          <w:lang w:val="en-IN"/>
        </w:rPr>
        <w:t>processing and cleaning hypothetical agribusiness data. It will be assumed that the dataset to be cleaned has farm level data like farm identifier, type of crops, geographic coordinates, farmed area, production, crop yield, fertilizer application, irrigation, market price, and year of observations.</w:t>
      </w:r>
    </w:p>
    <w:p w:rsidR="00D71361" w:rsidRDefault="00D71361" w:rsidP="00D71361">
      <w:pPr>
        <w:jc w:val="left"/>
        <w:rPr>
          <w:color w:val="000000" w:themeColor="text1"/>
          <w:sz w:val="24"/>
          <w:szCs w:val="24"/>
          <w:lang w:val="en-IN"/>
        </w:rPr>
      </w:pPr>
    </w:p>
    <w:p w:rsidR="00D71361" w:rsidRDefault="00D71361" w:rsidP="00D71361">
      <w:pPr>
        <w:jc w:val="left"/>
        <w:rPr>
          <w:color w:val="000000" w:themeColor="text1"/>
          <w:sz w:val="24"/>
          <w:szCs w:val="24"/>
          <w:lang w:val="en-IN"/>
        </w:rPr>
      </w:pPr>
    </w:p>
    <w:p w:rsidR="00D71361" w:rsidRDefault="00D71361" w:rsidP="00D71361">
      <w:pPr>
        <w:jc w:val="left"/>
        <w:rPr>
          <w:rFonts w:ascii="Calibri" w:hAnsi="Calibri" w:cs="Calibri"/>
          <w:b/>
          <w:bCs/>
          <w:color w:val="365F91"/>
          <w:sz w:val="32"/>
          <w:szCs w:val="32"/>
          <w:shd w:val="clear" w:color="auto" w:fill="FFFFFF"/>
        </w:rPr>
      </w:pPr>
      <w:r>
        <w:rPr>
          <w:b/>
          <w:bCs/>
          <w:color w:val="365F91" w:themeColor="accent1" w:themeShade="BF"/>
          <w:sz w:val="32"/>
          <w:szCs w:val="32"/>
          <w:lang w:val="en-IN"/>
        </w:rPr>
        <w:t>2.</w:t>
      </w:r>
      <w:r w:rsidR="0024795D" w:rsidRPr="0024795D">
        <w:rPr>
          <w:rFonts w:ascii="Calibri" w:hAnsi="Calibri" w:cs="Calibri"/>
          <w:b/>
          <w:bCs/>
          <w:color w:val="365F91"/>
          <w:sz w:val="23"/>
          <w:szCs w:val="23"/>
          <w:shd w:val="clear" w:color="auto" w:fill="FFFFFF"/>
        </w:rPr>
        <w:t xml:space="preserve"> </w:t>
      </w:r>
      <w:r w:rsidR="0024795D" w:rsidRPr="0024795D">
        <w:rPr>
          <w:rFonts w:ascii="Calibri" w:hAnsi="Calibri" w:cs="Calibri"/>
          <w:b/>
          <w:bCs/>
          <w:color w:val="365F91"/>
          <w:sz w:val="32"/>
          <w:szCs w:val="32"/>
          <w:shd w:val="clear" w:color="auto" w:fill="FFFFFF"/>
        </w:rPr>
        <w:t>Hypothetical Agribusiness Dataset</w:t>
      </w:r>
    </w:p>
    <w:p w:rsidR="0024795D" w:rsidRPr="0024795D" w:rsidRDefault="0024795D" w:rsidP="00D71361">
      <w:pPr>
        <w:jc w:val="left"/>
        <w:rPr>
          <w:b/>
          <w:bCs/>
          <w:color w:val="365F91" w:themeColor="accent1" w:themeShade="BF"/>
          <w:sz w:val="32"/>
          <w:szCs w:val="32"/>
          <w:lang w:val="en-IN"/>
        </w:rPr>
      </w:pPr>
    </w:p>
    <w:p w:rsidR="00BC7B8D" w:rsidRDefault="00A616BE" w:rsidP="00A616BE">
      <w:pPr>
        <w:jc w:val="left"/>
        <w:rPr>
          <w:sz w:val="24"/>
          <w:szCs w:val="24"/>
          <w:lang w:val="en-IN"/>
        </w:rPr>
      </w:pPr>
      <w:r w:rsidRPr="00A616BE">
        <w:rPr>
          <w:sz w:val="24"/>
          <w:szCs w:val="24"/>
          <w:lang w:val="en-IN"/>
        </w:rPr>
        <w:t>The fictional data set is the data set of agricultural production from various farms during different seasons.</w:t>
      </w:r>
    </w:p>
    <w:tbl>
      <w:tblPr>
        <w:tblStyle w:val="TableGrid"/>
        <w:tblW w:w="0" w:type="auto"/>
        <w:tblLook w:val="04A0"/>
      </w:tblPr>
      <w:tblGrid>
        <w:gridCol w:w="3192"/>
        <w:gridCol w:w="3192"/>
        <w:gridCol w:w="3192"/>
      </w:tblGrid>
      <w:tr w:rsidR="00A616BE" w:rsidTr="00A616BE">
        <w:tc>
          <w:tcPr>
            <w:tcW w:w="3192" w:type="dxa"/>
          </w:tcPr>
          <w:p w:rsidR="00A616BE" w:rsidRPr="00561C4C" w:rsidRDefault="00561C4C" w:rsidP="00A616BE">
            <w:pPr>
              <w:jc w:val="left"/>
              <w:rPr>
                <w:b/>
                <w:bCs/>
                <w:sz w:val="24"/>
                <w:szCs w:val="24"/>
                <w:lang w:val="en-IN"/>
              </w:rPr>
            </w:pPr>
            <w:r w:rsidRPr="00561C4C">
              <w:rPr>
                <w:b/>
                <w:bCs/>
              </w:rPr>
              <w:t>Farm ID</w:t>
            </w:r>
          </w:p>
        </w:tc>
        <w:tc>
          <w:tcPr>
            <w:tcW w:w="3192" w:type="dxa"/>
          </w:tcPr>
          <w:p w:rsidR="00A616BE" w:rsidRPr="00561C4C" w:rsidRDefault="00561C4C" w:rsidP="00A616BE">
            <w:pPr>
              <w:jc w:val="left"/>
              <w:rPr>
                <w:b/>
                <w:bCs/>
                <w:sz w:val="24"/>
                <w:szCs w:val="24"/>
                <w:lang w:val="en-IN"/>
              </w:rPr>
            </w:pPr>
            <w:r w:rsidRPr="00561C4C">
              <w:rPr>
                <w:b/>
                <w:bCs/>
              </w:rPr>
              <w:t>Crop Type</w:t>
            </w:r>
          </w:p>
        </w:tc>
        <w:tc>
          <w:tcPr>
            <w:tcW w:w="3192" w:type="dxa"/>
          </w:tcPr>
          <w:p w:rsidR="00A616BE" w:rsidRPr="00561C4C" w:rsidRDefault="00561C4C" w:rsidP="00A616BE">
            <w:pPr>
              <w:jc w:val="left"/>
              <w:rPr>
                <w:b/>
                <w:bCs/>
                <w:sz w:val="24"/>
                <w:szCs w:val="24"/>
                <w:lang w:val="en-IN"/>
              </w:rPr>
            </w:pPr>
            <w:r w:rsidRPr="00561C4C">
              <w:rPr>
                <w:b/>
                <w:bCs/>
              </w:rPr>
              <w:t>Yield (tons/hectare)</w:t>
            </w:r>
          </w:p>
        </w:tc>
      </w:tr>
      <w:tr w:rsidR="00A616BE" w:rsidTr="00A616BE">
        <w:tc>
          <w:tcPr>
            <w:tcW w:w="3192" w:type="dxa"/>
          </w:tcPr>
          <w:p w:rsidR="00A616BE" w:rsidRDefault="00561C4C" w:rsidP="00A616BE">
            <w:pPr>
              <w:jc w:val="left"/>
              <w:rPr>
                <w:sz w:val="24"/>
                <w:szCs w:val="24"/>
                <w:lang w:val="en-IN"/>
              </w:rPr>
            </w:pPr>
            <w:r>
              <w:t>F001</w:t>
            </w:r>
          </w:p>
        </w:tc>
        <w:tc>
          <w:tcPr>
            <w:tcW w:w="3192" w:type="dxa"/>
          </w:tcPr>
          <w:p w:rsidR="00A616BE" w:rsidRDefault="00561C4C" w:rsidP="00A616BE">
            <w:pPr>
              <w:jc w:val="left"/>
              <w:rPr>
                <w:sz w:val="24"/>
                <w:szCs w:val="24"/>
                <w:lang w:val="en-IN"/>
              </w:rPr>
            </w:pPr>
            <w:r>
              <w:t>Rice</w:t>
            </w:r>
          </w:p>
        </w:tc>
        <w:tc>
          <w:tcPr>
            <w:tcW w:w="3192" w:type="dxa"/>
          </w:tcPr>
          <w:p w:rsidR="00A616BE" w:rsidRDefault="00EB5272" w:rsidP="00A616BE">
            <w:pPr>
              <w:jc w:val="left"/>
              <w:rPr>
                <w:sz w:val="24"/>
                <w:szCs w:val="24"/>
                <w:lang w:val="en-IN"/>
              </w:rPr>
            </w:pPr>
            <w:r>
              <w:t>4.2</w:t>
            </w:r>
          </w:p>
        </w:tc>
      </w:tr>
      <w:tr w:rsidR="00A616BE" w:rsidTr="00A616BE">
        <w:tc>
          <w:tcPr>
            <w:tcW w:w="3192" w:type="dxa"/>
          </w:tcPr>
          <w:p w:rsidR="00A616BE" w:rsidRDefault="00EB5272" w:rsidP="00A616BE">
            <w:pPr>
              <w:jc w:val="left"/>
              <w:rPr>
                <w:sz w:val="24"/>
                <w:szCs w:val="24"/>
                <w:lang w:val="en-IN"/>
              </w:rPr>
            </w:pPr>
            <w:r>
              <w:t>F002</w:t>
            </w:r>
          </w:p>
        </w:tc>
        <w:tc>
          <w:tcPr>
            <w:tcW w:w="3192" w:type="dxa"/>
          </w:tcPr>
          <w:p w:rsidR="00A616BE" w:rsidRDefault="004D15D4" w:rsidP="00A616BE">
            <w:pPr>
              <w:jc w:val="left"/>
              <w:rPr>
                <w:sz w:val="24"/>
                <w:szCs w:val="24"/>
                <w:lang w:val="en-IN"/>
              </w:rPr>
            </w:pPr>
            <w:r>
              <w:t>Wheat</w:t>
            </w:r>
          </w:p>
        </w:tc>
        <w:tc>
          <w:tcPr>
            <w:tcW w:w="3192" w:type="dxa"/>
          </w:tcPr>
          <w:p w:rsidR="00A616BE" w:rsidRDefault="004D15D4" w:rsidP="00A616BE">
            <w:pPr>
              <w:jc w:val="left"/>
              <w:rPr>
                <w:sz w:val="24"/>
                <w:szCs w:val="24"/>
                <w:lang w:val="en-IN"/>
              </w:rPr>
            </w:pPr>
            <w:r>
              <w:rPr>
                <w:sz w:val="24"/>
                <w:szCs w:val="24"/>
                <w:lang w:val="en-IN"/>
              </w:rPr>
              <w:t>3.5</w:t>
            </w:r>
          </w:p>
        </w:tc>
      </w:tr>
      <w:tr w:rsidR="00A616BE" w:rsidTr="00A616BE">
        <w:tc>
          <w:tcPr>
            <w:tcW w:w="3192" w:type="dxa"/>
          </w:tcPr>
          <w:p w:rsidR="00EB5272" w:rsidRPr="00EB5272" w:rsidRDefault="00EB5272" w:rsidP="00A616BE">
            <w:pPr>
              <w:jc w:val="left"/>
            </w:pPr>
            <w:r>
              <w:t>F003</w:t>
            </w:r>
          </w:p>
        </w:tc>
        <w:tc>
          <w:tcPr>
            <w:tcW w:w="3192" w:type="dxa"/>
          </w:tcPr>
          <w:p w:rsidR="00A616BE" w:rsidRDefault="004D15D4" w:rsidP="00A616BE">
            <w:pPr>
              <w:jc w:val="left"/>
              <w:rPr>
                <w:sz w:val="24"/>
                <w:szCs w:val="24"/>
                <w:lang w:val="en-IN"/>
              </w:rPr>
            </w:pPr>
            <w:r>
              <w:t>Maize</w:t>
            </w:r>
          </w:p>
        </w:tc>
        <w:tc>
          <w:tcPr>
            <w:tcW w:w="3192" w:type="dxa"/>
          </w:tcPr>
          <w:p w:rsidR="00A616BE" w:rsidRDefault="004D15D4" w:rsidP="00A616BE">
            <w:pPr>
              <w:jc w:val="left"/>
              <w:rPr>
                <w:sz w:val="24"/>
                <w:szCs w:val="24"/>
                <w:lang w:val="en-IN"/>
              </w:rPr>
            </w:pPr>
            <w:r>
              <w:rPr>
                <w:sz w:val="24"/>
                <w:szCs w:val="24"/>
                <w:lang w:val="en-IN"/>
              </w:rPr>
              <w:t>5.1</w:t>
            </w:r>
          </w:p>
        </w:tc>
      </w:tr>
      <w:tr w:rsidR="00A616BE" w:rsidTr="00A616BE">
        <w:tc>
          <w:tcPr>
            <w:tcW w:w="3192" w:type="dxa"/>
          </w:tcPr>
          <w:p w:rsidR="00A616BE" w:rsidRDefault="00EB5272" w:rsidP="00A616BE">
            <w:pPr>
              <w:jc w:val="left"/>
              <w:rPr>
                <w:sz w:val="24"/>
                <w:szCs w:val="24"/>
                <w:lang w:val="en-IN"/>
              </w:rPr>
            </w:pPr>
            <w:r>
              <w:t>F004</w:t>
            </w:r>
          </w:p>
        </w:tc>
        <w:tc>
          <w:tcPr>
            <w:tcW w:w="3192" w:type="dxa"/>
          </w:tcPr>
          <w:p w:rsidR="00A616BE" w:rsidRDefault="004D15D4" w:rsidP="00A616BE">
            <w:pPr>
              <w:jc w:val="left"/>
              <w:rPr>
                <w:sz w:val="24"/>
                <w:szCs w:val="24"/>
                <w:lang w:val="en-IN"/>
              </w:rPr>
            </w:pPr>
            <w:r>
              <w:t>Cotton</w:t>
            </w:r>
          </w:p>
        </w:tc>
        <w:tc>
          <w:tcPr>
            <w:tcW w:w="3192" w:type="dxa"/>
          </w:tcPr>
          <w:p w:rsidR="00A616BE" w:rsidRDefault="004D15D4" w:rsidP="00A616BE">
            <w:pPr>
              <w:jc w:val="left"/>
              <w:rPr>
                <w:sz w:val="24"/>
                <w:szCs w:val="24"/>
                <w:lang w:val="en-IN"/>
              </w:rPr>
            </w:pPr>
            <w:r>
              <w:rPr>
                <w:sz w:val="24"/>
                <w:szCs w:val="24"/>
                <w:lang w:val="en-IN"/>
              </w:rPr>
              <w:t>1.8</w:t>
            </w:r>
          </w:p>
        </w:tc>
      </w:tr>
      <w:tr w:rsidR="00A616BE" w:rsidTr="00A616BE">
        <w:tc>
          <w:tcPr>
            <w:tcW w:w="3192" w:type="dxa"/>
          </w:tcPr>
          <w:p w:rsidR="00A616BE" w:rsidRDefault="00EB5272" w:rsidP="00A616BE">
            <w:pPr>
              <w:jc w:val="left"/>
              <w:rPr>
                <w:sz w:val="24"/>
                <w:szCs w:val="24"/>
                <w:lang w:val="en-IN"/>
              </w:rPr>
            </w:pPr>
            <w:r>
              <w:t>F005</w:t>
            </w:r>
          </w:p>
        </w:tc>
        <w:tc>
          <w:tcPr>
            <w:tcW w:w="3192" w:type="dxa"/>
          </w:tcPr>
          <w:p w:rsidR="00A616BE" w:rsidRDefault="004D15D4" w:rsidP="00A616BE">
            <w:pPr>
              <w:jc w:val="left"/>
              <w:rPr>
                <w:sz w:val="24"/>
                <w:szCs w:val="24"/>
                <w:lang w:val="en-IN"/>
              </w:rPr>
            </w:pPr>
            <w:r>
              <w:t>Soybean</w:t>
            </w:r>
          </w:p>
        </w:tc>
        <w:tc>
          <w:tcPr>
            <w:tcW w:w="3192" w:type="dxa"/>
          </w:tcPr>
          <w:p w:rsidR="00A616BE" w:rsidRDefault="004D15D4" w:rsidP="00A616BE">
            <w:pPr>
              <w:jc w:val="left"/>
              <w:rPr>
                <w:sz w:val="24"/>
                <w:szCs w:val="24"/>
                <w:lang w:val="en-IN"/>
              </w:rPr>
            </w:pPr>
            <w:r>
              <w:rPr>
                <w:sz w:val="24"/>
                <w:szCs w:val="24"/>
                <w:lang w:val="en-IN"/>
              </w:rPr>
              <w:t>2.4</w:t>
            </w:r>
          </w:p>
        </w:tc>
      </w:tr>
      <w:tr w:rsidR="00A616BE" w:rsidTr="00A616BE">
        <w:tc>
          <w:tcPr>
            <w:tcW w:w="3192" w:type="dxa"/>
          </w:tcPr>
          <w:p w:rsidR="00A616BE" w:rsidRDefault="00EB5272" w:rsidP="00A616BE">
            <w:pPr>
              <w:jc w:val="left"/>
              <w:rPr>
                <w:sz w:val="24"/>
                <w:szCs w:val="24"/>
                <w:lang w:val="en-IN"/>
              </w:rPr>
            </w:pPr>
            <w:r>
              <w:t>F006</w:t>
            </w:r>
          </w:p>
        </w:tc>
        <w:tc>
          <w:tcPr>
            <w:tcW w:w="3192" w:type="dxa"/>
          </w:tcPr>
          <w:p w:rsidR="00A616BE" w:rsidRDefault="004D15D4" w:rsidP="00A616BE">
            <w:pPr>
              <w:jc w:val="left"/>
              <w:rPr>
                <w:sz w:val="24"/>
                <w:szCs w:val="24"/>
                <w:lang w:val="en-IN"/>
              </w:rPr>
            </w:pPr>
            <w:r>
              <w:t>Rice</w:t>
            </w:r>
          </w:p>
        </w:tc>
        <w:tc>
          <w:tcPr>
            <w:tcW w:w="3192" w:type="dxa"/>
          </w:tcPr>
          <w:p w:rsidR="00A616BE" w:rsidRDefault="004D15D4" w:rsidP="00A616BE">
            <w:pPr>
              <w:jc w:val="left"/>
              <w:rPr>
                <w:sz w:val="24"/>
                <w:szCs w:val="24"/>
                <w:lang w:val="en-IN"/>
              </w:rPr>
            </w:pPr>
            <w:r>
              <w:rPr>
                <w:sz w:val="24"/>
                <w:szCs w:val="24"/>
                <w:lang w:val="en-IN"/>
              </w:rPr>
              <w:t>3.9</w:t>
            </w:r>
          </w:p>
        </w:tc>
      </w:tr>
      <w:tr w:rsidR="00A616BE" w:rsidTr="00A616BE">
        <w:tc>
          <w:tcPr>
            <w:tcW w:w="3192" w:type="dxa"/>
          </w:tcPr>
          <w:p w:rsidR="00A616BE" w:rsidRDefault="00EB5272" w:rsidP="00A616BE">
            <w:pPr>
              <w:jc w:val="left"/>
              <w:rPr>
                <w:sz w:val="24"/>
                <w:szCs w:val="24"/>
                <w:lang w:val="en-IN"/>
              </w:rPr>
            </w:pPr>
            <w:r>
              <w:t>F007</w:t>
            </w:r>
          </w:p>
        </w:tc>
        <w:tc>
          <w:tcPr>
            <w:tcW w:w="3192" w:type="dxa"/>
          </w:tcPr>
          <w:p w:rsidR="00A616BE" w:rsidRDefault="004D15D4" w:rsidP="00A616BE">
            <w:pPr>
              <w:jc w:val="left"/>
              <w:rPr>
                <w:sz w:val="24"/>
                <w:szCs w:val="24"/>
                <w:lang w:val="en-IN"/>
              </w:rPr>
            </w:pPr>
            <w:r>
              <w:t>Wheat</w:t>
            </w:r>
          </w:p>
        </w:tc>
        <w:tc>
          <w:tcPr>
            <w:tcW w:w="3192" w:type="dxa"/>
          </w:tcPr>
          <w:p w:rsidR="00A616BE" w:rsidRDefault="004D15D4" w:rsidP="00A616BE">
            <w:pPr>
              <w:jc w:val="left"/>
              <w:rPr>
                <w:sz w:val="24"/>
                <w:szCs w:val="24"/>
                <w:lang w:val="en-IN"/>
              </w:rPr>
            </w:pPr>
            <w:r>
              <w:rPr>
                <w:sz w:val="24"/>
                <w:szCs w:val="24"/>
                <w:lang w:val="en-IN"/>
              </w:rPr>
              <w:t>3.2</w:t>
            </w:r>
          </w:p>
        </w:tc>
      </w:tr>
    </w:tbl>
    <w:p w:rsidR="00BC7B8D" w:rsidRDefault="00BC7B8D" w:rsidP="00B71439">
      <w:pPr>
        <w:jc w:val="center"/>
        <w:rPr>
          <w:b/>
          <w:bCs/>
          <w:lang w:val="en-IN"/>
        </w:rPr>
      </w:pPr>
    </w:p>
    <w:p w:rsidR="00A4443E" w:rsidRDefault="00A4443E" w:rsidP="00B71439">
      <w:pPr>
        <w:jc w:val="center"/>
        <w:rPr>
          <w:b/>
          <w:bCs/>
          <w:lang w:val="en-IN"/>
        </w:rPr>
      </w:pPr>
    </w:p>
    <w:p w:rsidR="00A4443E" w:rsidRDefault="00A62DA4" w:rsidP="00B71439">
      <w:pPr>
        <w:jc w:val="center"/>
        <w:rPr>
          <w:b/>
          <w:bCs/>
          <w:lang w:val="en-IN"/>
        </w:rPr>
      </w:pPr>
      <w:r>
        <w:rPr>
          <w:b/>
          <w:bCs/>
          <w:noProof/>
        </w:rPr>
        <w:lastRenderedPageBreak/>
        <w:drawing>
          <wp:inline distT="0" distB="0" distL="0" distR="0">
            <wp:extent cx="5486400" cy="348615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AD0A80" w:rsidRDefault="00AD0A80" w:rsidP="00B71439">
      <w:pPr>
        <w:jc w:val="center"/>
        <w:rPr>
          <w:b/>
          <w:bCs/>
          <w:lang w:val="en-IN"/>
        </w:rPr>
      </w:pPr>
    </w:p>
    <w:p w:rsidR="001F0D9D" w:rsidRDefault="001F0D9D" w:rsidP="00B71439">
      <w:pPr>
        <w:jc w:val="center"/>
        <w:rPr>
          <w:b/>
          <w:bCs/>
          <w:lang w:val="en-IN"/>
        </w:rPr>
      </w:pPr>
    </w:p>
    <w:p w:rsidR="001F0D9D" w:rsidRDefault="001F0D9D" w:rsidP="00B71439">
      <w:pPr>
        <w:jc w:val="center"/>
        <w:rPr>
          <w:b/>
          <w:bCs/>
          <w:lang w:val="en-IN"/>
        </w:rPr>
      </w:pPr>
    </w:p>
    <w:p w:rsidR="008B4FB2" w:rsidRDefault="008B4FB2" w:rsidP="008B4FB2">
      <w:pPr>
        <w:jc w:val="left"/>
        <w:rPr>
          <w:rFonts w:ascii="Calibri" w:eastAsia="Calibri" w:hAnsi="Calibri" w:cs="Calibri"/>
          <w:b/>
          <w:bCs/>
          <w:color w:val="548DD4" w:themeColor="text2" w:themeTint="99"/>
          <w:sz w:val="32"/>
          <w:szCs w:val="32"/>
        </w:rPr>
      </w:pPr>
      <w:r>
        <w:rPr>
          <w:b/>
          <w:bCs/>
          <w:color w:val="548DD4" w:themeColor="text2" w:themeTint="99"/>
          <w:sz w:val="32"/>
          <w:szCs w:val="32"/>
          <w:lang w:val="en-IN"/>
        </w:rPr>
        <w:t xml:space="preserve">3. </w:t>
      </w:r>
      <w:r w:rsidRPr="008B4FB2">
        <w:rPr>
          <w:rFonts w:ascii="Calibri" w:eastAsia="Calibri" w:hAnsi="Calibri" w:cs="Calibri"/>
          <w:b/>
          <w:bCs/>
          <w:color w:val="548DD4" w:themeColor="text2" w:themeTint="99"/>
          <w:sz w:val="32"/>
          <w:szCs w:val="32"/>
        </w:rPr>
        <w:t>Common Data Quality Issues in Agribusiness Datasets</w:t>
      </w:r>
    </w:p>
    <w:p w:rsidR="008B4FB2" w:rsidRPr="00992A56" w:rsidRDefault="00992A56" w:rsidP="00992A56">
      <w:pPr>
        <w:pStyle w:val="ListParagraph"/>
        <w:numPr>
          <w:ilvl w:val="0"/>
          <w:numId w:val="5"/>
        </w:numPr>
        <w:jc w:val="left"/>
        <w:rPr>
          <w:color w:val="000000" w:themeColor="text1"/>
          <w:sz w:val="24"/>
          <w:szCs w:val="24"/>
          <w:lang w:val="en-IN"/>
        </w:rPr>
      </w:pPr>
      <w:r>
        <w:rPr>
          <w:rFonts w:ascii="Calibri" w:eastAsia="Calibri" w:hAnsi="Calibri" w:cs="Calibri"/>
          <w:b/>
          <w:bCs/>
          <w:szCs w:val="22"/>
        </w:rPr>
        <w:t xml:space="preserve">Missing values: </w:t>
      </w:r>
      <w:r>
        <w:rPr>
          <w:rFonts w:ascii="Calibri" w:eastAsia="Calibri" w:hAnsi="Calibri" w:cs="Calibri"/>
          <w:szCs w:val="22"/>
        </w:rPr>
        <w:t>Rainfall readings may be absent when a weather station fails, and yield or price may be blank when a farmer does not report it.</w:t>
      </w:r>
    </w:p>
    <w:p w:rsidR="00992A56" w:rsidRDefault="00992A56" w:rsidP="00992A56">
      <w:pPr>
        <w:pStyle w:val="ListParagraph"/>
        <w:numPr>
          <w:ilvl w:val="0"/>
          <w:numId w:val="5"/>
        </w:numPr>
        <w:spacing w:after="60" w:line="290" w:lineRule="auto"/>
        <w:contextualSpacing w:val="0"/>
        <w:jc w:val="left"/>
      </w:pPr>
      <w:r>
        <w:rPr>
          <w:rFonts w:ascii="Calibri" w:eastAsia="Calibri" w:hAnsi="Calibri" w:cs="Calibri"/>
          <w:b/>
          <w:bCs/>
          <w:szCs w:val="22"/>
        </w:rPr>
        <w:t xml:space="preserve">Inconsistent formats: </w:t>
      </w:r>
      <w:r>
        <w:rPr>
          <w:rFonts w:ascii="Calibri" w:eastAsia="Calibri" w:hAnsi="Calibri" w:cs="Calibri"/>
          <w:szCs w:val="22"/>
        </w:rPr>
        <w:t xml:space="preserve">Dates may be written as 12/03/2024, 2024-03-12 or 12 Mar 24. Units may be mixed (kg, quintal, </w:t>
      </w:r>
      <w:proofErr w:type="spellStart"/>
      <w:proofErr w:type="gramStart"/>
      <w:r>
        <w:rPr>
          <w:rFonts w:ascii="Calibri" w:eastAsia="Calibri" w:hAnsi="Calibri" w:cs="Calibri"/>
          <w:szCs w:val="22"/>
        </w:rPr>
        <w:t>tonne</w:t>
      </w:r>
      <w:proofErr w:type="spellEnd"/>
      <w:proofErr w:type="gramEnd"/>
      <w:r>
        <w:rPr>
          <w:rFonts w:ascii="Calibri" w:eastAsia="Calibri" w:hAnsi="Calibri" w:cs="Calibri"/>
          <w:szCs w:val="22"/>
        </w:rPr>
        <w:t>). Crop names may be spelled differently (Paddy, paddy, Rice, rice).</w:t>
      </w:r>
    </w:p>
    <w:p w:rsidR="00992A56" w:rsidRDefault="00992A56" w:rsidP="00992A56">
      <w:pPr>
        <w:pStyle w:val="ListParagraph"/>
        <w:numPr>
          <w:ilvl w:val="0"/>
          <w:numId w:val="5"/>
        </w:numPr>
        <w:spacing w:after="60" w:line="290" w:lineRule="auto"/>
        <w:contextualSpacing w:val="0"/>
        <w:jc w:val="left"/>
      </w:pPr>
      <w:r>
        <w:rPr>
          <w:rFonts w:ascii="Calibri" w:eastAsia="Calibri" w:hAnsi="Calibri" w:cs="Calibri"/>
          <w:b/>
          <w:bCs/>
          <w:szCs w:val="22"/>
        </w:rPr>
        <w:t xml:space="preserve">Outliers: </w:t>
      </w:r>
      <w:r>
        <w:rPr>
          <w:rFonts w:ascii="Calibri" w:eastAsia="Calibri" w:hAnsi="Calibri" w:cs="Calibri"/>
          <w:szCs w:val="22"/>
        </w:rPr>
        <w:t>A yield of 90,000 kg per acre or a price of 0 rupees is almost certainly a data entry error, whereas a genuine drought year may also create unusual but valid low values.</w:t>
      </w:r>
    </w:p>
    <w:p w:rsidR="00992A56" w:rsidRDefault="00992A56" w:rsidP="00992A56">
      <w:pPr>
        <w:pStyle w:val="ListParagraph"/>
        <w:numPr>
          <w:ilvl w:val="0"/>
          <w:numId w:val="5"/>
        </w:numPr>
        <w:spacing w:after="60" w:line="290" w:lineRule="auto"/>
        <w:contextualSpacing w:val="0"/>
        <w:jc w:val="left"/>
      </w:pPr>
      <w:r>
        <w:rPr>
          <w:rFonts w:ascii="Calibri" w:eastAsia="Calibri" w:hAnsi="Calibri" w:cs="Calibri"/>
          <w:b/>
          <w:bCs/>
          <w:szCs w:val="22"/>
        </w:rPr>
        <w:t xml:space="preserve">Duplicate records: </w:t>
      </w:r>
      <w:r>
        <w:rPr>
          <w:rFonts w:ascii="Calibri" w:eastAsia="Calibri" w:hAnsi="Calibri" w:cs="Calibri"/>
          <w:szCs w:val="22"/>
        </w:rPr>
        <w:t>The same farmer or the same market entry may be recorded twice because of repeated surveys or merging of files.</w:t>
      </w:r>
    </w:p>
    <w:p w:rsidR="00992A56" w:rsidRDefault="00992A56" w:rsidP="00992A56">
      <w:pPr>
        <w:pStyle w:val="ListParagraph"/>
        <w:numPr>
          <w:ilvl w:val="0"/>
          <w:numId w:val="5"/>
        </w:numPr>
        <w:spacing w:after="60" w:line="290" w:lineRule="auto"/>
        <w:contextualSpacing w:val="0"/>
        <w:jc w:val="left"/>
      </w:pPr>
      <w:r>
        <w:rPr>
          <w:rFonts w:ascii="Calibri" w:eastAsia="Calibri" w:hAnsi="Calibri" w:cs="Calibri"/>
          <w:b/>
          <w:bCs/>
          <w:szCs w:val="22"/>
        </w:rPr>
        <w:t xml:space="preserve">Incorrect data types: </w:t>
      </w:r>
      <w:r>
        <w:rPr>
          <w:rFonts w:ascii="Calibri" w:eastAsia="Calibri" w:hAnsi="Calibri" w:cs="Calibri"/>
          <w:szCs w:val="22"/>
        </w:rPr>
        <w:t>Numbers stored as text (for example "1,200 kg") prevent calculations.</w:t>
      </w:r>
    </w:p>
    <w:p w:rsidR="00992A56" w:rsidRDefault="00992A56" w:rsidP="00992A56">
      <w:pPr>
        <w:pStyle w:val="ListParagraph"/>
        <w:numPr>
          <w:ilvl w:val="0"/>
          <w:numId w:val="5"/>
        </w:numPr>
        <w:spacing w:after="60" w:line="290" w:lineRule="auto"/>
        <w:contextualSpacing w:val="0"/>
        <w:jc w:val="left"/>
      </w:pPr>
      <w:r>
        <w:rPr>
          <w:rFonts w:ascii="Calibri" w:eastAsia="Calibri" w:hAnsi="Calibri" w:cs="Calibri"/>
          <w:b/>
          <w:bCs/>
          <w:szCs w:val="22"/>
        </w:rPr>
        <w:t xml:space="preserve">Spatial and temporal inconsistencies: </w:t>
      </w:r>
      <w:r>
        <w:rPr>
          <w:rFonts w:ascii="Calibri" w:eastAsia="Calibri" w:hAnsi="Calibri" w:cs="Calibri"/>
          <w:szCs w:val="22"/>
        </w:rPr>
        <w:t>Region names may differ across sources, and seasons (</w:t>
      </w:r>
      <w:proofErr w:type="spellStart"/>
      <w:r>
        <w:rPr>
          <w:rFonts w:ascii="Calibri" w:eastAsia="Calibri" w:hAnsi="Calibri" w:cs="Calibri"/>
          <w:szCs w:val="22"/>
        </w:rPr>
        <w:t>Kharif</w:t>
      </w:r>
      <w:proofErr w:type="spellEnd"/>
      <w:r>
        <w:rPr>
          <w:rFonts w:ascii="Calibri" w:eastAsia="Calibri" w:hAnsi="Calibri" w:cs="Calibri"/>
          <w:szCs w:val="22"/>
        </w:rPr>
        <w:t>, Rabi) may not match actual dates.</w:t>
      </w:r>
    </w:p>
    <w:p w:rsidR="00E82F7F" w:rsidRDefault="00E82F7F" w:rsidP="00E82F7F">
      <w:pPr>
        <w:pStyle w:val="Heading1"/>
        <w:rPr>
          <w:rFonts w:asciiTheme="minorHAnsi" w:hAnsiTheme="minorHAnsi" w:cstheme="minorHAnsi"/>
          <w:sz w:val="32"/>
          <w:szCs w:val="32"/>
        </w:rPr>
      </w:pPr>
      <w:r w:rsidRPr="00E82F7F">
        <w:rPr>
          <w:rFonts w:asciiTheme="minorHAnsi" w:hAnsiTheme="minorHAnsi" w:cstheme="minorHAnsi"/>
          <w:sz w:val="32"/>
          <w:szCs w:val="32"/>
        </w:rPr>
        <w:t>4. Step-by-Step Data Cleaning Plan</w:t>
      </w:r>
    </w:p>
    <w:p w:rsidR="00E82F7F" w:rsidRDefault="00E82F7F" w:rsidP="00E82F7F">
      <w:r>
        <w:rPr>
          <w:b/>
        </w:rPr>
        <w:t xml:space="preserve">Step 1 – Data Inventory: </w:t>
      </w:r>
      <w:r>
        <w:t>Record the source, number of rows and columns, variable names, data types, units, and collection period. Create a data dictionary.</w:t>
      </w:r>
    </w:p>
    <w:p w:rsidR="00E82F7F" w:rsidRDefault="00E82F7F" w:rsidP="00E82F7F">
      <w:pPr>
        <w:rPr>
          <w:lang w:bidi="ar-SA"/>
        </w:rPr>
      </w:pPr>
    </w:p>
    <w:p w:rsidR="00E82F7F" w:rsidRDefault="00E82F7F" w:rsidP="00E82F7F">
      <w:r>
        <w:rPr>
          <w:b/>
        </w:rPr>
        <w:t xml:space="preserve">Step 2 – Structural Validation: </w:t>
      </w:r>
      <w:r>
        <w:t>Check column names, expected fields, unique identifiers, data types, and whether each row represents the intended observation.</w:t>
      </w:r>
    </w:p>
    <w:p w:rsidR="00E82F7F" w:rsidRDefault="00E82F7F" w:rsidP="00E82F7F"/>
    <w:p w:rsidR="00E82F7F" w:rsidRDefault="00E82F7F" w:rsidP="00E82F7F">
      <w:r>
        <w:rPr>
          <w:b/>
        </w:rPr>
        <w:t xml:space="preserve">Step 3 – Duplicate Detection: </w:t>
      </w:r>
      <w:r>
        <w:t>Search for exact duplicates and business-key duplicates such as the same Farm ID, Crop, and Year. Remove duplicates only after verification.</w:t>
      </w:r>
    </w:p>
    <w:p w:rsidR="00E82F7F" w:rsidRDefault="00E82F7F" w:rsidP="00E82F7F">
      <w:r>
        <w:rPr>
          <w:b/>
        </w:rPr>
        <w:t xml:space="preserve">Step 4 – Missing-Value Assessment: </w:t>
      </w:r>
      <w:r>
        <w:t>Calculate missing-value counts and percentages for every variable. Distinguish missing values from valid zero values.</w:t>
      </w:r>
    </w:p>
    <w:p w:rsidR="00E82F7F" w:rsidRDefault="00E82F7F" w:rsidP="00E82F7F"/>
    <w:p w:rsidR="00E82F7F" w:rsidRDefault="00E82F7F" w:rsidP="00E82F7F">
      <w:r>
        <w:rPr>
          <w:b/>
        </w:rPr>
        <w:t xml:space="preserve">Step 5 – Standardize Formats: </w:t>
      </w:r>
      <w:r>
        <w:t>Standardize spelling, capitalization, dates, category labels, and measurement units. Convert measurements to a common unit.</w:t>
      </w:r>
    </w:p>
    <w:p w:rsidR="00E82F7F" w:rsidRDefault="00E82F7F" w:rsidP="00E82F7F"/>
    <w:p w:rsidR="00E82F7F" w:rsidRDefault="00E82F7F" w:rsidP="00E82F7F">
      <w:r>
        <w:rPr>
          <w:b/>
        </w:rPr>
        <w:t xml:space="preserve">Step 6 – Range and Logic Checks: </w:t>
      </w:r>
      <w:r>
        <w:t xml:space="preserve">Apply rules such as Area Hectare &gt; 0, Production </w:t>
      </w:r>
      <w:proofErr w:type="spellStart"/>
      <w:r>
        <w:t>Tonne</w:t>
      </w:r>
      <w:proofErr w:type="spellEnd"/>
      <w:r>
        <w:t xml:space="preserve"> &gt;= </w:t>
      </w:r>
      <w:proofErr w:type="gramStart"/>
      <w:r w:rsidR="00E319D8">
        <w:t>0,</w:t>
      </w:r>
      <w:proofErr w:type="gramEnd"/>
      <w:r w:rsidR="00E319D8">
        <w:t xml:space="preserve"> and Market Price &gt;= 0. Cross-</w:t>
      </w:r>
      <w:r>
        <w:t>check Yield against Production and Area.</w:t>
      </w:r>
    </w:p>
    <w:p w:rsidR="00E82F7F" w:rsidRDefault="00E82F7F" w:rsidP="00E82F7F"/>
    <w:p w:rsidR="00E82F7F" w:rsidRDefault="00E82F7F" w:rsidP="00E82F7F">
      <w:r>
        <w:rPr>
          <w:b/>
        </w:rPr>
        <w:t xml:space="preserve">Step 7 – Outlier Detection: </w:t>
      </w:r>
      <w:r>
        <w:t>Flag unusual observations using methods such as IQR. Investigate whether an extreme value is genuine or a recording error.</w:t>
      </w:r>
    </w:p>
    <w:p w:rsidR="00E82F7F" w:rsidRDefault="00E82F7F" w:rsidP="00E82F7F"/>
    <w:p w:rsidR="007B0C4C" w:rsidRDefault="007B0C4C" w:rsidP="007B0C4C">
      <w:r>
        <w:rPr>
          <w:b/>
        </w:rPr>
        <w:t xml:space="preserve">Step 8 – Missing-Data Treatment: </w:t>
      </w:r>
      <w:r>
        <w:t>Use deletion only when justified. For suitable numeric variables, consider median imputation; for categorical variables, use mode or an explicit Unknown category when appropriate.</w:t>
      </w:r>
    </w:p>
    <w:p w:rsidR="00E82F7F" w:rsidRDefault="00E82F7F" w:rsidP="00E82F7F"/>
    <w:p w:rsidR="007B0C4C" w:rsidRDefault="007B0C4C" w:rsidP="007B0C4C">
      <w:r>
        <w:rPr>
          <w:b/>
        </w:rPr>
        <w:t xml:space="preserve">Step 9 – Preprocessing: </w:t>
      </w:r>
      <w:r>
        <w:t>Encode categorical variables and scale or normalize numeric variables when required by the planned analysis or model.</w:t>
      </w:r>
    </w:p>
    <w:p w:rsidR="007B0C4C" w:rsidRDefault="007B0C4C" w:rsidP="00E82F7F"/>
    <w:p w:rsidR="007B0C4C" w:rsidRDefault="007B0C4C" w:rsidP="007B0C4C">
      <w:r>
        <w:rPr>
          <w:b/>
        </w:rPr>
        <w:t xml:space="preserve">Step 10 – Final Validation: </w:t>
      </w:r>
      <w:r>
        <w:t>Compare before-and-after row counts, rerun quality checks, verify units and categories, and document every decision.</w:t>
      </w:r>
    </w:p>
    <w:p w:rsidR="007B0C4C" w:rsidRDefault="007B0C4C" w:rsidP="00E82F7F"/>
    <w:p w:rsidR="00D41DD5" w:rsidRDefault="007B0C4C" w:rsidP="00D41DD5">
      <w:pPr>
        <w:pStyle w:val="Heading1"/>
        <w:rPr>
          <w:rFonts w:asciiTheme="minorHAnsi" w:hAnsiTheme="minorHAnsi" w:cstheme="minorHAnsi"/>
          <w:sz w:val="32"/>
          <w:szCs w:val="32"/>
        </w:rPr>
      </w:pPr>
      <w:r w:rsidRPr="007B0C4C">
        <w:rPr>
          <w:rFonts w:asciiTheme="minorHAnsi" w:hAnsiTheme="minorHAnsi" w:cstheme="minorHAnsi"/>
          <w:sz w:val="32"/>
          <w:szCs w:val="32"/>
        </w:rPr>
        <w:t>5. Methods for Handling Specific Data Problem</w:t>
      </w:r>
      <w:r w:rsidR="00D41DD5">
        <w:rPr>
          <w:rFonts w:asciiTheme="minorHAnsi" w:hAnsiTheme="minorHAnsi" w:cstheme="minorHAnsi"/>
          <w:sz w:val="32"/>
          <w:szCs w:val="32"/>
        </w:rPr>
        <w:t>s</w:t>
      </w:r>
    </w:p>
    <w:p w:rsidR="00AC1DD9" w:rsidRPr="00D41DD5" w:rsidRDefault="00AC1DD9" w:rsidP="00D41DD5">
      <w:pPr>
        <w:pStyle w:val="Heading1"/>
        <w:rPr>
          <w:rFonts w:asciiTheme="minorHAnsi" w:hAnsiTheme="minorHAnsi" w:cstheme="minorHAnsi"/>
          <w:color w:val="548DD4" w:themeColor="text2" w:themeTint="99"/>
          <w:sz w:val="32"/>
          <w:szCs w:val="32"/>
        </w:rPr>
      </w:pPr>
      <w:r w:rsidRPr="00D41DD5">
        <w:rPr>
          <w:rFonts w:asciiTheme="minorHAnsi" w:hAnsiTheme="minorHAnsi" w:cstheme="minorHAnsi"/>
          <w:color w:val="548DD4" w:themeColor="text2" w:themeTint="99"/>
        </w:rPr>
        <w:t>5.1 Missing Values and Imputation</w:t>
      </w:r>
    </w:p>
    <w:p w:rsidR="00AC1DD9" w:rsidRDefault="00AC1DD9" w:rsidP="00AC1DD9">
      <w:pPr>
        <w:rPr>
          <w:lang w:bidi="ar-SA"/>
        </w:rPr>
      </w:pPr>
      <w:r>
        <w:rPr>
          <w:lang w:bidi="ar-SA"/>
        </w:rPr>
        <w:t>Missing data should first be quantified instead of immediately replacing the values with something else. For example, if there are very few missing values for either the crop yield or price, median imputation could be one of the options because the data pertaining to agriculture are expected to be skewed, and the median is not affected by extremes like the mean is.</w:t>
      </w:r>
    </w:p>
    <w:p w:rsidR="00AC1DD9" w:rsidRDefault="00AC1DD9" w:rsidP="00AC1DD9">
      <w:pPr>
        <w:rPr>
          <w:lang w:bidi="ar-SA"/>
        </w:rPr>
      </w:pPr>
      <w:r>
        <w:rPr>
          <w:lang w:bidi="ar-SA"/>
        </w:rPr>
        <w:t>Example: In case the market price value is missing in 3% of the cases, median market price for the same crop in the same year would be the option, provided that the assumption holds true. However, if the crucial identifying factor like Farm ID is missing, it needs further investigation instead of coming up with a random ID.</w:t>
      </w:r>
    </w:p>
    <w:p w:rsidR="00AC1DD9" w:rsidRDefault="00AC1DD9" w:rsidP="00AC1DD9">
      <w:pPr>
        <w:pStyle w:val="Heading2"/>
        <w:rPr>
          <w:rFonts w:asciiTheme="minorHAnsi" w:hAnsiTheme="minorHAnsi" w:cstheme="minorHAnsi"/>
        </w:rPr>
      </w:pPr>
      <w:r w:rsidRPr="00D41DD5">
        <w:rPr>
          <w:rFonts w:asciiTheme="minorHAnsi" w:hAnsiTheme="minorHAnsi" w:cstheme="minorHAnsi"/>
        </w:rPr>
        <w:t>5.2 Duplicate Records</w:t>
      </w:r>
      <w:r w:rsidR="00D41DD5" w:rsidRPr="00D41DD5">
        <w:t xml:space="preserve"> </w:t>
      </w:r>
    </w:p>
    <w:p w:rsidR="00D41DD5" w:rsidRPr="00D41DD5" w:rsidRDefault="00D41DD5" w:rsidP="00D41DD5">
      <w:pPr>
        <w:rPr>
          <w:lang w:bidi="ar-SA"/>
        </w:rPr>
      </w:pPr>
      <w:r w:rsidRPr="00D41DD5">
        <w:rPr>
          <w:lang w:bidi="ar-SA"/>
        </w:rPr>
        <w:t>Identical duplicates could be deleted once verified. In cases where a farm and year combination occurs more than once but with different values, a review should be conducted based on Farm ID, Crop, Year, and the sources of the data before deciding what to do about them.</w:t>
      </w:r>
    </w:p>
    <w:p w:rsidR="00D41DD5" w:rsidRDefault="00D41DD5" w:rsidP="00D41DD5">
      <w:pPr>
        <w:pStyle w:val="Heading2"/>
        <w:rPr>
          <w:rFonts w:asciiTheme="minorHAnsi" w:hAnsiTheme="minorHAnsi" w:cstheme="minorHAnsi"/>
        </w:rPr>
      </w:pPr>
      <w:r w:rsidRPr="00D41DD5">
        <w:rPr>
          <w:rFonts w:asciiTheme="minorHAnsi" w:hAnsiTheme="minorHAnsi" w:cstheme="minorHAnsi"/>
        </w:rPr>
        <w:lastRenderedPageBreak/>
        <w:t>5.3 Inconsistent Formats and Units</w:t>
      </w:r>
    </w:p>
    <w:p w:rsidR="00D41DD5" w:rsidRDefault="00D41DD5" w:rsidP="00D41DD5">
      <w:r>
        <w:t>Text fields should be standardized. For example, 'rice', 'Rice', and 'RICE' can be mapped to 'Rice'. Measurement units should also be harmonized. If one record reports area in acres and another in hectares, convert all records to hectares before calculating yield or comparing farms</w:t>
      </w:r>
    </w:p>
    <w:p w:rsidR="00D41DD5" w:rsidRDefault="00D41DD5" w:rsidP="00D41DD5">
      <w:pPr>
        <w:pStyle w:val="Heading2"/>
        <w:rPr>
          <w:rFonts w:asciiTheme="minorHAnsi" w:hAnsiTheme="minorHAnsi" w:cstheme="minorHAnsi"/>
          <w:color w:val="548DD4" w:themeColor="text2" w:themeTint="99"/>
        </w:rPr>
      </w:pPr>
      <w:r w:rsidRPr="00DE68C7">
        <w:rPr>
          <w:rFonts w:asciiTheme="minorHAnsi" w:hAnsiTheme="minorHAnsi" w:cstheme="minorHAnsi"/>
          <w:color w:val="548DD4" w:themeColor="text2" w:themeTint="99"/>
        </w:rPr>
        <w:t>5.4 Outlier Detection</w:t>
      </w:r>
    </w:p>
    <w:p w:rsidR="00DE68C7" w:rsidRDefault="00DE68C7" w:rsidP="00DE68C7">
      <w:pPr>
        <w:rPr>
          <w:lang w:bidi="ar-SA"/>
        </w:rPr>
      </w:pPr>
      <w:r>
        <w:rPr>
          <w:lang w:bidi="ar-SA"/>
        </w:rPr>
        <w:t>An outlier is an observation which is very far from the other observations. An outlier does not need to be automatically eliminated because the outlier in agriculture could actually be true. This is due to the fact that high yield could be due to increased irrigation, seed improvements, and favorable conditions. A good way is to first flag the observation and determine the source and take the appropriate action.</w:t>
      </w:r>
    </w:p>
    <w:p w:rsidR="00DE68C7" w:rsidRDefault="00DE68C7" w:rsidP="00DE68C7">
      <w:pPr>
        <w:rPr>
          <w:lang w:bidi="ar-SA"/>
        </w:rPr>
      </w:pPr>
      <w:r>
        <w:rPr>
          <w:lang w:bidi="ar-SA"/>
        </w:rPr>
        <w:t>The IQR technique could be utilized in the first step where all observations below Q1 - 1.5*IQR and above Q3 + 1.5*IQR could be flagged.</w:t>
      </w:r>
    </w:p>
    <w:p w:rsidR="00DE68C7" w:rsidRDefault="00DE68C7" w:rsidP="00DE68C7">
      <w:pPr>
        <w:pStyle w:val="Heading2"/>
        <w:rPr>
          <w:rFonts w:asciiTheme="minorHAnsi" w:hAnsiTheme="minorHAnsi" w:cstheme="minorHAnsi"/>
        </w:rPr>
      </w:pPr>
      <w:r w:rsidRPr="00DE68C7">
        <w:rPr>
          <w:rFonts w:asciiTheme="minorHAnsi" w:hAnsiTheme="minorHAnsi" w:cstheme="minorHAnsi"/>
        </w:rPr>
        <w:t>5.5 Invalid and Logically Inconsistent Values</w:t>
      </w:r>
    </w:p>
    <w:p w:rsidR="00DD577D" w:rsidRDefault="00DE68C7" w:rsidP="00DD577D">
      <w:pPr>
        <w:rPr>
          <w:rFonts w:cstheme="minorHAnsi"/>
          <w:sz w:val="32"/>
          <w:szCs w:val="32"/>
        </w:rPr>
      </w:pPr>
      <w:r w:rsidRPr="00DE68C7">
        <w:rPr>
          <w:lang w:bidi="ar-SA"/>
        </w:rPr>
        <w:t>The domain rules must be combined with the statistical tests. A negative cultivated area is an invalid value. Even when there is no production but the cultivated area is positive, the data need not be discarded since the crop can fail. The yield can also be checked against production and area.</w:t>
      </w:r>
      <w:r>
        <w:rPr>
          <w:lang w:bidi="ar-SA"/>
        </w:rPr>
        <w:br/>
      </w:r>
    </w:p>
    <w:p w:rsidR="00641CA7" w:rsidRPr="00DD577D" w:rsidRDefault="005E4E6E" w:rsidP="00DD577D">
      <w:pPr>
        <w:rPr>
          <w:rFonts w:cstheme="minorHAnsi"/>
          <w:b/>
          <w:bCs/>
        </w:rPr>
      </w:pPr>
      <w:r w:rsidRPr="00DD577D">
        <w:rPr>
          <w:rFonts w:cstheme="minorHAnsi"/>
          <w:b/>
          <w:bCs/>
          <w:sz w:val="32"/>
          <w:szCs w:val="32"/>
        </w:rPr>
        <w:t>6. Proposed Preprocessing Framework</w:t>
      </w:r>
    </w:p>
    <w:p w:rsidR="00641CA7" w:rsidRPr="00641CA7" w:rsidRDefault="00641CA7" w:rsidP="00DE68C7">
      <w:pPr>
        <w:rPr>
          <w:rFonts w:cstheme="minorHAnsi"/>
        </w:rPr>
      </w:pPr>
    </w:p>
    <w:p w:rsidR="00DE68C7" w:rsidRDefault="00E109E3" w:rsidP="00DE68C7">
      <w:pPr>
        <w:rPr>
          <w:rFonts w:cstheme="minorHAnsi"/>
          <w:b/>
          <w:bCs/>
          <w:color w:val="365F91" w:themeColor="accent1" w:themeShade="BF"/>
          <w:sz w:val="32"/>
          <w:szCs w:val="32"/>
        </w:rPr>
      </w:pPr>
      <w:r>
        <w:rPr>
          <w:rFonts w:cstheme="minorHAnsi"/>
          <w:b/>
          <w:bCs/>
          <w:noProof/>
          <w:color w:val="365F91" w:themeColor="accent1" w:themeShade="BF"/>
          <w:sz w:val="32"/>
          <w:szCs w:val="32"/>
        </w:rPr>
        <w:drawing>
          <wp:inline distT="0" distB="0" distL="0" distR="0">
            <wp:extent cx="5486400" cy="3776870"/>
            <wp:effectExtent l="19050" t="0" r="19050" b="0"/>
            <wp:docPr id="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5E4E6E" w:rsidRDefault="005E4E6E" w:rsidP="00DE68C7">
      <w:pPr>
        <w:rPr>
          <w:rFonts w:cstheme="minorHAnsi"/>
          <w:b/>
          <w:bCs/>
          <w:color w:val="365F91" w:themeColor="accent1" w:themeShade="BF"/>
          <w:sz w:val="32"/>
          <w:szCs w:val="32"/>
        </w:rPr>
      </w:pPr>
    </w:p>
    <w:p w:rsidR="005E4E6E" w:rsidRDefault="005E4E6E" w:rsidP="00DE68C7">
      <w:pPr>
        <w:rPr>
          <w:rFonts w:cstheme="minorHAnsi"/>
          <w:b/>
          <w:bCs/>
          <w:color w:val="365F91" w:themeColor="accent1" w:themeShade="BF"/>
          <w:sz w:val="32"/>
          <w:szCs w:val="32"/>
        </w:rPr>
      </w:pPr>
    </w:p>
    <w:p w:rsidR="00262636" w:rsidRDefault="00262636" w:rsidP="00262636">
      <w:pPr>
        <w:pStyle w:val="Heading1"/>
        <w:rPr>
          <w:rFonts w:asciiTheme="minorHAnsi" w:hAnsiTheme="minorHAnsi" w:cstheme="minorHAnsi"/>
          <w:sz w:val="32"/>
          <w:szCs w:val="32"/>
        </w:rPr>
      </w:pPr>
      <w:r w:rsidRPr="00262636">
        <w:rPr>
          <w:rFonts w:asciiTheme="minorHAnsi" w:hAnsiTheme="minorHAnsi" w:cstheme="minorHAnsi"/>
          <w:sz w:val="32"/>
          <w:szCs w:val="32"/>
        </w:rPr>
        <w:lastRenderedPageBreak/>
        <w:t>7. Hypothetical Examples</w:t>
      </w:r>
    </w:p>
    <w:tbl>
      <w:tblPr>
        <w:tblStyle w:val="TableGrid"/>
        <w:tblW w:w="0" w:type="auto"/>
        <w:tblLook w:val="04A0"/>
      </w:tblPr>
      <w:tblGrid>
        <w:gridCol w:w="4788"/>
        <w:gridCol w:w="4788"/>
      </w:tblGrid>
      <w:tr w:rsidR="00AD0A80" w:rsidTr="00AD0A80">
        <w:tc>
          <w:tcPr>
            <w:tcW w:w="4788" w:type="dxa"/>
          </w:tcPr>
          <w:p w:rsidR="00AD0A80" w:rsidRPr="00AD0A80" w:rsidRDefault="00AD0A80" w:rsidP="00D41DD5">
            <w:pPr>
              <w:rPr>
                <w:rFonts w:cstheme="minorHAnsi"/>
                <w:b/>
                <w:bCs/>
                <w:lang w:bidi="ar-SA"/>
              </w:rPr>
            </w:pPr>
            <w:r w:rsidRPr="00AD0A80">
              <w:rPr>
                <w:rFonts w:cstheme="minorHAnsi"/>
                <w:b/>
                <w:bCs/>
                <w:lang w:bidi="ar-SA"/>
              </w:rPr>
              <w:t>Scenario</w:t>
            </w:r>
          </w:p>
        </w:tc>
        <w:tc>
          <w:tcPr>
            <w:tcW w:w="4788" w:type="dxa"/>
          </w:tcPr>
          <w:p w:rsidR="00AD0A80" w:rsidRPr="00AD0A80" w:rsidRDefault="00AD0A80" w:rsidP="00D41DD5">
            <w:pPr>
              <w:rPr>
                <w:rFonts w:cstheme="minorHAnsi"/>
                <w:b/>
                <w:bCs/>
                <w:lang w:bidi="ar-SA"/>
              </w:rPr>
            </w:pPr>
            <w:r w:rsidRPr="00AD0A80">
              <w:rPr>
                <w:rFonts w:cstheme="minorHAnsi"/>
                <w:b/>
                <w:bCs/>
                <w:lang w:bidi="ar-SA"/>
              </w:rPr>
              <w:t>Proposed Action</w:t>
            </w:r>
          </w:p>
        </w:tc>
      </w:tr>
      <w:tr w:rsidR="00AD0A80" w:rsidTr="00AD0A80">
        <w:tc>
          <w:tcPr>
            <w:tcW w:w="4788" w:type="dxa"/>
          </w:tcPr>
          <w:p w:rsidR="00AD0A80" w:rsidRDefault="00443B6E" w:rsidP="00D41DD5">
            <w:pPr>
              <w:rPr>
                <w:rFonts w:cstheme="minorHAnsi"/>
                <w:lang w:bidi="ar-SA"/>
              </w:rPr>
            </w:pPr>
            <w:r>
              <w:t>Missing market price</w:t>
            </w:r>
          </w:p>
        </w:tc>
        <w:tc>
          <w:tcPr>
            <w:tcW w:w="4788" w:type="dxa"/>
          </w:tcPr>
          <w:p w:rsidR="00AD0A80" w:rsidRDefault="00693E10" w:rsidP="00D41DD5">
            <w:pPr>
              <w:rPr>
                <w:rFonts w:cstheme="minorHAnsi"/>
                <w:lang w:bidi="ar-SA"/>
              </w:rPr>
            </w:pPr>
            <w:r w:rsidRPr="00693E10">
              <w:rPr>
                <w:rFonts w:cstheme="minorHAnsi"/>
                <w:lang w:bidi="ar-SA"/>
              </w:rPr>
              <w:t>Consider the same crop/year combination and, if relevant, use median-based imputation, which is well documented.</w:t>
            </w:r>
          </w:p>
        </w:tc>
      </w:tr>
      <w:tr w:rsidR="00AD0A80" w:rsidTr="00AD0A80">
        <w:tc>
          <w:tcPr>
            <w:tcW w:w="4788" w:type="dxa"/>
          </w:tcPr>
          <w:p w:rsidR="00AD0A80" w:rsidRDefault="00693E10" w:rsidP="00D41DD5">
            <w:pPr>
              <w:rPr>
                <w:rFonts w:cstheme="minorHAnsi"/>
                <w:lang w:bidi="ar-SA"/>
              </w:rPr>
            </w:pPr>
            <w:r>
              <w:t>Inconsistent crop name</w:t>
            </w:r>
          </w:p>
        </w:tc>
        <w:tc>
          <w:tcPr>
            <w:tcW w:w="4788" w:type="dxa"/>
          </w:tcPr>
          <w:p w:rsidR="00AD0A80" w:rsidRDefault="00693E10" w:rsidP="00D41DD5">
            <w:pPr>
              <w:rPr>
                <w:rFonts w:cstheme="minorHAnsi"/>
                <w:lang w:bidi="ar-SA"/>
              </w:rPr>
            </w:pPr>
            <w:r w:rsidRPr="00693E10">
              <w:rPr>
                <w:rFonts w:cstheme="minorHAnsi"/>
                <w:lang w:bidi="ar-SA"/>
              </w:rPr>
              <w:t>Classify Map Rice, Rice, and RICE under the category Rice.</w:t>
            </w:r>
          </w:p>
        </w:tc>
      </w:tr>
      <w:tr w:rsidR="00AD0A80" w:rsidTr="00AD0A80">
        <w:tc>
          <w:tcPr>
            <w:tcW w:w="4788" w:type="dxa"/>
          </w:tcPr>
          <w:p w:rsidR="00AD0A80" w:rsidRDefault="00693E10" w:rsidP="00D41DD5">
            <w:pPr>
              <w:rPr>
                <w:rFonts w:cstheme="minorHAnsi"/>
                <w:lang w:bidi="ar-SA"/>
              </w:rPr>
            </w:pPr>
            <w:r>
              <w:t>Unit mismatch</w:t>
            </w:r>
          </w:p>
        </w:tc>
        <w:tc>
          <w:tcPr>
            <w:tcW w:w="4788" w:type="dxa"/>
          </w:tcPr>
          <w:p w:rsidR="00AD0A80" w:rsidRDefault="00693E10" w:rsidP="00D41DD5">
            <w:pPr>
              <w:rPr>
                <w:rFonts w:cstheme="minorHAnsi"/>
                <w:lang w:bidi="ar-SA"/>
              </w:rPr>
            </w:pPr>
            <w:r w:rsidRPr="00693E10">
              <w:rPr>
                <w:rFonts w:cstheme="minorHAnsi"/>
                <w:lang w:bidi="ar-SA"/>
              </w:rPr>
              <w:t>Convert measurements of land area into hectares.</w:t>
            </w:r>
          </w:p>
        </w:tc>
      </w:tr>
      <w:tr w:rsidR="00AD0A80" w:rsidTr="00AD0A80">
        <w:tc>
          <w:tcPr>
            <w:tcW w:w="4788" w:type="dxa"/>
          </w:tcPr>
          <w:p w:rsidR="00AD0A80" w:rsidRDefault="00693E10" w:rsidP="00D41DD5">
            <w:pPr>
              <w:rPr>
                <w:rFonts w:cstheme="minorHAnsi"/>
                <w:lang w:bidi="ar-SA"/>
              </w:rPr>
            </w:pPr>
            <w:r>
              <w:t>Potential outlier</w:t>
            </w:r>
          </w:p>
        </w:tc>
        <w:tc>
          <w:tcPr>
            <w:tcW w:w="4788" w:type="dxa"/>
          </w:tcPr>
          <w:p w:rsidR="00AD0A80" w:rsidRDefault="00693E10" w:rsidP="00D41DD5">
            <w:pPr>
              <w:rPr>
                <w:rFonts w:cstheme="minorHAnsi"/>
                <w:lang w:bidi="ar-SA"/>
              </w:rPr>
            </w:pPr>
            <w:r w:rsidRPr="00693E10">
              <w:rPr>
                <w:rFonts w:cstheme="minorHAnsi"/>
                <w:lang w:bidi="ar-SA"/>
              </w:rPr>
              <w:t>Mark any unexpected high returns and authenticate the source before adjusting it.</w:t>
            </w:r>
          </w:p>
        </w:tc>
      </w:tr>
      <w:tr w:rsidR="00AD0A80" w:rsidTr="00AD0A80">
        <w:tc>
          <w:tcPr>
            <w:tcW w:w="4788" w:type="dxa"/>
          </w:tcPr>
          <w:p w:rsidR="00AD0A80" w:rsidRDefault="00693E10" w:rsidP="00D41DD5">
            <w:pPr>
              <w:rPr>
                <w:rFonts w:cstheme="minorHAnsi"/>
                <w:lang w:bidi="ar-SA"/>
              </w:rPr>
            </w:pPr>
            <w:r>
              <w:t>Invalid value</w:t>
            </w:r>
          </w:p>
        </w:tc>
        <w:tc>
          <w:tcPr>
            <w:tcW w:w="4788" w:type="dxa"/>
          </w:tcPr>
          <w:p w:rsidR="00AD0A80" w:rsidRDefault="00423E66" w:rsidP="00D41DD5">
            <w:pPr>
              <w:rPr>
                <w:rFonts w:cstheme="minorHAnsi"/>
                <w:lang w:bidi="ar-SA"/>
              </w:rPr>
            </w:pPr>
            <w:r>
              <w:t>Investigate a negative area value against the original source.</w:t>
            </w:r>
          </w:p>
        </w:tc>
      </w:tr>
    </w:tbl>
    <w:p w:rsidR="00D41DD5" w:rsidRPr="00DE68C7" w:rsidRDefault="00D41DD5" w:rsidP="00D41DD5">
      <w:pPr>
        <w:rPr>
          <w:rFonts w:cstheme="minorHAnsi"/>
          <w:lang w:bidi="ar-SA"/>
        </w:rPr>
      </w:pPr>
    </w:p>
    <w:p w:rsidR="00DD577D" w:rsidRDefault="00DD577D" w:rsidP="00DD577D">
      <w:pPr>
        <w:pStyle w:val="Heading1"/>
        <w:rPr>
          <w:rFonts w:asciiTheme="minorHAnsi" w:hAnsiTheme="minorHAnsi" w:cstheme="minorHAnsi"/>
          <w:sz w:val="32"/>
          <w:szCs w:val="32"/>
        </w:rPr>
      </w:pPr>
      <w:r w:rsidRPr="00DD577D">
        <w:rPr>
          <w:rFonts w:asciiTheme="minorHAnsi" w:hAnsiTheme="minorHAnsi" w:cstheme="minorHAnsi"/>
          <w:sz w:val="32"/>
          <w:szCs w:val="32"/>
        </w:rPr>
        <w:t>8. Reproducibility and Documentation</w:t>
      </w:r>
    </w:p>
    <w:p w:rsidR="00DD577D" w:rsidRDefault="00DD577D" w:rsidP="00DD577D">
      <w:pPr>
        <w:rPr>
          <w:lang w:bidi="ar-SA"/>
        </w:rPr>
      </w:pPr>
      <w:r>
        <w:rPr>
          <w:lang w:bidi="ar-SA"/>
        </w:rPr>
        <w:t>Reproducibility is achieved when other analysts are able to comprehend the process and replicate it to obtain similar results. The transformations that have been performed need to be described, including which variable is being handled, what the problem is, which rule was used, how many records have been impacted by the action, and the rationale behind it.</w:t>
      </w:r>
    </w:p>
    <w:p w:rsidR="00DD577D" w:rsidRDefault="00DD577D" w:rsidP="00DD577D">
      <w:pPr>
        <w:rPr>
          <w:lang w:bidi="ar-SA"/>
        </w:rPr>
      </w:pPr>
      <w:r>
        <w:rPr>
          <w:lang w:bidi="ar-SA"/>
        </w:rPr>
        <w:t>The following may be included in the cleaning log: Date, Variable, Problem Identified, Action Taken, Number of Records Impacted, and Reason.</w:t>
      </w:r>
    </w:p>
    <w:p w:rsidR="00DD577D" w:rsidRDefault="00DD577D" w:rsidP="00DD577D">
      <w:pPr>
        <w:rPr>
          <w:lang w:bidi="ar-SA"/>
        </w:rPr>
      </w:pPr>
    </w:p>
    <w:p w:rsidR="00DD577D" w:rsidRDefault="00DD577D" w:rsidP="00DD577D">
      <w:pPr>
        <w:rPr>
          <w:lang w:bidi="ar-SA"/>
        </w:rPr>
      </w:pPr>
    </w:p>
    <w:p w:rsidR="00DD577D" w:rsidRDefault="00DD577D" w:rsidP="00DD577D">
      <w:pPr>
        <w:pStyle w:val="Heading1"/>
        <w:rPr>
          <w:rFonts w:asciiTheme="minorHAnsi" w:hAnsiTheme="minorHAnsi" w:cstheme="minorHAnsi"/>
          <w:sz w:val="32"/>
          <w:szCs w:val="32"/>
        </w:rPr>
      </w:pPr>
      <w:r w:rsidRPr="00DD577D">
        <w:rPr>
          <w:rFonts w:asciiTheme="minorHAnsi" w:hAnsiTheme="minorHAnsi" w:cstheme="minorHAnsi"/>
          <w:sz w:val="32"/>
          <w:szCs w:val="32"/>
        </w:rPr>
        <w:t>9. Quality Assurance Checklist</w:t>
      </w:r>
    </w:p>
    <w:p w:rsidR="00DD577D" w:rsidRDefault="00DD577D" w:rsidP="00DD577D">
      <w:pPr>
        <w:pStyle w:val="ListBullet"/>
        <w:numPr>
          <w:ilvl w:val="0"/>
          <w:numId w:val="7"/>
        </w:numPr>
        <w:rPr>
          <w:rFonts w:hint="eastAsia"/>
        </w:rPr>
      </w:pPr>
      <w:r>
        <w:t>All expected columns are present.</w:t>
      </w:r>
    </w:p>
    <w:p w:rsidR="00DD577D" w:rsidRDefault="00DD577D" w:rsidP="00DD577D">
      <w:pPr>
        <w:pStyle w:val="ListBullet"/>
        <w:numPr>
          <w:ilvl w:val="0"/>
          <w:numId w:val="7"/>
        </w:numPr>
        <w:rPr>
          <w:rFonts w:hint="eastAsia"/>
        </w:rPr>
      </w:pPr>
      <w:r>
        <w:t>Each observation has an appropriate identifier.</w:t>
      </w:r>
    </w:p>
    <w:p w:rsidR="00DD577D" w:rsidRDefault="00DD577D" w:rsidP="00DD577D">
      <w:pPr>
        <w:pStyle w:val="ListBullet"/>
        <w:numPr>
          <w:ilvl w:val="0"/>
          <w:numId w:val="7"/>
        </w:numPr>
        <w:rPr>
          <w:rFonts w:hint="eastAsia"/>
        </w:rPr>
      </w:pPr>
      <w:r>
        <w:t>Duplicate records have been reviewed.</w:t>
      </w:r>
    </w:p>
    <w:p w:rsidR="00DD577D" w:rsidRDefault="00DD577D" w:rsidP="00DD577D">
      <w:pPr>
        <w:pStyle w:val="ListBullet"/>
        <w:numPr>
          <w:ilvl w:val="0"/>
          <w:numId w:val="7"/>
        </w:numPr>
        <w:rPr>
          <w:rFonts w:hint="eastAsia"/>
        </w:rPr>
      </w:pPr>
      <w:r>
        <w:t>Missing values have been quantified and treated appropriately.</w:t>
      </w:r>
    </w:p>
    <w:p w:rsidR="00E319D8" w:rsidRDefault="00E319D8" w:rsidP="00E319D8">
      <w:pPr>
        <w:pStyle w:val="ListBullet"/>
        <w:numPr>
          <w:ilvl w:val="0"/>
          <w:numId w:val="7"/>
        </w:numPr>
        <w:rPr>
          <w:rFonts w:hint="eastAsia"/>
        </w:rPr>
      </w:pPr>
      <w:r>
        <w:t>Categorical labels and units are standardized.</w:t>
      </w:r>
    </w:p>
    <w:p w:rsidR="00E319D8" w:rsidRDefault="00E319D8" w:rsidP="00E319D8">
      <w:pPr>
        <w:pStyle w:val="ListBullet"/>
        <w:numPr>
          <w:ilvl w:val="0"/>
          <w:numId w:val="7"/>
        </w:numPr>
        <w:rPr>
          <w:rFonts w:hint="eastAsia"/>
        </w:rPr>
      </w:pPr>
      <w:r>
        <w:t>Numeric columns contain valid numeric values.</w:t>
      </w:r>
    </w:p>
    <w:p w:rsidR="00E319D8" w:rsidRDefault="00E319D8" w:rsidP="00E319D8">
      <w:pPr>
        <w:pStyle w:val="ListBullet"/>
        <w:numPr>
          <w:ilvl w:val="0"/>
          <w:numId w:val="7"/>
        </w:numPr>
        <w:rPr>
          <w:rFonts w:hint="eastAsia"/>
        </w:rPr>
      </w:pPr>
      <w:r>
        <w:t>Impossible or logically inconsistent values have been investigated.</w:t>
      </w:r>
    </w:p>
    <w:p w:rsidR="00E319D8" w:rsidRDefault="00E319D8" w:rsidP="00E319D8">
      <w:pPr>
        <w:pStyle w:val="ListBullet"/>
        <w:numPr>
          <w:ilvl w:val="0"/>
          <w:numId w:val="7"/>
        </w:numPr>
        <w:rPr>
          <w:rFonts w:hint="eastAsia"/>
        </w:rPr>
      </w:pPr>
      <w:r>
        <w:t>Potential outliers have been flagged and reviewed.</w:t>
      </w:r>
    </w:p>
    <w:p w:rsidR="00E319D8" w:rsidRDefault="00E319D8" w:rsidP="00E319D8">
      <w:pPr>
        <w:pStyle w:val="ListBullet"/>
        <w:numPr>
          <w:ilvl w:val="0"/>
          <w:numId w:val="7"/>
        </w:numPr>
        <w:rPr>
          <w:rFonts w:hint="eastAsia"/>
        </w:rPr>
      </w:pPr>
      <w:r>
        <w:t>Derived variables such as yield have been validated.</w:t>
      </w:r>
    </w:p>
    <w:p w:rsidR="00E319D8" w:rsidRDefault="00E319D8" w:rsidP="00E319D8">
      <w:pPr>
        <w:pStyle w:val="ListBullet"/>
        <w:numPr>
          <w:ilvl w:val="0"/>
          <w:numId w:val="7"/>
        </w:numPr>
        <w:rPr>
          <w:rFonts w:hint="eastAsia"/>
        </w:rPr>
      </w:pPr>
      <w:r>
        <w:t>Cleaning decisions are documented.</w:t>
      </w:r>
    </w:p>
    <w:p w:rsidR="00E319D8" w:rsidRDefault="00E319D8" w:rsidP="00E319D8">
      <w:pPr>
        <w:pStyle w:val="ListBullet"/>
        <w:numPr>
          <w:ilvl w:val="0"/>
          <w:numId w:val="7"/>
        </w:numPr>
        <w:rPr>
          <w:rFonts w:hint="eastAsia"/>
        </w:rPr>
      </w:pPr>
      <w:r>
        <w:t>The raw dataset is preserved separately from the cleaned dataset.</w:t>
      </w:r>
    </w:p>
    <w:p w:rsidR="00E319D8" w:rsidRDefault="00E319D8" w:rsidP="00E319D8">
      <w:pPr>
        <w:pStyle w:val="ListBullet"/>
        <w:numPr>
          <w:ilvl w:val="0"/>
          <w:numId w:val="7"/>
        </w:numPr>
        <w:rPr>
          <w:rFonts w:hint="eastAsia"/>
        </w:rPr>
      </w:pPr>
      <w:r>
        <w:t>The workflow can be repeated using documented rules or code.</w:t>
      </w:r>
    </w:p>
    <w:p w:rsidR="00E319D8" w:rsidRDefault="00E319D8" w:rsidP="00E319D8">
      <w:pPr>
        <w:pStyle w:val="Heading1"/>
        <w:rPr>
          <w:rFonts w:asciiTheme="minorHAnsi" w:hAnsiTheme="minorHAnsi" w:cstheme="minorHAnsi"/>
          <w:sz w:val="32"/>
          <w:szCs w:val="32"/>
        </w:rPr>
      </w:pPr>
      <w:r w:rsidRPr="00E319D8">
        <w:rPr>
          <w:rFonts w:asciiTheme="minorHAnsi" w:hAnsiTheme="minorHAnsi" w:cstheme="minorHAnsi"/>
          <w:sz w:val="32"/>
          <w:szCs w:val="32"/>
        </w:rPr>
        <w:t>10. Conclusion</w:t>
      </w:r>
    </w:p>
    <w:p w:rsidR="00E319D8" w:rsidRDefault="00E319D8" w:rsidP="00E319D8">
      <w:pPr>
        <w:rPr>
          <w:lang w:bidi="ar-SA"/>
        </w:rPr>
      </w:pPr>
      <w:r>
        <w:rPr>
          <w:lang w:bidi="ar-SA"/>
        </w:rPr>
        <w:t xml:space="preserve">The success of the agribusiness analysis largely depends on the quality of the source data. The methodology starts with data profiling and validation of structure, followed by detection of duplicates, </w:t>
      </w:r>
      <w:r>
        <w:rPr>
          <w:lang w:bidi="ar-SA"/>
        </w:rPr>
        <w:lastRenderedPageBreak/>
        <w:t>missing values checking, standardization, logical validation, outlier checking, and proper data preprocessing. This is done not just to eliminate outliers and missing values, but rather to comprehend the reason for having such an issue and then proceed with the correct preprocessing.</w:t>
      </w:r>
    </w:p>
    <w:p w:rsidR="00E319D8" w:rsidRDefault="00E319D8" w:rsidP="00E319D8">
      <w:pPr>
        <w:rPr>
          <w:lang w:bidi="ar-SA"/>
        </w:rPr>
      </w:pPr>
      <w:r>
        <w:rPr>
          <w:lang w:bidi="ar-SA"/>
        </w:rPr>
        <w:t>It will result in having a cleaner and more consistent data set that can be used for descriptive analysis, visualization, statistics, and further forecasting or machine learning.</w:t>
      </w:r>
    </w:p>
    <w:p w:rsidR="00E319D8" w:rsidRDefault="00E319D8" w:rsidP="00E319D8">
      <w:pPr>
        <w:rPr>
          <w:lang w:bidi="ar-SA"/>
        </w:rPr>
      </w:pPr>
    </w:p>
    <w:p w:rsidR="00E319D8" w:rsidRDefault="00E319D8" w:rsidP="00E319D8">
      <w:pPr>
        <w:rPr>
          <w:lang w:bidi="ar-SA"/>
        </w:rPr>
      </w:pPr>
    </w:p>
    <w:p w:rsidR="00E319D8" w:rsidRDefault="00E319D8" w:rsidP="00E319D8">
      <w:pPr>
        <w:pStyle w:val="Heading1"/>
        <w:rPr>
          <w:rFonts w:asciiTheme="minorHAnsi" w:hAnsiTheme="minorHAnsi" w:cstheme="minorHAnsi"/>
          <w:sz w:val="32"/>
          <w:szCs w:val="32"/>
        </w:rPr>
      </w:pPr>
      <w:r w:rsidRPr="00E319D8">
        <w:rPr>
          <w:rFonts w:asciiTheme="minorHAnsi" w:hAnsiTheme="minorHAnsi" w:cstheme="minorHAnsi"/>
          <w:sz w:val="32"/>
          <w:szCs w:val="32"/>
        </w:rPr>
        <w:t>11. References</w:t>
      </w:r>
    </w:p>
    <w:p w:rsidR="00E319D8" w:rsidRDefault="00E319D8" w:rsidP="00E319D8">
      <w:pPr>
        <w:pStyle w:val="ListBullet"/>
        <w:rPr>
          <w:rFonts w:hint="eastAsia"/>
        </w:rPr>
      </w:pPr>
      <w:r>
        <w:t>Food and Agriculture Organization of the United Nations (FAO) – FAOSTAT and agricultural statistics resources.</w:t>
      </w:r>
    </w:p>
    <w:p w:rsidR="00E319D8" w:rsidRDefault="00E319D8" w:rsidP="00E319D8">
      <w:pPr>
        <w:pStyle w:val="ListBullet"/>
        <w:rPr>
          <w:rFonts w:hint="eastAsia"/>
        </w:rPr>
      </w:pPr>
      <w:r>
        <w:t>FAO – Data and Statistical Standard Series: data editing, validation, imputation, and data quality.</w:t>
      </w:r>
    </w:p>
    <w:p w:rsidR="00E319D8" w:rsidRDefault="00E319D8" w:rsidP="00E319D8">
      <w:pPr>
        <w:pStyle w:val="ListBullet"/>
        <w:rPr>
          <w:rFonts w:hint="eastAsia"/>
        </w:rPr>
      </w:pPr>
      <w:r>
        <w:t>FAO/WHO GIFT – Data collation, harmonization, missing-value screening, and outlier identification.</w:t>
      </w:r>
    </w:p>
    <w:p w:rsidR="00E319D8" w:rsidRPr="00E319D8" w:rsidRDefault="00E319D8" w:rsidP="00E319D8">
      <w:pPr>
        <w:rPr>
          <w:lang w:bidi="ar-SA"/>
        </w:rPr>
      </w:pPr>
    </w:p>
    <w:p w:rsidR="00E319D8" w:rsidRPr="00E319D8" w:rsidRDefault="00E319D8" w:rsidP="00E319D8">
      <w:pPr>
        <w:rPr>
          <w:lang w:bidi="ar-SA"/>
        </w:rPr>
      </w:pPr>
    </w:p>
    <w:p w:rsidR="00DD577D" w:rsidRDefault="00DD577D" w:rsidP="00E319D8">
      <w:pPr>
        <w:rPr>
          <w:lang w:bidi="ar-SA"/>
        </w:rPr>
      </w:pPr>
    </w:p>
    <w:p w:rsidR="00E319D8" w:rsidRDefault="00E319D8" w:rsidP="00E319D8">
      <w:pPr>
        <w:rPr>
          <w:lang w:bidi="ar-SA"/>
        </w:rPr>
      </w:pPr>
    </w:p>
    <w:p w:rsidR="00E319D8" w:rsidRPr="00DD577D" w:rsidRDefault="00E319D8" w:rsidP="00E319D8">
      <w:pPr>
        <w:rPr>
          <w:lang w:bidi="ar-SA"/>
        </w:rPr>
      </w:pPr>
    </w:p>
    <w:p w:rsidR="00DD577D" w:rsidRPr="00DD577D" w:rsidRDefault="00DD577D" w:rsidP="00DD577D">
      <w:pPr>
        <w:rPr>
          <w:rFonts w:cstheme="minorHAnsi"/>
          <w:sz w:val="32"/>
          <w:szCs w:val="32"/>
          <w:lang w:bidi="ar-SA"/>
        </w:rPr>
      </w:pPr>
    </w:p>
    <w:p w:rsidR="007B0C4C" w:rsidRPr="007B0C4C" w:rsidRDefault="007B0C4C" w:rsidP="007B0C4C">
      <w:pPr>
        <w:rPr>
          <w:lang w:bidi="ar-SA"/>
        </w:rPr>
      </w:pPr>
    </w:p>
    <w:p w:rsidR="007B0C4C" w:rsidRDefault="007B0C4C" w:rsidP="00E82F7F"/>
    <w:p w:rsidR="00E82F7F" w:rsidRDefault="00E82F7F" w:rsidP="00E82F7F"/>
    <w:p w:rsidR="00E82F7F" w:rsidRDefault="00E82F7F" w:rsidP="00E82F7F"/>
    <w:p w:rsidR="00E82F7F" w:rsidRPr="00E82F7F" w:rsidRDefault="00E82F7F" w:rsidP="00E82F7F">
      <w:pPr>
        <w:rPr>
          <w:lang w:bidi="ar-SA"/>
        </w:rPr>
      </w:pPr>
    </w:p>
    <w:p w:rsidR="00992A56" w:rsidRPr="00E82F7F" w:rsidRDefault="00992A56" w:rsidP="00992A56">
      <w:pPr>
        <w:jc w:val="left"/>
        <w:rPr>
          <w:rFonts w:cstheme="minorHAnsi"/>
          <w:color w:val="000000" w:themeColor="text1"/>
          <w:sz w:val="32"/>
          <w:szCs w:val="32"/>
          <w:lang w:val="en-IN"/>
        </w:rPr>
      </w:pPr>
    </w:p>
    <w:sectPr w:rsidR="00992A56" w:rsidRPr="00E82F7F" w:rsidSect="008C419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Times New Roman"/>
    <w:panose1 w:val="00000000000000000000"/>
    <w:charset w:val="00"/>
    <w:family w:val="roman"/>
    <w:notTrueType/>
    <w:pitch w:val="default"/>
    <w:sig w:usb0="00000000" w:usb1="00000000" w:usb2="00000000" w:usb3="00000000" w:csb0="00000000"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D96EA5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D1D3E48"/>
    <w:multiLevelType w:val="hybridMultilevel"/>
    <w:tmpl w:val="15166B86"/>
    <w:lvl w:ilvl="0" w:tplc="83D88294">
      <w:start w:val="1"/>
      <w:numFmt w:val="bullet"/>
      <w:lvlText w:val="•"/>
      <w:lvlJc w:val="left"/>
      <w:pPr>
        <w:ind w:left="720" w:hanging="360"/>
      </w:pPr>
    </w:lvl>
    <w:lvl w:ilvl="1" w:tplc="FE42AF72">
      <w:numFmt w:val="decimal"/>
      <w:lvlText w:val=""/>
      <w:lvlJc w:val="left"/>
    </w:lvl>
    <w:lvl w:ilvl="2" w:tplc="349A7DD6">
      <w:numFmt w:val="decimal"/>
      <w:lvlText w:val=""/>
      <w:lvlJc w:val="left"/>
    </w:lvl>
    <w:lvl w:ilvl="3" w:tplc="1688C450">
      <w:numFmt w:val="decimal"/>
      <w:lvlText w:val=""/>
      <w:lvlJc w:val="left"/>
    </w:lvl>
    <w:lvl w:ilvl="4" w:tplc="B440831C">
      <w:numFmt w:val="decimal"/>
      <w:lvlText w:val=""/>
      <w:lvlJc w:val="left"/>
    </w:lvl>
    <w:lvl w:ilvl="5" w:tplc="55CCCF9A">
      <w:numFmt w:val="decimal"/>
      <w:lvlText w:val=""/>
      <w:lvlJc w:val="left"/>
    </w:lvl>
    <w:lvl w:ilvl="6" w:tplc="BE545734">
      <w:numFmt w:val="decimal"/>
      <w:lvlText w:val=""/>
      <w:lvlJc w:val="left"/>
    </w:lvl>
    <w:lvl w:ilvl="7" w:tplc="BF8A8644">
      <w:numFmt w:val="decimal"/>
      <w:lvlText w:val=""/>
      <w:lvlJc w:val="left"/>
    </w:lvl>
    <w:lvl w:ilvl="8" w:tplc="5B16F6DC">
      <w:numFmt w:val="decimal"/>
      <w:lvlText w:val=""/>
      <w:lvlJc w:val="left"/>
    </w:lvl>
  </w:abstractNum>
  <w:abstractNum w:abstractNumId="2">
    <w:nsid w:val="0EAF7C9D"/>
    <w:multiLevelType w:val="hybridMultilevel"/>
    <w:tmpl w:val="BCA46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4B1FAD"/>
    <w:multiLevelType w:val="hybridMultilevel"/>
    <w:tmpl w:val="B256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223B6D"/>
    <w:multiLevelType w:val="hybridMultilevel"/>
    <w:tmpl w:val="24927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63E041E"/>
    <w:multiLevelType w:val="hybridMultilevel"/>
    <w:tmpl w:val="2856E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D707F1"/>
    <w:multiLevelType w:val="hybridMultilevel"/>
    <w:tmpl w:val="D02E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E7C217B"/>
    <w:multiLevelType w:val="hybridMultilevel"/>
    <w:tmpl w:val="4136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5"/>
  </w:num>
  <w:num w:numId="5">
    <w:abstractNumId w:val="7"/>
  </w:num>
  <w:num w:numId="6">
    <w:abstractNumId w:val="1"/>
    <w:lvlOverride w:ilvl="0">
      <w:startOverride w:val="1"/>
    </w:lvlOverride>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71439"/>
    <w:rsid w:val="00131865"/>
    <w:rsid w:val="001876A2"/>
    <w:rsid w:val="001F0D9D"/>
    <w:rsid w:val="0024795D"/>
    <w:rsid w:val="00262636"/>
    <w:rsid w:val="002A31CD"/>
    <w:rsid w:val="00405C31"/>
    <w:rsid w:val="00423E66"/>
    <w:rsid w:val="00443B6E"/>
    <w:rsid w:val="004D15D4"/>
    <w:rsid w:val="004D7C91"/>
    <w:rsid w:val="00526550"/>
    <w:rsid w:val="00561C4C"/>
    <w:rsid w:val="005E4E6E"/>
    <w:rsid w:val="00641CA7"/>
    <w:rsid w:val="00693E10"/>
    <w:rsid w:val="007B0C4C"/>
    <w:rsid w:val="00800757"/>
    <w:rsid w:val="00845D69"/>
    <w:rsid w:val="008B4FB2"/>
    <w:rsid w:val="008C4190"/>
    <w:rsid w:val="00912BDC"/>
    <w:rsid w:val="00992A56"/>
    <w:rsid w:val="009E0B00"/>
    <w:rsid w:val="00A4443E"/>
    <w:rsid w:val="00A616BE"/>
    <w:rsid w:val="00A62DA4"/>
    <w:rsid w:val="00AC1DD9"/>
    <w:rsid w:val="00AD0A80"/>
    <w:rsid w:val="00B24932"/>
    <w:rsid w:val="00B705E4"/>
    <w:rsid w:val="00B71439"/>
    <w:rsid w:val="00BC7B8D"/>
    <w:rsid w:val="00D41DD5"/>
    <w:rsid w:val="00D71361"/>
    <w:rsid w:val="00DD577D"/>
    <w:rsid w:val="00DE68C7"/>
    <w:rsid w:val="00E109E3"/>
    <w:rsid w:val="00E319D8"/>
    <w:rsid w:val="00E82F7F"/>
    <w:rsid w:val="00EB5272"/>
  </w:rsids>
  <m:mathPr>
    <m:mathFont m:val="Cambria Math"/>
    <m:brkBin m:val="before"/>
    <m:brkBinSub m:val="--"/>
    <m:smallFrac m:val="off"/>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as-IN"/>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190"/>
    <w:rPr>
      <w:rFonts w:cs="Vrinda"/>
    </w:rPr>
  </w:style>
  <w:style w:type="paragraph" w:styleId="Heading1">
    <w:name w:val="heading 1"/>
    <w:basedOn w:val="Normal"/>
    <w:next w:val="Normal"/>
    <w:link w:val="Heading1Char"/>
    <w:uiPriority w:val="9"/>
    <w:qFormat/>
    <w:rsid w:val="00E82F7F"/>
    <w:pPr>
      <w:keepNext/>
      <w:keepLines/>
      <w:spacing w:before="480" w:line="276" w:lineRule="auto"/>
      <w:jc w:val="left"/>
      <w:outlineLvl w:val="0"/>
    </w:pPr>
    <w:rPr>
      <w:rFonts w:asciiTheme="majorHAnsi" w:eastAsiaTheme="majorEastAsia" w:hAnsiTheme="majorHAnsi" w:cstheme="majorBidi"/>
      <w:b/>
      <w:bCs/>
      <w:color w:val="365F91" w:themeColor="accent1" w:themeShade="BF"/>
      <w:sz w:val="28"/>
      <w:lang w:bidi="ar-SA"/>
    </w:rPr>
  </w:style>
  <w:style w:type="paragraph" w:styleId="Heading2">
    <w:name w:val="heading 2"/>
    <w:basedOn w:val="Normal"/>
    <w:next w:val="Normal"/>
    <w:link w:val="Heading2Char"/>
    <w:uiPriority w:val="9"/>
    <w:unhideWhenUsed/>
    <w:qFormat/>
    <w:rsid w:val="00AC1DD9"/>
    <w:pPr>
      <w:keepNext/>
      <w:keepLines/>
      <w:spacing w:before="200" w:line="276" w:lineRule="auto"/>
      <w:jc w:val="left"/>
      <w:outlineLvl w:val="1"/>
    </w:pPr>
    <w:rPr>
      <w:rFonts w:asciiTheme="majorHAnsi" w:eastAsiaTheme="majorEastAsia" w:hAnsiTheme="majorHAnsi" w:cstheme="majorBidi"/>
      <w:b/>
      <w:bCs/>
      <w:color w:val="4F81BD" w:themeColor="accent1"/>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143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66"/>
    </w:rPr>
  </w:style>
  <w:style w:type="character" w:customStyle="1" w:styleId="TitleChar">
    <w:name w:val="Title Char"/>
    <w:basedOn w:val="DefaultParagraphFont"/>
    <w:link w:val="Title"/>
    <w:uiPriority w:val="10"/>
    <w:rsid w:val="00B71439"/>
    <w:rPr>
      <w:rFonts w:asciiTheme="majorHAnsi" w:eastAsiaTheme="majorEastAsia" w:hAnsiTheme="majorHAnsi" w:cstheme="majorBidi"/>
      <w:color w:val="17365D" w:themeColor="text2" w:themeShade="BF"/>
      <w:spacing w:val="5"/>
      <w:kern w:val="28"/>
      <w:sz w:val="52"/>
      <w:szCs w:val="66"/>
    </w:rPr>
  </w:style>
  <w:style w:type="table" w:styleId="TableGrid">
    <w:name w:val="Table Grid"/>
    <w:basedOn w:val="TableNormal"/>
    <w:uiPriority w:val="59"/>
    <w:rsid w:val="00A616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D15D4"/>
    <w:rPr>
      <w:rFonts w:ascii="Tahoma" w:hAnsi="Tahoma" w:cs="Tahoma"/>
      <w:sz w:val="16"/>
      <w:szCs w:val="20"/>
    </w:rPr>
  </w:style>
  <w:style w:type="character" w:customStyle="1" w:styleId="BalloonTextChar">
    <w:name w:val="Balloon Text Char"/>
    <w:basedOn w:val="DefaultParagraphFont"/>
    <w:link w:val="BalloonText"/>
    <w:uiPriority w:val="99"/>
    <w:semiHidden/>
    <w:rsid w:val="004D15D4"/>
    <w:rPr>
      <w:rFonts w:ascii="Tahoma" w:hAnsi="Tahoma" w:cs="Tahoma"/>
      <w:sz w:val="16"/>
      <w:szCs w:val="20"/>
    </w:rPr>
  </w:style>
  <w:style w:type="paragraph" w:styleId="ListParagraph">
    <w:name w:val="List Paragraph"/>
    <w:basedOn w:val="Normal"/>
    <w:qFormat/>
    <w:rsid w:val="00992A56"/>
    <w:pPr>
      <w:ind w:left="720"/>
      <w:contextualSpacing/>
    </w:pPr>
  </w:style>
  <w:style w:type="character" w:customStyle="1" w:styleId="Heading1Char">
    <w:name w:val="Heading 1 Char"/>
    <w:basedOn w:val="DefaultParagraphFont"/>
    <w:link w:val="Heading1"/>
    <w:uiPriority w:val="9"/>
    <w:rsid w:val="00E82F7F"/>
    <w:rPr>
      <w:rFonts w:asciiTheme="majorHAnsi" w:eastAsiaTheme="majorEastAsia" w:hAnsiTheme="majorHAnsi" w:cstheme="majorBidi"/>
      <w:b/>
      <w:bCs/>
      <w:color w:val="365F91" w:themeColor="accent1" w:themeShade="BF"/>
      <w:sz w:val="28"/>
      <w:lang w:bidi="ar-SA"/>
    </w:rPr>
  </w:style>
  <w:style w:type="character" w:customStyle="1" w:styleId="Heading2Char">
    <w:name w:val="Heading 2 Char"/>
    <w:basedOn w:val="DefaultParagraphFont"/>
    <w:link w:val="Heading2"/>
    <w:uiPriority w:val="9"/>
    <w:rsid w:val="00AC1DD9"/>
    <w:rPr>
      <w:rFonts w:asciiTheme="majorHAnsi" w:eastAsiaTheme="majorEastAsia" w:hAnsiTheme="majorHAnsi" w:cstheme="majorBidi"/>
      <w:b/>
      <w:bCs/>
      <w:color w:val="4F81BD" w:themeColor="accent1"/>
      <w:sz w:val="26"/>
      <w:szCs w:val="26"/>
      <w:lang w:bidi="ar-SA"/>
    </w:rPr>
  </w:style>
  <w:style w:type="paragraph" w:styleId="ListBullet">
    <w:name w:val="List Bullet"/>
    <w:basedOn w:val="Normal"/>
    <w:uiPriority w:val="99"/>
    <w:unhideWhenUsed/>
    <w:rsid w:val="00DD577D"/>
    <w:pPr>
      <w:numPr>
        <w:numId w:val="8"/>
      </w:numPr>
      <w:spacing w:after="200" w:line="276" w:lineRule="auto"/>
      <w:contextualSpacing/>
      <w:jc w:val="left"/>
    </w:pPr>
    <w:rPr>
      <w:rFonts w:ascii="Aptos" w:eastAsiaTheme="minorEastAsia" w:hAnsi="Aptos" w:cstheme="minorBidi"/>
      <w:sz w:val="21"/>
      <w:szCs w:val="22"/>
      <w:lang w:bidi="ar-SA"/>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6"/>
  <c:chart>
    <c:title>
      <c:tx>
        <c:rich>
          <a:bodyPr/>
          <a:lstStyle/>
          <a:p>
            <a:pPr>
              <a:defRPr/>
            </a:pPr>
            <a:r>
              <a:rPr lang="en-US"/>
              <a:t>Crop</a:t>
            </a:r>
            <a:r>
              <a:rPr lang="en-US" baseline="0"/>
              <a:t> Yield by Farm (Hypothetical Data)</a:t>
            </a:r>
            <a:endParaRPr lang="en-US"/>
          </a:p>
        </c:rich>
      </c:tx>
    </c:title>
    <c:plotArea>
      <c:layout/>
      <c:barChart>
        <c:barDir val="col"/>
        <c:grouping val="clustered"/>
        <c:ser>
          <c:idx val="0"/>
          <c:order val="0"/>
          <c:tx>
            <c:strRef>
              <c:f>Sheet1!$A$2</c:f>
              <c:strCache>
                <c:ptCount val="1"/>
                <c:pt idx="0">
                  <c:v>F001</c:v>
                </c:pt>
              </c:strCache>
            </c:strRef>
          </c:tx>
          <c:cat>
            <c:strRef>
              <c:f>Sheet1!$B$1:$F$1</c:f>
              <c:strCache>
                <c:ptCount val="5"/>
                <c:pt idx="0">
                  <c:v>Rice</c:v>
                </c:pt>
                <c:pt idx="1">
                  <c:v>Wheat</c:v>
                </c:pt>
                <c:pt idx="2">
                  <c:v>Maize</c:v>
                </c:pt>
                <c:pt idx="3">
                  <c:v>Cotton</c:v>
                </c:pt>
                <c:pt idx="4">
                  <c:v>Soybean</c:v>
                </c:pt>
              </c:strCache>
            </c:strRef>
          </c:cat>
          <c:val>
            <c:numRef>
              <c:f>Sheet1!$B$2:$F$2</c:f>
              <c:numCache>
                <c:formatCode>General</c:formatCode>
                <c:ptCount val="5"/>
                <c:pt idx="0">
                  <c:v>4.2</c:v>
                </c:pt>
              </c:numCache>
            </c:numRef>
          </c:val>
        </c:ser>
        <c:ser>
          <c:idx val="1"/>
          <c:order val="1"/>
          <c:tx>
            <c:strRef>
              <c:f>Sheet1!$A$3</c:f>
              <c:strCache>
                <c:ptCount val="1"/>
                <c:pt idx="0">
                  <c:v>F002</c:v>
                </c:pt>
              </c:strCache>
            </c:strRef>
          </c:tx>
          <c:cat>
            <c:strRef>
              <c:f>Sheet1!$B$1:$F$1</c:f>
              <c:strCache>
                <c:ptCount val="5"/>
                <c:pt idx="0">
                  <c:v>Rice</c:v>
                </c:pt>
                <c:pt idx="1">
                  <c:v>Wheat</c:v>
                </c:pt>
                <c:pt idx="2">
                  <c:v>Maize</c:v>
                </c:pt>
                <c:pt idx="3">
                  <c:v>Cotton</c:v>
                </c:pt>
                <c:pt idx="4">
                  <c:v>Soybean</c:v>
                </c:pt>
              </c:strCache>
            </c:strRef>
          </c:cat>
          <c:val>
            <c:numRef>
              <c:f>Sheet1!$B$3:$F$3</c:f>
              <c:numCache>
                <c:formatCode>General</c:formatCode>
                <c:ptCount val="5"/>
                <c:pt idx="1">
                  <c:v>3.8</c:v>
                </c:pt>
              </c:numCache>
            </c:numRef>
          </c:val>
        </c:ser>
        <c:ser>
          <c:idx val="2"/>
          <c:order val="2"/>
          <c:tx>
            <c:strRef>
              <c:f>Sheet1!$A$4</c:f>
              <c:strCache>
                <c:ptCount val="1"/>
                <c:pt idx="0">
                  <c:v>F003</c:v>
                </c:pt>
              </c:strCache>
            </c:strRef>
          </c:tx>
          <c:cat>
            <c:strRef>
              <c:f>Sheet1!$B$1:$F$1</c:f>
              <c:strCache>
                <c:ptCount val="5"/>
                <c:pt idx="0">
                  <c:v>Rice</c:v>
                </c:pt>
                <c:pt idx="1">
                  <c:v>Wheat</c:v>
                </c:pt>
                <c:pt idx="2">
                  <c:v>Maize</c:v>
                </c:pt>
                <c:pt idx="3">
                  <c:v>Cotton</c:v>
                </c:pt>
                <c:pt idx="4">
                  <c:v>Soybean</c:v>
                </c:pt>
              </c:strCache>
            </c:strRef>
          </c:cat>
          <c:val>
            <c:numRef>
              <c:f>Sheet1!$B$4:$F$4</c:f>
              <c:numCache>
                <c:formatCode>General</c:formatCode>
                <c:ptCount val="5"/>
                <c:pt idx="2">
                  <c:v>5.0999999999999996</c:v>
                </c:pt>
              </c:numCache>
            </c:numRef>
          </c:val>
        </c:ser>
        <c:ser>
          <c:idx val="3"/>
          <c:order val="3"/>
          <c:tx>
            <c:strRef>
              <c:f>Sheet1!$A$5</c:f>
              <c:strCache>
                <c:ptCount val="1"/>
                <c:pt idx="0">
                  <c:v>F004</c:v>
                </c:pt>
              </c:strCache>
            </c:strRef>
          </c:tx>
          <c:cat>
            <c:strRef>
              <c:f>Sheet1!$B$1:$F$1</c:f>
              <c:strCache>
                <c:ptCount val="5"/>
                <c:pt idx="0">
                  <c:v>Rice</c:v>
                </c:pt>
                <c:pt idx="1">
                  <c:v>Wheat</c:v>
                </c:pt>
                <c:pt idx="2">
                  <c:v>Maize</c:v>
                </c:pt>
                <c:pt idx="3">
                  <c:v>Cotton</c:v>
                </c:pt>
                <c:pt idx="4">
                  <c:v>Soybean</c:v>
                </c:pt>
              </c:strCache>
            </c:strRef>
          </c:cat>
          <c:val>
            <c:numRef>
              <c:f>Sheet1!$B$5:$F$5</c:f>
              <c:numCache>
                <c:formatCode>General</c:formatCode>
                <c:ptCount val="5"/>
                <c:pt idx="3">
                  <c:v>1.8</c:v>
                </c:pt>
              </c:numCache>
            </c:numRef>
          </c:val>
        </c:ser>
        <c:ser>
          <c:idx val="4"/>
          <c:order val="4"/>
          <c:tx>
            <c:strRef>
              <c:f>Sheet1!$A$6</c:f>
              <c:strCache>
                <c:ptCount val="1"/>
                <c:pt idx="0">
                  <c:v>F005</c:v>
                </c:pt>
              </c:strCache>
            </c:strRef>
          </c:tx>
          <c:cat>
            <c:strRef>
              <c:f>Sheet1!$B$1:$F$1</c:f>
              <c:strCache>
                <c:ptCount val="5"/>
                <c:pt idx="0">
                  <c:v>Rice</c:v>
                </c:pt>
                <c:pt idx="1">
                  <c:v>Wheat</c:v>
                </c:pt>
                <c:pt idx="2">
                  <c:v>Maize</c:v>
                </c:pt>
                <c:pt idx="3">
                  <c:v>Cotton</c:v>
                </c:pt>
                <c:pt idx="4">
                  <c:v>Soybean</c:v>
                </c:pt>
              </c:strCache>
            </c:strRef>
          </c:cat>
          <c:val>
            <c:numRef>
              <c:f>Sheet1!$B$6:$F$6</c:f>
              <c:numCache>
                <c:formatCode>General</c:formatCode>
                <c:ptCount val="5"/>
                <c:pt idx="4">
                  <c:v>2.4</c:v>
                </c:pt>
              </c:numCache>
            </c:numRef>
          </c:val>
        </c:ser>
        <c:ser>
          <c:idx val="5"/>
          <c:order val="5"/>
          <c:tx>
            <c:strRef>
              <c:f>Sheet1!$A$7</c:f>
              <c:strCache>
                <c:ptCount val="1"/>
                <c:pt idx="0">
                  <c:v>F006</c:v>
                </c:pt>
              </c:strCache>
            </c:strRef>
          </c:tx>
          <c:cat>
            <c:strRef>
              <c:f>Sheet1!$B$1:$F$1</c:f>
              <c:strCache>
                <c:ptCount val="5"/>
                <c:pt idx="0">
                  <c:v>Rice</c:v>
                </c:pt>
                <c:pt idx="1">
                  <c:v>Wheat</c:v>
                </c:pt>
                <c:pt idx="2">
                  <c:v>Maize</c:v>
                </c:pt>
                <c:pt idx="3">
                  <c:v>Cotton</c:v>
                </c:pt>
                <c:pt idx="4">
                  <c:v>Soybean</c:v>
                </c:pt>
              </c:strCache>
            </c:strRef>
          </c:cat>
          <c:val>
            <c:numRef>
              <c:f>Sheet1!$B$7:$F$7</c:f>
              <c:numCache>
                <c:formatCode>General</c:formatCode>
                <c:ptCount val="5"/>
                <c:pt idx="0">
                  <c:v>3.9</c:v>
                </c:pt>
              </c:numCache>
            </c:numRef>
          </c:val>
        </c:ser>
        <c:ser>
          <c:idx val="6"/>
          <c:order val="6"/>
          <c:tx>
            <c:strRef>
              <c:f>Sheet1!$A$8</c:f>
              <c:strCache>
                <c:ptCount val="1"/>
                <c:pt idx="0">
                  <c:v>F007</c:v>
                </c:pt>
              </c:strCache>
            </c:strRef>
          </c:tx>
          <c:cat>
            <c:strRef>
              <c:f>Sheet1!$B$1:$F$1</c:f>
              <c:strCache>
                <c:ptCount val="5"/>
                <c:pt idx="0">
                  <c:v>Rice</c:v>
                </c:pt>
                <c:pt idx="1">
                  <c:v>Wheat</c:v>
                </c:pt>
                <c:pt idx="2">
                  <c:v>Maize</c:v>
                </c:pt>
                <c:pt idx="3">
                  <c:v>Cotton</c:v>
                </c:pt>
                <c:pt idx="4">
                  <c:v>Soybean</c:v>
                </c:pt>
              </c:strCache>
            </c:strRef>
          </c:cat>
          <c:val>
            <c:numRef>
              <c:f>Sheet1!$B$8:$F$8</c:f>
              <c:numCache>
                <c:formatCode>General</c:formatCode>
                <c:ptCount val="5"/>
                <c:pt idx="1">
                  <c:v>3.2</c:v>
                </c:pt>
              </c:numCache>
            </c:numRef>
          </c:val>
        </c:ser>
        <c:axId val="109284352"/>
        <c:axId val="138688384"/>
      </c:barChart>
      <c:catAx>
        <c:axId val="109284352"/>
        <c:scaling>
          <c:orientation val="minMax"/>
        </c:scaling>
        <c:axPos val="b"/>
        <c:title>
          <c:tx>
            <c:rich>
              <a:bodyPr/>
              <a:lstStyle/>
              <a:p>
                <a:pPr>
                  <a:defRPr/>
                </a:pPr>
                <a:r>
                  <a:rPr lang="en-US"/>
                  <a:t>Farm ID</a:t>
                </a:r>
              </a:p>
            </c:rich>
          </c:tx>
        </c:title>
        <c:majorTickMark val="none"/>
        <c:tickLblPos val="nextTo"/>
        <c:crossAx val="138688384"/>
        <c:crosses val="autoZero"/>
        <c:auto val="1"/>
        <c:lblAlgn val="ctr"/>
        <c:lblOffset val="100"/>
      </c:catAx>
      <c:valAx>
        <c:axId val="138688384"/>
        <c:scaling>
          <c:orientation val="minMax"/>
        </c:scaling>
        <c:axPos val="l"/>
        <c:majorGridlines/>
        <c:title>
          <c:tx>
            <c:rich>
              <a:bodyPr/>
              <a:lstStyle/>
              <a:p>
                <a:pPr>
                  <a:defRPr/>
                </a:pPr>
                <a:r>
                  <a:rPr lang="en-US"/>
                  <a:t>Yield (tones per hectare)</a:t>
                </a:r>
              </a:p>
            </c:rich>
          </c:tx>
        </c:title>
        <c:numFmt formatCode="General" sourceLinked="1"/>
        <c:tickLblPos val="nextTo"/>
        <c:crossAx val="109284352"/>
        <c:crosses val="autoZero"/>
        <c:crossBetween val="between"/>
      </c:valAx>
    </c:plotArea>
    <c:legend>
      <c:legendPos val="r"/>
    </c:legend>
    <c:plotVisOnly val="1"/>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27F5F7-B976-42A1-AAC6-CC6DC6BA8D44}" type="doc">
      <dgm:prSet loTypeId="urn:microsoft.com/office/officeart/2005/8/layout/process4" loCatId="process" qsTypeId="urn:microsoft.com/office/officeart/2005/8/quickstyle/simple1" qsCatId="simple" csTypeId="urn:microsoft.com/office/officeart/2005/8/colors/accent1_2" csCatId="accent1" phldr="1"/>
      <dgm:spPr/>
    </dgm:pt>
    <dgm:pt modelId="{CFC2F39C-3591-4518-A9D0-A9CFDB569562}">
      <dgm:prSet phldrT="[Text]"/>
      <dgm:spPr/>
      <dgm:t>
        <a:bodyPr/>
        <a:lstStyle/>
        <a:p>
          <a:r>
            <a:rPr lang="en-US" b="1"/>
            <a:t>Raw agricultural data</a:t>
          </a:r>
          <a:endParaRPr lang="en-US"/>
        </a:p>
      </dgm:t>
    </dgm:pt>
    <dgm:pt modelId="{D816DD66-360E-445D-AFC6-3609A8FEDEB8}" type="parTrans" cxnId="{E85D143F-3702-42A5-B395-961C6631E929}">
      <dgm:prSet/>
      <dgm:spPr/>
      <dgm:t>
        <a:bodyPr/>
        <a:lstStyle/>
        <a:p>
          <a:endParaRPr lang="en-US"/>
        </a:p>
      </dgm:t>
    </dgm:pt>
    <dgm:pt modelId="{8AF3E71A-A0DA-4D72-9F97-167540ED16AC}" type="sibTrans" cxnId="{E85D143F-3702-42A5-B395-961C6631E929}">
      <dgm:prSet/>
      <dgm:spPr/>
      <dgm:t>
        <a:bodyPr/>
        <a:lstStyle/>
        <a:p>
          <a:endParaRPr lang="en-US"/>
        </a:p>
      </dgm:t>
    </dgm:pt>
    <dgm:pt modelId="{36FCA0D3-7B48-4B1D-AA2A-C2F47B52BE66}">
      <dgm:prSet phldrT="[Text]"/>
      <dgm:spPr/>
      <dgm:t>
        <a:bodyPr/>
        <a:lstStyle/>
        <a:p>
          <a:r>
            <a:rPr lang="en-US"/>
            <a:t>Data profiling and schema validation</a:t>
          </a:r>
        </a:p>
      </dgm:t>
    </dgm:pt>
    <dgm:pt modelId="{20CF76EC-69AC-4AE9-B407-250C76D7BEB4}" type="parTrans" cxnId="{389ECE80-51A2-4C15-9CD1-952CD79D5E3C}">
      <dgm:prSet/>
      <dgm:spPr/>
      <dgm:t>
        <a:bodyPr/>
        <a:lstStyle/>
        <a:p>
          <a:endParaRPr lang="en-US"/>
        </a:p>
      </dgm:t>
    </dgm:pt>
    <dgm:pt modelId="{A501D6BD-1C69-42E5-A69B-DE985574B37A}" type="sibTrans" cxnId="{389ECE80-51A2-4C15-9CD1-952CD79D5E3C}">
      <dgm:prSet/>
      <dgm:spPr/>
      <dgm:t>
        <a:bodyPr/>
        <a:lstStyle/>
        <a:p>
          <a:endParaRPr lang="en-US"/>
        </a:p>
      </dgm:t>
    </dgm:pt>
    <dgm:pt modelId="{8A6640C2-C3C5-4D37-B5CB-F003FFF6EE3A}">
      <dgm:prSet phldrT="[Text]"/>
      <dgm:spPr/>
      <dgm:t>
        <a:bodyPr/>
        <a:lstStyle/>
        <a:p>
          <a:r>
            <a:rPr lang="en-US"/>
            <a:t>Duplicate detection</a:t>
          </a:r>
        </a:p>
      </dgm:t>
    </dgm:pt>
    <dgm:pt modelId="{B9DEF319-D1F9-496F-93DD-C0EA4C8BBADE}" type="parTrans" cxnId="{7CF9ED14-9597-4773-9E01-7BA0EB339812}">
      <dgm:prSet/>
      <dgm:spPr/>
      <dgm:t>
        <a:bodyPr/>
        <a:lstStyle/>
        <a:p>
          <a:endParaRPr lang="en-US"/>
        </a:p>
      </dgm:t>
    </dgm:pt>
    <dgm:pt modelId="{3656B7D9-A3F1-4D13-9555-FE4E8C6FCF3C}" type="sibTrans" cxnId="{7CF9ED14-9597-4773-9E01-7BA0EB339812}">
      <dgm:prSet/>
      <dgm:spPr/>
      <dgm:t>
        <a:bodyPr/>
        <a:lstStyle/>
        <a:p>
          <a:endParaRPr lang="en-US"/>
        </a:p>
      </dgm:t>
    </dgm:pt>
    <dgm:pt modelId="{A13DE3F5-447A-4041-BABF-0FF0C6839E48}">
      <dgm:prSet phldrT="[Text]"/>
      <dgm:spPr/>
      <dgm:t>
        <a:bodyPr/>
        <a:lstStyle/>
        <a:p>
          <a:r>
            <a:rPr lang="en-US"/>
            <a:t>Missing-value assessment</a:t>
          </a:r>
        </a:p>
      </dgm:t>
    </dgm:pt>
    <dgm:pt modelId="{B89083A5-04F9-4271-B346-A3E61E813F7E}" type="parTrans" cxnId="{D9938558-C246-4C0D-8AA3-5C8489E5BDDB}">
      <dgm:prSet/>
      <dgm:spPr/>
      <dgm:t>
        <a:bodyPr/>
        <a:lstStyle/>
        <a:p>
          <a:endParaRPr lang="en-US"/>
        </a:p>
      </dgm:t>
    </dgm:pt>
    <dgm:pt modelId="{06CB6739-8A95-43B8-8288-E225C189E331}" type="sibTrans" cxnId="{D9938558-C246-4C0D-8AA3-5C8489E5BDDB}">
      <dgm:prSet/>
      <dgm:spPr/>
      <dgm:t>
        <a:bodyPr/>
        <a:lstStyle/>
        <a:p>
          <a:endParaRPr lang="en-US"/>
        </a:p>
      </dgm:t>
    </dgm:pt>
    <dgm:pt modelId="{B9257760-8EC5-409E-869D-D7E5D446B1CF}">
      <dgm:prSet phldrT="[Text]"/>
      <dgm:spPr/>
      <dgm:t>
        <a:bodyPr/>
        <a:lstStyle/>
        <a:p>
          <a:r>
            <a:rPr lang="en-US"/>
            <a:t>Format and unit standardization</a:t>
          </a:r>
        </a:p>
      </dgm:t>
    </dgm:pt>
    <dgm:pt modelId="{0F2E4ED4-73E6-470D-B755-5C30D6E881E8}" type="parTrans" cxnId="{9498B00A-1174-46B1-B9C3-2D3F530C1714}">
      <dgm:prSet/>
      <dgm:spPr/>
      <dgm:t>
        <a:bodyPr/>
        <a:lstStyle/>
        <a:p>
          <a:endParaRPr lang="en-US"/>
        </a:p>
      </dgm:t>
    </dgm:pt>
    <dgm:pt modelId="{43114070-5839-4090-81BF-23A46F185557}" type="sibTrans" cxnId="{9498B00A-1174-46B1-B9C3-2D3F530C1714}">
      <dgm:prSet/>
      <dgm:spPr/>
      <dgm:t>
        <a:bodyPr/>
        <a:lstStyle/>
        <a:p>
          <a:endParaRPr lang="en-US"/>
        </a:p>
      </dgm:t>
    </dgm:pt>
    <dgm:pt modelId="{E3DB9FF8-2DF0-4C55-B50E-B82DBA1188A7}">
      <dgm:prSet phldrT="[Text]"/>
      <dgm:spPr/>
      <dgm:t>
        <a:bodyPr/>
        <a:lstStyle/>
        <a:p>
          <a:r>
            <a:rPr lang="en-US"/>
            <a:t>Range and logical consistency checks</a:t>
          </a:r>
        </a:p>
      </dgm:t>
    </dgm:pt>
    <dgm:pt modelId="{A57F675E-7473-44CF-ACE1-6B60E04A4A27}" type="parTrans" cxnId="{BA11604C-B1E5-4591-93DD-D1FD5F4A722E}">
      <dgm:prSet/>
      <dgm:spPr/>
      <dgm:t>
        <a:bodyPr/>
        <a:lstStyle/>
        <a:p>
          <a:endParaRPr lang="en-US"/>
        </a:p>
      </dgm:t>
    </dgm:pt>
    <dgm:pt modelId="{F10E2FA2-C1E6-4942-B5A9-20C00C90BFE5}" type="sibTrans" cxnId="{BA11604C-B1E5-4591-93DD-D1FD5F4A722E}">
      <dgm:prSet/>
      <dgm:spPr/>
      <dgm:t>
        <a:bodyPr/>
        <a:lstStyle/>
        <a:p>
          <a:endParaRPr lang="en-US"/>
        </a:p>
      </dgm:t>
    </dgm:pt>
    <dgm:pt modelId="{2CB472B0-ABE7-4530-A24E-8E0F3BCB8FDA}">
      <dgm:prSet phldrT="[Text]"/>
      <dgm:spPr/>
      <dgm:t>
        <a:bodyPr/>
        <a:lstStyle/>
        <a:p>
          <a:r>
            <a:rPr lang="en-US"/>
            <a:t>Outlier detection and review</a:t>
          </a:r>
        </a:p>
      </dgm:t>
    </dgm:pt>
    <dgm:pt modelId="{3292B421-B1A5-47C5-9860-531A972984AC}" type="parTrans" cxnId="{ADAD7D22-3431-477D-A6BE-82F398599690}">
      <dgm:prSet/>
      <dgm:spPr/>
      <dgm:t>
        <a:bodyPr/>
        <a:lstStyle/>
        <a:p>
          <a:endParaRPr lang="en-US"/>
        </a:p>
      </dgm:t>
    </dgm:pt>
    <dgm:pt modelId="{4E7155C4-4378-47D8-B5B9-A7EDD1E640A7}" type="sibTrans" cxnId="{ADAD7D22-3431-477D-A6BE-82F398599690}">
      <dgm:prSet/>
      <dgm:spPr/>
      <dgm:t>
        <a:bodyPr/>
        <a:lstStyle/>
        <a:p>
          <a:endParaRPr lang="en-US"/>
        </a:p>
      </dgm:t>
    </dgm:pt>
    <dgm:pt modelId="{D019EDD4-0745-41A9-9D14-8CB732BBF775}">
      <dgm:prSet phldrT="[Text]"/>
      <dgm:spPr/>
      <dgm:t>
        <a:bodyPr/>
        <a:lstStyle/>
        <a:p>
          <a:r>
            <a:rPr lang="en-US"/>
            <a:t>Missing-value treatment / imputation</a:t>
          </a:r>
        </a:p>
      </dgm:t>
    </dgm:pt>
    <dgm:pt modelId="{0F74BC85-40D8-46F3-90AE-91ED0E3D70D5}" type="parTrans" cxnId="{CE9D48C8-A5DA-4B48-9E27-83FB823CF4D2}">
      <dgm:prSet/>
      <dgm:spPr/>
      <dgm:t>
        <a:bodyPr/>
        <a:lstStyle/>
        <a:p>
          <a:endParaRPr lang="en-US"/>
        </a:p>
      </dgm:t>
    </dgm:pt>
    <dgm:pt modelId="{48EBA13F-AAAC-4C03-AEBC-E3AC31B5EB3F}" type="sibTrans" cxnId="{CE9D48C8-A5DA-4B48-9E27-83FB823CF4D2}">
      <dgm:prSet/>
      <dgm:spPr/>
      <dgm:t>
        <a:bodyPr/>
        <a:lstStyle/>
        <a:p>
          <a:endParaRPr lang="en-US"/>
        </a:p>
      </dgm:t>
    </dgm:pt>
    <dgm:pt modelId="{5F599705-A9CC-4029-94E5-F2434D3D9D3E}">
      <dgm:prSet phldrT="[Text]"/>
      <dgm:spPr/>
      <dgm:t>
        <a:bodyPr/>
        <a:lstStyle/>
        <a:p>
          <a:r>
            <a:rPr lang="en-US"/>
            <a:t>Categorical encoding and numeric scaling when required</a:t>
          </a:r>
        </a:p>
      </dgm:t>
    </dgm:pt>
    <dgm:pt modelId="{398E07DF-E4BA-41EF-9F44-5E15D22F8599}" type="parTrans" cxnId="{6C676E90-763B-49CF-B452-F8DDC9155438}">
      <dgm:prSet/>
      <dgm:spPr/>
      <dgm:t>
        <a:bodyPr/>
        <a:lstStyle/>
        <a:p>
          <a:endParaRPr lang="en-US"/>
        </a:p>
      </dgm:t>
    </dgm:pt>
    <dgm:pt modelId="{9B3D3F62-B88C-4A64-8AE8-E37B5758CA36}" type="sibTrans" cxnId="{6C676E90-763B-49CF-B452-F8DDC9155438}">
      <dgm:prSet/>
      <dgm:spPr/>
      <dgm:t>
        <a:bodyPr/>
        <a:lstStyle/>
        <a:p>
          <a:endParaRPr lang="en-US"/>
        </a:p>
      </dgm:t>
    </dgm:pt>
    <dgm:pt modelId="{5788FFA3-76D4-478B-8D87-2BE6A2CDD55C}">
      <dgm:prSet phldrT="[Text]"/>
      <dgm:spPr/>
      <dgm:t>
        <a:bodyPr/>
        <a:lstStyle/>
        <a:p>
          <a:r>
            <a:rPr lang="en-US"/>
            <a:t>Final validation</a:t>
          </a:r>
        </a:p>
      </dgm:t>
    </dgm:pt>
    <dgm:pt modelId="{6B809BD9-77C5-4650-ABA0-018D2BD30977}" type="parTrans" cxnId="{08A86486-8D0A-410C-8B68-DC1193C11800}">
      <dgm:prSet/>
      <dgm:spPr/>
      <dgm:t>
        <a:bodyPr/>
        <a:lstStyle/>
        <a:p>
          <a:endParaRPr lang="en-US"/>
        </a:p>
      </dgm:t>
    </dgm:pt>
    <dgm:pt modelId="{0069CD2E-099E-4816-90F9-05189F015341}" type="sibTrans" cxnId="{08A86486-8D0A-410C-8B68-DC1193C11800}">
      <dgm:prSet/>
      <dgm:spPr/>
      <dgm:t>
        <a:bodyPr/>
        <a:lstStyle/>
        <a:p>
          <a:endParaRPr lang="en-US"/>
        </a:p>
      </dgm:t>
    </dgm:pt>
    <dgm:pt modelId="{E081D8E4-A90C-4AF5-8ACA-B83363BB3079}">
      <dgm:prSet phldrT="[Text]"/>
      <dgm:spPr/>
      <dgm:t>
        <a:bodyPr/>
        <a:lstStyle/>
        <a:p>
          <a:r>
            <a:rPr lang="en-US" b="1"/>
            <a:t>Clean dataset ready for analysis</a:t>
          </a:r>
          <a:endParaRPr lang="en-US"/>
        </a:p>
      </dgm:t>
    </dgm:pt>
    <dgm:pt modelId="{AE4AD115-6F1A-4B62-9B80-14F7D612C4D1}" type="parTrans" cxnId="{7476FB7B-F2EE-48DB-8256-899A7EAD8A6D}">
      <dgm:prSet/>
      <dgm:spPr/>
      <dgm:t>
        <a:bodyPr/>
        <a:lstStyle/>
        <a:p>
          <a:endParaRPr lang="en-US"/>
        </a:p>
      </dgm:t>
    </dgm:pt>
    <dgm:pt modelId="{1F855312-C291-47B2-A9D1-5F97A5137621}" type="sibTrans" cxnId="{7476FB7B-F2EE-48DB-8256-899A7EAD8A6D}">
      <dgm:prSet/>
      <dgm:spPr/>
      <dgm:t>
        <a:bodyPr/>
        <a:lstStyle/>
        <a:p>
          <a:endParaRPr lang="en-US"/>
        </a:p>
      </dgm:t>
    </dgm:pt>
    <dgm:pt modelId="{C28F67F2-8F3C-4292-8E64-EA789CA769E7}" type="pres">
      <dgm:prSet presAssocID="{D427F5F7-B976-42A1-AAC6-CC6DC6BA8D44}" presName="Name0" presStyleCnt="0">
        <dgm:presLayoutVars>
          <dgm:dir/>
          <dgm:animLvl val="lvl"/>
          <dgm:resizeHandles val="exact"/>
        </dgm:presLayoutVars>
      </dgm:prSet>
      <dgm:spPr/>
    </dgm:pt>
    <dgm:pt modelId="{2920DB69-3FBB-4AA9-A019-667068D8EA61}" type="pres">
      <dgm:prSet presAssocID="{E081D8E4-A90C-4AF5-8ACA-B83363BB3079}" presName="boxAndChildren" presStyleCnt="0"/>
      <dgm:spPr/>
    </dgm:pt>
    <dgm:pt modelId="{CED07BBA-3CD4-4C36-A1A0-629BDBBD40F9}" type="pres">
      <dgm:prSet presAssocID="{E081D8E4-A90C-4AF5-8ACA-B83363BB3079}" presName="parentTextBox" presStyleLbl="node1" presStyleIdx="0" presStyleCnt="11"/>
      <dgm:spPr/>
      <dgm:t>
        <a:bodyPr/>
        <a:lstStyle/>
        <a:p>
          <a:endParaRPr lang="en-US"/>
        </a:p>
      </dgm:t>
    </dgm:pt>
    <dgm:pt modelId="{D474144C-C583-4307-BF7C-7CA27760E2D6}" type="pres">
      <dgm:prSet presAssocID="{0069CD2E-099E-4816-90F9-05189F015341}" presName="sp" presStyleCnt="0"/>
      <dgm:spPr/>
    </dgm:pt>
    <dgm:pt modelId="{BD362470-0711-4D50-8066-DD0D8F4000B5}" type="pres">
      <dgm:prSet presAssocID="{5788FFA3-76D4-478B-8D87-2BE6A2CDD55C}" presName="arrowAndChildren" presStyleCnt="0"/>
      <dgm:spPr/>
    </dgm:pt>
    <dgm:pt modelId="{863F1E3E-D968-4423-92F7-6A325D18ECDE}" type="pres">
      <dgm:prSet presAssocID="{5788FFA3-76D4-478B-8D87-2BE6A2CDD55C}" presName="parentTextArrow" presStyleLbl="node1" presStyleIdx="1" presStyleCnt="11"/>
      <dgm:spPr/>
      <dgm:t>
        <a:bodyPr/>
        <a:lstStyle/>
        <a:p>
          <a:endParaRPr lang="en-US"/>
        </a:p>
      </dgm:t>
    </dgm:pt>
    <dgm:pt modelId="{4BB947C9-C11C-45B3-97FF-A6F4477D7824}" type="pres">
      <dgm:prSet presAssocID="{9B3D3F62-B88C-4A64-8AE8-E37B5758CA36}" presName="sp" presStyleCnt="0"/>
      <dgm:spPr/>
    </dgm:pt>
    <dgm:pt modelId="{00320EFB-F497-4E42-9266-E465988C8694}" type="pres">
      <dgm:prSet presAssocID="{5F599705-A9CC-4029-94E5-F2434D3D9D3E}" presName="arrowAndChildren" presStyleCnt="0"/>
      <dgm:spPr/>
    </dgm:pt>
    <dgm:pt modelId="{DF86C79B-66C7-4801-B702-6C1DC0C9ABCA}" type="pres">
      <dgm:prSet presAssocID="{5F599705-A9CC-4029-94E5-F2434D3D9D3E}" presName="parentTextArrow" presStyleLbl="node1" presStyleIdx="2" presStyleCnt="11"/>
      <dgm:spPr/>
      <dgm:t>
        <a:bodyPr/>
        <a:lstStyle/>
        <a:p>
          <a:endParaRPr lang="en-US"/>
        </a:p>
      </dgm:t>
    </dgm:pt>
    <dgm:pt modelId="{39E68E7F-6754-4870-805E-22D6837558EA}" type="pres">
      <dgm:prSet presAssocID="{48EBA13F-AAAC-4C03-AEBC-E3AC31B5EB3F}" presName="sp" presStyleCnt="0"/>
      <dgm:spPr/>
    </dgm:pt>
    <dgm:pt modelId="{C600E2E7-B25B-43F8-B80E-5DA6DBBEF2BA}" type="pres">
      <dgm:prSet presAssocID="{D019EDD4-0745-41A9-9D14-8CB732BBF775}" presName="arrowAndChildren" presStyleCnt="0"/>
      <dgm:spPr/>
    </dgm:pt>
    <dgm:pt modelId="{617DC8C1-F865-4286-AE12-82217ED605C5}" type="pres">
      <dgm:prSet presAssocID="{D019EDD4-0745-41A9-9D14-8CB732BBF775}" presName="parentTextArrow" presStyleLbl="node1" presStyleIdx="3" presStyleCnt="11"/>
      <dgm:spPr/>
      <dgm:t>
        <a:bodyPr/>
        <a:lstStyle/>
        <a:p>
          <a:endParaRPr lang="en-US"/>
        </a:p>
      </dgm:t>
    </dgm:pt>
    <dgm:pt modelId="{99722671-BEFC-416A-A6D9-A88FCDA63550}" type="pres">
      <dgm:prSet presAssocID="{4E7155C4-4378-47D8-B5B9-A7EDD1E640A7}" presName="sp" presStyleCnt="0"/>
      <dgm:spPr/>
    </dgm:pt>
    <dgm:pt modelId="{28484CC3-0DB3-4064-ACA9-C7C7DC36756E}" type="pres">
      <dgm:prSet presAssocID="{2CB472B0-ABE7-4530-A24E-8E0F3BCB8FDA}" presName="arrowAndChildren" presStyleCnt="0"/>
      <dgm:spPr/>
    </dgm:pt>
    <dgm:pt modelId="{6F88BC86-1C18-4528-8196-04833C8E34B3}" type="pres">
      <dgm:prSet presAssocID="{2CB472B0-ABE7-4530-A24E-8E0F3BCB8FDA}" presName="parentTextArrow" presStyleLbl="node1" presStyleIdx="4" presStyleCnt="11"/>
      <dgm:spPr/>
      <dgm:t>
        <a:bodyPr/>
        <a:lstStyle/>
        <a:p>
          <a:endParaRPr lang="en-US"/>
        </a:p>
      </dgm:t>
    </dgm:pt>
    <dgm:pt modelId="{AB71A927-6061-4FE1-8272-656DF53ABD76}" type="pres">
      <dgm:prSet presAssocID="{F10E2FA2-C1E6-4942-B5A9-20C00C90BFE5}" presName="sp" presStyleCnt="0"/>
      <dgm:spPr/>
    </dgm:pt>
    <dgm:pt modelId="{E9915323-6133-49FD-9935-FEF73ABC5CB6}" type="pres">
      <dgm:prSet presAssocID="{E3DB9FF8-2DF0-4C55-B50E-B82DBA1188A7}" presName="arrowAndChildren" presStyleCnt="0"/>
      <dgm:spPr/>
    </dgm:pt>
    <dgm:pt modelId="{ABDCA5EC-5C78-47E0-9EA0-F5594A25EADE}" type="pres">
      <dgm:prSet presAssocID="{E3DB9FF8-2DF0-4C55-B50E-B82DBA1188A7}" presName="parentTextArrow" presStyleLbl="node1" presStyleIdx="5" presStyleCnt="11"/>
      <dgm:spPr/>
      <dgm:t>
        <a:bodyPr/>
        <a:lstStyle/>
        <a:p>
          <a:endParaRPr lang="en-US"/>
        </a:p>
      </dgm:t>
    </dgm:pt>
    <dgm:pt modelId="{3E14652C-ABEA-4E16-ABFA-DBBCDC5A7D9E}" type="pres">
      <dgm:prSet presAssocID="{43114070-5839-4090-81BF-23A46F185557}" presName="sp" presStyleCnt="0"/>
      <dgm:spPr/>
    </dgm:pt>
    <dgm:pt modelId="{92EEA16F-6288-4014-B5ED-BC9F55629C6E}" type="pres">
      <dgm:prSet presAssocID="{B9257760-8EC5-409E-869D-D7E5D446B1CF}" presName="arrowAndChildren" presStyleCnt="0"/>
      <dgm:spPr/>
    </dgm:pt>
    <dgm:pt modelId="{A218C7D5-A522-45F5-AFFD-E9757217F579}" type="pres">
      <dgm:prSet presAssocID="{B9257760-8EC5-409E-869D-D7E5D446B1CF}" presName="parentTextArrow" presStyleLbl="node1" presStyleIdx="6" presStyleCnt="11"/>
      <dgm:spPr/>
      <dgm:t>
        <a:bodyPr/>
        <a:lstStyle/>
        <a:p>
          <a:endParaRPr lang="en-US"/>
        </a:p>
      </dgm:t>
    </dgm:pt>
    <dgm:pt modelId="{28B21C6E-7A28-4462-959D-48F87E861842}" type="pres">
      <dgm:prSet presAssocID="{06CB6739-8A95-43B8-8288-E225C189E331}" presName="sp" presStyleCnt="0"/>
      <dgm:spPr/>
    </dgm:pt>
    <dgm:pt modelId="{756FBE5C-A193-4247-AF9C-DA87428A27AC}" type="pres">
      <dgm:prSet presAssocID="{A13DE3F5-447A-4041-BABF-0FF0C6839E48}" presName="arrowAndChildren" presStyleCnt="0"/>
      <dgm:spPr/>
    </dgm:pt>
    <dgm:pt modelId="{ADD77907-C488-42FF-A92B-BC19C9F982E1}" type="pres">
      <dgm:prSet presAssocID="{A13DE3F5-447A-4041-BABF-0FF0C6839E48}" presName="parentTextArrow" presStyleLbl="node1" presStyleIdx="7" presStyleCnt="11"/>
      <dgm:spPr/>
      <dgm:t>
        <a:bodyPr/>
        <a:lstStyle/>
        <a:p>
          <a:endParaRPr lang="en-US"/>
        </a:p>
      </dgm:t>
    </dgm:pt>
    <dgm:pt modelId="{30B1F0D6-78E7-4569-BD04-5D59DE97F577}" type="pres">
      <dgm:prSet presAssocID="{3656B7D9-A3F1-4D13-9555-FE4E8C6FCF3C}" presName="sp" presStyleCnt="0"/>
      <dgm:spPr/>
    </dgm:pt>
    <dgm:pt modelId="{A59C27E6-5CBE-4982-A0AB-3A737C799F06}" type="pres">
      <dgm:prSet presAssocID="{8A6640C2-C3C5-4D37-B5CB-F003FFF6EE3A}" presName="arrowAndChildren" presStyleCnt="0"/>
      <dgm:spPr/>
    </dgm:pt>
    <dgm:pt modelId="{23E9CA4C-40BD-4906-AB9B-82FCEFBCFC7A}" type="pres">
      <dgm:prSet presAssocID="{8A6640C2-C3C5-4D37-B5CB-F003FFF6EE3A}" presName="parentTextArrow" presStyleLbl="node1" presStyleIdx="8" presStyleCnt="11"/>
      <dgm:spPr/>
      <dgm:t>
        <a:bodyPr/>
        <a:lstStyle/>
        <a:p>
          <a:endParaRPr lang="en-US"/>
        </a:p>
      </dgm:t>
    </dgm:pt>
    <dgm:pt modelId="{C9E2947D-E744-4385-B55D-7118839FEE7B}" type="pres">
      <dgm:prSet presAssocID="{A501D6BD-1C69-42E5-A69B-DE985574B37A}" presName="sp" presStyleCnt="0"/>
      <dgm:spPr/>
    </dgm:pt>
    <dgm:pt modelId="{DB5BC063-01B5-443C-A707-3189C20B4F94}" type="pres">
      <dgm:prSet presAssocID="{36FCA0D3-7B48-4B1D-AA2A-C2F47B52BE66}" presName="arrowAndChildren" presStyleCnt="0"/>
      <dgm:spPr/>
    </dgm:pt>
    <dgm:pt modelId="{CD958823-0552-4978-B156-6EA6E6DDD524}" type="pres">
      <dgm:prSet presAssocID="{36FCA0D3-7B48-4B1D-AA2A-C2F47B52BE66}" presName="parentTextArrow" presStyleLbl="node1" presStyleIdx="9" presStyleCnt="11"/>
      <dgm:spPr/>
      <dgm:t>
        <a:bodyPr/>
        <a:lstStyle/>
        <a:p>
          <a:endParaRPr lang="en-US"/>
        </a:p>
      </dgm:t>
    </dgm:pt>
    <dgm:pt modelId="{C0547235-56C5-43AF-AF94-59E7296853C6}" type="pres">
      <dgm:prSet presAssocID="{8AF3E71A-A0DA-4D72-9F97-167540ED16AC}" presName="sp" presStyleCnt="0"/>
      <dgm:spPr/>
    </dgm:pt>
    <dgm:pt modelId="{8A159861-697F-49C3-A931-E5ECC8FB4BBB}" type="pres">
      <dgm:prSet presAssocID="{CFC2F39C-3591-4518-A9D0-A9CFDB569562}" presName="arrowAndChildren" presStyleCnt="0"/>
      <dgm:spPr/>
    </dgm:pt>
    <dgm:pt modelId="{52CCBE0D-D586-45CA-B4C9-9C2D03E9FB6C}" type="pres">
      <dgm:prSet presAssocID="{CFC2F39C-3591-4518-A9D0-A9CFDB569562}" presName="parentTextArrow" presStyleLbl="node1" presStyleIdx="10" presStyleCnt="11"/>
      <dgm:spPr/>
      <dgm:t>
        <a:bodyPr/>
        <a:lstStyle/>
        <a:p>
          <a:endParaRPr lang="en-US"/>
        </a:p>
      </dgm:t>
    </dgm:pt>
  </dgm:ptLst>
  <dgm:cxnLst>
    <dgm:cxn modelId="{DBF08996-EAA9-4053-82DF-4CA62583E2A3}" type="presOf" srcId="{2CB472B0-ABE7-4530-A24E-8E0F3BCB8FDA}" destId="{6F88BC86-1C18-4528-8196-04833C8E34B3}" srcOrd="0" destOrd="0" presId="urn:microsoft.com/office/officeart/2005/8/layout/process4"/>
    <dgm:cxn modelId="{8C667393-E0B6-4E1F-B992-F35058B8A1C3}" type="presOf" srcId="{D427F5F7-B976-42A1-AAC6-CC6DC6BA8D44}" destId="{C28F67F2-8F3C-4292-8E64-EA789CA769E7}" srcOrd="0" destOrd="0" presId="urn:microsoft.com/office/officeart/2005/8/layout/process4"/>
    <dgm:cxn modelId="{6C676E90-763B-49CF-B452-F8DDC9155438}" srcId="{D427F5F7-B976-42A1-AAC6-CC6DC6BA8D44}" destId="{5F599705-A9CC-4029-94E5-F2434D3D9D3E}" srcOrd="8" destOrd="0" parTransId="{398E07DF-E4BA-41EF-9F44-5E15D22F8599}" sibTransId="{9B3D3F62-B88C-4A64-8AE8-E37B5758CA36}"/>
    <dgm:cxn modelId="{D27E764D-4923-4250-9F5D-A32814A5C7D0}" type="presOf" srcId="{CFC2F39C-3591-4518-A9D0-A9CFDB569562}" destId="{52CCBE0D-D586-45CA-B4C9-9C2D03E9FB6C}" srcOrd="0" destOrd="0" presId="urn:microsoft.com/office/officeart/2005/8/layout/process4"/>
    <dgm:cxn modelId="{9498B00A-1174-46B1-B9C3-2D3F530C1714}" srcId="{D427F5F7-B976-42A1-AAC6-CC6DC6BA8D44}" destId="{B9257760-8EC5-409E-869D-D7E5D446B1CF}" srcOrd="4" destOrd="0" parTransId="{0F2E4ED4-73E6-470D-B755-5C30D6E881E8}" sibTransId="{43114070-5839-4090-81BF-23A46F185557}"/>
    <dgm:cxn modelId="{27FFEDA9-BF28-4228-B2FF-223C1ABE7D5B}" type="presOf" srcId="{D019EDD4-0745-41A9-9D14-8CB732BBF775}" destId="{617DC8C1-F865-4286-AE12-82217ED605C5}" srcOrd="0" destOrd="0" presId="urn:microsoft.com/office/officeart/2005/8/layout/process4"/>
    <dgm:cxn modelId="{55ACFD71-7709-41C2-B3DF-A5EE535D00FC}" type="presOf" srcId="{8A6640C2-C3C5-4D37-B5CB-F003FFF6EE3A}" destId="{23E9CA4C-40BD-4906-AB9B-82FCEFBCFC7A}" srcOrd="0" destOrd="0" presId="urn:microsoft.com/office/officeart/2005/8/layout/process4"/>
    <dgm:cxn modelId="{7CF9ED14-9597-4773-9E01-7BA0EB339812}" srcId="{D427F5F7-B976-42A1-AAC6-CC6DC6BA8D44}" destId="{8A6640C2-C3C5-4D37-B5CB-F003FFF6EE3A}" srcOrd="2" destOrd="0" parTransId="{B9DEF319-D1F9-496F-93DD-C0EA4C8BBADE}" sibTransId="{3656B7D9-A3F1-4D13-9555-FE4E8C6FCF3C}"/>
    <dgm:cxn modelId="{35040D18-0789-4E71-AAC8-956DF71E816D}" type="presOf" srcId="{A13DE3F5-447A-4041-BABF-0FF0C6839E48}" destId="{ADD77907-C488-42FF-A92B-BC19C9F982E1}" srcOrd="0" destOrd="0" presId="urn:microsoft.com/office/officeart/2005/8/layout/process4"/>
    <dgm:cxn modelId="{E27A6DC0-BBDC-4ECF-A0E3-5D278CD0DF2E}" type="presOf" srcId="{B9257760-8EC5-409E-869D-D7E5D446B1CF}" destId="{A218C7D5-A522-45F5-AFFD-E9757217F579}" srcOrd="0" destOrd="0" presId="urn:microsoft.com/office/officeart/2005/8/layout/process4"/>
    <dgm:cxn modelId="{389ECE80-51A2-4C15-9CD1-952CD79D5E3C}" srcId="{D427F5F7-B976-42A1-AAC6-CC6DC6BA8D44}" destId="{36FCA0D3-7B48-4B1D-AA2A-C2F47B52BE66}" srcOrd="1" destOrd="0" parTransId="{20CF76EC-69AC-4AE9-B407-250C76D7BEB4}" sibTransId="{A501D6BD-1C69-42E5-A69B-DE985574B37A}"/>
    <dgm:cxn modelId="{CE9D48C8-A5DA-4B48-9E27-83FB823CF4D2}" srcId="{D427F5F7-B976-42A1-AAC6-CC6DC6BA8D44}" destId="{D019EDD4-0745-41A9-9D14-8CB732BBF775}" srcOrd="7" destOrd="0" parTransId="{0F74BC85-40D8-46F3-90AE-91ED0E3D70D5}" sibTransId="{48EBA13F-AAAC-4C03-AEBC-E3AC31B5EB3F}"/>
    <dgm:cxn modelId="{BA11604C-B1E5-4591-93DD-D1FD5F4A722E}" srcId="{D427F5F7-B976-42A1-AAC6-CC6DC6BA8D44}" destId="{E3DB9FF8-2DF0-4C55-B50E-B82DBA1188A7}" srcOrd="5" destOrd="0" parTransId="{A57F675E-7473-44CF-ACE1-6B60E04A4A27}" sibTransId="{F10E2FA2-C1E6-4942-B5A9-20C00C90BFE5}"/>
    <dgm:cxn modelId="{ADAD7D22-3431-477D-A6BE-82F398599690}" srcId="{D427F5F7-B976-42A1-AAC6-CC6DC6BA8D44}" destId="{2CB472B0-ABE7-4530-A24E-8E0F3BCB8FDA}" srcOrd="6" destOrd="0" parTransId="{3292B421-B1A5-47C5-9860-531A972984AC}" sibTransId="{4E7155C4-4378-47D8-B5B9-A7EDD1E640A7}"/>
    <dgm:cxn modelId="{61780FFE-2798-437F-A548-26D9C74269D3}" type="presOf" srcId="{36FCA0D3-7B48-4B1D-AA2A-C2F47B52BE66}" destId="{CD958823-0552-4978-B156-6EA6E6DDD524}" srcOrd="0" destOrd="0" presId="urn:microsoft.com/office/officeart/2005/8/layout/process4"/>
    <dgm:cxn modelId="{C841E860-D5B4-460E-99F3-28D465C933A1}" type="presOf" srcId="{5F599705-A9CC-4029-94E5-F2434D3D9D3E}" destId="{DF86C79B-66C7-4801-B702-6C1DC0C9ABCA}" srcOrd="0" destOrd="0" presId="urn:microsoft.com/office/officeart/2005/8/layout/process4"/>
    <dgm:cxn modelId="{544371C0-A4D9-4C5C-964B-E8D00DB485BB}" type="presOf" srcId="{5788FFA3-76D4-478B-8D87-2BE6A2CDD55C}" destId="{863F1E3E-D968-4423-92F7-6A325D18ECDE}" srcOrd="0" destOrd="0" presId="urn:microsoft.com/office/officeart/2005/8/layout/process4"/>
    <dgm:cxn modelId="{6ABDD008-550C-4C51-B8F2-CB442E4B4485}" type="presOf" srcId="{E081D8E4-A90C-4AF5-8ACA-B83363BB3079}" destId="{CED07BBA-3CD4-4C36-A1A0-629BDBBD40F9}" srcOrd="0" destOrd="0" presId="urn:microsoft.com/office/officeart/2005/8/layout/process4"/>
    <dgm:cxn modelId="{08A86486-8D0A-410C-8B68-DC1193C11800}" srcId="{D427F5F7-B976-42A1-AAC6-CC6DC6BA8D44}" destId="{5788FFA3-76D4-478B-8D87-2BE6A2CDD55C}" srcOrd="9" destOrd="0" parTransId="{6B809BD9-77C5-4650-ABA0-018D2BD30977}" sibTransId="{0069CD2E-099E-4816-90F9-05189F015341}"/>
    <dgm:cxn modelId="{D9938558-C246-4C0D-8AA3-5C8489E5BDDB}" srcId="{D427F5F7-B976-42A1-AAC6-CC6DC6BA8D44}" destId="{A13DE3F5-447A-4041-BABF-0FF0C6839E48}" srcOrd="3" destOrd="0" parTransId="{B89083A5-04F9-4271-B346-A3E61E813F7E}" sibTransId="{06CB6739-8A95-43B8-8288-E225C189E331}"/>
    <dgm:cxn modelId="{471B4D9D-D057-4092-8FA6-28B2D4C994DB}" type="presOf" srcId="{E3DB9FF8-2DF0-4C55-B50E-B82DBA1188A7}" destId="{ABDCA5EC-5C78-47E0-9EA0-F5594A25EADE}" srcOrd="0" destOrd="0" presId="urn:microsoft.com/office/officeart/2005/8/layout/process4"/>
    <dgm:cxn modelId="{7476FB7B-F2EE-48DB-8256-899A7EAD8A6D}" srcId="{D427F5F7-B976-42A1-AAC6-CC6DC6BA8D44}" destId="{E081D8E4-A90C-4AF5-8ACA-B83363BB3079}" srcOrd="10" destOrd="0" parTransId="{AE4AD115-6F1A-4B62-9B80-14F7D612C4D1}" sibTransId="{1F855312-C291-47B2-A9D1-5F97A5137621}"/>
    <dgm:cxn modelId="{E85D143F-3702-42A5-B395-961C6631E929}" srcId="{D427F5F7-B976-42A1-AAC6-CC6DC6BA8D44}" destId="{CFC2F39C-3591-4518-A9D0-A9CFDB569562}" srcOrd="0" destOrd="0" parTransId="{D816DD66-360E-445D-AFC6-3609A8FEDEB8}" sibTransId="{8AF3E71A-A0DA-4D72-9F97-167540ED16AC}"/>
    <dgm:cxn modelId="{6A61E262-709B-4785-970C-666182C3869E}" type="presParOf" srcId="{C28F67F2-8F3C-4292-8E64-EA789CA769E7}" destId="{2920DB69-3FBB-4AA9-A019-667068D8EA61}" srcOrd="0" destOrd="0" presId="urn:microsoft.com/office/officeart/2005/8/layout/process4"/>
    <dgm:cxn modelId="{C26A73B0-4CF2-43D1-B68B-3A10266E83F7}" type="presParOf" srcId="{2920DB69-3FBB-4AA9-A019-667068D8EA61}" destId="{CED07BBA-3CD4-4C36-A1A0-629BDBBD40F9}" srcOrd="0" destOrd="0" presId="urn:microsoft.com/office/officeart/2005/8/layout/process4"/>
    <dgm:cxn modelId="{C6CCCB28-8985-484E-A024-FE7A0CAB3A24}" type="presParOf" srcId="{C28F67F2-8F3C-4292-8E64-EA789CA769E7}" destId="{D474144C-C583-4307-BF7C-7CA27760E2D6}" srcOrd="1" destOrd="0" presId="urn:microsoft.com/office/officeart/2005/8/layout/process4"/>
    <dgm:cxn modelId="{56F38C51-27D0-4A7F-B6F6-76CDB6E6C22A}" type="presParOf" srcId="{C28F67F2-8F3C-4292-8E64-EA789CA769E7}" destId="{BD362470-0711-4D50-8066-DD0D8F4000B5}" srcOrd="2" destOrd="0" presId="urn:microsoft.com/office/officeart/2005/8/layout/process4"/>
    <dgm:cxn modelId="{CD81D17F-6CB8-41EC-8761-B8B3D1FC5066}" type="presParOf" srcId="{BD362470-0711-4D50-8066-DD0D8F4000B5}" destId="{863F1E3E-D968-4423-92F7-6A325D18ECDE}" srcOrd="0" destOrd="0" presId="urn:microsoft.com/office/officeart/2005/8/layout/process4"/>
    <dgm:cxn modelId="{E69DDD31-A2D6-461F-B7C4-A3DDC5C721CD}" type="presParOf" srcId="{C28F67F2-8F3C-4292-8E64-EA789CA769E7}" destId="{4BB947C9-C11C-45B3-97FF-A6F4477D7824}" srcOrd="3" destOrd="0" presId="urn:microsoft.com/office/officeart/2005/8/layout/process4"/>
    <dgm:cxn modelId="{042C18BA-7180-4FB6-A723-3FFB05A73157}" type="presParOf" srcId="{C28F67F2-8F3C-4292-8E64-EA789CA769E7}" destId="{00320EFB-F497-4E42-9266-E465988C8694}" srcOrd="4" destOrd="0" presId="urn:microsoft.com/office/officeart/2005/8/layout/process4"/>
    <dgm:cxn modelId="{DCC0A3CE-1A95-414C-BA49-399B6F603F7D}" type="presParOf" srcId="{00320EFB-F497-4E42-9266-E465988C8694}" destId="{DF86C79B-66C7-4801-B702-6C1DC0C9ABCA}" srcOrd="0" destOrd="0" presId="urn:microsoft.com/office/officeart/2005/8/layout/process4"/>
    <dgm:cxn modelId="{F49C40D7-83CD-4F0E-8D6F-ED70EA11A364}" type="presParOf" srcId="{C28F67F2-8F3C-4292-8E64-EA789CA769E7}" destId="{39E68E7F-6754-4870-805E-22D6837558EA}" srcOrd="5" destOrd="0" presId="urn:microsoft.com/office/officeart/2005/8/layout/process4"/>
    <dgm:cxn modelId="{032FBE9C-2631-4AA2-A1E6-537712FBB1AC}" type="presParOf" srcId="{C28F67F2-8F3C-4292-8E64-EA789CA769E7}" destId="{C600E2E7-B25B-43F8-B80E-5DA6DBBEF2BA}" srcOrd="6" destOrd="0" presId="urn:microsoft.com/office/officeart/2005/8/layout/process4"/>
    <dgm:cxn modelId="{06E23797-4B19-4F42-B4D5-C95E02D0DFC7}" type="presParOf" srcId="{C600E2E7-B25B-43F8-B80E-5DA6DBBEF2BA}" destId="{617DC8C1-F865-4286-AE12-82217ED605C5}" srcOrd="0" destOrd="0" presId="urn:microsoft.com/office/officeart/2005/8/layout/process4"/>
    <dgm:cxn modelId="{8355E6FD-4A95-43D3-BAFE-5AB580ACE6AC}" type="presParOf" srcId="{C28F67F2-8F3C-4292-8E64-EA789CA769E7}" destId="{99722671-BEFC-416A-A6D9-A88FCDA63550}" srcOrd="7" destOrd="0" presId="urn:microsoft.com/office/officeart/2005/8/layout/process4"/>
    <dgm:cxn modelId="{3490F4A5-F203-4CB9-950A-F784F30515D5}" type="presParOf" srcId="{C28F67F2-8F3C-4292-8E64-EA789CA769E7}" destId="{28484CC3-0DB3-4064-ACA9-C7C7DC36756E}" srcOrd="8" destOrd="0" presId="urn:microsoft.com/office/officeart/2005/8/layout/process4"/>
    <dgm:cxn modelId="{B1C3ADB2-7ACC-42B2-8C54-0A2E6ED44ED7}" type="presParOf" srcId="{28484CC3-0DB3-4064-ACA9-C7C7DC36756E}" destId="{6F88BC86-1C18-4528-8196-04833C8E34B3}" srcOrd="0" destOrd="0" presId="urn:microsoft.com/office/officeart/2005/8/layout/process4"/>
    <dgm:cxn modelId="{EB790E34-3303-480E-A42C-4EC0F28E71C0}" type="presParOf" srcId="{C28F67F2-8F3C-4292-8E64-EA789CA769E7}" destId="{AB71A927-6061-4FE1-8272-656DF53ABD76}" srcOrd="9" destOrd="0" presId="urn:microsoft.com/office/officeart/2005/8/layout/process4"/>
    <dgm:cxn modelId="{33388990-0454-4C17-B536-BEAA225C25D6}" type="presParOf" srcId="{C28F67F2-8F3C-4292-8E64-EA789CA769E7}" destId="{E9915323-6133-49FD-9935-FEF73ABC5CB6}" srcOrd="10" destOrd="0" presId="urn:microsoft.com/office/officeart/2005/8/layout/process4"/>
    <dgm:cxn modelId="{98BB85A6-A61B-4957-B774-2F62E0E994CB}" type="presParOf" srcId="{E9915323-6133-49FD-9935-FEF73ABC5CB6}" destId="{ABDCA5EC-5C78-47E0-9EA0-F5594A25EADE}" srcOrd="0" destOrd="0" presId="urn:microsoft.com/office/officeart/2005/8/layout/process4"/>
    <dgm:cxn modelId="{DE02D3C2-A744-4526-B1F0-7A3729863BB1}" type="presParOf" srcId="{C28F67F2-8F3C-4292-8E64-EA789CA769E7}" destId="{3E14652C-ABEA-4E16-ABFA-DBBCDC5A7D9E}" srcOrd="11" destOrd="0" presId="urn:microsoft.com/office/officeart/2005/8/layout/process4"/>
    <dgm:cxn modelId="{5AF46544-430F-4D67-858C-BED5E12D762B}" type="presParOf" srcId="{C28F67F2-8F3C-4292-8E64-EA789CA769E7}" destId="{92EEA16F-6288-4014-B5ED-BC9F55629C6E}" srcOrd="12" destOrd="0" presId="urn:microsoft.com/office/officeart/2005/8/layout/process4"/>
    <dgm:cxn modelId="{8AE6B362-8A15-4BED-A2BC-FF0F0DCA144B}" type="presParOf" srcId="{92EEA16F-6288-4014-B5ED-BC9F55629C6E}" destId="{A218C7D5-A522-45F5-AFFD-E9757217F579}" srcOrd="0" destOrd="0" presId="urn:microsoft.com/office/officeart/2005/8/layout/process4"/>
    <dgm:cxn modelId="{11E4369F-B76F-4F14-A423-CA9EDCF4A6C3}" type="presParOf" srcId="{C28F67F2-8F3C-4292-8E64-EA789CA769E7}" destId="{28B21C6E-7A28-4462-959D-48F87E861842}" srcOrd="13" destOrd="0" presId="urn:microsoft.com/office/officeart/2005/8/layout/process4"/>
    <dgm:cxn modelId="{BCA16F26-7A98-4107-A5C9-E0EC61E9EFDA}" type="presParOf" srcId="{C28F67F2-8F3C-4292-8E64-EA789CA769E7}" destId="{756FBE5C-A193-4247-AF9C-DA87428A27AC}" srcOrd="14" destOrd="0" presId="urn:microsoft.com/office/officeart/2005/8/layout/process4"/>
    <dgm:cxn modelId="{DE4D7C48-44DF-4F2E-92C1-2E280D8743FF}" type="presParOf" srcId="{756FBE5C-A193-4247-AF9C-DA87428A27AC}" destId="{ADD77907-C488-42FF-A92B-BC19C9F982E1}" srcOrd="0" destOrd="0" presId="urn:microsoft.com/office/officeart/2005/8/layout/process4"/>
    <dgm:cxn modelId="{9D65848F-F6D5-4012-9DA7-9D90A11F0C9B}" type="presParOf" srcId="{C28F67F2-8F3C-4292-8E64-EA789CA769E7}" destId="{30B1F0D6-78E7-4569-BD04-5D59DE97F577}" srcOrd="15" destOrd="0" presId="urn:microsoft.com/office/officeart/2005/8/layout/process4"/>
    <dgm:cxn modelId="{76D04A94-DFE0-4577-ABD0-210094F296E2}" type="presParOf" srcId="{C28F67F2-8F3C-4292-8E64-EA789CA769E7}" destId="{A59C27E6-5CBE-4982-A0AB-3A737C799F06}" srcOrd="16" destOrd="0" presId="urn:microsoft.com/office/officeart/2005/8/layout/process4"/>
    <dgm:cxn modelId="{090C9372-E776-4D07-85CF-FC163B042E6B}" type="presParOf" srcId="{A59C27E6-5CBE-4982-A0AB-3A737C799F06}" destId="{23E9CA4C-40BD-4906-AB9B-82FCEFBCFC7A}" srcOrd="0" destOrd="0" presId="urn:microsoft.com/office/officeart/2005/8/layout/process4"/>
    <dgm:cxn modelId="{34076688-44FF-4B37-9172-B7E9A58AD25E}" type="presParOf" srcId="{C28F67F2-8F3C-4292-8E64-EA789CA769E7}" destId="{C9E2947D-E744-4385-B55D-7118839FEE7B}" srcOrd="17" destOrd="0" presId="urn:microsoft.com/office/officeart/2005/8/layout/process4"/>
    <dgm:cxn modelId="{A1CE92DC-B1A7-4286-B609-B299E64FC5E3}" type="presParOf" srcId="{C28F67F2-8F3C-4292-8E64-EA789CA769E7}" destId="{DB5BC063-01B5-443C-A707-3189C20B4F94}" srcOrd="18" destOrd="0" presId="urn:microsoft.com/office/officeart/2005/8/layout/process4"/>
    <dgm:cxn modelId="{187ACE8A-7541-4A7F-BC42-9735A9F802F5}" type="presParOf" srcId="{DB5BC063-01B5-443C-A707-3189C20B4F94}" destId="{CD958823-0552-4978-B156-6EA6E6DDD524}" srcOrd="0" destOrd="0" presId="urn:microsoft.com/office/officeart/2005/8/layout/process4"/>
    <dgm:cxn modelId="{E0A33A74-741A-43B9-A69A-94F7A30D93D7}" type="presParOf" srcId="{C28F67F2-8F3C-4292-8E64-EA789CA769E7}" destId="{C0547235-56C5-43AF-AF94-59E7296853C6}" srcOrd="19" destOrd="0" presId="urn:microsoft.com/office/officeart/2005/8/layout/process4"/>
    <dgm:cxn modelId="{C2C7E4E6-5F5D-4B5C-A8E4-F8B03161B87C}" type="presParOf" srcId="{C28F67F2-8F3C-4292-8E64-EA789CA769E7}" destId="{8A159861-697F-49C3-A931-E5ECC8FB4BBB}" srcOrd="20" destOrd="0" presId="urn:microsoft.com/office/officeart/2005/8/layout/process4"/>
    <dgm:cxn modelId="{614EE3CE-C646-46D4-98B8-0B687DFE42CE}" type="presParOf" srcId="{8A159861-697F-49C3-A931-E5ECC8FB4BBB}" destId="{52CCBE0D-D586-45CA-B4C9-9C2D03E9FB6C}" srcOrd="0" destOrd="0" presId="urn:microsoft.com/office/officeart/2005/8/layout/process4"/>
  </dgm:cxnLst>
  <dgm:bg/>
  <dgm:whole/>
</dgm:dataModel>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F6E44F-E551-4921-B7C2-148DF71B0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6</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cp:revision>
  <dcterms:created xsi:type="dcterms:W3CDTF">2026-10-13T17:11:00Z</dcterms:created>
  <dcterms:modified xsi:type="dcterms:W3CDTF">2026-10-21T18:27:00Z</dcterms:modified>
</cp:coreProperties>
</file>