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line="259" w:lineRule="auto"/>
        <w:jc w:val="center"/>
      </w:pPr>
      <w:r>
        <w:rPr>
          <w:b/>
          <w:color w:val="2F75B5"/>
          <w:sz w:val="26"/>
        </w:rPr>
        <w:t>WEEK 1 TASK</w:t>
      </w:r>
    </w:p>
    <w:p>
      <w:pPr>
        <w:spacing w:line="259" w:lineRule="auto"/>
        <w:jc w:val="center"/>
      </w:pPr>
      <w:r>
        <w:rPr>
          <w:rFonts w:ascii="Aptos Display" w:hAnsi="Aptos Display"/>
          <w:b/>
          <w:color w:val="17365D"/>
          <w:sz w:val="56"/>
        </w:rPr>
        <w:t>Agribusiness Data</w:t>
        <w:br/>
        <w:t>Analysis Planning</w:t>
      </w:r>
    </w:p>
    <w:p>
      <w:pPr>
        <w:spacing w:line="259" w:lineRule="auto"/>
        <w:jc w:val="center"/>
      </w:pPr>
      <w:r>
        <w:rPr>
          <w:i/>
          <w:color w:val="555555"/>
          <w:sz w:val="22"/>
        </w:rPr>
        <w:t>A structured plan for collecting, cleaning, analyzing, and interpreting public agricultural data</w:t>
      </w:r>
    </w:p>
    <w:p>
      <w:pPr>
        <w:spacing w:after="600" w:line="259" w:lineRule="auto"/>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vAlign w:val="center"/>
            <w:shd w:fill="17365D"/>
          </w:tcPr>
          <w:p>
            <w:pPr>
              <w:spacing w:after="0"/>
            </w:pPr>
            <w:r/>
            <w:r>
              <w:rPr>
                <w:rFonts w:ascii="Aptos" w:hAnsi="Aptos"/>
                <w:b/>
                <w:color w:val="FFFFFF"/>
                <w:sz w:val="18"/>
              </w:rPr>
              <w:t>Report Details</w:t>
            </w:r>
          </w:p>
        </w:tc>
        <w:tc>
          <w:tcPr>
            <w:tcW w:type="dxa" w:w="6768"/>
            <w:vAlign w:val="center"/>
            <w:shd w:fill="17365D"/>
          </w:tcPr>
          <w:p>
            <w:pPr>
              <w:spacing w:after="0"/>
            </w:pPr>
            <w:r/>
            <w:r>
              <w:rPr>
                <w:rFonts w:ascii="Aptos" w:hAnsi="Aptos"/>
                <w:b/>
                <w:color w:val="FFFFFF"/>
                <w:sz w:val="18"/>
              </w:rPr>
              <w:t>Information</w:t>
            </w:r>
          </w:p>
        </w:tc>
      </w:tr>
      <w:tr>
        <w:tc>
          <w:tcPr>
            <w:tcW w:type="dxa" w:w="3168"/>
            <w:vAlign w:val="center"/>
            <w:shd w:fill="F7F9FB"/>
          </w:tcPr>
          <w:p>
            <w:pPr>
              <w:spacing w:after="0"/>
            </w:pPr>
            <w:r/>
            <w:r>
              <w:rPr>
                <w:rFonts w:ascii="Aptos" w:hAnsi="Aptos"/>
                <w:b w:val="0"/>
                <w:color w:val="222222"/>
                <w:sz w:val="17"/>
              </w:rPr>
              <w:t>Student</w:t>
            </w:r>
          </w:p>
        </w:tc>
        <w:tc>
          <w:tcPr>
            <w:tcW w:type="dxa" w:w="6768"/>
            <w:vAlign w:val="center"/>
            <w:shd w:fill="F7F9FB"/>
          </w:tcPr>
          <w:p>
            <w:pPr>
              <w:spacing w:after="0"/>
            </w:pPr>
            <w:r/>
            <w:r>
              <w:rPr>
                <w:rFonts w:ascii="Aptos" w:hAnsi="Aptos"/>
                <w:b w:val="0"/>
                <w:color w:val="222222"/>
                <w:sz w:val="17"/>
              </w:rPr>
              <w:t>Amisha Urang</w:t>
            </w:r>
          </w:p>
        </w:tc>
      </w:tr>
      <w:tr>
        <w:tc>
          <w:tcPr>
            <w:tcW w:type="dxa" w:w="3168"/>
            <w:vAlign w:val="center"/>
          </w:tcPr>
          <w:p>
            <w:pPr>
              <w:spacing w:after="0"/>
            </w:pPr>
            <w:r/>
            <w:r>
              <w:rPr>
                <w:rFonts w:ascii="Aptos" w:hAnsi="Aptos"/>
                <w:b w:val="0"/>
                <w:color w:val="222222"/>
                <w:sz w:val="17"/>
              </w:rPr>
              <w:t>Program / Internship</w:t>
            </w:r>
          </w:p>
        </w:tc>
        <w:tc>
          <w:tcPr>
            <w:tcW w:type="dxa" w:w="6768"/>
            <w:vAlign w:val="center"/>
          </w:tcPr>
          <w:p>
            <w:pPr>
              <w:spacing w:after="0"/>
            </w:pPr>
            <w:r/>
            <w:r>
              <w:rPr>
                <w:rFonts w:ascii="Aptos" w:hAnsi="Aptos"/>
                <w:b w:val="0"/>
                <w:color w:val="222222"/>
                <w:sz w:val="17"/>
              </w:rPr>
              <w:t>YUVA Intern</w:t>
            </w:r>
          </w:p>
        </w:tc>
      </w:tr>
      <w:tr>
        <w:tc>
          <w:tcPr>
            <w:tcW w:type="dxa" w:w="3168"/>
            <w:vAlign w:val="center"/>
            <w:shd w:fill="F7F9FB"/>
          </w:tcPr>
          <w:p>
            <w:pPr>
              <w:spacing w:after="0"/>
            </w:pPr>
            <w:r/>
            <w:r>
              <w:rPr>
                <w:rFonts w:ascii="Aptos" w:hAnsi="Aptos"/>
                <w:b w:val="0"/>
                <w:color w:val="222222"/>
                <w:sz w:val="17"/>
              </w:rPr>
              <w:t>Academic Background</w:t>
            </w:r>
          </w:p>
        </w:tc>
        <w:tc>
          <w:tcPr>
            <w:tcW w:type="dxa" w:w="6768"/>
            <w:vAlign w:val="center"/>
            <w:shd w:fill="F7F9FB"/>
          </w:tcPr>
          <w:p>
            <w:pPr>
              <w:spacing w:after="0"/>
            </w:pPr>
            <w:r/>
            <w:r>
              <w:rPr>
                <w:rFonts w:ascii="Aptos" w:hAnsi="Aptos"/>
                <w:b w:val="0"/>
                <w:color w:val="222222"/>
                <w:sz w:val="17"/>
              </w:rPr>
              <w:t>Data Science Student — IIT Madras</w:t>
            </w:r>
          </w:p>
        </w:tc>
      </w:tr>
      <w:tr>
        <w:tc>
          <w:tcPr>
            <w:tcW w:type="dxa" w:w="3168"/>
            <w:vAlign w:val="center"/>
          </w:tcPr>
          <w:p>
            <w:pPr>
              <w:spacing w:after="0"/>
            </w:pPr>
            <w:r/>
            <w:r>
              <w:rPr>
                <w:rFonts w:ascii="Aptos" w:hAnsi="Aptos"/>
                <w:b w:val="0"/>
                <w:color w:val="222222"/>
                <w:sz w:val="17"/>
              </w:rPr>
              <w:t>Task</w:t>
            </w:r>
          </w:p>
        </w:tc>
        <w:tc>
          <w:tcPr>
            <w:tcW w:type="dxa" w:w="6768"/>
            <w:vAlign w:val="center"/>
          </w:tcPr>
          <w:p>
            <w:pPr>
              <w:spacing w:after="0"/>
            </w:pPr>
            <w:r/>
            <w:r>
              <w:rPr>
                <w:rFonts w:ascii="Aptos" w:hAnsi="Aptos"/>
                <w:b w:val="0"/>
                <w:color w:val="222222"/>
                <w:sz w:val="17"/>
              </w:rPr>
              <w:t>Week 1: Agribusiness Data Analysis Planning</w:t>
            </w:r>
          </w:p>
        </w:tc>
      </w:tr>
      <w:tr>
        <w:tc>
          <w:tcPr>
            <w:tcW w:type="dxa" w:w="3168"/>
            <w:vAlign w:val="center"/>
            <w:shd w:fill="F7F9FB"/>
          </w:tcPr>
          <w:p>
            <w:pPr>
              <w:spacing w:after="0"/>
            </w:pPr>
            <w:r/>
            <w:r>
              <w:rPr>
                <w:rFonts w:ascii="Aptos" w:hAnsi="Aptos"/>
                <w:b w:val="0"/>
                <w:color w:val="222222"/>
                <w:sz w:val="17"/>
              </w:rPr>
              <w:t>Report Type</w:t>
            </w:r>
          </w:p>
        </w:tc>
        <w:tc>
          <w:tcPr>
            <w:tcW w:type="dxa" w:w="6768"/>
            <w:vAlign w:val="center"/>
            <w:shd w:fill="F7F9FB"/>
          </w:tcPr>
          <w:p>
            <w:pPr>
              <w:spacing w:after="0"/>
            </w:pPr>
            <w:r/>
            <w:r>
              <w:rPr>
                <w:rFonts w:ascii="Aptos" w:hAnsi="Aptos"/>
                <w:b w:val="0"/>
                <w:color w:val="222222"/>
                <w:sz w:val="17"/>
              </w:rPr>
              <w:t>Research and Analysis Planning Document</w:t>
            </w:r>
          </w:p>
        </w:tc>
      </w:tr>
      <w:tr>
        <w:tc>
          <w:tcPr>
            <w:tcW w:type="dxa" w:w="3168"/>
            <w:vAlign w:val="center"/>
          </w:tcPr>
          <w:p>
            <w:pPr>
              <w:spacing w:after="0"/>
            </w:pPr>
            <w:r/>
            <w:r>
              <w:rPr>
                <w:rFonts w:ascii="Aptos" w:hAnsi="Aptos"/>
                <w:b w:val="0"/>
                <w:color w:val="222222"/>
                <w:sz w:val="17"/>
              </w:rPr>
              <w:t>Prepared</w:t>
            </w:r>
          </w:p>
        </w:tc>
        <w:tc>
          <w:tcPr>
            <w:tcW w:type="dxa" w:w="6768"/>
            <w:vAlign w:val="center"/>
          </w:tcPr>
          <w:p>
            <w:pPr>
              <w:spacing w:after="0"/>
            </w:pPr>
            <w:r/>
            <w:r>
              <w:rPr>
                <w:rFonts w:ascii="Aptos" w:hAnsi="Aptos"/>
                <w:b w:val="0"/>
                <w:color w:val="222222"/>
                <w:sz w:val="17"/>
              </w:rPr>
              <w:t>October 2026</w:t>
            </w:r>
          </w:p>
        </w:tc>
      </w:tr>
    </w:tbl>
    <w:p>
      <w:pPr>
        <w:spacing w:after="40" w:line="259" w:lineRule="auto"/>
      </w:pPr>
    </w:p>
    <w:p>
      <w:pPr>
        <w:pStyle w:val="SmallNote"/>
        <w:spacing w:line="259" w:lineRule="auto"/>
        <w:jc w:val="center"/>
      </w:pPr>
      <w:r>
        <w:t>Prepared for internship submission. This document presents a proposed analytical plan; it does not claim that the proposed datasets have already been collected or analyzed.</w:t>
      </w:r>
    </w:p>
    <w:p>
      <w:pPr>
        <w:spacing w:line="259" w:lineRule="auto"/>
      </w:pPr>
      <w:r>
        <w:br w:type="page"/>
      </w:r>
    </w:p>
    <w:p>
      <w:pPr>
        <w:pStyle w:val="Heading1"/>
        <w:keepNext/>
        <w:spacing w:line="259" w:lineRule="auto" w:before="200" w:after="100"/>
      </w:pPr>
      <w:r>
        <w:t>1. Executive Summary</w:t>
      </w:r>
    </w:p>
    <w:p>
      <w:pPr>
        <w:spacing w:line="259" w:lineRule="auto"/>
      </w:pPr>
      <w:r>
        <w:t>This report presents a structured plan for analyzing publicly available agribusiness data, with a focus on agricultural production, crop yield, market prices, arrivals, weather conditions, resource utilization, and related factors. The objective is to establish a reproducible workflow that can later support exploratory data analysis, trend identification, and forecasting of agricultural market indicators.</w:t>
      </w:r>
    </w:p>
    <w:p>
      <w:pPr>
        <w:spacing w:line="259" w:lineRule="auto"/>
      </w:pPr>
      <w:r>
        <w:t xml:space="preserve">The proposed approach combines Indian government data with internationally comparable agricultural statistics. The Open Government Data (OGD) Platform provides agriculture datasets, including district-, crop-, season-, and year-wise production information. Agmarknet provides agricultural market price and arrivals information, while the India Meteorological Department (IMD) provides rainfall and weather data. FAOSTAT provides internationally comparable food and agriculture datasets. </w:t>
      </w:r>
      <w:r>
        <w:t>These sources are selected because they cover complementary dimensions of the agribusiness ecosystem.</w:t>
      </w:r>
    </w:p>
    <w:p>
      <w:pPr>
        <w:pStyle w:val="Heading1"/>
        <w:keepNext/>
        <w:spacing w:line="259" w:lineRule="auto" w:before="200" w:after="100"/>
      </w:pPr>
      <w:r>
        <w:t>2. Objective</w:t>
      </w:r>
    </w:p>
    <w:p>
      <w:pPr>
        <w:pStyle w:val="ListBullet"/>
        <w:spacing w:after="40" w:line="259" w:lineRule="auto"/>
        <w:ind w:left="360"/>
      </w:pPr>
      <w:r>
        <w:t>Develop a clear and reproducible strategy for collecting publicly available agribusiness data.</w:t>
      </w:r>
    </w:p>
    <w:p>
      <w:pPr>
        <w:pStyle w:val="ListBullet"/>
        <w:spacing w:after="40" w:line="259" w:lineRule="auto"/>
        <w:ind w:left="360"/>
      </w:pPr>
      <w:r>
        <w:t>Identify key indicators relevant to agricultural production, market behavior, and resource utilization.</w:t>
      </w:r>
    </w:p>
    <w:p>
      <w:pPr>
        <w:pStyle w:val="ListBullet"/>
        <w:spacing w:after="40" w:line="259" w:lineRule="auto"/>
        <w:ind w:left="360"/>
      </w:pPr>
      <w:r>
        <w:t>Define data cleaning and quality-control procedures before analysis.</w:t>
      </w:r>
    </w:p>
    <w:p>
      <w:pPr>
        <w:pStyle w:val="ListBullet"/>
        <w:spacing w:after="40" w:line="259" w:lineRule="auto"/>
        <w:ind w:left="360"/>
      </w:pPr>
      <w:r>
        <w:t>Use descriptive statistics, trend analysis, correlation analysis, visualization, and time-series methods as appropriate.</w:t>
      </w:r>
    </w:p>
    <w:p>
      <w:pPr>
        <w:pStyle w:val="ListBullet"/>
        <w:spacing w:after="40" w:line="259" w:lineRule="auto"/>
        <w:ind w:left="360"/>
      </w:pPr>
      <w:r>
        <w:t>Create a realistic timeline with milestones for collection, preparation, analysis, interpretation, and reporting.</w:t>
      </w:r>
    </w:p>
    <w:p>
      <w:pPr>
        <w:pStyle w:val="ListBullet"/>
        <w:spacing w:after="40" w:line="259" w:lineRule="auto"/>
        <w:ind w:left="360"/>
      </w:pPr>
      <w:r>
        <w:t>Establish a foundation for future agricultural market trend and forecasting work.</w:t>
      </w:r>
    </w:p>
    <w:p>
      <w:pPr>
        <w:pStyle w:val="Heading1"/>
        <w:keepNext/>
        <w:spacing w:line="259" w:lineRule="auto" w:before="200" w:after="100"/>
      </w:pPr>
      <w:r>
        <w:t>3. Research Rationale</w:t>
      </w:r>
    </w:p>
    <w:p>
      <w:pPr>
        <w:spacing w:line="259" w:lineRule="auto"/>
      </w:pPr>
      <w:r>
        <w:t>Agribusiness outcomes are influenced by multiple interacting factors. Crop output depends on cultivated area, yield, weather, irrigation, inputs, and production practices, while market prices can be affected by arrivals, seasonality, supply conditions, and other market forces. A data-driven approach can organize these variables into a common analytical framework.</w:t>
      </w:r>
    </w:p>
    <w:p>
      <w:pPr>
        <w:spacing w:line="259" w:lineRule="auto"/>
      </w:pPr>
      <w:r>
        <w:t>The project therefore treats agriculture as a multi-dimensional data problem rather than relying on a single indicator. For example, crop production should be examined together with area harvested and yield, while price movements can be compared with market arrivals and weather indicators. This approach improves the interpretability of observed trends and provides a stronger basis for subsequent forecasting.</w:t>
      </w:r>
    </w:p>
    <w:p>
      <w:pPr>
        <w:pStyle w:val="Heading1"/>
        <w:keepNext/>
        <w:spacing w:line="259" w:lineRule="auto" w:before="200" w:after="100"/>
      </w:pPr>
      <w:r>
        <w:t>4. Proposed Public Data Sources</w:t>
      </w:r>
    </w:p>
    <w:p>
      <w:pPr>
        <w:spacing w:line="259" w:lineRule="auto"/>
      </w:pPr>
      <w:r>
        <w:t>The following sources are proposed for the project. Dataset availability, update frequency, definitions, and licensing should be checked again immediately before collection.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04"/>
            <w:vAlign w:val="center"/>
            <w:shd w:fill="17365D"/>
          </w:tcPr>
          <w:p>
            <w:pPr>
              <w:spacing w:after="0"/>
            </w:pPr>
            <w:r/>
            <w:r>
              <w:rPr>
                <w:rFonts w:ascii="Aptos" w:hAnsi="Aptos"/>
                <w:b/>
                <w:color w:val="FFFFFF"/>
                <w:sz w:val="18"/>
              </w:rPr>
              <w:t>Source</w:t>
            </w:r>
          </w:p>
        </w:tc>
        <w:tc>
          <w:tcPr>
            <w:tcW w:type="dxa" w:w="4176"/>
            <w:vAlign w:val="center"/>
            <w:shd w:fill="17365D"/>
          </w:tcPr>
          <w:p>
            <w:pPr>
              <w:spacing w:after="0"/>
            </w:pPr>
            <w:r/>
            <w:r>
              <w:rPr>
                <w:rFonts w:ascii="Aptos" w:hAnsi="Aptos"/>
                <w:b/>
                <w:color w:val="FFFFFF"/>
                <w:sz w:val="18"/>
              </w:rPr>
              <w:t>Proposed Data</w:t>
            </w:r>
          </w:p>
        </w:tc>
        <w:tc>
          <w:tcPr>
            <w:tcW w:type="dxa" w:w="3456"/>
            <w:vAlign w:val="center"/>
            <w:shd w:fill="17365D"/>
          </w:tcPr>
          <w:p>
            <w:pPr>
              <w:spacing w:after="0"/>
            </w:pPr>
            <w:r/>
            <w:r>
              <w:rPr>
                <w:rFonts w:ascii="Aptos" w:hAnsi="Aptos"/>
                <w:b/>
                <w:color w:val="FFFFFF"/>
                <w:sz w:val="18"/>
              </w:rPr>
              <w:t>Use in Analysis</w:t>
            </w:r>
          </w:p>
        </w:tc>
      </w:tr>
      <w:tr>
        <w:tc>
          <w:tcPr>
            <w:tcW w:type="dxa" w:w="2304"/>
            <w:vAlign w:val="center"/>
            <w:shd w:fill="F7F9FB"/>
          </w:tcPr>
          <w:p>
            <w:pPr>
              <w:spacing w:after="0"/>
            </w:pPr>
            <w:r/>
            <w:r>
              <w:rPr>
                <w:rFonts w:ascii="Aptos" w:hAnsi="Aptos"/>
                <w:b w:val="0"/>
                <w:color w:val="222222"/>
                <w:sz w:val="17"/>
              </w:rPr>
              <w:t>Open Government Data (data.gov.in)</w:t>
            </w:r>
          </w:p>
        </w:tc>
        <w:tc>
          <w:tcPr>
            <w:tcW w:type="dxa" w:w="4176"/>
            <w:vAlign w:val="center"/>
            <w:shd w:fill="F7F9FB"/>
          </w:tcPr>
          <w:p>
            <w:pPr>
              <w:spacing w:after="0"/>
            </w:pPr>
            <w:r/>
            <w:r>
              <w:rPr>
                <w:rFonts w:ascii="Aptos" w:hAnsi="Aptos"/>
                <w:b w:val="0"/>
                <w:color w:val="222222"/>
                <w:sz w:val="17"/>
              </w:rPr>
              <w:t>Crop production, cultivated/harvested area, production by district/crop/season/year</w:t>
            </w:r>
          </w:p>
        </w:tc>
        <w:tc>
          <w:tcPr>
            <w:tcW w:type="dxa" w:w="3456"/>
            <w:vAlign w:val="center"/>
            <w:shd w:fill="F7F9FB"/>
          </w:tcPr>
          <w:p>
            <w:pPr>
              <w:spacing w:after="0"/>
            </w:pPr>
            <w:r/>
            <w:r>
              <w:rPr>
                <w:rFonts w:ascii="Aptos" w:hAnsi="Aptos"/>
                <w:b w:val="0"/>
                <w:color w:val="222222"/>
                <w:sz w:val="17"/>
              </w:rPr>
              <w:t>Production trends, yield calculations, geographic comparisons</w:t>
            </w:r>
          </w:p>
        </w:tc>
      </w:tr>
      <w:tr>
        <w:tc>
          <w:tcPr>
            <w:tcW w:type="dxa" w:w="2304"/>
            <w:vAlign w:val="center"/>
          </w:tcPr>
          <w:p>
            <w:pPr>
              <w:spacing w:after="0"/>
            </w:pPr>
            <w:r/>
            <w:r>
              <w:rPr>
                <w:rFonts w:ascii="Aptos" w:hAnsi="Aptos"/>
                <w:b w:val="0"/>
                <w:color w:val="222222"/>
                <w:sz w:val="17"/>
              </w:rPr>
              <w:t>Agmarknet</w:t>
            </w:r>
          </w:p>
        </w:tc>
        <w:tc>
          <w:tcPr>
            <w:tcW w:type="dxa" w:w="4176"/>
            <w:vAlign w:val="center"/>
          </w:tcPr>
          <w:p>
            <w:pPr>
              <w:spacing w:after="0"/>
            </w:pPr>
            <w:r/>
            <w:r>
              <w:rPr>
                <w:rFonts w:ascii="Aptos" w:hAnsi="Aptos"/>
                <w:b w:val="0"/>
                <w:color w:val="222222"/>
                <w:sz w:val="17"/>
              </w:rPr>
              <w:t>Mandi/market prices, arrivals, commodity and variety information</w:t>
            </w:r>
          </w:p>
        </w:tc>
        <w:tc>
          <w:tcPr>
            <w:tcW w:type="dxa" w:w="3456"/>
            <w:vAlign w:val="center"/>
          </w:tcPr>
          <w:p>
            <w:pPr>
              <w:spacing w:after="0"/>
            </w:pPr>
            <w:r/>
            <w:r>
              <w:rPr>
                <w:rFonts w:ascii="Aptos" w:hAnsi="Aptos"/>
                <w:b w:val="0"/>
                <w:color w:val="222222"/>
                <w:sz w:val="17"/>
              </w:rPr>
              <w:t>Price trends, volatility, seasonal behavior, price–arrival relationships</w:t>
            </w:r>
          </w:p>
        </w:tc>
      </w:tr>
      <w:tr>
        <w:tc>
          <w:tcPr>
            <w:tcW w:type="dxa" w:w="2304"/>
            <w:vAlign w:val="center"/>
            <w:shd w:fill="F7F9FB"/>
          </w:tcPr>
          <w:p>
            <w:pPr>
              <w:spacing w:after="0"/>
            </w:pPr>
            <w:r/>
            <w:r>
              <w:rPr>
                <w:rFonts w:ascii="Aptos" w:hAnsi="Aptos"/>
                <w:b w:val="0"/>
                <w:color w:val="222222"/>
                <w:sz w:val="17"/>
              </w:rPr>
              <w:t>India Meteorological Department (IMD)</w:t>
            </w:r>
          </w:p>
        </w:tc>
        <w:tc>
          <w:tcPr>
            <w:tcW w:type="dxa" w:w="4176"/>
            <w:vAlign w:val="center"/>
            <w:shd w:fill="F7F9FB"/>
          </w:tcPr>
          <w:p>
            <w:pPr>
              <w:spacing w:after="0"/>
            </w:pPr>
            <w:r/>
            <w:r>
              <w:rPr>
                <w:rFonts w:ascii="Aptos" w:hAnsi="Aptos"/>
                <w:b w:val="0"/>
                <w:color w:val="222222"/>
                <w:sz w:val="17"/>
              </w:rPr>
              <w:t>District/state rainfall, weather observations and forecasts</w:t>
            </w:r>
          </w:p>
        </w:tc>
        <w:tc>
          <w:tcPr>
            <w:tcW w:type="dxa" w:w="3456"/>
            <w:vAlign w:val="center"/>
            <w:shd w:fill="F7F9FB"/>
          </w:tcPr>
          <w:p>
            <w:pPr>
              <w:spacing w:after="0"/>
            </w:pPr>
            <w:r/>
            <w:r>
              <w:rPr>
                <w:rFonts w:ascii="Aptos" w:hAnsi="Aptos"/>
                <w:b w:val="0"/>
                <w:color w:val="222222"/>
                <w:sz w:val="17"/>
              </w:rPr>
              <w:t>Weather variability, rainfall departures, weather–production relationships</w:t>
            </w:r>
          </w:p>
        </w:tc>
      </w:tr>
      <w:tr>
        <w:tc>
          <w:tcPr>
            <w:tcW w:type="dxa" w:w="2304"/>
            <w:vAlign w:val="center"/>
          </w:tcPr>
          <w:p>
            <w:pPr>
              <w:spacing w:after="0"/>
            </w:pPr>
            <w:r/>
            <w:r>
              <w:rPr>
                <w:rFonts w:ascii="Aptos" w:hAnsi="Aptos"/>
                <w:b w:val="0"/>
                <w:color w:val="222222"/>
                <w:sz w:val="17"/>
              </w:rPr>
              <w:t>FAOSTAT</w:t>
            </w:r>
          </w:p>
        </w:tc>
        <w:tc>
          <w:tcPr>
            <w:tcW w:type="dxa" w:w="4176"/>
            <w:vAlign w:val="center"/>
          </w:tcPr>
          <w:p>
            <w:pPr>
              <w:spacing w:after="0"/>
            </w:pPr>
            <w:r/>
            <w:r>
              <w:rPr>
                <w:rFonts w:ascii="Aptos" w:hAnsi="Aptos"/>
                <w:b w:val="0"/>
                <w:color w:val="222222"/>
                <w:sz w:val="17"/>
              </w:rPr>
              <w:t>Crop/livestock production, land use, fertilizers, producer prices, trade and related indicators</w:t>
            </w:r>
          </w:p>
        </w:tc>
        <w:tc>
          <w:tcPr>
            <w:tcW w:type="dxa" w:w="3456"/>
            <w:vAlign w:val="center"/>
          </w:tcPr>
          <w:p>
            <w:pPr>
              <w:spacing w:after="0"/>
            </w:pPr>
            <w:r/>
            <w:r>
              <w:rPr>
                <w:rFonts w:ascii="Aptos" w:hAnsi="Aptos"/>
                <w:b w:val="0"/>
                <w:color w:val="222222"/>
                <w:sz w:val="17"/>
              </w:rPr>
              <w:t>Cross-checking, benchmarking, and broader agricultural context</w:t>
            </w:r>
          </w:p>
        </w:tc>
      </w:tr>
      <w:tr>
        <w:tc>
          <w:tcPr>
            <w:tcW w:type="dxa" w:w="2304"/>
            <w:vAlign w:val="center"/>
            <w:shd w:fill="F7F9FB"/>
          </w:tcPr>
          <w:p>
            <w:pPr>
              <w:spacing w:after="0"/>
            </w:pPr>
            <w:r/>
            <w:r>
              <w:rPr>
                <w:rFonts w:ascii="Aptos" w:hAnsi="Aptos"/>
                <w:b w:val="0"/>
                <w:color w:val="222222"/>
                <w:sz w:val="17"/>
              </w:rPr>
              <w:t>FAO Food &amp; Agriculture Microdata Catalogue (FAM)</w:t>
            </w:r>
          </w:p>
        </w:tc>
        <w:tc>
          <w:tcPr>
            <w:tcW w:type="dxa" w:w="4176"/>
            <w:vAlign w:val="center"/>
            <w:shd w:fill="F7F9FB"/>
          </w:tcPr>
          <w:p>
            <w:pPr>
              <w:spacing w:after="0"/>
            </w:pPr>
            <w:r/>
            <w:r>
              <w:rPr>
                <w:rFonts w:ascii="Aptos" w:hAnsi="Aptos"/>
                <w:b w:val="0"/>
                <w:color w:val="222222"/>
                <w:sz w:val="17"/>
              </w:rPr>
              <w:t>Publicly available agriculture/household/farm survey metadata and microdata inventory</w:t>
            </w:r>
          </w:p>
        </w:tc>
        <w:tc>
          <w:tcPr>
            <w:tcW w:type="dxa" w:w="3456"/>
            <w:vAlign w:val="center"/>
            <w:shd w:fill="F7F9FB"/>
          </w:tcPr>
          <w:p>
            <w:pPr>
              <w:spacing w:after="0"/>
            </w:pPr>
            <w:r/>
            <w:r>
              <w:rPr>
                <w:rFonts w:ascii="Aptos" w:hAnsi="Aptos"/>
                <w:b w:val="0"/>
                <w:color w:val="222222"/>
                <w:sz w:val="17"/>
              </w:rPr>
              <w:t>Potential survey-level variables where appropriate and permitted</w:t>
            </w:r>
          </w:p>
        </w:tc>
      </w:tr>
    </w:tbl>
    <w:p>
      <w:pPr>
        <w:spacing w:after="40" w:line="259" w:lineRule="auto"/>
      </w:pPr>
    </w:p>
    <w:p>
      <w:pPr>
        <w:pStyle w:val="Heading2"/>
        <w:keepNext/>
        <w:spacing w:line="259" w:lineRule="auto" w:before="200" w:after="100"/>
      </w:pPr>
      <w:r>
        <w:t>4.1 Source Selection Criteria</w:t>
      </w:r>
    </w:p>
    <w:p>
      <w:pPr>
        <w:pStyle w:val="ListBullet"/>
        <w:spacing w:after="40" w:line="259" w:lineRule="auto"/>
        <w:ind w:left="360"/>
      </w:pPr>
      <w:r>
        <w:t>Authority: Prefer official government or intergovernmental statistical sources.</w:t>
      </w:r>
    </w:p>
    <w:p>
      <w:pPr>
        <w:pStyle w:val="ListBullet"/>
        <w:spacing w:after="40" w:line="259" w:lineRule="auto"/>
        <w:ind w:left="360"/>
      </w:pPr>
      <w:r>
        <w:t>Relevance: Variables must directly support the research questions and selected agricultural commodities.</w:t>
      </w:r>
    </w:p>
    <w:p>
      <w:pPr>
        <w:pStyle w:val="ListBullet"/>
        <w:spacing w:after="40" w:line="259" w:lineRule="auto"/>
        <w:ind w:left="360"/>
      </w:pPr>
      <w:r>
        <w:t>Granularity: Prefer datasets with consistent geographic, temporal, and commodity identifiers.</w:t>
      </w:r>
    </w:p>
    <w:p>
      <w:pPr>
        <w:pStyle w:val="ListBullet"/>
        <w:spacing w:after="40" w:line="259" w:lineRule="auto"/>
        <w:ind w:left="360"/>
      </w:pPr>
      <w:r>
        <w:t>Coverage: Prefer sufficiently long time series for trend and forecasting analysis.</w:t>
      </w:r>
    </w:p>
    <w:p>
      <w:pPr>
        <w:pStyle w:val="ListBullet"/>
        <w:spacing w:after="40" w:line="259" w:lineRule="auto"/>
        <w:ind w:left="360"/>
      </w:pPr>
      <w:r>
        <w:t>Documentation: Dataset definitions, units, metadata, and methodology should be available.</w:t>
      </w:r>
    </w:p>
    <w:p>
      <w:pPr>
        <w:pStyle w:val="ListBullet"/>
        <w:spacing w:after="40" w:line="259" w:lineRule="auto"/>
        <w:ind w:left="360"/>
      </w:pPr>
      <w:r>
        <w:t>Reproducibility: The source should permit a documented and repeatable data-access process.</w:t>
      </w:r>
    </w:p>
    <w:p>
      <w:pPr>
        <w:pStyle w:val="Heading1"/>
        <w:keepNext/>
        <w:spacing w:line="259" w:lineRule="auto" w:before="200" w:after="100"/>
      </w:pPr>
      <w:r>
        <w:t>5. Key Indicators and Metrics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vAlign w:val="center"/>
            <w:shd w:fill="17365D"/>
          </w:tcPr>
          <w:p>
            <w:pPr>
              <w:spacing w:after="0"/>
            </w:pPr>
            <w:r/>
            <w:r>
              <w:rPr>
                <w:rFonts w:ascii="Aptos" w:hAnsi="Aptos"/>
                <w:b/>
                <w:color w:val="FFFFFF"/>
                <w:sz w:val="18"/>
              </w:rPr>
              <w:t>Category</w:t>
            </w:r>
          </w:p>
        </w:tc>
        <w:tc>
          <w:tcPr>
            <w:tcW w:type="dxa" w:w="2592"/>
            <w:vAlign w:val="center"/>
            <w:shd w:fill="17365D"/>
          </w:tcPr>
          <w:p>
            <w:pPr>
              <w:spacing w:after="0"/>
            </w:pPr>
            <w:r/>
            <w:r>
              <w:rPr>
                <w:rFonts w:ascii="Aptos" w:hAnsi="Aptos"/>
                <w:b/>
                <w:color w:val="FFFFFF"/>
                <w:sz w:val="18"/>
              </w:rPr>
              <w:t>Indicator</w:t>
            </w:r>
          </w:p>
        </w:tc>
        <w:tc>
          <w:tcPr>
            <w:tcW w:type="dxa" w:w="5616"/>
            <w:vAlign w:val="center"/>
            <w:shd w:fill="17365D"/>
          </w:tcPr>
          <w:p>
            <w:pPr>
              <w:spacing w:after="0"/>
            </w:pPr>
            <w:r/>
            <w:r>
              <w:rPr>
                <w:rFonts w:ascii="Aptos" w:hAnsi="Aptos"/>
                <w:b/>
                <w:color w:val="FFFFFF"/>
                <w:sz w:val="18"/>
              </w:rPr>
              <w:t>Definition / Analytical Purpose</w:t>
            </w:r>
          </w:p>
        </w:tc>
      </w:tr>
      <w:tr>
        <w:tc>
          <w:tcPr>
            <w:tcW w:type="dxa" w:w="1728"/>
            <w:vAlign w:val="center"/>
            <w:shd w:fill="F7F9FB"/>
          </w:tcPr>
          <w:p>
            <w:pPr>
              <w:spacing w:after="0"/>
            </w:pPr>
            <w:r/>
            <w:r>
              <w:rPr>
                <w:rFonts w:ascii="Aptos" w:hAnsi="Aptos"/>
                <w:b w:val="0"/>
                <w:color w:val="222222"/>
                <w:sz w:val="17"/>
              </w:rPr>
              <w:t>Production</w:t>
            </w:r>
          </w:p>
        </w:tc>
        <w:tc>
          <w:tcPr>
            <w:tcW w:type="dxa" w:w="2592"/>
            <w:vAlign w:val="center"/>
            <w:shd w:fill="F7F9FB"/>
          </w:tcPr>
          <w:p>
            <w:pPr>
              <w:spacing w:after="0"/>
            </w:pPr>
            <w:r/>
            <w:r>
              <w:rPr>
                <w:rFonts w:ascii="Aptos" w:hAnsi="Aptos"/>
                <w:b w:val="0"/>
                <w:color w:val="222222"/>
                <w:sz w:val="17"/>
              </w:rPr>
              <w:t>Production volume</w:t>
            </w:r>
          </w:p>
        </w:tc>
        <w:tc>
          <w:tcPr>
            <w:tcW w:type="dxa" w:w="5616"/>
            <w:vAlign w:val="center"/>
            <w:shd w:fill="F7F9FB"/>
          </w:tcPr>
          <w:p>
            <w:pPr>
              <w:spacing w:after="0"/>
            </w:pPr>
            <w:r/>
            <w:r>
              <w:rPr>
                <w:rFonts w:ascii="Aptos" w:hAnsi="Aptos"/>
                <w:b w:val="0"/>
                <w:color w:val="222222"/>
                <w:sz w:val="17"/>
              </w:rPr>
              <w:t>Total quantity produced; used for production trends and comparisons.</w:t>
            </w:r>
          </w:p>
        </w:tc>
      </w:tr>
      <w:tr>
        <w:tc>
          <w:tcPr>
            <w:tcW w:type="dxa" w:w="1728"/>
            <w:vAlign w:val="center"/>
          </w:tcPr>
          <w:p>
            <w:pPr>
              <w:spacing w:after="0"/>
            </w:pPr>
            <w:r/>
            <w:r>
              <w:rPr>
                <w:rFonts w:ascii="Aptos" w:hAnsi="Aptos"/>
                <w:b w:val="0"/>
                <w:color w:val="222222"/>
                <w:sz w:val="17"/>
              </w:rPr>
              <w:t>Production</w:t>
            </w:r>
          </w:p>
        </w:tc>
        <w:tc>
          <w:tcPr>
            <w:tcW w:type="dxa" w:w="2592"/>
            <w:vAlign w:val="center"/>
          </w:tcPr>
          <w:p>
            <w:pPr>
              <w:spacing w:after="0"/>
            </w:pPr>
            <w:r/>
            <w:r>
              <w:rPr>
                <w:rFonts w:ascii="Aptos" w:hAnsi="Aptos"/>
                <w:b w:val="0"/>
                <w:color w:val="222222"/>
                <w:sz w:val="17"/>
              </w:rPr>
              <w:t>Area harvested</w:t>
            </w:r>
          </w:p>
        </w:tc>
        <w:tc>
          <w:tcPr>
            <w:tcW w:type="dxa" w:w="5616"/>
            <w:vAlign w:val="center"/>
          </w:tcPr>
          <w:p>
            <w:pPr>
              <w:spacing w:after="0"/>
            </w:pPr>
            <w:r/>
            <w:r>
              <w:rPr>
                <w:rFonts w:ascii="Aptos" w:hAnsi="Aptos"/>
                <w:b w:val="0"/>
                <w:color w:val="222222"/>
                <w:sz w:val="17"/>
              </w:rPr>
              <w:t>Cultivated/harvested area associated with a crop and period.</w:t>
            </w:r>
          </w:p>
        </w:tc>
      </w:tr>
      <w:tr>
        <w:tc>
          <w:tcPr>
            <w:tcW w:type="dxa" w:w="1728"/>
            <w:vAlign w:val="center"/>
            <w:shd w:fill="F7F9FB"/>
          </w:tcPr>
          <w:p>
            <w:pPr>
              <w:spacing w:after="0"/>
            </w:pPr>
            <w:r/>
            <w:r>
              <w:rPr>
                <w:rFonts w:ascii="Aptos" w:hAnsi="Aptos"/>
                <w:b w:val="0"/>
                <w:color w:val="222222"/>
                <w:sz w:val="17"/>
              </w:rPr>
              <w:t>Production</w:t>
            </w:r>
          </w:p>
        </w:tc>
        <w:tc>
          <w:tcPr>
            <w:tcW w:type="dxa" w:w="2592"/>
            <w:vAlign w:val="center"/>
            <w:shd w:fill="F7F9FB"/>
          </w:tcPr>
          <w:p>
            <w:pPr>
              <w:spacing w:after="0"/>
            </w:pPr>
            <w:r/>
            <w:r>
              <w:rPr>
                <w:rFonts w:ascii="Aptos" w:hAnsi="Aptos"/>
                <w:b w:val="0"/>
                <w:color w:val="222222"/>
                <w:sz w:val="17"/>
              </w:rPr>
              <w:t>Crop yield</w:t>
            </w:r>
          </w:p>
        </w:tc>
        <w:tc>
          <w:tcPr>
            <w:tcW w:type="dxa" w:w="5616"/>
            <w:vAlign w:val="center"/>
            <w:shd w:fill="F7F9FB"/>
          </w:tcPr>
          <w:p>
            <w:pPr>
              <w:spacing w:after="0"/>
            </w:pPr>
            <w:r/>
            <w:r>
              <w:rPr>
                <w:rFonts w:ascii="Aptos" w:hAnsi="Aptos"/>
                <w:b w:val="0"/>
                <w:color w:val="222222"/>
                <w:sz w:val="17"/>
              </w:rPr>
              <w:t>Production divided by relevant harvested area, subject to consistent units.</w:t>
            </w:r>
          </w:p>
        </w:tc>
      </w:tr>
      <w:tr>
        <w:tc>
          <w:tcPr>
            <w:tcW w:type="dxa" w:w="1728"/>
            <w:vAlign w:val="center"/>
          </w:tcPr>
          <w:p>
            <w:pPr>
              <w:spacing w:after="0"/>
            </w:pPr>
            <w:r/>
            <w:r>
              <w:rPr>
                <w:rFonts w:ascii="Aptos" w:hAnsi="Aptos"/>
                <w:b w:val="0"/>
                <w:color w:val="222222"/>
                <w:sz w:val="17"/>
              </w:rPr>
              <w:t>Market</w:t>
            </w:r>
          </w:p>
        </w:tc>
        <w:tc>
          <w:tcPr>
            <w:tcW w:type="dxa" w:w="2592"/>
            <w:vAlign w:val="center"/>
          </w:tcPr>
          <w:p>
            <w:pPr>
              <w:spacing w:after="0"/>
            </w:pPr>
            <w:r/>
            <w:r>
              <w:rPr>
                <w:rFonts w:ascii="Aptos" w:hAnsi="Aptos"/>
                <w:b w:val="0"/>
                <w:color w:val="222222"/>
                <w:sz w:val="17"/>
              </w:rPr>
              <w:t>Modal/representative price</w:t>
            </w:r>
          </w:p>
        </w:tc>
        <w:tc>
          <w:tcPr>
            <w:tcW w:type="dxa" w:w="5616"/>
            <w:vAlign w:val="center"/>
          </w:tcPr>
          <w:p>
            <w:pPr>
              <w:spacing w:after="0"/>
            </w:pPr>
            <w:r/>
            <w:r>
              <w:rPr>
                <w:rFonts w:ascii="Aptos" w:hAnsi="Aptos"/>
                <w:b w:val="0"/>
                <w:color w:val="222222"/>
                <w:sz w:val="17"/>
              </w:rPr>
              <w:t>Market price measure used to study price levels and trends.</w:t>
            </w:r>
          </w:p>
        </w:tc>
      </w:tr>
      <w:tr>
        <w:tc>
          <w:tcPr>
            <w:tcW w:type="dxa" w:w="1728"/>
            <w:vAlign w:val="center"/>
            <w:shd w:fill="F7F9FB"/>
          </w:tcPr>
          <w:p>
            <w:pPr>
              <w:spacing w:after="0"/>
            </w:pPr>
            <w:r/>
            <w:r>
              <w:rPr>
                <w:rFonts w:ascii="Aptos" w:hAnsi="Aptos"/>
                <w:b w:val="0"/>
                <w:color w:val="222222"/>
                <w:sz w:val="17"/>
              </w:rPr>
              <w:t>Market</w:t>
            </w:r>
          </w:p>
        </w:tc>
        <w:tc>
          <w:tcPr>
            <w:tcW w:type="dxa" w:w="2592"/>
            <w:vAlign w:val="center"/>
            <w:shd w:fill="F7F9FB"/>
          </w:tcPr>
          <w:p>
            <w:pPr>
              <w:spacing w:after="0"/>
            </w:pPr>
            <w:r/>
            <w:r>
              <w:rPr>
                <w:rFonts w:ascii="Aptos" w:hAnsi="Aptos"/>
                <w:b w:val="0"/>
                <w:color w:val="222222"/>
                <w:sz w:val="17"/>
              </w:rPr>
              <w:t>Minimum / maximum price</w:t>
            </w:r>
          </w:p>
        </w:tc>
        <w:tc>
          <w:tcPr>
            <w:tcW w:type="dxa" w:w="5616"/>
            <w:vAlign w:val="center"/>
            <w:shd w:fill="F7F9FB"/>
          </w:tcPr>
          <w:p>
            <w:pPr>
              <w:spacing w:after="0"/>
            </w:pPr>
            <w:r/>
            <w:r>
              <w:rPr>
                <w:rFonts w:ascii="Aptos" w:hAnsi="Aptos"/>
                <w:b w:val="0"/>
                <w:color w:val="222222"/>
                <w:sz w:val="17"/>
              </w:rPr>
              <w:t>Range of observed market prices; useful for dispersion and market variation.</w:t>
            </w:r>
          </w:p>
        </w:tc>
      </w:tr>
      <w:tr>
        <w:tc>
          <w:tcPr>
            <w:tcW w:type="dxa" w:w="1728"/>
            <w:vAlign w:val="center"/>
          </w:tcPr>
          <w:p>
            <w:pPr>
              <w:spacing w:after="0"/>
            </w:pPr>
            <w:r/>
            <w:r>
              <w:rPr>
                <w:rFonts w:ascii="Aptos" w:hAnsi="Aptos"/>
                <w:b w:val="0"/>
                <w:color w:val="222222"/>
                <w:sz w:val="17"/>
              </w:rPr>
              <w:t>Market</w:t>
            </w:r>
          </w:p>
        </w:tc>
        <w:tc>
          <w:tcPr>
            <w:tcW w:type="dxa" w:w="2592"/>
            <w:vAlign w:val="center"/>
          </w:tcPr>
          <w:p>
            <w:pPr>
              <w:spacing w:after="0"/>
            </w:pPr>
            <w:r/>
            <w:r>
              <w:rPr>
                <w:rFonts w:ascii="Aptos" w:hAnsi="Aptos"/>
                <w:b w:val="0"/>
                <w:color w:val="222222"/>
                <w:sz w:val="17"/>
              </w:rPr>
              <w:t>Market arrivals</w:t>
            </w:r>
          </w:p>
        </w:tc>
        <w:tc>
          <w:tcPr>
            <w:tcW w:type="dxa" w:w="5616"/>
            <w:vAlign w:val="center"/>
          </w:tcPr>
          <w:p>
            <w:pPr>
              <w:spacing w:after="0"/>
            </w:pPr>
            <w:r/>
            <w:r>
              <w:rPr>
                <w:rFonts w:ascii="Aptos" w:hAnsi="Aptos"/>
                <w:b w:val="0"/>
                <w:color w:val="222222"/>
                <w:sz w:val="17"/>
              </w:rPr>
              <w:t>Quantity arriving at a market; used to examine supply-side movements.</w:t>
            </w:r>
          </w:p>
        </w:tc>
      </w:tr>
      <w:tr>
        <w:tc>
          <w:tcPr>
            <w:tcW w:type="dxa" w:w="1728"/>
            <w:vAlign w:val="center"/>
            <w:shd w:fill="F7F9FB"/>
          </w:tcPr>
          <w:p>
            <w:pPr>
              <w:spacing w:after="0"/>
            </w:pPr>
            <w:r/>
            <w:r>
              <w:rPr>
                <w:rFonts w:ascii="Aptos" w:hAnsi="Aptos"/>
                <w:b w:val="0"/>
                <w:color w:val="222222"/>
                <w:sz w:val="17"/>
              </w:rPr>
              <w:t>Market</w:t>
            </w:r>
          </w:p>
        </w:tc>
        <w:tc>
          <w:tcPr>
            <w:tcW w:type="dxa" w:w="2592"/>
            <w:vAlign w:val="center"/>
            <w:shd w:fill="F7F9FB"/>
          </w:tcPr>
          <w:p>
            <w:pPr>
              <w:spacing w:after="0"/>
            </w:pPr>
            <w:r/>
            <w:r>
              <w:rPr>
                <w:rFonts w:ascii="Aptos" w:hAnsi="Aptos"/>
                <w:b w:val="0"/>
                <w:color w:val="222222"/>
                <w:sz w:val="17"/>
              </w:rPr>
              <w:t>Price volatility</w:t>
            </w:r>
          </w:p>
        </w:tc>
        <w:tc>
          <w:tcPr>
            <w:tcW w:type="dxa" w:w="5616"/>
            <w:vAlign w:val="center"/>
            <w:shd w:fill="F7F9FB"/>
          </w:tcPr>
          <w:p>
            <w:pPr>
              <w:spacing w:after="0"/>
            </w:pPr>
            <w:r/>
            <w:r>
              <w:rPr>
                <w:rFonts w:ascii="Aptos" w:hAnsi="Aptos"/>
                <w:b w:val="0"/>
                <w:color w:val="222222"/>
                <w:sz w:val="17"/>
              </w:rPr>
              <w:t>Variation in prices over time, measured using suitable dispersion or return-based metrics.</w:t>
            </w:r>
          </w:p>
        </w:tc>
      </w:tr>
      <w:tr>
        <w:tc>
          <w:tcPr>
            <w:tcW w:type="dxa" w:w="1728"/>
            <w:vAlign w:val="center"/>
          </w:tcPr>
          <w:p>
            <w:pPr>
              <w:spacing w:after="0"/>
            </w:pPr>
            <w:r/>
            <w:r>
              <w:rPr>
                <w:rFonts w:ascii="Aptos" w:hAnsi="Aptos"/>
                <w:b w:val="0"/>
                <w:color w:val="222222"/>
                <w:sz w:val="17"/>
              </w:rPr>
              <w:t>Weather</w:t>
            </w:r>
          </w:p>
        </w:tc>
        <w:tc>
          <w:tcPr>
            <w:tcW w:type="dxa" w:w="2592"/>
            <w:vAlign w:val="center"/>
          </w:tcPr>
          <w:p>
            <w:pPr>
              <w:spacing w:after="0"/>
            </w:pPr>
            <w:r/>
            <w:r>
              <w:rPr>
                <w:rFonts w:ascii="Aptos" w:hAnsi="Aptos"/>
                <w:b w:val="0"/>
                <w:color w:val="222222"/>
                <w:sz w:val="17"/>
              </w:rPr>
              <w:t>Rainfall</w:t>
            </w:r>
          </w:p>
        </w:tc>
        <w:tc>
          <w:tcPr>
            <w:tcW w:type="dxa" w:w="5616"/>
            <w:vAlign w:val="center"/>
          </w:tcPr>
          <w:p>
            <w:pPr>
              <w:spacing w:after="0"/>
            </w:pPr>
            <w:r/>
            <w:r>
              <w:rPr>
                <w:rFonts w:ascii="Aptos" w:hAnsi="Aptos"/>
                <w:b w:val="0"/>
                <w:color w:val="222222"/>
                <w:sz w:val="17"/>
              </w:rPr>
              <w:t>Daily/weekly/monthly rainfall used to characterize water availability and variability.</w:t>
            </w:r>
          </w:p>
        </w:tc>
      </w:tr>
      <w:tr>
        <w:tc>
          <w:tcPr>
            <w:tcW w:type="dxa" w:w="1728"/>
            <w:vAlign w:val="center"/>
            <w:shd w:fill="F7F9FB"/>
          </w:tcPr>
          <w:p>
            <w:pPr>
              <w:spacing w:after="0"/>
            </w:pPr>
            <w:r/>
            <w:r>
              <w:rPr>
                <w:rFonts w:ascii="Aptos" w:hAnsi="Aptos"/>
                <w:b w:val="0"/>
                <w:color w:val="222222"/>
                <w:sz w:val="17"/>
              </w:rPr>
              <w:t>Weather</w:t>
            </w:r>
          </w:p>
        </w:tc>
        <w:tc>
          <w:tcPr>
            <w:tcW w:type="dxa" w:w="2592"/>
            <w:vAlign w:val="center"/>
            <w:shd w:fill="F7F9FB"/>
          </w:tcPr>
          <w:p>
            <w:pPr>
              <w:spacing w:after="0"/>
            </w:pPr>
            <w:r/>
            <w:r>
              <w:rPr>
                <w:rFonts w:ascii="Aptos" w:hAnsi="Aptos"/>
                <w:b w:val="0"/>
                <w:color w:val="222222"/>
                <w:sz w:val="17"/>
              </w:rPr>
              <w:t>Rainfall departure</w:t>
            </w:r>
          </w:p>
        </w:tc>
        <w:tc>
          <w:tcPr>
            <w:tcW w:type="dxa" w:w="5616"/>
            <w:vAlign w:val="center"/>
            <w:shd w:fill="F7F9FB"/>
          </w:tcPr>
          <w:p>
            <w:pPr>
              <w:spacing w:after="0"/>
            </w:pPr>
            <w:r/>
            <w:r>
              <w:rPr>
                <w:rFonts w:ascii="Aptos" w:hAnsi="Aptos"/>
                <w:b w:val="0"/>
                <w:color w:val="222222"/>
                <w:sz w:val="17"/>
              </w:rPr>
              <w:t>Difference between observed and normal rainfall, expressed according to source definition.</w:t>
            </w:r>
          </w:p>
        </w:tc>
      </w:tr>
      <w:tr>
        <w:tc>
          <w:tcPr>
            <w:tcW w:type="dxa" w:w="1728"/>
            <w:vAlign w:val="center"/>
          </w:tcPr>
          <w:p>
            <w:pPr>
              <w:spacing w:after="0"/>
            </w:pPr>
            <w:r/>
            <w:r>
              <w:rPr>
                <w:rFonts w:ascii="Aptos" w:hAnsi="Aptos"/>
                <w:b w:val="0"/>
                <w:color w:val="222222"/>
                <w:sz w:val="17"/>
              </w:rPr>
              <w:t>Resources</w:t>
            </w:r>
          </w:p>
        </w:tc>
        <w:tc>
          <w:tcPr>
            <w:tcW w:type="dxa" w:w="2592"/>
            <w:vAlign w:val="center"/>
          </w:tcPr>
          <w:p>
            <w:pPr>
              <w:spacing w:after="0"/>
            </w:pPr>
            <w:r/>
            <w:r>
              <w:rPr>
                <w:rFonts w:ascii="Aptos" w:hAnsi="Aptos"/>
                <w:b w:val="0"/>
                <w:color w:val="222222"/>
                <w:sz w:val="17"/>
              </w:rPr>
              <w:t>Fertilizer/input use</w:t>
            </w:r>
          </w:p>
        </w:tc>
        <w:tc>
          <w:tcPr>
            <w:tcW w:type="dxa" w:w="5616"/>
            <w:vAlign w:val="center"/>
          </w:tcPr>
          <w:p>
            <w:pPr>
              <w:spacing w:after="0"/>
            </w:pPr>
            <w:r/>
            <w:r>
              <w:rPr>
                <w:rFonts w:ascii="Aptos" w:hAnsi="Aptos"/>
                <w:b w:val="0"/>
                <w:color w:val="222222"/>
                <w:sz w:val="17"/>
              </w:rPr>
              <w:t>Input intensity or quantity where consistent data are available.</w:t>
            </w:r>
          </w:p>
        </w:tc>
      </w:tr>
      <w:tr>
        <w:tc>
          <w:tcPr>
            <w:tcW w:type="dxa" w:w="1728"/>
            <w:vAlign w:val="center"/>
            <w:shd w:fill="F7F9FB"/>
          </w:tcPr>
          <w:p>
            <w:pPr>
              <w:spacing w:after="0"/>
            </w:pPr>
            <w:r/>
            <w:r>
              <w:rPr>
                <w:rFonts w:ascii="Aptos" w:hAnsi="Aptos"/>
                <w:b w:val="0"/>
                <w:color w:val="222222"/>
                <w:sz w:val="17"/>
              </w:rPr>
              <w:t>Trade</w:t>
            </w:r>
          </w:p>
        </w:tc>
        <w:tc>
          <w:tcPr>
            <w:tcW w:type="dxa" w:w="2592"/>
            <w:vAlign w:val="center"/>
            <w:shd w:fill="F7F9FB"/>
          </w:tcPr>
          <w:p>
            <w:pPr>
              <w:spacing w:after="0"/>
            </w:pPr>
            <w:r/>
            <w:r>
              <w:rPr>
                <w:rFonts w:ascii="Aptos" w:hAnsi="Aptos"/>
                <w:b w:val="0"/>
                <w:color w:val="222222"/>
                <w:sz w:val="17"/>
              </w:rPr>
              <w:t>Import/export quantity and value</w:t>
            </w:r>
          </w:p>
        </w:tc>
        <w:tc>
          <w:tcPr>
            <w:tcW w:type="dxa" w:w="5616"/>
            <w:vAlign w:val="center"/>
            <w:shd w:fill="F7F9FB"/>
          </w:tcPr>
          <w:p>
            <w:pPr>
              <w:spacing w:after="0"/>
            </w:pPr>
            <w:r/>
            <w:r>
              <w:rPr>
                <w:rFonts w:ascii="Aptos" w:hAnsi="Aptos"/>
                <w:b w:val="0"/>
                <w:color w:val="222222"/>
                <w:sz w:val="17"/>
              </w:rPr>
              <w:t>Used to understand external-market exposure and commodity flows.</w:t>
            </w:r>
          </w:p>
        </w:tc>
      </w:tr>
    </w:tbl>
    <w:p>
      <w:pPr>
        <w:spacing w:after="40" w:line="259" w:lineRule="auto"/>
      </w:pPr>
    </w:p>
    <w:p>
      <w:pPr>
        <w:pStyle w:val="Heading1"/>
        <w:keepNext/>
        <w:spacing w:line="259" w:lineRule="auto" w:before="200" w:after="100"/>
      </w:pPr>
      <w:r>
        <w:t>6. Proposed Research Questions</w:t>
      </w:r>
    </w:p>
    <w:p>
      <w:pPr>
        <w:pStyle w:val="ListNumber"/>
        <w:spacing w:after="60" w:line="259" w:lineRule="auto"/>
      </w:pPr>
      <w:r>
        <w:t>How have production volumes and harvested areas changed over time for selected crops?</w:t>
      </w:r>
    </w:p>
    <w:p>
      <w:pPr>
        <w:pStyle w:val="ListNumber"/>
        <w:spacing w:after="60" w:line="259" w:lineRule="auto"/>
      </w:pPr>
      <w:r>
        <w:t>How does crop yield vary across years, seasons, and geographic regions?</w:t>
      </w:r>
    </w:p>
    <w:p>
      <w:pPr>
        <w:pStyle w:val="ListNumber"/>
        <w:spacing w:after="60" w:line="259" w:lineRule="auto"/>
      </w:pPr>
      <w:r>
        <w:t>What seasonal patterns are visible in agricultural market prices and arrivals?</w:t>
      </w:r>
    </w:p>
    <w:p>
      <w:pPr>
        <w:pStyle w:val="ListNumber"/>
        <w:spacing w:after="60" w:line="259" w:lineRule="auto"/>
      </w:pPr>
      <w:r>
        <w:t>How volatile are prices for selected commodities, and does volatility vary by market or season?</w:t>
      </w:r>
    </w:p>
    <w:p>
      <w:pPr>
        <w:pStyle w:val="ListNumber"/>
        <w:spacing w:after="60" w:line="259" w:lineRule="auto"/>
      </w:pPr>
      <w:r>
        <w:t>Is there an observable relationship between market arrivals and prices?</w:t>
      </w:r>
    </w:p>
    <w:p>
      <w:pPr>
        <w:pStyle w:val="ListNumber"/>
        <w:spacing w:after="60" w:line="259" w:lineRule="auto"/>
      </w:pPr>
      <w:r>
        <w:t>How do rainfall levels and rainfall departures correspond with production or yield changes?</w:t>
      </w:r>
    </w:p>
    <w:p>
      <w:pPr>
        <w:pStyle w:val="ListNumber"/>
        <w:spacing w:after="60" w:line="259" w:lineRule="auto"/>
      </w:pPr>
      <w:r>
        <w:t>Which indicators show persistent upward, downward, or seasonal patterns?</w:t>
      </w:r>
    </w:p>
    <w:p>
      <w:pPr>
        <w:pStyle w:val="ListNumber"/>
        <w:spacing w:after="60" w:line="259" w:lineRule="auto"/>
      </w:pPr>
      <w:r>
        <w:t>Which variables appear suitable for a future forecasting model, subject to data quality and sufficient historical coverage?</w:t>
      </w:r>
    </w:p>
    <w:p>
      <w:pPr>
        <w:pStyle w:val="Heading1"/>
        <w:keepNext/>
        <w:spacing w:line="259" w:lineRule="auto" w:before="200" w:after="100"/>
      </w:pPr>
      <w:r>
        <w:t>7. Step-by-Step Data Collection and Analysis Plan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vAlign w:val="center"/>
            <w:shd w:fill="17365D"/>
          </w:tcPr>
          <w:p>
            <w:pPr>
              <w:spacing w:after="0"/>
            </w:pPr>
            <w:r/>
            <w:r>
              <w:rPr>
                <w:rFonts w:ascii="Aptos" w:hAnsi="Aptos"/>
                <w:b/>
                <w:color w:val="FFFFFF"/>
                <w:sz w:val="18"/>
              </w:rPr>
              <w:t>Step</w:t>
            </w:r>
          </w:p>
        </w:tc>
        <w:tc>
          <w:tcPr>
            <w:tcW w:type="dxa" w:w="7344"/>
            <w:vAlign w:val="center"/>
            <w:shd w:fill="17365D"/>
          </w:tcPr>
          <w:p>
            <w:pPr>
              <w:spacing w:after="0"/>
            </w:pPr>
            <w:r/>
            <w:r>
              <w:rPr>
                <w:rFonts w:ascii="Aptos" w:hAnsi="Aptos"/>
                <w:b/>
                <w:color w:val="FFFFFF"/>
                <w:sz w:val="18"/>
              </w:rPr>
              <w:t>Planned Activity</w:t>
            </w:r>
          </w:p>
        </w:tc>
      </w:tr>
      <w:tr>
        <w:tc>
          <w:tcPr>
            <w:tcW w:type="dxa" w:w="2592"/>
            <w:vAlign w:val="center"/>
            <w:shd w:fill="F7F9FB"/>
          </w:tcPr>
          <w:p>
            <w:pPr>
              <w:spacing w:after="0"/>
            </w:pPr>
            <w:r/>
            <w:r>
              <w:rPr>
                <w:rFonts w:ascii="Aptos" w:hAnsi="Aptos"/>
                <w:b w:val="0"/>
                <w:color w:val="222222"/>
                <w:sz w:val="17"/>
              </w:rPr>
              <w:t>Step 1 — Define scope</w:t>
            </w:r>
          </w:p>
        </w:tc>
        <w:tc>
          <w:tcPr>
            <w:tcW w:type="dxa" w:w="7344"/>
            <w:vAlign w:val="center"/>
            <w:shd w:fill="F7F9FB"/>
          </w:tcPr>
          <w:p>
            <w:pPr>
              <w:spacing w:after="0"/>
            </w:pPr>
            <w:r/>
            <w:r>
              <w:rPr>
                <w:rFonts w:ascii="Aptos" w:hAnsi="Aptos"/>
                <w:b w:val="0"/>
                <w:color w:val="222222"/>
                <w:sz w:val="17"/>
              </w:rPr>
              <w:t>Select 2–3 agricultural commodities, geographic level, study period, and target outcomes. Record all definitions and units before downloading data.</w:t>
            </w:r>
          </w:p>
        </w:tc>
      </w:tr>
      <w:tr>
        <w:tc>
          <w:tcPr>
            <w:tcW w:type="dxa" w:w="2592"/>
            <w:vAlign w:val="center"/>
          </w:tcPr>
          <w:p>
            <w:pPr>
              <w:spacing w:after="0"/>
            </w:pPr>
            <w:r/>
            <w:r>
              <w:rPr>
                <w:rFonts w:ascii="Aptos" w:hAnsi="Aptos"/>
                <w:b w:val="0"/>
                <w:color w:val="222222"/>
                <w:sz w:val="17"/>
              </w:rPr>
              <w:t>Step 2 — Source discovery</w:t>
            </w:r>
          </w:p>
        </w:tc>
        <w:tc>
          <w:tcPr>
            <w:tcW w:type="dxa" w:w="7344"/>
            <w:vAlign w:val="center"/>
          </w:tcPr>
          <w:p>
            <w:pPr>
              <w:spacing w:after="0"/>
            </w:pPr>
            <w:r/>
            <w:r>
              <w:rPr>
                <w:rFonts w:ascii="Aptos" w:hAnsi="Aptos"/>
                <w:b w:val="0"/>
                <w:color w:val="222222"/>
                <w:sz w:val="17"/>
              </w:rPr>
              <w:t>Locate official datasets and record source name, dataset title, URL, publisher, update date, frequency, unit, and access method.</w:t>
            </w:r>
          </w:p>
        </w:tc>
      </w:tr>
      <w:tr>
        <w:tc>
          <w:tcPr>
            <w:tcW w:type="dxa" w:w="2592"/>
            <w:vAlign w:val="center"/>
            <w:shd w:fill="F7F9FB"/>
          </w:tcPr>
          <w:p>
            <w:pPr>
              <w:spacing w:after="0"/>
            </w:pPr>
            <w:r/>
            <w:r>
              <w:rPr>
                <w:rFonts w:ascii="Aptos" w:hAnsi="Aptos"/>
                <w:b w:val="0"/>
                <w:color w:val="222222"/>
                <w:sz w:val="17"/>
              </w:rPr>
              <w:t>Step 3 — Data acquisition</w:t>
            </w:r>
          </w:p>
        </w:tc>
        <w:tc>
          <w:tcPr>
            <w:tcW w:type="dxa" w:w="7344"/>
            <w:vAlign w:val="center"/>
            <w:shd w:fill="F7F9FB"/>
          </w:tcPr>
          <w:p>
            <w:pPr>
              <w:spacing w:after="0"/>
            </w:pPr>
            <w:r/>
            <w:r>
              <w:rPr>
                <w:rFonts w:ascii="Aptos" w:hAnsi="Aptos"/>
                <w:b w:val="0"/>
                <w:color w:val="222222"/>
                <w:sz w:val="17"/>
              </w:rPr>
              <w:t>Download available CSV/Excel/API data. Preserve the original files as read-only raw data.</w:t>
            </w:r>
          </w:p>
        </w:tc>
      </w:tr>
      <w:tr>
        <w:tc>
          <w:tcPr>
            <w:tcW w:type="dxa" w:w="2592"/>
            <w:vAlign w:val="center"/>
          </w:tcPr>
          <w:p>
            <w:pPr>
              <w:spacing w:after="0"/>
            </w:pPr>
            <w:r/>
            <w:r>
              <w:rPr>
                <w:rFonts w:ascii="Aptos" w:hAnsi="Aptos"/>
                <w:b w:val="0"/>
                <w:color w:val="222222"/>
                <w:sz w:val="17"/>
              </w:rPr>
              <w:t>Step 4 — Data dictionary</w:t>
            </w:r>
          </w:p>
        </w:tc>
        <w:tc>
          <w:tcPr>
            <w:tcW w:type="dxa" w:w="7344"/>
            <w:vAlign w:val="center"/>
          </w:tcPr>
          <w:p>
            <w:pPr>
              <w:spacing w:after="0"/>
            </w:pPr>
            <w:r/>
            <w:r>
              <w:rPr>
                <w:rFonts w:ascii="Aptos" w:hAnsi="Aptos"/>
                <w:b w:val="0"/>
                <w:color w:val="222222"/>
                <w:sz w:val="17"/>
              </w:rPr>
              <w:t>Create a variable dictionary covering column name, meaning, data type, unit, source, expected range, and transformation rules.</w:t>
            </w:r>
          </w:p>
        </w:tc>
      </w:tr>
      <w:tr>
        <w:tc>
          <w:tcPr>
            <w:tcW w:type="dxa" w:w="2592"/>
            <w:vAlign w:val="center"/>
            <w:shd w:fill="F7F9FB"/>
          </w:tcPr>
          <w:p>
            <w:pPr>
              <w:spacing w:after="0"/>
            </w:pPr>
            <w:r/>
            <w:r>
              <w:rPr>
                <w:rFonts w:ascii="Aptos" w:hAnsi="Aptos"/>
                <w:b w:val="0"/>
                <w:color w:val="222222"/>
                <w:sz w:val="17"/>
              </w:rPr>
              <w:t>Step 5 — Data cleaning</w:t>
            </w:r>
          </w:p>
        </w:tc>
        <w:tc>
          <w:tcPr>
            <w:tcW w:type="dxa" w:w="7344"/>
            <w:vAlign w:val="center"/>
            <w:shd w:fill="F7F9FB"/>
          </w:tcPr>
          <w:p>
            <w:pPr>
              <w:spacing w:after="0"/>
            </w:pPr>
            <w:r/>
            <w:r>
              <w:rPr>
                <w:rFonts w:ascii="Aptos" w:hAnsi="Aptos"/>
                <w:b w:val="0"/>
                <w:color w:val="222222"/>
                <w:sz w:val="17"/>
              </w:rPr>
              <w:t>Standardize column names, dates, crop names, locations, units, and numeric formats. Remove duplicates and investigate missing or inconsistent records.</w:t>
            </w:r>
          </w:p>
        </w:tc>
      </w:tr>
      <w:tr>
        <w:tc>
          <w:tcPr>
            <w:tcW w:type="dxa" w:w="2592"/>
            <w:vAlign w:val="center"/>
          </w:tcPr>
          <w:p>
            <w:pPr>
              <w:spacing w:after="0"/>
            </w:pPr>
            <w:r/>
            <w:r>
              <w:rPr>
                <w:rFonts w:ascii="Aptos" w:hAnsi="Aptos"/>
                <w:b w:val="0"/>
                <w:color w:val="222222"/>
                <w:sz w:val="17"/>
              </w:rPr>
              <w:t>Step 6 — Data validation</w:t>
            </w:r>
          </w:p>
        </w:tc>
        <w:tc>
          <w:tcPr>
            <w:tcW w:type="dxa" w:w="7344"/>
            <w:vAlign w:val="center"/>
          </w:tcPr>
          <w:p>
            <w:pPr>
              <w:spacing w:after="0"/>
            </w:pPr>
            <w:r/>
            <w:r>
              <w:rPr>
                <w:rFonts w:ascii="Aptos" w:hAnsi="Aptos"/>
                <w:b w:val="0"/>
                <w:color w:val="222222"/>
                <w:sz w:val="17"/>
              </w:rPr>
              <w:t>Check row counts, duplicate keys, impossible values, missingness, date continuity, unit consistency, and selected records against source documentation.</w:t>
            </w:r>
          </w:p>
        </w:tc>
      </w:tr>
      <w:tr>
        <w:tc>
          <w:tcPr>
            <w:tcW w:type="dxa" w:w="2592"/>
            <w:vAlign w:val="center"/>
            <w:shd w:fill="F7F9FB"/>
          </w:tcPr>
          <w:p>
            <w:pPr>
              <w:spacing w:after="0"/>
            </w:pPr>
            <w:r/>
            <w:r>
              <w:rPr>
                <w:rFonts w:ascii="Aptos" w:hAnsi="Aptos"/>
                <w:b w:val="0"/>
                <w:color w:val="222222"/>
                <w:sz w:val="17"/>
              </w:rPr>
              <w:t>Step 7 — Data integration</w:t>
            </w:r>
          </w:p>
        </w:tc>
        <w:tc>
          <w:tcPr>
            <w:tcW w:type="dxa" w:w="7344"/>
            <w:vAlign w:val="center"/>
            <w:shd w:fill="F7F9FB"/>
          </w:tcPr>
          <w:p>
            <w:pPr>
              <w:spacing w:after="0"/>
            </w:pPr>
            <w:r/>
            <w:r>
              <w:rPr>
                <w:rFonts w:ascii="Aptos" w:hAnsi="Aptos"/>
                <w:b w:val="0"/>
                <w:color w:val="222222"/>
                <w:sz w:val="17"/>
              </w:rPr>
              <w:t>Join production, market, and weather datasets using common identifiers such as crop, location, date/year, and season. Keep unmatched records documented.</w:t>
            </w:r>
          </w:p>
        </w:tc>
      </w:tr>
      <w:tr>
        <w:tc>
          <w:tcPr>
            <w:tcW w:type="dxa" w:w="2592"/>
            <w:vAlign w:val="center"/>
          </w:tcPr>
          <w:p>
            <w:pPr>
              <w:spacing w:after="0"/>
            </w:pPr>
            <w:r/>
            <w:r>
              <w:rPr>
                <w:rFonts w:ascii="Aptos" w:hAnsi="Aptos"/>
                <w:b w:val="0"/>
                <w:color w:val="222222"/>
                <w:sz w:val="17"/>
              </w:rPr>
              <w:t>Step 8 — Exploratory Data Analysis</w:t>
            </w:r>
          </w:p>
        </w:tc>
        <w:tc>
          <w:tcPr>
            <w:tcW w:type="dxa" w:w="7344"/>
            <w:vAlign w:val="center"/>
          </w:tcPr>
          <w:p>
            <w:pPr>
              <w:spacing w:after="0"/>
            </w:pPr>
            <w:r/>
            <w:r>
              <w:rPr>
                <w:rFonts w:ascii="Aptos" w:hAnsi="Aptos"/>
                <w:b w:val="0"/>
                <w:color w:val="222222"/>
                <w:sz w:val="17"/>
              </w:rPr>
              <w:t>Calculate descriptive statistics and create time-series, distribution, comparison, and relationship visualizations.</w:t>
            </w:r>
          </w:p>
        </w:tc>
      </w:tr>
      <w:tr>
        <w:tc>
          <w:tcPr>
            <w:tcW w:type="dxa" w:w="2592"/>
            <w:vAlign w:val="center"/>
            <w:shd w:fill="F7F9FB"/>
          </w:tcPr>
          <w:p>
            <w:pPr>
              <w:spacing w:after="0"/>
            </w:pPr>
            <w:r/>
            <w:r>
              <w:rPr>
                <w:rFonts w:ascii="Aptos" w:hAnsi="Aptos"/>
                <w:b w:val="0"/>
                <w:color w:val="222222"/>
                <w:sz w:val="17"/>
              </w:rPr>
              <w:t>Step 9 — Trend analysis</w:t>
            </w:r>
          </w:p>
        </w:tc>
        <w:tc>
          <w:tcPr>
            <w:tcW w:type="dxa" w:w="7344"/>
            <w:vAlign w:val="center"/>
            <w:shd w:fill="F7F9FB"/>
          </w:tcPr>
          <w:p>
            <w:pPr>
              <w:spacing w:after="0"/>
            </w:pPr>
            <w:r/>
            <w:r>
              <w:rPr>
                <w:rFonts w:ascii="Aptos" w:hAnsi="Aptos"/>
                <w:b w:val="0"/>
                <w:color w:val="222222"/>
                <w:sz w:val="17"/>
              </w:rPr>
              <w:t>Measure year-over-year changes, moving averages, seasonal patterns, growth rates, and volatility where appropriate.</w:t>
            </w:r>
          </w:p>
        </w:tc>
      </w:tr>
      <w:tr>
        <w:tc>
          <w:tcPr>
            <w:tcW w:type="dxa" w:w="2592"/>
            <w:vAlign w:val="center"/>
          </w:tcPr>
          <w:p>
            <w:pPr>
              <w:spacing w:after="0"/>
            </w:pPr>
            <w:r/>
            <w:r>
              <w:rPr>
                <w:rFonts w:ascii="Aptos" w:hAnsi="Aptos"/>
                <w:b w:val="0"/>
                <w:color w:val="222222"/>
                <w:sz w:val="17"/>
              </w:rPr>
              <w:t>Step 10 — Relationship analysis</w:t>
            </w:r>
          </w:p>
        </w:tc>
        <w:tc>
          <w:tcPr>
            <w:tcW w:type="dxa" w:w="7344"/>
            <w:vAlign w:val="center"/>
          </w:tcPr>
          <w:p>
            <w:pPr>
              <w:spacing w:after="0"/>
            </w:pPr>
            <w:r/>
            <w:r>
              <w:rPr>
                <w:rFonts w:ascii="Aptos" w:hAnsi="Aptos"/>
                <w:b w:val="0"/>
                <w:color w:val="222222"/>
                <w:sz w:val="17"/>
              </w:rPr>
              <w:t>Use correlation and other suitable statistical methods to explore associations between production, prices, arrivals, and weather. Treat correlation as association, not proof of causation.</w:t>
            </w:r>
          </w:p>
        </w:tc>
      </w:tr>
      <w:tr>
        <w:tc>
          <w:tcPr>
            <w:tcW w:type="dxa" w:w="2592"/>
            <w:vAlign w:val="center"/>
            <w:shd w:fill="F7F9FB"/>
          </w:tcPr>
          <w:p>
            <w:pPr>
              <w:spacing w:after="0"/>
            </w:pPr>
            <w:r/>
            <w:r>
              <w:rPr>
                <w:rFonts w:ascii="Aptos" w:hAnsi="Aptos"/>
                <w:b w:val="0"/>
                <w:color w:val="222222"/>
                <w:sz w:val="17"/>
              </w:rPr>
              <w:t>Step 11 — Forecasting preparation</w:t>
            </w:r>
          </w:p>
        </w:tc>
        <w:tc>
          <w:tcPr>
            <w:tcW w:type="dxa" w:w="7344"/>
            <w:vAlign w:val="center"/>
            <w:shd w:fill="F7F9FB"/>
          </w:tcPr>
          <w:p>
            <w:pPr>
              <w:spacing w:after="0"/>
            </w:pPr>
            <w:r/>
            <w:r>
              <w:rPr>
                <w:rFonts w:ascii="Aptos" w:hAnsi="Aptos"/>
                <w:b w:val="0"/>
                <w:color w:val="222222"/>
                <w:sz w:val="17"/>
              </w:rPr>
              <w:t>Assess time-series continuity, seasonality, outliers, and train/test structure before selecting a forecasting method.</w:t>
            </w:r>
          </w:p>
        </w:tc>
      </w:tr>
      <w:tr>
        <w:tc>
          <w:tcPr>
            <w:tcW w:type="dxa" w:w="2592"/>
            <w:vAlign w:val="center"/>
          </w:tcPr>
          <w:p>
            <w:pPr>
              <w:spacing w:after="0"/>
            </w:pPr>
            <w:r/>
            <w:r>
              <w:rPr>
                <w:rFonts w:ascii="Aptos" w:hAnsi="Aptos"/>
                <w:b w:val="0"/>
                <w:color w:val="222222"/>
                <w:sz w:val="17"/>
              </w:rPr>
              <w:t>Step 12 — Interpretation and reporting</w:t>
            </w:r>
          </w:p>
        </w:tc>
        <w:tc>
          <w:tcPr>
            <w:tcW w:type="dxa" w:w="7344"/>
            <w:vAlign w:val="center"/>
          </w:tcPr>
          <w:p>
            <w:pPr>
              <w:spacing w:after="0"/>
            </w:pPr>
            <w:r/>
            <w:r>
              <w:rPr>
                <w:rFonts w:ascii="Aptos" w:hAnsi="Aptos"/>
                <w:b w:val="0"/>
                <w:color w:val="222222"/>
                <w:sz w:val="17"/>
              </w:rPr>
              <w:t>Translate results into concise findings, limitations, assumptions, and recommendations for further analysis. Document all transformations for reproducibility.</w:t>
            </w:r>
          </w:p>
        </w:tc>
      </w:tr>
    </w:tbl>
    <w:p>
      <w:pPr>
        <w:spacing w:after="40" w:line="259" w:lineRule="auto"/>
      </w:pPr>
    </w:p>
    <w:p>
      <w:pPr>
        <w:pStyle w:val="Heading1"/>
        <w:keepNext/>
        <w:spacing w:line="259" w:lineRule="auto" w:before="200" w:after="100"/>
      </w:pPr>
      <w:r>
        <w:t>8. Data Cleaning and Quality-Control Framework</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shd w:fill="17365D"/>
          </w:tcPr>
          <w:p>
            <w:pPr>
              <w:spacing w:after="0"/>
            </w:pPr>
            <w:r/>
            <w:r>
              <w:rPr>
                <w:rFonts w:ascii="Aptos" w:hAnsi="Aptos"/>
                <w:b/>
                <w:color w:val="FFFFFF"/>
                <w:sz w:val="18"/>
              </w:rPr>
              <w:t>Issue</w:t>
            </w:r>
          </w:p>
        </w:tc>
        <w:tc>
          <w:tcPr>
            <w:tcW w:type="dxa" w:w="3168"/>
            <w:vAlign w:val="center"/>
            <w:shd w:fill="17365D"/>
          </w:tcPr>
          <w:p>
            <w:pPr>
              <w:spacing w:after="0"/>
            </w:pPr>
            <w:r/>
            <w:r>
              <w:rPr>
                <w:rFonts w:ascii="Aptos" w:hAnsi="Aptos"/>
                <w:b/>
                <w:color w:val="FFFFFF"/>
                <w:sz w:val="18"/>
              </w:rPr>
              <w:t>Detection</w:t>
            </w:r>
          </w:p>
        </w:tc>
        <w:tc>
          <w:tcPr>
            <w:tcW w:type="dxa" w:w="4752"/>
            <w:vAlign w:val="center"/>
            <w:shd w:fill="17365D"/>
          </w:tcPr>
          <w:p>
            <w:pPr>
              <w:spacing w:after="0"/>
            </w:pPr>
            <w:r/>
            <w:r>
              <w:rPr>
                <w:rFonts w:ascii="Aptos" w:hAnsi="Aptos"/>
                <w:b/>
                <w:color w:val="FFFFFF"/>
                <w:sz w:val="18"/>
              </w:rPr>
              <w:t>Treatment / Documentation</w:t>
            </w:r>
          </w:p>
        </w:tc>
      </w:tr>
      <w:tr>
        <w:tc>
          <w:tcPr>
            <w:tcW w:type="dxa" w:w="2016"/>
            <w:vAlign w:val="center"/>
            <w:shd w:fill="F7F9FB"/>
          </w:tcPr>
          <w:p>
            <w:pPr>
              <w:spacing w:after="0"/>
            </w:pPr>
            <w:r/>
            <w:r>
              <w:rPr>
                <w:rFonts w:ascii="Aptos" w:hAnsi="Aptos"/>
                <w:b w:val="0"/>
                <w:color w:val="222222"/>
                <w:sz w:val="17"/>
              </w:rPr>
              <w:t>Missing values</w:t>
            </w:r>
          </w:p>
        </w:tc>
        <w:tc>
          <w:tcPr>
            <w:tcW w:type="dxa" w:w="3168"/>
            <w:vAlign w:val="center"/>
            <w:shd w:fill="F7F9FB"/>
          </w:tcPr>
          <w:p>
            <w:pPr>
              <w:spacing w:after="0"/>
            </w:pPr>
            <w:r/>
            <w:r>
              <w:rPr>
                <w:rFonts w:ascii="Aptos" w:hAnsi="Aptos"/>
                <w:b w:val="0"/>
                <w:color w:val="222222"/>
                <w:sz w:val="17"/>
              </w:rPr>
              <w:t>Null counts by variable and time period</w:t>
            </w:r>
          </w:p>
        </w:tc>
        <w:tc>
          <w:tcPr>
            <w:tcW w:type="dxa" w:w="4752"/>
            <w:vAlign w:val="center"/>
            <w:shd w:fill="F7F9FB"/>
          </w:tcPr>
          <w:p>
            <w:pPr>
              <w:spacing w:after="0"/>
            </w:pPr>
            <w:r/>
            <w:r>
              <w:rPr>
                <w:rFonts w:ascii="Aptos" w:hAnsi="Aptos"/>
                <w:b w:val="0"/>
                <w:color w:val="222222"/>
                <w:sz w:val="17"/>
              </w:rPr>
              <w:t>Assess source meaning; retain, impute, or exclude only with justification.</w:t>
            </w:r>
          </w:p>
        </w:tc>
      </w:tr>
      <w:tr>
        <w:tc>
          <w:tcPr>
            <w:tcW w:type="dxa" w:w="2016"/>
            <w:vAlign w:val="center"/>
          </w:tcPr>
          <w:p>
            <w:pPr>
              <w:spacing w:after="0"/>
            </w:pPr>
            <w:r/>
            <w:r>
              <w:rPr>
                <w:rFonts w:ascii="Aptos" w:hAnsi="Aptos"/>
                <w:b w:val="0"/>
                <w:color w:val="222222"/>
                <w:sz w:val="17"/>
              </w:rPr>
              <w:t>Duplicate records</w:t>
            </w:r>
          </w:p>
        </w:tc>
        <w:tc>
          <w:tcPr>
            <w:tcW w:type="dxa" w:w="3168"/>
            <w:vAlign w:val="center"/>
          </w:tcPr>
          <w:p>
            <w:pPr>
              <w:spacing w:after="0"/>
            </w:pPr>
            <w:r/>
            <w:r>
              <w:rPr>
                <w:rFonts w:ascii="Aptos" w:hAnsi="Aptos"/>
                <w:b w:val="0"/>
                <w:color w:val="222222"/>
                <w:sz w:val="17"/>
              </w:rPr>
              <w:t>Duplicate key checks</w:t>
            </w:r>
          </w:p>
        </w:tc>
        <w:tc>
          <w:tcPr>
            <w:tcW w:type="dxa" w:w="4752"/>
            <w:vAlign w:val="center"/>
          </w:tcPr>
          <w:p>
            <w:pPr>
              <w:spacing w:after="0"/>
            </w:pPr>
            <w:r/>
            <w:r>
              <w:rPr>
                <w:rFonts w:ascii="Aptos" w:hAnsi="Aptos"/>
                <w:b w:val="0"/>
                <w:color w:val="222222"/>
                <w:sz w:val="17"/>
              </w:rPr>
              <w:t>Remove true duplicates; investigate conflicting duplicates before removal.</w:t>
            </w:r>
          </w:p>
        </w:tc>
      </w:tr>
      <w:tr>
        <w:tc>
          <w:tcPr>
            <w:tcW w:type="dxa" w:w="2016"/>
            <w:vAlign w:val="center"/>
            <w:shd w:fill="F7F9FB"/>
          </w:tcPr>
          <w:p>
            <w:pPr>
              <w:spacing w:after="0"/>
            </w:pPr>
            <w:r/>
            <w:r>
              <w:rPr>
                <w:rFonts w:ascii="Aptos" w:hAnsi="Aptos"/>
                <w:b w:val="0"/>
                <w:color w:val="222222"/>
                <w:sz w:val="17"/>
              </w:rPr>
              <w:t>Inconsistent names</w:t>
            </w:r>
          </w:p>
        </w:tc>
        <w:tc>
          <w:tcPr>
            <w:tcW w:type="dxa" w:w="3168"/>
            <w:vAlign w:val="center"/>
            <w:shd w:fill="F7F9FB"/>
          </w:tcPr>
          <w:p>
            <w:pPr>
              <w:spacing w:after="0"/>
            </w:pPr>
            <w:r/>
            <w:r>
              <w:rPr>
                <w:rFonts w:ascii="Aptos" w:hAnsi="Aptos"/>
                <w:b w:val="0"/>
                <w:color w:val="222222"/>
                <w:sz w:val="17"/>
              </w:rPr>
              <w:t>Unique-value inspection</w:t>
            </w:r>
          </w:p>
        </w:tc>
        <w:tc>
          <w:tcPr>
            <w:tcW w:type="dxa" w:w="4752"/>
            <w:vAlign w:val="center"/>
            <w:shd w:fill="F7F9FB"/>
          </w:tcPr>
          <w:p>
            <w:pPr>
              <w:spacing w:after="0"/>
            </w:pPr>
            <w:r/>
            <w:r>
              <w:rPr>
                <w:rFonts w:ascii="Aptos" w:hAnsi="Aptos"/>
                <w:b w:val="0"/>
                <w:color w:val="222222"/>
                <w:sz w:val="17"/>
              </w:rPr>
              <w:t>Create standardized mapping for crop, market, district, and state names.</w:t>
            </w:r>
          </w:p>
        </w:tc>
      </w:tr>
      <w:tr>
        <w:tc>
          <w:tcPr>
            <w:tcW w:type="dxa" w:w="2016"/>
            <w:vAlign w:val="center"/>
          </w:tcPr>
          <w:p>
            <w:pPr>
              <w:spacing w:after="0"/>
            </w:pPr>
            <w:r/>
            <w:r>
              <w:rPr>
                <w:rFonts w:ascii="Aptos" w:hAnsi="Aptos"/>
                <w:b w:val="0"/>
                <w:color w:val="222222"/>
                <w:sz w:val="17"/>
              </w:rPr>
              <w:t>Unit mismatch</w:t>
            </w:r>
          </w:p>
        </w:tc>
        <w:tc>
          <w:tcPr>
            <w:tcW w:type="dxa" w:w="3168"/>
            <w:vAlign w:val="center"/>
          </w:tcPr>
          <w:p>
            <w:pPr>
              <w:spacing w:after="0"/>
            </w:pPr>
            <w:r/>
            <w:r>
              <w:rPr>
                <w:rFonts w:ascii="Aptos" w:hAnsi="Aptos"/>
                <w:b w:val="0"/>
                <w:color w:val="222222"/>
                <w:sz w:val="17"/>
              </w:rPr>
              <w:t>Compare metadata and magnitude</w:t>
            </w:r>
          </w:p>
        </w:tc>
        <w:tc>
          <w:tcPr>
            <w:tcW w:type="dxa" w:w="4752"/>
            <w:vAlign w:val="center"/>
          </w:tcPr>
          <w:p>
            <w:pPr>
              <w:spacing w:after="0"/>
            </w:pPr>
            <w:r/>
            <w:r>
              <w:rPr>
                <w:rFonts w:ascii="Aptos" w:hAnsi="Aptos"/>
                <w:b w:val="0"/>
                <w:color w:val="222222"/>
                <w:sz w:val="17"/>
              </w:rPr>
              <w:t>Convert to a common unit and retain original unit information.</w:t>
            </w:r>
          </w:p>
        </w:tc>
      </w:tr>
      <w:tr>
        <w:tc>
          <w:tcPr>
            <w:tcW w:type="dxa" w:w="2016"/>
            <w:vAlign w:val="center"/>
            <w:shd w:fill="F7F9FB"/>
          </w:tcPr>
          <w:p>
            <w:pPr>
              <w:spacing w:after="0"/>
            </w:pPr>
            <w:r/>
            <w:r>
              <w:rPr>
                <w:rFonts w:ascii="Aptos" w:hAnsi="Aptos"/>
                <w:b w:val="0"/>
                <w:color w:val="222222"/>
                <w:sz w:val="17"/>
              </w:rPr>
              <w:t>Date inconsistencies</w:t>
            </w:r>
          </w:p>
        </w:tc>
        <w:tc>
          <w:tcPr>
            <w:tcW w:type="dxa" w:w="3168"/>
            <w:vAlign w:val="center"/>
            <w:shd w:fill="F7F9FB"/>
          </w:tcPr>
          <w:p>
            <w:pPr>
              <w:spacing w:after="0"/>
            </w:pPr>
            <w:r/>
            <w:r>
              <w:rPr>
                <w:rFonts w:ascii="Aptos" w:hAnsi="Aptos"/>
                <w:b w:val="0"/>
                <w:color w:val="222222"/>
                <w:sz w:val="17"/>
              </w:rPr>
              <w:t>Date parsing and frequency checks</w:t>
            </w:r>
          </w:p>
        </w:tc>
        <w:tc>
          <w:tcPr>
            <w:tcW w:type="dxa" w:w="4752"/>
            <w:vAlign w:val="center"/>
            <w:shd w:fill="F7F9FB"/>
          </w:tcPr>
          <w:p>
            <w:pPr>
              <w:spacing w:after="0"/>
            </w:pPr>
            <w:r/>
            <w:r>
              <w:rPr>
                <w:rFonts w:ascii="Aptos" w:hAnsi="Aptos"/>
                <w:b w:val="0"/>
                <w:color w:val="222222"/>
                <w:sz w:val="17"/>
              </w:rPr>
              <w:t>Standardize dates and document aggregation rules.</w:t>
            </w:r>
          </w:p>
        </w:tc>
      </w:tr>
      <w:tr>
        <w:tc>
          <w:tcPr>
            <w:tcW w:type="dxa" w:w="2016"/>
            <w:vAlign w:val="center"/>
          </w:tcPr>
          <w:p>
            <w:pPr>
              <w:spacing w:after="0"/>
            </w:pPr>
            <w:r/>
            <w:r>
              <w:rPr>
                <w:rFonts w:ascii="Aptos" w:hAnsi="Aptos"/>
                <w:b w:val="0"/>
                <w:color w:val="222222"/>
                <w:sz w:val="17"/>
              </w:rPr>
              <w:t>Outliers</w:t>
            </w:r>
          </w:p>
        </w:tc>
        <w:tc>
          <w:tcPr>
            <w:tcW w:type="dxa" w:w="3168"/>
            <w:vAlign w:val="center"/>
          </w:tcPr>
          <w:p>
            <w:pPr>
              <w:spacing w:after="0"/>
            </w:pPr>
            <w:r/>
            <w:r>
              <w:rPr>
                <w:rFonts w:ascii="Aptos" w:hAnsi="Aptos"/>
                <w:b w:val="0"/>
                <w:color w:val="222222"/>
                <w:sz w:val="17"/>
              </w:rPr>
              <w:t>IQR/z-score/time-series inspection</w:t>
            </w:r>
          </w:p>
        </w:tc>
        <w:tc>
          <w:tcPr>
            <w:tcW w:type="dxa" w:w="4752"/>
            <w:vAlign w:val="center"/>
          </w:tcPr>
          <w:p>
            <w:pPr>
              <w:spacing w:after="0"/>
            </w:pPr>
            <w:r/>
            <w:r>
              <w:rPr>
                <w:rFonts w:ascii="Aptos" w:hAnsi="Aptos"/>
                <w:b w:val="0"/>
                <w:color w:val="222222"/>
                <w:sz w:val="17"/>
              </w:rPr>
              <w:t>Investigate source and context before deciding whether to retain or transform.</w:t>
            </w:r>
          </w:p>
        </w:tc>
      </w:tr>
      <w:tr>
        <w:tc>
          <w:tcPr>
            <w:tcW w:type="dxa" w:w="2016"/>
            <w:vAlign w:val="center"/>
            <w:shd w:fill="F7F9FB"/>
          </w:tcPr>
          <w:p>
            <w:pPr>
              <w:spacing w:after="0"/>
            </w:pPr>
            <w:r/>
            <w:r>
              <w:rPr>
                <w:rFonts w:ascii="Aptos" w:hAnsi="Aptos"/>
                <w:b w:val="0"/>
                <w:color w:val="222222"/>
                <w:sz w:val="17"/>
              </w:rPr>
              <w:t>Impossible values</w:t>
            </w:r>
          </w:p>
        </w:tc>
        <w:tc>
          <w:tcPr>
            <w:tcW w:type="dxa" w:w="3168"/>
            <w:vAlign w:val="center"/>
            <w:shd w:fill="F7F9FB"/>
          </w:tcPr>
          <w:p>
            <w:pPr>
              <w:spacing w:after="0"/>
            </w:pPr>
            <w:r/>
            <w:r>
              <w:rPr>
                <w:rFonts w:ascii="Aptos" w:hAnsi="Aptos"/>
                <w:b w:val="0"/>
                <w:color w:val="222222"/>
                <w:sz w:val="17"/>
              </w:rPr>
              <w:t>Domain/range checks</w:t>
            </w:r>
          </w:p>
        </w:tc>
        <w:tc>
          <w:tcPr>
            <w:tcW w:type="dxa" w:w="4752"/>
            <w:vAlign w:val="center"/>
            <w:shd w:fill="F7F9FB"/>
          </w:tcPr>
          <w:p>
            <w:pPr>
              <w:spacing w:after="0"/>
            </w:pPr>
            <w:r/>
            <w:r>
              <w:rPr>
                <w:rFonts w:ascii="Aptos" w:hAnsi="Aptos"/>
                <w:b w:val="0"/>
                <w:color w:val="222222"/>
                <w:sz w:val="17"/>
              </w:rPr>
              <w:t>Flag values such as negative production or invalid dates for investigation.</w:t>
            </w:r>
          </w:p>
        </w:tc>
      </w:tr>
      <w:tr>
        <w:tc>
          <w:tcPr>
            <w:tcW w:type="dxa" w:w="2016"/>
            <w:vAlign w:val="center"/>
          </w:tcPr>
          <w:p>
            <w:pPr>
              <w:spacing w:after="0"/>
            </w:pPr>
            <w:r/>
            <w:r>
              <w:rPr>
                <w:rFonts w:ascii="Aptos" w:hAnsi="Aptos"/>
                <w:b w:val="0"/>
                <w:color w:val="222222"/>
                <w:sz w:val="17"/>
              </w:rPr>
              <w:t>Join mismatches</w:t>
            </w:r>
          </w:p>
        </w:tc>
        <w:tc>
          <w:tcPr>
            <w:tcW w:type="dxa" w:w="3168"/>
            <w:vAlign w:val="center"/>
          </w:tcPr>
          <w:p>
            <w:pPr>
              <w:spacing w:after="0"/>
            </w:pPr>
            <w:r/>
            <w:r>
              <w:rPr>
                <w:rFonts w:ascii="Aptos" w:hAnsi="Aptos"/>
                <w:b w:val="0"/>
                <w:color w:val="222222"/>
                <w:sz w:val="17"/>
              </w:rPr>
              <w:t>Unmatched-key report</w:t>
            </w:r>
          </w:p>
        </w:tc>
        <w:tc>
          <w:tcPr>
            <w:tcW w:type="dxa" w:w="4752"/>
            <w:vAlign w:val="center"/>
          </w:tcPr>
          <w:p>
            <w:pPr>
              <w:spacing w:after="0"/>
            </w:pPr>
            <w:r/>
            <w:r>
              <w:rPr>
                <w:rFonts w:ascii="Aptos" w:hAnsi="Aptos"/>
                <w:b w:val="0"/>
                <w:color w:val="222222"/>
                <w:sz w:val="17"/>
              </w:rPr>
              <w:t>Maintain a reconciliation log rather than silently dropping observations.</w:t>
            </w:r>
          </w:p>
        </w:tc>
      </w:tr>
    </w:tbl>
    <w:p>
      <w:pPr>
        <w:spacing w:after="40" w:line="259" w:lineRule="auto"/>
      </w:pPr>
    </w:p>
    <w:p>
      <w:pPr>
        <w:pStyle w:val="Heading1"/>
        <w:keepNext/>
        <w:spacing w:line="259" w:lineRule="auto" w:before="200" w:after="100"/>
      </w:pPr>
      <w:r>
        <w:t>9. Analytical Methods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vAlign w:val="center"/>
            <w:shd w:fill="17365D"/>
          </w:tcPr>
          <w:p>
            <w:pPr>
              <w:spacing w:after="0"/>
            </w:pPr>
            <w:r/>
            <w:r>
              <w:rPr>
                <w:rFonts w:ascii="Aptos" w:hAnsi="Aptos"/>
                <w:b/>
                <w:color w:val="FFFFFF"/>
                <w:sz w:val="18"/>
              </w:rPr>
              <w:t>Method</w:t>
            </w:r>
          </w:p>
        </w:tc>
        <w:tc>
          <w:tcPr>
            <w:tcW w:type="dxa" w:w="4896"/>
            <w:vAlign w:val="center"/>
            <w:shd w:fill="17365D"/>
          </w:tcPr>
          <w:p>
            <w:pPr>
              <w:spacing w:after="0"/>
            </w:pPr>
            <w:r/>
            <w:r>
              <w:rPr>
                <w:rFonts w:ascii="Aptos" w:hAnsi="Aptos"/>
                <w:b/>
                <w:color w:val="FFFFFF"/>
                <w:sz w:val="18"/>
              </w:rPr>
              <w:t>Application</w:t>
            </w:r>
          </w:p>
        </w:tc>
        <w:tc>
          <w:tcPr>
            <w:tcW w:type="dxa" w:w="2880"/>
            <w:vAlign w:val="center"/>
            <w:shd w:fill="17365D"/>
          </w:tcPr>
          <w:p>
            <w:pPr>
              <w:spacing w:after="0"/>
            </w:pPr>
            <w:r/>
            <w:r>
              <w:rPr>
                <w:rFonts w:ascii="Aptos" w:hAnsi="Aptos"/>
                <w:b/>
                <w:color w:val="FFFFFF"/>
                <w:sz w:val="18"/>
              </w:rPr>
              <w:t>Expected Output</w:t>
            </w:r>
          </w:p>
        </w:tc>
      </w:tr>
      <w:tr>
        <w:tc>
          <w:tcPr>
            <w:tcW w:type="dxa" w:w="2160"/>
            <w:vAlign w:val="center"/>
            <w:shd w:fill="F7F9FB"/>
          </w:tcPr>
          <w:p>
            <w:pPr>
              <w:spacing w:after="0"/>
            </w:pPr>
            <w:r/>
            <w:r>
              <w:rPr>
                <w:rFonts w:ascii="Aptos" w:hAnsi="Aptos"/>
                <w:b w:val="0"/>
                <w:color w:val="222222"/>
                <w:sz w:val="17"/>
              </w:rPr>
              <w:t>Descriptive statistics</w:t>
            </w:r>
          </w:p>
        </w:tc>
        <w:tc>
          <w:tcPr>
            <w:tcW w:type="dxa" w:w="4896"/>
            <w:vAlign w:val="center"/>
            <w:shd w:fill="F7F9FB"/>
          </w:tcPr>
          <w:p>
            <w:pPr>
              <w:spacing w:after="0"/>
            </w:pPr>
            <w:r/>
            <w:r>
              <w:rPr>
                <w:rFonts w:ascii="Aptos" w:hAnsi="Aptos"/>
                <w:b w:val="0"/>
                <w:color w:val="222222"/>
                <w:sz w:val="17"/>
              </w:rPr>
              <w:t>Mean, median, minimum, maximum, standard deviation, quantiles</w:t>
            </w:r>
          </w:p>
        </w:tc>
        <w:tc>
          <w:tcPr>
            <w:tcW w:type="dxa" w:w="2880"/>
            <w:vAlign w:val="center"/>
            <w:shd w:fill="F7F9FB"/>
          </w:tcPr>
          <w:p>
            <w:pPr>
              <w:spacing w:after="0"/>
            </w:pPr>
            <w:r/>
            <w:r>
              <w:rPr>
                <w:rFonts w:ascii="Aptos" w:hAnsi="Aptos"/>
                <w:b w:val="0"/>
                <w:color w:val="222222"/>
                <w:sz w:val="17"/>
              </w:rPr>
              <w:t>Baseline understanding of distributions and variation</w:t>
            </w:r>
          </w:p>
        </w:tc>
      </w:tr>
      <w:tr>
        <w:tc>
          <w:tcPr>
            <w:tcW w:type="dxa" w:w="2160"/>
            <w:vAlign w:val="center"/>
          </w:tcPr>
          <w:p>
            <w:pPr>
              <w:spacing w:after="0"/>
            </w:pPr>
            <w:r/>
            <w:r>
              <w:rPr>
                <w:rFonts w:ascii="Aptos" w:hAnsi="Aptos"/>
                <w:b w:val="0"/>
                <w:color w:val="222222"/>
                <w:sz w:val="17"/>
              </w:rPr>
              <w:t>Trend analysis</w:t>
            </w:r>
          </w:p>
        </w:tc>
        <w:tc>
          <w:tcPr>
            <w:tcW w:type="dxa" w:w="4896"/>
            <w:vAlign w:val="center"/>
          </w:tcPr>
          <w:p>
            <w:pPr>
              <w:spacing w:after="0"/>
            </w:pPr>
            <w:r/>
            <w:r>
              <w:rPr>
                <w:rFonts w:ascii="Aptos" w:hAnsi="Aptos"/>
                <w:b w:val="0"/>
                <w:color w:val="222222"/>
                <w:sz w:val="17"/>
              </w:rPr>
              <w:t>Year-over-year change, growth rate, moving average</w:t>
            </w:r>
          </w:p>
        </w:tc>
        <w:tc>
          <w:tcPr>
            <w:tcW w:type="dxa" w:w="2880"/>
            <w:vAlign w:val="center"/>
          </w:tcPr>
          <w:p>
            <w:pPr>
              <w:spacing w:after="0"/>
            </w:pPr>
            <w:r/>
            <w:r>
              <w:rPr>
                <w:rFonts w:ascii="Aptos" w:hAnsi="Aptos"/>
                <w:b w:val="0"/>
                <w:color w:val="222222"/>
                <w:sz w:val="17"/>
              </w:rPr>
              <w:t>Long-term and short-term direction of indicators</w:t>
            </w:r>
          </w:p>
        </w:tc>
      </w:tr>
      <w:tr>
        <w:tc>
          <w:tcPr>
            <w:tcW w:type="dxa" w:w="2160"/>
            <w:vAlign w:val="center"/>
            <w:shd w:fill="F7F9FB"/>
          </w:tcPr>
          <w:p>
            <w:pPr>
              <w:spacing w:after="0"/>
            </w:pPr>
            <w:r/>
            <w:r>
              <w:rPr>
                <w:rFonts w:ascii="Aptos" w:hAnsi="Aptos"/>
                <w:b w:val="0"/>
                <w:color w:val="222222"/>
                <w:sz w:val="17"/>
              </w:rPr>
              <w:t>Seasonality analysis</w:t>
            </w:r>
          </w:p>
        </w:tc>
        <w:tc>
          <w:tcPr>
            <w:tcW w:type="dxa" w:w="4896"/>
            <w:vAlign w:val="center"/>
            <w:shd w:fill="F7F9FB"/>
          </w:tcPr>
          <w:p>
            <w:pPr>
              <w:spacing w:after="0"/>
            </w:pPr>
            <w:r/>
            <w:r>
              <w:rPr>
                <w:rFonts w:ascii="Aptos" w:hAnsi="Aptos"/>
                <w:b w:val="0"/>
                <w:color w:val="222222"/>
                <w:sz w:val="17"/>
              </w:rPr>
              <w:t>Monthly/seasonal comparisons</w:t>
            </w:r>
          </w:p>
        </w:tc>
        <w:tc>
          <w:tcPr>
            <w:tcW w:type="dxa" w:w="2880"/>
            <w:vAlign w:val="center"/>
            <w:shd w:fill="F7F9FB"/>
          </w:tcPr>
          <w:p>
            <w:pPr>
              <w:spacing w:after="0"/>
            </w:pPr>
            <w:r/>
            <w:r>
              <w:rPr>
                <w:rFonts w:ascii="Aptos" w:hAnsi="Aptos"/>
                <w:b w:val="0"/>
                <w:color w:val="222222"/>
                <w:sz w:val="17"/>
              </w:rPr>
              <w:t>Recurring seasonal patterns</w:t>
            </w:r>
          </w:p>
        </w:tc>
      </w:tr>
      <w:tr>
        <w:tc>
          <w:tcPr>
            <w:tcW w:type="dxa" w:w="2160"/>
            <w:vAlign w:val="center"/>
          </w:tcPr>
          <w:p>
            <w:pPr>
              <w:spacing w:after="0"/>
            </w:pPr>
            <w:r/>
            <w:r>
              <w:rPr>
                <w:rFonts w:ascii="Aptos" w:hAnsi="Aptos"/>
                <w:b w:val="0"/>
                <w:color w:val="222222"/>
                <w:sz w:val="17"/>
              </w:rPr>
              <w:t>Correlation analysis</w:t>
            </w:r>
          </w:p>
        </w:tc>
        <w:tc>
          <w:tcPr>
            <w:tcW w:type="dxa" w:w="4896"/>
            <w:vAlign w:val="center"/>
          </w:tcPr>
          <w:p>
            <w:pPr>
              <w:spacing w:after="0"/>
            </w:pPr>
            <w:r/>
            <w:r>
              <w:rPr>
                <w:rFonts w:ascii="Aptos" w:hAnsi="Aptos"/>
                <w:b w:val="0"/>
                <w:color w:val="222222"/>
                <w:sz w:val="17"/>
              </w:rPr>
              <w:t>Price vs arrivals; yield vs rainfall, etc.</w:t>
            </w:r>
          </w:p>
        </w:tc>
        <w:tc>
          <w:tcPr>
            <w:tcW w:type="dxa" w:w="2880"/>
            <w:vAlign w:val="center"/>
          </w:tcPr>
          <w:p>
            <w:pPr>
              <w:spacing w:after="0"/>
            </w:pPr>
            <w:r/>
            <w:r>
              <w:rPr>
                <w:rFonts w:ascii="Aptos" w:hAnsi="Aptos"/>
                <w:b w:val="0"/>
                <w:color w:val="222222"/>
                <w:sz w:val="17"/>
              </w:rPr>
              <w:t>Association matrix / selected relationship plots</w:t>
            </w:r>
          </w:p>
        </w:tc>
      </w:tr>
      <w:tr>
        <w:tc>
          <w:tcPr>
            <w:tcW w:type="dxa" w:w="2160"/>
            <w:vAlign w:val="center"/>
            <w:shd w:fill="F7F9FB"/>
          </w:tcPr>
          <w:p>
            <w:pPr>
              <w:spacing w:after="0"/>
            </w:pPr>
            <w:r/>
            <w:r>
              <w:rPr>
                <w:rFonts w:ascii="Aptos" w:hAnsi="Aptos"/>
                <w:b w:val="0"/>
                <w:color w:val="222222"/>
                <w:sz w:val="17"/>
              </w:rPr>
              <w:t>Visualization</w:t>
            </w:r>
          </w:p>
        </w:tc>
        <w:tc>
          <w:tcPr>
            <w:tcW w:type="dxa" w:w="4896"/>
            <w:vAlign w:val="center"/>
            <w:shd w:fill="F7F9FB"/>
          </w:tcPr>
          <w:p>
            <w:pPr>
              <w:spacing w:after="0"/>
            </w:pPr>
            <w:r/>
            <w:r>
              <w:rPr>
                <w:rFonts w:ascii="Aptos" w:hAnsi="Aptos"/>
                <w:b w:val="0"/>
                <w:color w:val="222222"/>
                <w:sz w:val="17"/>
              </w:rPr>
              <w:t>Line, bar, scatter, box and heatmap charts</w:t>
            </w:r>
          </w:p>
        </w:tc>
        <w:tc>
          <w:tcPr>
            <w:tcW w:type="dxa" w:w="2880"/>
            <w:vAlign w:val="center"/>
            <w:shd w:fill="F7F9FB"/>
          </w:tcPr>
          <w:p>
            <w:pPr>
              <w:spacing w:after="0"/>
            </w:pPr>
            <w:r/>
            <w:r>
              <w:rPr>
                <w:rFonts w:ascii="Aptos" w:hAnsi="Aptos"/>
                <w:b w:val="0"/>
                <w:color w:val="222222"/>
                <w:sz w:val="17"/>
              </w:rPr>
              <w:t>Clear communication of patterns and anomalies</w:t>
            </w:r>
          </w:p>
        </w:tc>
      </w:tr>
      <w:tr>
        <w:tc>
          <w:tcPr>
            <w:tcW w:type="dxa" w:w="2160"/>
            <w:vAlign w:val="center"/>
          </w:tcPr>
          <w:p>
            <w:pPr>
              <w:spacing w:after="0"/>
            </w:pPr>
            <w:r/>
            <w:r>
              <w:rPr>
                <w:rFonts w:ascii="Aptos" w:hAnsi="Aptos"/>
                <w:b w:val="0"/>
                <w:color w:val="222222"/>
                <w:sz w:val="17"/>
              </w:rPr>
              <w:t>Time-series analysis</w:t>
            </w:r>
          </w:p>
        </w:tc>
        <w:tc>
          <w:tcPr>
            <w:tcW w:type="dxa" w:w="4896"/>
            <w:vAlign w:val="center"/>
          </w:tcPr>
          <w:p>
            <w:pPr>
              <w:spacing w:after="0"/>
            </w:pPr>
            <w:r/>
            <w:r>
              <w:rPr>
                <w:rFonts w:ascii="Aptos" w:hAnsi="Aptos"/>
                <w:b w:val="0"/>
                <w:color w:val="222222"/>
                <w:sz w:val="17"/>
              </w:rPr>
              <w:t>Decomposition and suitable forecasting models after diagnostics</w:t>
            </w:r>
          </w:p>
        </w:tc>
        <w:tc>
          <w:tcPr>
            <w:tcW w:type="dxa" w:w="2880"/>
            <w:vAlign w:val="center"/>
          </w:tcPr>
          <w:p>
            <w:pPr>
              <w:spacing w:after="0"/>
            </w:pPr>
            <w:r/>
            <w:r>
              <w:rPr>
                <w:rFonts w:ascii="Aptos" w:hAnsi="Aptos"/>
                <w:b w:val="0"/>
                <w:color w:val="222222"/>
                <w:sz w:val="17"/>
              </w:rPr>
              <w:t>Forecasts with uncertainty measures where supported</w:t>
            </w:r>
          </w:p>
        </w:tc>
      </w:tr>
    </w:tbl>
    <w:p>
      <w:pPr>
        <w:spacing w:after="40" w:line="259" w:lineRule="auto"/>
      </w:pPr>
    </w:p>
    <w:p>
      <w:pPr>
        <w:pStyle w:val="Heading1"/>
        <w:keepNext/>
        <w:spacing w:line="259" w:lineRule="auto" w:before="200" w:after="100"/>
      </w:pPr>
      <w:r>
        <w:t>10. Forecasting Approach (Future Phase)</w:t>
      </w:r>
    </w:p>
    <w:p>
      <w:pPr>
        <w:spacing w:line="259" w:lineRule="auto"/>
      </w:pPr>
      <w:r>
        <w:t>Forecasting will be considered only after data quality, time-series continuity, seasonality, and sample size are assessed. Candidate approaches may include baseline methods, moving averages, exponential smoothing, ARIMA-family models, or other methods justified by the data. Model selection will be based on out-of-sample validation rather than choosing a method solely because it is more complex.</w:t>
      </w:r>
    </w:p>
    <w:p>
      <w:pPr>
        <w:pStyle w:val="ListBullet"/>
        <w:spacing w:after="40" w:line="259" w:lineRule="auto"/>
        <w:ind w:left="360"/>
      </w:pPr>
      <w:r>
        <w:t>Define the target variable and forecasting horizon.</w:t>
      </w:r>
    </w:p>
    <w:p>
      <w:pPr>
        <w:pStyle w:val="ListBullet"/>
        <w:spacing w:after="40" w:line="259" w:lineRule="auto"/>
        <w:ind w:left="360"/>
      </w:pPr>
      <w:r>
        <w:t>Sort observations chronologically and prevent future information from entering training data.</w:t>
      </w:r>
    </w:p>
    <w:p>
      <w:pPr>
        <w:pStyle w:val="ListBullet"/>
        <w:spacing w:after="40" w:line="259" w:lineRule="auto"/>
        <w:ind w:left="360"/>
      </w:pPr>
      <w:r>
        <w:t>Create a time-based train/validation/test split where data volume permits.</w:t>
      </w:r>
    </w:p>
    <w:p>
      <w:pPr>
        <w:pStyle w:val="ListBullet"/>
        <w:spacing w:after="40" w:line="259" w:lineRule="auto"/>
        <w:ind w:left="360"/>
      </w:pPr>
      <w:r>
        <w:t>Establish a simple baseline forecast for comparison.</w:t>
      </w:r>
    </w:p>
    <w:p>
      <w:pPr>
        <w:pStyle w:val="ListBullet"/>
        <w:spacing w:after="40" w:line="259" w:lineRule="auto"/>
        <w:ind w:left="360"/>
      </w:pPr>
      <w:r>
        <w:t>Evaluate candidate models using appropriate error metrics such as MAE, RMSE, or MAPE where mathematically appropriate.</w:t>
      </w:r>
    </w:p>
    <w:p>
      <w:pPr>
        <w:pStyle w:val="ListBullet"/>
        <w:spacing w:after="40" w:line="259" w:lineRule="auto"/>
        <w:ind w:left="360"/>
      </w:pPr>
      <w:r>
        <w:t>Document assumptions, limitations, and uncertainty.</w:t>
      </w:r>
    </w:p>
    <w:p>
      <w:pPr>
        <w:pStyle w:val="Heading1"/>
        <w:keepNext/>
        <w:spacing w:line="259" w:lineRule="auto" w:before="200" w:after="100"/>
      </w:pPr>
      <w:r>
        <w:t>11. Project Timeline and Milestones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296"/>
            <w:vAlign w:val="center"/>
            <w:shd w:fill="17365D"/>
          </w:tcPr>
          <w:p>
            <w:pPr>
              <w:spacing w:after="0"/>
            </w:pPr>
            <w:r/>
            <w:r>
              <w:rPr>
                <w:rFonts w:ascii="Aptos" w:hAnsi="Aptos"/>
                <w:b/>
                <w:color w:val="FFFFFF"/>
                <w:sz w:val="18"/>
              </w:rPr>
              <w:t>Week</w:t>
            </w:r>
          </w:p>
        </w:tc>
        <w:tc>
          <w:tcPr>
            <w:tcW w:type="dxa" w:w="3024"/>
            <w:vAlign w:val="center"/>
            <w:shd w:fill="17365D"/>
          </w:tcPr>
          <w:p>
            <w:pPr>
              <w:spacing w:after="0"/>
            </w:pPr>
            <w:r/>
            <w:r>
              <w:rPr>
                <w:rFonts w:ascii="Aptos" w:hAnsi="Aptos"/>
                <w:b/>
                <w:color w:val="FFFFFF"/>
                <w:sz w:val="18"/>
              </w:rPr>
              <w:t>Milestone</w:t>
            </w:r>
          </w:p>
        </w:tc>
        <w:tc>
          <w:tcPr>
            <w:tcW w:type="dxa" w:w="5616"/>
            <w:vAlign w:val="center"/>
            <w:shd w:fill="17365D"/>
          </w:tcPr>
          <w:p>
            <w:pPr>
              <w:spacing w:after="0"/>
            </w:pPr>
            <w:r/>
            <w:r>
              <w:rPr>
                <w:rFonts w:ascii="Aptos" w:hAnsi="Aptos"/>
                <w:b/>
                <w:color w:val="FFFFFF"/>
                <w:sz w:val="18"/>
              </w:rPr>
              <w:t>Key Deliverables</w:t>
            </w:r>
          </w:p>
        </w:tc>
      </w:tr>
      <w:tr>
        <w:tc>
          <w:tcPr>
            <w:tcW w:type="dxa" w:w="1296"/>
            <w:vAlign w:val="center"/>
            <w:shd w:fill="F7F9FB"/>
          </w:tcPr>
          <w:p>
            <w:pPr>
              <w:spacing w:after="0"/>
            </w:pPr>
            <w:r/>
            <w:r>
              <w:rPr>
                <w:rFonts w:ascii="Aptos" w:hAnsi="Aptos"/>
                <w:b w:val="0"/>
                <w:color w:val="222222"/>
                <w:sz w:val="17"/>
              </w:rPr>
              <w:t>Week 1</w:t>
            </w:r>
          </w:p>
        </w:tc>
        <w:tc>
          <w:tcPr>
            <w:tcW w:type="dxa" w:w="3024"/>
            <w:vAlign w:val="center"/>
            <w:shd w:fill="F7F9FB"/>
          </w:tcPr>
          <w:p>
            <w:pPr>
              <w:spacing w:after="0"/>
            </w:pPr>
            <w:r/>
            <w:r>
              <w:rPr>
                <w:rFonts w:ascii="Aptos" w:hAnsi="Aptos"/>
                <w:b w:val="0"/>
                <w:color w:val="222222"/>
                <w:sz w:val="17"/>
              </w:rPr>
              <w:t>Planning &amp; source identification</w:t>
            </w:r>
          </w:p>
        </w:tc>
        <w:tc>
          <w:tcPr>
            <w:tcW w:type="dxa" w:w="5616"/>
            <w:vAlign w:val="center"/>
            <w:shd w:fill="F7F9FB"/>
          </w:tcPr>
          <w:p>
            <w:pPr>
              <w:spacing w:after="0"/>
            </w:pPr>
            <w:r/>
            <w:r>
              <w:rPr>
                <w:rFonts w:ascii="Aptos" w:hAnsi="Aptos"/>
                <w:b w:val="0"/>
                <w:color w:val="222222"/>
                <w:sz w:val="17"/>
              </w:rPr>
              <w:t>Research rationale, data-source inventory, metrics, workflow, timeline</w:t>
            </w:r>
          </w:p>
        </w:tc>
      </w:tr>
      <w:tr>
        <w:tc>
          <w:tcPr>
            <w:tcW w:type="dxa" w:w="1296"/>
            <w:vAlign w:val="center"/>
          </w:tcPr>
          <w:p>
            <w:pPr>
              <w:spacing w:after="0"/>
            </w:pPr>
            <w:r/>
            <w:r>
              <w:rPr>
                <w:rFonts w:ascii="Aptos" w:hAnsi="Aptos"/>
                <w:b w:val="0"/>
                <w:color w:val="222222"/>
                <w:sz w:val="17"/>
              </w:rPr>
              <w:t>Week 2</w:t>
            </w:r>
          </w:p>
        </w:tc>
        <w:tc>
          <w:tcPr>
            <w:tcW w:type="dxa" w:w="3024"/>
            <w:vAlign w:val="center"/>
          </w:tcPr>
          <w:p>
            <w:pPr>
              <w:spacing w:after="0"/>
            </w:pPr>
            <w:r/>
            <w:r>
              <w:rPr>
                <w:rFonts w:ascii="Aptos" w:hAnsi="Aptos"/>
                <w:b w:val="0"/>
                <w:color w:val="222222"/>
                <w:sz w:val="17"/>
              </w:rPr>
              <w:t>Data collection</w:t>
            </w:r>
          </w:p>
        </w:tc>
        <w:tc>
          <w:tcPr>
            <w:tcW w:type="dxa" w:w="5616"/>
            <w:vAlign w:val="center"/>
          </w:tcPr>
          <w:p>
            <w:pPr>
              <w:spacing w:after="0"/>
            </w:pPr>
            <w:r/>
            <w:r>
              <w:rPr>
                <w:rFonts w:ascii="Aptos" w:hAnsi="Aptos"/>
                <w:b w:val="0"/>
                <w:color w:val="222222"/>
                <w:sz w:val="17"/>
              </w:rPr>
              <w:t>Raw datasets, source log, metadata/data dictionary</w:t>
            </w:r>
          </w:p>
        </w:tc>
      </w:tr>
      <w:tr>
        <w:tc>
          <w:tcPr>
            <w:tcW w:type="dxa" w:w="1296"/>
            <w:vAlign w:val="center"/>
            <w:shd w:fill="F7F9FB"/>
          </w:tcPr>
          <w:p>
            <w:pPr>
              <w:spacing w:after="0"/>
            </w:pPr>
            <w:r/>
            <w:r>
              <w:rPr>
                <w:rFonts w:ascii="Aptos" w:hAnsi="Aptos"/>
                <w:b w:val="0"/>
                <w:color w:val="222222"/>
                <w:sz w:val="17"/>
              </w:rPr>
              <w:t>Week 3</w:t>
            </w:r>
          </w:p>
        </w:tc>
        <w:tc>
          <w:tcPr>
            <w:tcW w:type="dxa" w:w="3024"/>
            <w:vAlign w:val="center"/>
            <w:shd w:fill="F7F9FB"/>
          </w:tcPr>
          <w:p>
            <w:pPr>
              <w:spacing w:after="0"/>
            </w:pPr>
            <w:r/>
            <w:r>
              <w:rPr>
                <w:rFonts w:ascii="Aptos" w:hAnsi="Aptos"/>
                <w:b w:val="0"/>
                <w:color w:val="222222"/>
                <w:sz w:val="17"/>
              </w:rPr>
              <w:t>Cleaning &amp; validation</w:t>
            </w:r>
          </w:p>
        </w:tc>
        <w:tc>
          <w:tcPr>
            <w:tcW w:type="dxa" w:w="5616"/>
            <w:vAlign w:val="center"/>
            <w:shd w:fill="F7F9FB"/>
          </w:tcPr>
          <w:p>
            <w:pPr>
              <w:spacing w:after="0"/>
            </w:pPr>
            <w:r/>
            <w:r>
              <w:rPr>
                <w:rFonts w:ascii="Aptos" w:hAnsi="Aptos"/>
                <w:b w:val="0"/>
                <w:color w:val="222222"/>
                <w:sz w:val="17"/>
              </w:rPr>
              <w:t>Clean datasets, quality-control log, reproducible cleaning steps</w:t>
            </w:r>
          </w:p>
        </w:tc>
      </w:tr>
      <w:tr>
        <w:tc>
          <w:tcPr>
            <w:tcW w:type="dxa" w:w="1296"/>
            <w:vAlign w:val="center"/>
          </w:tcPr>
          <w:p>
            <w:pPr>
              <w:spacing w:after="0"/>
            </w:pPr>
            <w:r/>
            <w:r>
              <w:rPr>
                <w:rFonts w:ascii="Aptos" w:hAnsi="Aptos"/>
                <w:b w:val="0"/>
                <w:color w:val="222222"/>
                <w:sz w:val="17"/>
              </w:rPr>
              <w:t>Week 4</w:t>
            </w:r>
          </w:p>
        </w:tc>
        <w:tc>
          <w:tcPr>
            <w:tcW w:type="dxa" w:w="3024"/>
            <w:vAlign w:val="center"/>
          </w:tcPr>
          <w:p>
            <w:pPr>
              <w:spacing w:after="0"/>
            </w:pPr>
            <w:r/>
            <w:r>
              <w:rPr>
                <w:rFonts w:ascii="Aptos" w:hAnsi="Aptos"/>
                <w:b w:val="0"/>
                <w:color w:val="222222"/>
                <w:sz w:val="17"/>
              </w:rPr>
              <w:t>Exploratory analysis</w:t>
            </w:r>
          </w:p>
        </w:tc>
        <w:tc>
          <w:tcPr>
            <w:tcW w:type="dxa" w:w="5616"/>
            <w:vAlign w:val="center"/>
          </w:tcPr>
          <w:p>
            <w:pPr>
              <w:spacing w:after="0"/>
            </w:pPr>
            <w:r/>
            <w:r>
              <w:rPr>
                <w:rFonts w:ascii="Aptos" w:hAnsi="Aptos"/>
                <w:b w:val="0"/>
                <w:color w:val="222222"/>
                <w:sz w:val="17"/>
              </w:rPr>
              <w:t>Descriptive statistics and initial visualizations</w:t>
            </w:r>
          </w:p>
        </w:tc>
      </w:tr>
      <w:tr>
        <w:tc>
          <w:tcPr>
            <w:tcW w:type="dxa" w:w="1296"/>
            <w:vAlign w:val="center"/>
            <w:shd w:fill="F7F9FB"/>
          </w:tcPr>
          <w:p>
            <w:pPr>
              <w:spacing w:after="0"/>
            </w:pPr>
            <w:r/>
            <w:r>
              <w:rPr>
                <w:rFonts w:ascii="Aptos" w:hAnsi="Aptos"/>
                <w:b w:val="0"/>
                <w:color w:val="222222"/>
                <w:sz w:val="17"/>
              </w:rPr>
              <w:t>Week 5</w:t>
            </w:r>
          </w:p>
        </w:tc>
        <w:tc>
          <w:tcPr>
            <w:tcW w:type="dxa" w:w="3024"/>
            <w:vAlign w:val="center"/>
            <w:shd w:fill="F7F9FB"/>
          </w:tcPr>
          <w:p>
            <w:pPr>
              <w:spacing w:after="0"/>
            </w:pPr>
            <w:r/>
            <w:r>
              <w:rPr>
                <w:rFonts w:ascii="Aptos" w:hAnsi="Aptos"/>
                <w:b w:val="0"/>
                <w:color w:val="222222"/>
                <w:sz w:val="17"/>
              </w:rPr>
              <w:t>Trend &amp; relationship analysis</w:t>
            </w:r>
          </w:p>
        </w:tc>
        <w:tc>
          <w:tcPr>
            <w:tcW w:type="dxa" w:w="5616"/>
            <w:vAlign w:val="center"/>
            <w:shd w:fill="F7F9FB"/>
          </w:tcPr>
          <w:p>
            <w:pPr>
              <w:spacing w:after="0"/>
            </w:pPr>
            <w:r/>
            <w:r>
              <w:rPr>
                <w:rFonts w:ascii="Aptos" w:hAnsi="Aptos"/>
                <w:b w:val="0"/>
                <w:color w:val="222222"/>
                <w:sz w:val="17"/>
              </w:rPr>
              <w:t>Trend tables, seasonal analysis, correlation/association analysis</w:t>
            </w:r>
          </w:p>
        </w:tc>
      </w:tr>
      <w:tr>
        <w:tc>
          <w:tcPr>
            <w:tcW w:type="dxa" w:w="1296"/>
            <w:vAlign w:val="center"/>
          </w:tcPr>
          <w:p>
            <w:pPr>
              <w:spacing w:after="0"/>
            </w:pPr>
            <w:r/>
            <w:r>
              <w:rPr>
                <w:rFonts w:ascii="Aptos" w:hAnsi="Aptos"/>
                <w:b w:val="0"/>
                <w:color w:val="222222"/>
                <w:sz w:val="17"/>
              </w:rPr>
              <w:t>Week 6</w:t>
            </w:r>
          </w:p>
        </w:tc>
        <w:tc>
          <w:tcPr>
            <w:tcW w:type="dxa" w:w="3024"/>
            <w:vAlign w:val="center"/>
          </w:tcPr>
          <w:p>
            <w:pPr>
              <w:spacing w:after="0"/>
            </w:pPr>
            <w:r/>
            <w:r>
              <w:rPr>
                <w:rFonts w:ascii="Aptos" w:hAnsi="Aptos"/>
                <w:b w:val="0"/>
                <w:color w:val="222222"/>
                <w:sz w:val="17"/>
              </w:rPr>
              <w:t>Forecasting preparation</w:t>
            </w:r>
          </w:p>
        </w:tc>
        <w:tc>
          <w:tcPr>
            <w:tcW w:type="dxa" w:w="5616"/>
            <w:vAlign w:val="center"/>
          </w:tcPr>
          <w:p>
            <w:pPr>
              <w:spacing w:after="0"/>
            </w:pPr>
            <w:r/>
            <w:r>
              <w:rPr>
                <w:rFonts w:ascii="Aptos" w:hAnsi="Aptos"/>
                <w:b w:val="0"/>
                <w:color w:val="222222"/>
                <w:sz w:val="17"/>
              </w:rPr>
              <w:t>Time-series diagnostics, baseline, model candidates</w:t>
            </w:r>
          </w:p>
        </w:tc>
      </w:tr>
      <w:tr>
        <w:tc>
          <w:tcPr>
            <w:tcW w:type="dxa" w:w="1296"/>
            <w:vAlign w:val="center"/>
            <w:shd w:fill="F7F9FB"/>
          </w:tcPr>
          <w:p>
            <w:pPr>
              <w:spacing w:after="0"/>
            </w:pPr>
            <w:r/>
            <w:r>
              <w:rPr>
                <w:rFonts w:ascii="Aptos" w:hAnsi="Aptos"/>
                <w:b w:val="0"/>
                <w:color w:val="222222"/>
                <w:sz w:val="17"/>
              </w:rPr>
              <w:t>Week 7</w:t>
            </w:r>
          </w:p>
        </w:tc>
        <w:tc>
          <w:tcPr>
            <w:tcW w:type="dxa" w:w="3024"/>
            <w:vAlign w:val="center"/>
            <w:shd w:fill="F7F9FB"/>
          </w:tcPr>
          <w:p>
            <w:pPr>
              <w:spacing w:after="0"/>
            </w:pPr>
            <w:r/>
            <w:r>
              <w:rPr>
                <w:rFonts w:ascii="Aptos" w:hAnsi="Aptos"/>
                <w:b w:val="0"/>
                <w:color w:val="222222"/>
                <w:sz w:val="17"/>
              </w:rPr>
              <w:t>Forecasting &amp; validation</w:t>
            </w:r>
          </w:p>
        </w:tc>
        <w:tc>
          <w:tcPr>
            <w:tcW w:type="dxa" w:w="5616"/>
            <w:vAlign w:val="center"/>
            <w:shd w:fill="F7F9FB"/>
          </w:tcPr>
          <w:p>
            <w:pPr>
              <w:spacing w:after="0"/>
            </w:pPr>
            <w:r/>
            <w:r>
              <w:rPr>
                <w:rFonts w:ascii="Aptos" w:hAnsi="Aptos"/>
                <w:b w:val="0"/>
                <w:color w:val="222222"/>
                <w:sz w:val="17"/>
              </w:rPr>
              <w:t>Validated model results and error metrics</w:t>
            </w:r>
          </w:p>
        </w:tc>
      </w:tr>
      <w:tr>
        <w:tc>
          <w:tcPr>
            <w:tcW w:type="dxa" w:w="1296"/>
            <w:vAlign w:val="center"/>
          </w:tcPr>
          <w:p>
            <w:pPr>
              <w:spacing w:after="0"/>
            </w:pPr>
            <w:r/>
            <w:r>
              <w:rPr>
                <w:rFonts w:ascii="Aptos" w:hAnsi="Aptos"/>
                <w:b w:val="0"/>
                <w:color w:val="222222"/>
                <w:sz w:val="17"/>
              </w:rPr>
              <w:t>Week 8</w:t>
            </w:r>
          </w:p>
        </w:tc>
        <w:tc>
          <w:tcPr>
            <w:tcW w:type="dxa" w:w="3024"/>
            <w:vAlign w:val="center"/>
          </w:tcPr>
          <w:p>
            <w:pPr>
              <w:spacing w:after="0"/>
            </w:pPr>
            <w:r/>
            <w:r>
              <w:rPr>
                <w:rFonts w:ascii="Aptos" w:hAnsi="Aptos"/>
                <w:b w:val="0"/>
                <w:color w:val="222222"/>
                <w:sz w:val="17"/>
              </w:rPr>
              <w:t>Final reporting</w:t>
            </w:r>
          </w:p>
        </w:tc>
        <w:tc>
          <w:tcPr>
            <w:tcW w:type="dxa" w:w="5616"/>
            <w:vAlign w:val="center"/>
          </w:tcPr>
          <w:p>
            <w:pPr>
              <w:spacing w:after="0"/>
            </w:pPr>
            <w:r/>
            <w:r>
              <w:rPr>
                <w:rFonts w:ascii="Aptos" w:hAnsi="Aptos"/>
                <w:b w:val="0"/>
                <w:color w:val="222222"/>
                <w:sz w:val="17"/>
              </w:rPr>
              <w:t>Interpretation, limitations, charts, final report and reproducibility notes</w:t>
            </w:r>
          </w:p>
        </w:tc>
      </w:tr>
    </w:tbl>
    <w:p>
      <w:pPr>
        <w:spacing w:after="40" w:line="259" w:lineRule="auto"/>
      </w:pPr>
    </w:p>
    <w:p>
      <w:pPr>
        <w:pStyle w:val="Heading1"/>
        <w:keepNext/>
        <w:spacing w:line="259" w:lineRule="auto" w:before="200" w:after="100"/>
      </w:pPr>
      <w:r>
        <w:t>12. Tools and Technical Workflow</w:t>
      </w:r>
    </w:p>
    <w:p>
      <w:pPr>
        <w:pStyle w:val="ListBullet"/>
        <w:spacing w:after="40" w:line="259" w:lineRule="auto"/>
        <w:ind w:left="360"/>
      </w:pPr>
      <w:r>
        <w:t>Python: pandas and NumPy for data handling and numerical analysis.</w:t>
      </w:r>
    </w:p>
    <w:p>
      <w:pPr>
        <w:pStyle w:val="ListBullet"/>
        <w:spacing w:after="40" w:line="259" w:lineRule="auto"/>
        <w:ind w:left="360"/>
      </w:pPr>
      <w:r>
        <w:t>Matplotlib / other appropriate visualization libraries for charts.</w:t>
      </w:r>
    </w:p>
    <w:p>
      <w:pPr>
        <w:pStyle w:val="ListBullet"/>
        <w:spacing w:after="40" w:line="259" w:lineRule="auto"/>
        <w:ind w:left="360"/>
      </w:pPr>
      <w:r>
        <w:t>Jupyter Notebook or a comparable notebook environment for documented analysis.</w:t>
      </w:r>
    </w:p>
    <w:p>
      <w:pPr>
        <w:pStyle w:val="ListBullet"/>
        <w:spacing w:after="40" w:line="259" w:lineRule="auto"/>
        <w:ind w:left="360"/>
      </w:pPr>
      <w:r>
        <w:t>Git and GitHub for version control and reproducibility, where required by the internship.</w:t>
      </w:r>
    </w:p>
    <w:p>
      <w:pPr>
        <w:pStyle w:val="ListBullet"/>
        <w:spacing w:after="40" w:line="259" w:lineRule="auto"/>
        <w:ind w:left="360"/>
      </w:pPr>
      <w:r>
        <w:t>Excel/CSV for initial inspection and lightweight validation.</w:t>
      </w:r>
    </w:p>
    <w:p>
      <w:pPr>
        <w:pStyle w:val="ListBullet"/>
        <w:spacing w:after="40" w:line="259" w:lineRule="auto"/>
        <w:ind w:left="360"/>
      </w:pPr>
      <w:r>
        <w:t>APIs or programmatic downloads where an official source provides a documented access method.</w:t>
      </w:r>
    </w:p>
    <w:p>
      <w:pPr>
        <w:pStyle w:val="Heading1"/>
        <w:keepNext/>
        <w:spacing w:line="259" w:lineRule="auto" w:before="200" w:after="100"/>
      </w:pPr>
      <w:r>
        <w:t>13. Risks, Limitations, and Mitigation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vAlign w:val="center"/>
            <w:shd w:fill="17365D"/>
          </w:tcPr>
          <w:p>
            <w:pPr>
              <w:spacing w:after="0"/>
            </w:pPr>
            <w:r/>
            <w:r>
              <w:rPr>
                <w:rFonts w:ascii="Aptos" w:hAnsi="Aptos"/>
                <w:b/>
                <w:color w:val="FFFFFF"/>
                <w:sz w:val="18"/>
              </w:rPr>
              <w:t>Potential Risk</w:t>
            </w:r>
          </w:p>
        </w:tc>
        <w:tc>
          <w:tcPr>
            <w:tcW w:type="dxa" w:w="2880"/>
            <w:vAlign w:val="center"/>
            <w:shd w:fill="17365D"/>
          </w:tcPr>
          <w:p>
            <w:pPr>
              <w:spacing w:after="0"/>
            </w:pPr>
            <w:r/>
            <w:r>
              <w:rPr>
                <w:rFonts w:ascii="Aptos" w:hAnsi="Aptos"/>
                <w:b/>
                <w:color w:val="FFFFFF"/>
                <w:sz w:val="18"/>
              </w:rPr>
              <w:t>Impact</w:t>
            </w:r>
          </w:p>
        </w:tc>
        <w:tc>
          <w:tcPr>
            <w:tcW w:type="dxa" w:w="4464"/>
            <w:vAlign w:val="center"/>
            <w:shd w:fill="17365D"/>
          </w:tcPr>
          <w:p>
            <w:pPr>
              <w:spacing w:after="0"/>
            </w:pPr>
            <w:r/>
            <w:r>
              <w:rPr>
                <w:rFonts w:ascii="Aptos" w:hAnsi="Aptos"/>
                <w:b/>
                <w:color w:val="FFFFFF"/>
                <w:sz w:val="18"/>
              </w:rPr>
              <w:t>Mitigation</w:t>
            </w:r>
          </w:p>
        </w:tc>
      </w:tr>
      <w:tr>
        <w:tc>
          <w:tcPr>
            <w:tcW w:type="dxa" w:w="2592"/>
            <w:vAlign w:val="center"/>
            <w:shd w:fill="F7F9FB"/>
          </w:tcPr>
          <w:p>
            <w:pPr>
              <w:spacing w:after="0"/>
            </w:pPr>
            <w:r/>
            <w:r>
              <w:rPr>
                <w:rFonts w:ascii="Aptos" w:hAnsi="Aptos"/>
                <w:b w:val="0"/>
                <w:color w:val="222222"/>
                <w:sz w:val="17"/>
              </w:rPr>
              <w:t>Different definitions across sources</w:t>
            </w:r>
          </w:p>
        </w:tc>
        <w:tc>
          <w:tcPr>
            <w:tcW w:type="dxa" w:w="2880"/>
            <w:vAlign w:val="center"/>
            <w:shd w:fill="F7F9FB"/>
          </w:tcPr>
          <w:p>
            <w:pPr>
              <w:spacing w:after="0"/>
            </w:pPr>
            <w:r/>
            <w:r>
              <w:rPr>
                <w:rFonts w:ascii="Aptos" w:hAnsi="Aptos"/>
                <w:b w:val="0"/>
                <w:color w:val="222222"/>
                <w:sz w:val="17"/>
              </w:rPr>
              <w:t>Incorrect comparisons</w:t>
            </w:r>
          </w:p>
        </w:tc>
        <w:tc>
          <w:tcPr>
            <w:tcW w:type="dxa" w:w="4464"/>
            <w:vAlign w:val="center"/>
            <w:shd w:fill="F7F9FB"/>
          </w:tcPr>
          <w:p>
            <w:pPr>
              <w:spacing w:after="0"/>
            </w:pPr>
            <w:r/>
            <w:r>
              <w:rPr>
                <w:rFonts w:ascii="Aptos" w:hAnsi="Aptos"/>
                <w:b w:val="0"/>
                <w:color w:val="222222"/>
                <w:sz w:val="17"/>
              </w:rPr>
              <w:t>Read metadata and harmonize definitions before integration.</w:t>
            </w:r>
          </w:p>
        </w:tc>
      </w:tr>
      <w:tr>
        <w:tc>
          <w:tcPr>
            <w:tcW w:type="dxa" w:w="2592"/>
            <w:vAlign w:val="center"/>
          </w:tcPr>
          <w:p>
            <w:pPr>
              <w:spacing w:after="0"/>
            </w:pPr>
            <w:r/>
            <w:r>
              <w:rPr>
                <w:rFonts w:ascii="Aptos" w:hAnsi="Aptos"/>
                <w:b w:val="0"/>
                <w:color w:val="222222"/>
                <w:sz w:val="17"/>
              </w:rPr>
              <w:t>Missing or delayed observations</w:t>
            </w:r>
          </w:p>
        </w:tc>
        <w:tc>
          <w:tcPr>
            <w:tcW w:type="dxa" w:w="2880"/>
            <w:vAlign w:val="center"/>
          </w:tcPr>
          <w:p>
            <w:pPr>
              <w:spacing w:after="0"/>
            </w:pPr>
            <w:r/>
            <w:r>
              <w:rPr>
                <w:rFonts w:ascii="Aptos" w:hAnsi="Aptos"/>
                <w:b w:val="0"/>
                <w:color w:val="222222"/>
                <w:sz w:val="17"/>
              </w:rPr>
              <w:t>Incomplete time series</w:t>
            </w:r>
          </w:p>
        </w:tc>
        <w:tc>
          <w:tcPr>
            <w:tcW w:type="dxa" w:w="4464"/>
            <w:vAlign w:val="center"/>
          </w:tcPr>
          <w:p>
            <w:pPr>
              <w:spacing w:after="0"/>
            </w:pPr>
            <w:r/>
            <w:r>
              <w:rPr>
                <w:rFonts w:ascii="Aptos" w:hAnsi="Aptos"/>
                <w:b w:val="0"/>
                <w:color w:val="222222"/>
                <w:sz w:val="17"/>
              </w:rPr>
              <w:t>Record missingness and avoid unsupported assumptions.</w:t>
            </w:r>
          </w:p>
        </w:tc>
      </w:tr>
      <w:tr>
        <w:tc>
          <w:tcPr>
            <w:tcW w:type="dxa" w:w="2592"/>
            <w:vAlign w:val="center"/>
            <w:shd w:fill="F7F9FB"/>
          </w:tcPr>
          <w:p>
            <w:pPr>
              <w:spacing w:after="0"/>
            </w:pPr>
            <w:r/>
            <w:r>
              <w:rPr>
                <w:rFonts w:ascii="Aptos" w:hAnsi="Aptos"/>
                <w:b w:val="0"/>
                <w:color w:val="222222"/>
                <w:sz w:val="17"/>
              </w:rPr>
              <w:t>Changes in market/data collection practices</w:t>
            </w:r>
          </w:p>
        </w:tc>
        <w:tc>
          <w:tcPr>
            <w:tcW w:type="dxa" w:w="2880"/>
            <w:vAlign w:val="center"/>
            <w:shd w:fill="F7F9FB"/>
          </w:tcPr>
          <w:p>
            <w:pPr>
              <w:spacing w:after="0"/>
            </w:pPr>
            <w:r/>
            <w:r>
              <w:rPr>
                <w:rFonts w:ascii="Aptos" w:hAnsi="Aptos"/>
                <w:b w:val="0"/>
                <w:color w:val="222222"/>
                <w:sz w:val="17"/>
              </w:rPr>
              <w:t>Breaks in comparability</w:t>
            </w:r>
          </w:p>
        </w:tc>
        <w:tc>
          <w:tcPr>
            <w:tcW w:type="dxa" w:w="4464"/>
            <w:vAlign w:val="center"/>
            <w:shd w:fill="F7F9FB"/>
          </w:tcPr>
          <w:p>
            <w:pPr>
              <w:spacing w:after="0"/>
            </w:pPr>
            <w:r/>
            <w:r>
              <w:rPr>
                <w:rFonts w:ascii="Aptos" w:hAnsi="Aptos"/>
                <w:b w:val="0"/>
                <w:color w:val="222222"/>
                <w:sz w:val="17"/>
              </w:rPr>
              <w:t>Inspect metadata and flag structural breaks.</w:t>
            </w:r>
          </w:p>
        </w:tc>
      </w:tr>
      <w:tr>
        <w:tc>
          <w:tcPr>
            <w:tcW w:type="dxa" w:w="2592"/>
            <w:vAlign w:val="center"/>
          </w:tcPr>
          <w:p>
            <w:pPr>
              <w:spacing w:after="0"/>
            </w:pPr>
            <w:r/>
            <w:r>
              <w:rPr>
                <w:rFonts w:ascii="Aptos" w:hAnsi="Aptos"/>
                <w:b w:val="0"/>
                <w:color w:val="222222"/>
                <w:sz w:val="17"/>
              </w:rPr>
              <w:t>Different geographic boundaries</w:t>
            </w:r>
          </w:p>
        </w:tc>
        <w:tc>
          <w:tcPr>
            <w:tcW w:type="dxa" w:w="2880"/>
            <w:vAlign w:val="center"/>
          </w:tcPr>
          <w:p>
            <w:pPr>
              <w:spacing w:after="0"/>
            </w:pPr>
            <w:r/>
            <w:r>
              <w:rPr>
                <w:rFonts w:ascii="Aptos" w:hAnsi="Aptos"/>
                <w:b w:val="0"/>
                <w:color w:val="222222"/>
                <w:sz w:val="17"/>
              </w:rPr>
              <w:t>Invalid regional comparisons</w:t>
            </w:r>
          </w:p>
        </w:tc>
        <w:tc>
          <w:tcPr>
            <w:tcW w:type="dxa" w:w="4464"/>
            <w:vAlign w:val="center"/>
          </w:tcPr>
          <w:p>
            <w:pPr>
              <w:spacing w:after="0"/>
            </w:pPr>
            <w:r/>
            <w:r>
              <w:rPr>
                <w:rFonts w:ascii="Aptos" w:hAnsi="Aptos"/>
                <w:b w:val="0"/>
                <w:color w:val="222222"/>
                <w:sz w:val="17"/>
              </w:rPr>
              <w:t>Use stable identifiers or document boundary changes.</w:t>
            </w:r>
          </w:p>
        </w:tc>
      </w:tr>
      <w:tr>
        <w:tc>
          <w:tcPr>
            <w:tcW w:type="dxa" w:w="2592"/>
            <w:vAlign w:val="center"/>
            <w:shd w:fill="F7F9FB"/>
          </w:tcPr>
          <w:p>
            <w:pPr>
              <w:spacing w:after="0"/>
            </w:pPr>
            <w:r/>
            <w:r>
              <w:rPr>
                <w:rFonts w:ascii="Aptos" w:hAnsi="Aptos"/>
                <w:b w:val="0"/>
                <w:color w:val="222222"/>
                <w:sz w:val="17"/>
              </w:rPr>
              <w:t>Price/arrival reporting differences</w:t>
            </w:r>
          </w:p>
        </w:tc>
        <w:tc>
          <w:tcPr>
            <w:tcW w:type="dxa" w:w="2880"/>
            <w:vAlign w:val="center"/>
            <w:shd w:fill="F7F9FB"/>
          </w:tcPr>
          <w:p>
            <w:pPr>
              <w:spacing w:after="0"/>
            </w:pPr>
            <w:r/>
            <w:r>
              <w:rPr>
                <w:rFonts w:ascii="Aptos" w:hAnsi="Aptos"/>
                <w:b w:val="0"/>
                <w:color w:val="222222"/>
                <w:sz w:val="17"/>
              </w:rPr>
              <w:t>Biased market comparisons</w:t>
            </w:r>
          </w:p>
        </w:tc>
        <w:tc>
          <w:tcPr>
            <w:tcW w:type="dxa" w:w="4464"/>
            <w:vAlign w:val="center"/>
            <w:shd w:fill="F7F9FB"/>
          </w:tcPr>
          <w:p>
            <w:pPr>
              <w:spacing w:after="0"/>
            </w:pPr>
            <w:r/>
            <w:r>
              <w:rPr>
                <w:rFonts w:ascii="Aptos" w:hAnsi="Aptos"/>
                <w:b w:val="0"/>
                <w:color w:val="222222"/>
                <w:sz w:val="17"/>
              </w:rPr>
              <w:t>Compare like-for-like markets and commodities.</w:t>
            </w:r>
          </w:p>
        </w:tc>
      </w:tr>
      <w:tr>
        <w:tc>
          <w:tcPr>
            <w:tcW w:type="dxa" w:w="2592"/>
            <w:vAlign w:val="center"/>
          </w:tcPr>
          <w:p>
            <w:pPr>
              <w:spacing w:after="0"/>
            </w:pPr>
            <w:r/>
            <w:r>
              <w:rPr>
                <w:rFonts w:ascii="Aptos" w:hAnsi="Aptos"/>
                <w:b w:val="0"/>
                <w:color w:val="222222"/>
                <w:sz w:val="17"/>
              </w:rPr>
              <w:t>Forecast uncertainty</w:t>
            </w:r>
          </w:p>
        </w:tc>
        <w:tc>
          <w:tcPr>
            <w:tcW w:type="dxa" w:w="2880"/>
            <w:vAlign w:val="center"/>
          </w:tcPr>
          <w:p>
            <w:pPr>
              <w:spacing w:after="0"/>
            </w:pPr>
            <w:r/>
            <w:r>
              <w:rPr>
                <w:rFonts w:ascii="Aptos" w:hAnsi="Aptos"/>
                <w:b w:val="0"/>
                <w:color w:val="222222"/>
                <w:sz w:val="17"/>
              </w:rPr>
              <w:t>Overconfident conclusions</w:t>
            </w:r>
          </w:p>
        </w:tc>
        <w:tc>
          <w:tcPr>
            <w:tcW w:type="dxa" w:w="4464"/>
            <w:vAlign w:val="center"/>
          </w:tcPr>
          <w:p>
            <w:pPr>
              <w:spacing w:after="0"/>
            </w:pPr>
            <w:r/>
            <w:r>
              <w:rPr>
                <w:rFonts w:ascii="Aptos" w:hAnsi="Aptos"/>
                <w:b w:val="0"/>
                <w:color w:val="222222"/>
                <w:sz w:val="17"/>
              </w:rPr>
              <w:t>Use validation, baselines, uncertainty intervals where available, and clear limitations.</w:t>
            </w:r>
          </w:p>
        </w:tc>
      </w:tr>
    </w:tbl>
    <w:p>
      <w:pPr>
        <w:spacing w:after="40" w:line="259" w:lineRule="auto"/>
      </w:pPr>
    </w:p>
    <w:p>
      <w:pPr>
        <w:pStyle w:val="Heading1"/>
        <w:keepNext/>
        <w:spacing w:line="259" w:lineRule="auto" w:before="200" w:after="100"/>
      </w:pPr>
      <w:r>
        <w:t>14. Expected Outcomes</w:t>
      </w:r>
    </w:p>
    <w:p>
      <w:pPr>
        <w:pStyle w:val="ListBullet"/>
        <w:spacing w:after="40" w:line="259" w:lineRule="auto"/>
        <w:ind w:left="360"/>
      </w:pPr>
      <w:r>
        <w:t>A documented inventory of reliable public agribusiness data sources.</w:t>
      </w:r>
    </w:p>
    <w:p>
      <w:pPr>
        <w:pStyle w:val="ListBullet"/>
        <w:spacing w:after="40" w:line="259" w:lineRule="auto"/>
        <w:ind w:left="360"/>
      </w:pPr>
      <w:r>
        <w:t>A clean and well-documented analytical dataset for selected crops/markets.</w:t>
      </w:r>
    </w:p>
    <w:p>
      <w:pPr>
        <w:pStyle w:val="ListBullet"/>
        <w:spacing w:after="40" w:line="259" w:lineRule="auto"/>
        <w:ind w:left="360"/>
      </w:pPr>
      <w:r>
        <w:t>A set of descriptive statistics and visualizations explaining production, price, arrivals, and weather patterns.</w:t>
      </w:r>
    </w:p>
    <w:p>
      <w:pPr>
        <w:pStyle w:val="ListBullet"/>
        <w:spacing w:after="40" w:line="259" w:lineRule="auto"/>
        <w:ind w:left="360"/>
      </w:pPr>
      <w:r>
        <w:t>Identification of important trends, seasonal patterns, and observable associations.</w:t>
      </w:r>
    </w:p>
    <w:p>
      <w:pPr>
        <w:pStyle w:val="ListBullet"/>
        <w:spacing w:after="40" w:line="259" w:lineRule="auto"/>
        <w:ind w:left="360"/>
      </w:pPr>
      <w:r>
        <w:t>A reproducible workflow that can be extended into forecasting and deeper analysis.</w:t>
      </w:r>
    </w:p>
    <w:p>
      <w:pPr>
        <w:pStyle w:val="ListBullet"/>
        <w:spacing w:after="40" w:line="259" w:lineRule="auto"/>
        <w:ind w:left="360"/>
      </w:pPr>
      <w:r>
        <w:t>A professional final report that clearly separates observed facts, analytical results, assumptions, and limitations.</w:t>
      </w:r>
    </w:p>
    <w:p>
      <w:pPr>
        <w:pStyle w:val="Heading1"/>
        <w:keepNext/>
        <w:spacing w:line="259" w:lineRule="auto" w:before="200" w:after="100"/>
      </w:pPr>
      <w:r>
        <w:t>15. Conclusion</w:t>
      </w:r>
    </w:p>
    <w:p>
      <w:pPr>
        <w:spacing w:line="259" w:lineRule="auto"/>
      </w:pPr>
      <w:r>
        <w:t>This Week 1 plan establishes the foundation for a data-driven agribusiness analysis project. The proposed workflow prioritizes authoritative public sources, transparent data preparation, reproducible analysis, and appropriate validation. The next stage should focus on selecting a manageable set of commodities and locations, collecting the raw datasets, and building the data dictionary and quality-control framework before any forecasting conclusions are attempted.</w:t>
      </w:r>
    </w:p>
    <w:p>
      <w:pPr>
        <w:pStyle w:val="Heading1"/>
        <w:keepNext/>
        <w:spacing w:line="259" w:lineRule="auto" w:before="200" w:after="100"/>
      </w:pPr>
      <w:r>
        <w:t>16. References / Official Data Sources</w:t>
      </w:r>
    </w:p>
    <w:p>
      <w:pPr>
        <w:spacing w:after="60" w:line="259" w:lineRule="auto"/>
      </w:pPr>
      <w:r>
        <w:rPr>
          <w:b/>
          <w:color w:val="17365D"/>
        </w:rPr>
        <w:t>Open Government Data (OGD) Platform India — Agriculture</w:t>
      </w:r>
      <w:r>
        <w:t xml:space="preserve"> — Government of India agriculture data catalogue.</w:t>
        <w:br/>
        <w:t>https://data.gov.in/sector/agriculture</w:t>
      </w:r>
    </w:p>
    <w:p>
      <w:pPr>
        <w:spacing w:after="60" w:line="259" w:lineRule="auto"/>
      </w:pPr>
      <w:r>
        <w:rPr>
          <w:b/>
          <w:color w:val="17365D"/>
        </w:rPr>
        <w:t>OGD Platform India — District-wise, season-wise crop production statistics</w:t>
      </w:r>
      <w:r>
        <w:t xml:space="preserve"> — Crop area and production by district, crop, season and year.</w:t>
        <w:br/>
        <w:t>https://www.data.gov.in/catalog/district-wise-season-wise-crop-production-statistics-0</w:t>
      </w:r>
    </w:p>
    <w:p>
      <w:pPr>
        <w:spacing w:after="60" w:line="259" w:lineRule="auto"/>
      </w:pPr>
      <w:r>
        <w:rPr>
          <w:b/>
          <w:color w:val="17365D"/>
        </w:rPr>
        <w:t>Agmarknet — Agricultural Marketing Information</w:t>
      </w:r>
      <w:r>
        <w:t xml:space="preserve"> — Agricultural market prices, arrivals and market information.</w:t>
        <w:br/>
        <w:t>https://agmarknet.gov.in/</w:t>
      </w:r>
    </w:p>
    <w:p>
      <w:pPr>
        <w:spacing w:after="60" w:line="259" w:lineRule="auto"/>
      </w:pPr>
      <w:r>
        <w:rPr>
          <w:b/>
          <w:color w:val="17365D"/>
        </w:rPr>
        <w:t>India Meteorological Department — Rainfall Information</w:t>
      </w:r>
      <w:r>
        <w:t xml:space="preserve"> — State/district and time-based rainfall information.</w:t>
        <w:br/>
        <w:t>https://mausam.imd.gov.in/responsive/rainfallinformation_state.php</w:t>
      </w:r>
    </w:p>
    <w:p>
      <w:pPr>
        <w:spacing w:after="60" w:line="259" w:lineRule="auto"/>
      </w:pPr>
      <w:r>
        <w:rPr>
          <w:b/>
          <w:color w:val="17365D"/>
        </w:rPr>
        <w:t>India Meteorological Department — API Reference</w:t>
      </w:r>
      <w:r>
        <w:t xml:space="preserve"> — Documented weather and rainfall API endpoints.</w:t>
        <w:br/>
        <w:t>https://api.imd.gov.in/public/api_reference.html</w:t>
      </w:r>
    </w:p>
    <w:p>
      <w:pPr>
        <w:spacing w:after="60" w:line="259" w:lineRule="auto"/>
      </w:pPr>
      <w:r>
        <w:rPr>
          <w:b/>
          <w:color w:val="17365D"/>
        </w:rPr>
        <w:t>FAOSTAT — Food and Agriculture Data</w:t>
      </w:r>
      <w:r>
        <w:t xml:space="preserve"> — International food and agriculture statistics.</w:t>
        <w:br/>
        <w:t>https://faostat.fao.org/</w:t>
      </w:r>
    </w:p>
    <w:p>
      <w:pPr>
        <w:spacing w:after="60" w:line="259" w:lineRule="auto"/>
      </w:pPr>
      <w:r>
        <w:rPr>
          <w:b/>
          <w:color w:val="17365D"/>
        </w:rPr>
        <w:t>FAO Statistics — Agriculture Data Collection</w:t>
      </w:r>
      <w:r>
        <w:t xml:space="preserve"> — Methodology and data-collection information for agricultural statistics.</w:t>
        <w:br/>
        <w:t>https://www.fao.org/statistics/data-collection/agriculture/</w:t>
      </w:r>
    </w:p>
    <w:p>
      <w:pPr>
        <w:spacing w:after="60" w:line="259" w:lineRule="auto"/>
      </w:pPr>
      <w:r>
        <w:rPr>
          <w:b/>
          <w:color w:val="17365D"/>
        </w:rPr>
        <w:t>FAO Food &amp; Agriculture Microdata Catalogue</w:t>
      </w:r>
      <w:r>
        <w:t xml:space="preserve"> — Catalogue of publicly available agriculture and related survey microdata.</w:t>
        <w:br/>
        <w:t>https://www.fao.org/food-agriculture-microdata/en</w:t>
      </w:r>
    </w:p>
    <w:p>
      <w:pPr>
        <w:pStyle w:val="SmallNote"/>
        <w:spacing w:line="259" w:lineRule="auto"/>
      </w:pPr>
      <w:r>
        <w:t>Source note: URLs and source descriptions were checked against official source pages during preparation of this report in October 2026. Dataset contents and availability can change; the collection stage should re-check the latest metadata and release dates.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6"/>
      </w:rPr>
      <w:t>Amisha Urang  •  Agribusiness Data Analysis Planning  •  2026</w:t>
    </w:r>
    <w:r>
      <w:t xml:space="preserve">  |  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77777"/>
        <w:sz w:val="16"/>
      </w:rPr>
      <w:t>YUVA INTERN  |  WEEK 1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