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97BD8" w14:textId="5BC29666" w:rsidR="009C4807" w:rsidRPr="00516270" w:rsidRDefault="002772E2" w:rsidP="00910334">
      <w:pPr>
        <w:spacing w:before="120" w:after="120"/>
        <w:jc w:val="both"/>
        <w:rPr>
          <w:rFonts w:ascii="Garamond" w:hAnsi="Garamond" w:cs="Times"/>
          <w:b/>
          <w:color w:val="4472C4" w:themeColor="accent1"/>
          <w:sz w:val="20"/>
          <w:szCs w:val="20"/>
        </w:rPr>
      </w:pPr>
      <w:r w:rsidRPr="00516270">
        <w:rPr>
          <w:rFonts w:ascii="Garamond" w:hAnsi="Garamond" w:cs="Times"/>
          <w:b/>
          <w:color w:val="4472C4" w:themeColor="accent1"/>
          <w:sz w:val="20"/>
          <w:szCs w:val="20"/>
        </w:rPr>
        <w:t>Ongoing external funding</w:t>
      </w:r>
      <w:r w:rsidR="00DD418C" w:rsidRPr="00516270">
        <w:rPr>
          <w:rFonts w:ascii="Garamond" w:hAnsi="Garamond" w:cs="Times"/>
          <w:b/>
          <w:color w:val="4472C4" w:themeColor="accent1"/>
          <w:sz w:val="20"/>
          <w:szCs w:val="20"/>
        </w:rPr>
        <w:t xml:space="preserve"> </w:t>
      </w:r>
    </w:p>
    <w:tbl>
      <w:tblPr>
        <w:tblStyle w:val="Tabellrutnt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134"/>
        <w:gridCol w:w="992"/>
        <w:gridCol w:w="1134"/>
        <w:gridCol w:w="939"/>
        <w:gridCol w:w="3739"/>
      </w:tblGrid>
      <w:tr w:rsidR="00516270" w:rsidRPr="00516270" w14:paraId="71C0A0C8" w14:textId="77777777" w:rsidTr="00516270">
        <w:trPr>
          <w:trHeight w:val="250"/>
        </w:trPr>
        <w:tc>
          <w:tcPr>
            <w:tcW w:w="1560" w:type="dxa"/>
          </w:tcPr>
          <w:p w14:paraId="2ECC245A" w14:textId="4302E7BC" w:rsidR="002607BE" w:rsidRPr="00516270" w:rsidRDefault="002607BE" w:rsidP="002607BE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  <w:t>Project title</w:t>
            </w:r>
          </w:p>
        </w:tc>
        <w:tc>
          <w:tcPr>
            <w:tcW w:w="1134" w:type="dxa"/>
          </w:tcPr>
          <w:p w14:paraId="2136387D" w14:textId="14CC1B5E" w:rsidR="002607BE" w:rsidRPr="00516270" w:rsidRDefault="002607BE" w:rsidP="002607BE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  <w:t>Funding source</w:t>
            </w:r>
          </w:p>
        </w:tc>
        <w:tc>
          <w:tcPr>
            <w:tcW w:w="992" w:type="dxa"/>
          </w:tcPr>
          <w:p w14:paraId="6FCE41CE" w14:textId="1F51E216" w:rsidR="002607BE" w:rsidRPr="00516270" w:rsidRDefault="002607BE" w:rsidP="002607BE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  <w:t>Amounts Euro (SEK)</w:t>
            </w:r>
          </w:p>
        </w:tc>
        <w:tc>
          <w:tcPr>
            <w:tcW w:w="1134" w:type="dxa"/>
          </w:tcPr>
          <w:p w14:paraId="4DC0E80E" w14:textId="3F85C516" w:rsidR="002607BE" w:rsidRPr="00516270" w:rsidRDefault="002607BE" w:rsidP="002607BE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  <w:t xml:space="preserve">Period </w:t>
            </w:r>
          </w:p>
        </w:tc>
        <w:tc>
          <w:tcPr>
            <w:tcW w:w="939" w:type="dxa"/>
          </w:tcPr>
          <w:p w14:paraId="738D38C0" w14:textId="26730543" w:rsidR="002607BE" w:rsidRPr="00516270" w:rsidRDefault="002607BE" w:rsidP="002607BE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  <w:t>Role of the PI</w:t>
            </w:r>
          </w:p>
        </w:tc>
        <w:tc>
          <w:tcPr>
            <w:tcW w:w="3739" w:type="dxa"/>
          </w:tcPr>
          <w:p w14:paraId="0BC7241A" w14:textId="206EF53B" w:rsidR="002607BE" w:rsidRPr="00516270" w:rsidRDefault="002607BE" w:rsidP="002607BE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  <w:t>Relation to current proposal</w:t>
            </w:r>
          </w:p>
        </w:tc>
      </w:tr>
      <w:tr w:rsidR="00516270" w:rsidRPr="00516270" w14:paraId="662FC338" w14:textId="77777777" w:rsidTr="00516270">
        <w:tc>
          <w:tcPr>
            <w:tcW w:w="1560" w:type="dxa"/>
          </w:tcPr>
          <w:p w14:paraId="2D97D857" w14:textId="6180DCFA" w:rsidR="002607BE" w:rsidRPr="00516270" w:rsidRDefault="002607BE" w:rsidP="002607BE">
            <w:pPr>
              <w:adjustRightInd w:val="0"/>
              <w:contextualSpacing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 xml:space="preserve">Discovery strategies for DM and new phenomena in hadronic signatures with the ATLAS detector at the LHC </w:t>
            </w:r>
          </w:p>
        </w:tc>
        <w:tc>
          <w:tcPr>
            <w:tcW w:w="1134" w:type="dxa"/>
          </w:tcPr>
          <w:p w14:paraId="060DDF27" w14:textId="7542A97B" w:rsidR="002607BE" w:rsidRPr="00516270" w:rsidRDefault="002607BE" w:rsidP="002607BE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European Research Council</w:t>
            </w:r>
          </w:p>
        </w:tc>
        <w:tc>
          <w:tcPr>
            <w:tcW w:w="992" w:type="dxa"/>
          </w:tcPr>
          <w:p w14:paraId="0B2BBBA1" w14:textId="6F71F490" w:rsidR="002607BE" w:rsidRPr="00516270" w:rsidRDefault="002607BE" w:rsidP="002607BE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1270000</w:t>
            </w:r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br/>
            </w:r>
          </w:p>
        </w:tc>
        <w:tc>
          <w:tcPr>
            <w:tcW w:w="1134" w:type="dxa"/>
          </w:tcPr>
          <w:p w14:paraId="05E5005C" w14:textId="7456EBA8" w:rsidR="002607BE" w:rsidRPr="00516270" w:rsidRDefault="002607BE" w:rsidP="002607BE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2016-2021</w:t>
            </w:r>
          </w:p>
        </w:tc>
        <w:tc>
          <w:tcPr>
            <w:tcW w:w="939" w:type="dxa"/>
          </w:tcPr>
          <w:p w14:paraId="4F6B04A5" w14:textId="45350F84" w:rsidR="002607BE" w:rsidRPr="00516270" w:rsidRDefault="002607BE" w:rsidP="002607BE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Sole PI</w:t>
            </w:r>
          </w:p>
        </w:tc>
        <w:tc>
          <w:tcPr>
            <w:tcW w:w="3739" w:type="dxa"/>
          </w:tcPr>
          <w:p w14:paraId="579E1245" w14:textId="6AB79585" w:rsidR="002607BE" w:rsidRPr="00516270" w:rsidRDefault="002607BE" w:rsidP="002607BE">
            <w:pPr>
              <w:adjustRightInd w:val="0"/>
              <w:contextualSpacing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 xml:space="preserve">Proof-of-principle results for WP1-3, see end of this document for how this Consolidator Grant is a significant step beyond this Starting Grant. </w:t>
            </w:r>
          </w:p>
        </w:tc>
      </w:tr>
      <w:tr w:rsidR="00516270" w:rsidRPr="00516270" w14:paraId="7AE0E8AE" w14:textId="77777777" w:rsidTr="00516270">
        <w:trPr>
          <w:trHeight w:val="879"/>
        </w:trPr>
        <w:tc>
          <w:tcPr>
            <w:tcW w:w="1560" w:type="dxa"/>
          </w:tcPr>
          <w:p w14:paraId="5683DD24" w14:textId="27AA602D" w:rsidR="002607BE" w:rsidRPr="00516270" w:rsidRDefault="002607BE" w:rsidP="002607BE">
            <w:pPr>
              <w:adjustRightInd w:val="0"/>
              <w:contextualSpacing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 xml:space="preserve">Real-time Strategies and Precision Searches for Dark Sector Particles </w:t>
            </w:r>
          </w:p>
        </w:tc>
        <w:tc>
          <w:tcPr>
            <w:tcW w:w="1134" w:type="dxa"/>
          </w:tcPr>
          <w:p w14:paraId="12921007" w14:textId="196CC6B4" w:rsidR="002607BE" w:rsidRPr="00516270" w:rsidRDefault="002607BE" w:rsidP="002607BE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VR (Swedish Research Council)</w:t>
            </w:r>
          </w:p>
        </w:tc>
        <w:tc>
          <w:tcPr>
            <w:tcW w:w="992" w:type="dxa"/>
          </w:tcPr>
          <w:p w14:paraId="7FF08A6E" w14:textId="3EF9BDD1" w:rsidR="002607BE" w:rsidRPr="00516270" w:rsidRDefault="002607BE" w:rsidP="002607BE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423020</w:t>
            </w:r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br/>
              <w:t>(</w:t>
            </w:r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4400000</w:t>
            </w:r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14:paraId="51613999" w14:textId="7C8D7DE3" w:rsidR="002607BE" w:rsidRPr="00516270" w:rsidRDefault="002607BE" w:rsidP="002607BE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2019-2024</w:t>
            </w:r>
          </w:p>
        </w:tc>
        <w:tc>
          <w:tcPr>
            <w:tcW w:w="939" w:type="dxa"/>
          </w:tcPr>
          <w:p w14:paraId="5AD5608D" w14:textId="5BC82558" w:rsidR="002607BE" w:rsidRPr="00516270" w:rsidRDefault="002607BE" w:rsidP="002607BE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Sole PI</w:t>
            </w:r>
          </w:p>
        </w:tc>
        <w:tc>
          <w:tcPr>
            <w:tcW w:w="3739" w:type="dxa"/>
          </w:tcPr>
          <w:p w14:paraId="46E5D9CA" w14:textId="105DB4A7" w:rsidR="002607BE" w:rsidRPr="00516270" w:rsidRDefault="002607BE" w:rsidP="002607BE">
            <w:pPr>
              <w:adjustRightInd w:val="0"/>
              <w:contextualSpacing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 xml:space="preserve">Covering PI’s salary and salary of PhD student. The PhD student will be spending 30% of their time on the development of machine learning algorithms for Run-2 dark sector searches until 2022. The </w:t>
            </w:r>
            <w:r w:rsidR="0007631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majority</w:t>
            </w:r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 xml:space="preserve"> of the work of the PhD student in 2021-2024 will be on </w:t>
            </w:r>
            <w:r w:rsidR="0007631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 xml:space="preserve">the </w:t>
            </w:r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 xml:space="preserve">hardware for the ATLAS experiment upgrade and on the </w:t>
            </w:r>
            <w:proofErr w:type="spellStart"/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LDMX</w:t>
            </w:r>
            <w:proofErr w:type="spellEnd"/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 xml:space="preserve"> experiment</w:t>
            </w:r>
            <w:r w:rsidR="0007631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 xml:space="preserve">, </w:t>
            </w:r>
            <w:bookmarkStart w:id="0" w:name="_GoBack"/>
            <w:bookmarkEnd w:id="0"/>
            <w:r w:rsidR="0007631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 xml:space="preserve">unrelated to this proposal. </w:t>
            </w:r>
          </w:p>
        </w:tc>
      </w:tr>
      <w:tr w:rsidR="002607BE" w:rsidRPr="00516270" w14:paraId="3E23920A" w14:textId="77777777" w:rsidTr="00516270">
        <w:trPr>
          <w:trHeight w:val="879"/>
        </w:trPr>
        <w:tc>
          <w:tcPr>
            <w:tcW w:w="1560" w:type="dxa"/>
          </w:tcPr>
          <w:p w14:paraId="2912A414" w14:textId="1759EC47" w:rsidR="002607BE" w:rsidRPr="00516270" w:rsidRDefault="002607BE" w:rsidP="002607BE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INSIGHTS</w:t>
            </w:r>
          </w:p>
        </w:tc>
        <w:tc>
          <w:tcPr>
            <w:tcW w:w="1134" w:type="dxa"/>
          </w:tcPr>
          <w:p w14:paraId="4B2D4AA3" w14:textId="3691D6CE" w:rsidR="002607BE" w:rsidRPr="00516270" w:rsidRDefault="002607BE" w:rsidP="002607BE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proofErr w:type="spellStart"/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MSCA</w:t>
            </w:r>
            <w:proofErr w:type="spellEnd"/>
          </w:p>
        </w:tc>
        <w:tc>
          <w:tcPr>
            <w:tcW w:w="992" w:type="dxa"/>
          </w:tcPr>
          <w:p w14:paraId="239531F9" w14:textId="424B5F7B" w:rsidR="002607BE" w:rsidRPr="00516270" w:rsidRDefault="00516270" w:rsidP="002607BE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r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[amount]</w:t>
            </w:r>
          </w:p>
        </w:tc>
        <w:tc>
          <w:tcPr>
            <w:tcW w:w="1134" w:type="dxa"/>
          </w:tcPr>
          <w:p w14:paraId="2DAAE05F" w14:textId="3B328622" w:rsidR="002607BE" w:rsidRPr="00516270" w:rsidRDefault="002607BE" w:rsidP="002607BE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201</w:t>
            </w:r>
            <w:r w:rsid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7</w:t>
            </w:r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-202</w:t>
            </w:r>
            <w:r w:rsid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939" w:type="dxa"/>
          </w:tcPr>
          <w:p w14:paraId="0F6E57DC" w14:textId="210EA659" w:rsidR="002607BE" w:rsidRPr="00516270" w:rsidRDefault="002607BE" w:rsidP="002607BE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Co-</w:t>
            </w:r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PI</w:t>
            </w:r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 xml:space="preserve"> and co-supervisor of an Early Stage Researcher</w:t>
            </w:r>
          </w:p>
        </w:tc>
        <w:tc>
          <w:tcPr>
            <w:tcW w:w="3739" w:type="dxa"/>
          </w:tcPr>
          <w:p w14:paraId="172D4101" w14:textId="281EF63F" w:rsidR="002607BE" w:rsidRPr="00516270" w:rsidRDefault="002607BE" w:rsidP="002607BE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None</w:t>
            </w:r>
          </w:p>
        </w:tc>
      </w:tr>
    </w:tbl>
    <w:p w14:paraId="46370552" w14:textId="77777777" w:rsidR="002607BE" w:rsidRPr="00516270" w:rsidRDefault="002607BE" w:rsidP="00910334">
      <w:pPr>
        <w:adjustRightInd w:val="0"/>
        <w:contextualSpacing/>
        <w:jc w:val="both"/>
        <w:rPr>
          <w:rFonts w:ascii="Garamond" w:hAnsi="Garamond" w:cs="Times"/>
          <w:b/>
          <w:color w:val="4472C4" w:themeColor="accent1"/>
          <w:sz w:val="20"/>
          <w:szCs w:val="20"/>
        </w:rPr>
      </w:pPr>
    </w:p>
    <w:p w14:paraId="38996AD5" w14:textId="22EF3C9E" w:rsidR="002607BE" w:rsidRDefault="002607BE" w:rsidP="002607BE">
      <w:pPr>
        <w:adjustRightInd w:val="0"/>
        <w:contextualSpacing/>
        <w:jc w:val="both"/>
        <w:rPr>
          <w:rFonts w:ascii="Garamond" w:hAnsi="Garamond" w:cs="Times"/>
          <w:b/>
          <w:color w:val="4472C4" w:themeColor="accent1"/>
          <w:sz w:val="20"/>
          <w:szCs w:val="20"/>
        </w:rPr>
      </w:pPr>
      <w:r w:rsidRPr="00516270">
        <w:rPr>
          <w:rFonts w:ascii="Garamond" w:hAnsi="Garamond" w:cs="Times"/>
          <w:b/>
          <w:color w:val="4472C4" w:themeColor="accent1"/>
          <w:sz w:val="20"/>
          <w:szCs w:val="20"/>
        </w:rPr>
        <w:t>On-going and submitted grant applications</w:t>
      </w:r>
      <w:r w:rsidRPr="00516270">
        <w:rPr>
          <w:rFonts w:ascii="Garamond" w:hAnsi="Garamond" w:cs="Times"/>
          <w:b/>
          <w:color w:val="4472C4" w:themeColor="accent1"/>
          <w:sz w:val="20"/>
          <w:szCs w:val="20"/>
        </w:rPr>
        <w:t xml:space="preserve"> </w:t>
      </w:r>
    </w:p>
    <w:p w14:paraId="4EF52D79" w14:textId="2EDE5E03" w:rsidR="00516270" w:rsidRDefault="00516270" w:rsidP="002607BE">
      <w:pPr>
        <w:adjustRightInd w:val="0"/>
        <w:contextualSpacing/>
        <w:jc w:val="both"/>
        <w:rPr>
          <w:rFonts w:ascii="Garamond" w:hAnsi="Garamond" w:cs="Times"/>
          <w:b/>
          <w:color w:val="4472C4" w:themeColor="accent1"/>
          <w:sz w:val="20"/>
          <w:szCs w:val="20"/>
        </w:rPr>
      </w:pPr>
    </w:p>
    <w:tbl>
      <w:tblPr>
        <w:tblStyle w:val="Tabellrutnt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134"/>
        <w:gridCol w:w="992"/>
        <w:gridCol w:w="1134"/>
        <w:gridCol w:w="992"/>
        <w:gridCol w:w="3686"/>
      </w:tblGrid>
      <w:tr w:rsidR="00516270" w:rsidRPr="00516270" w14:paraId="5AC9204E" w14:textId="77777777" w:rsidTr="00516270">
        <w:trPr>
          <w:trHeight w:val="250"/>
        </w:trPr>
        <w:tc>
          <w:tcPr>
            <w:tcW w:w="1560" w:type="dxa"/>
          </w:tcPr>
          <w:p w14:paraId="03089D9A" w14:textId="77777777" w:rsidR="00516270" w:rsidRPr="00516270" w:rsidRDefault="00516270" w:rsidP="008E5CE8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  <w:t>Project title</w:t>
            </w:r>
          </w:p>
        </w:tc>
        <w:tc>
          <w:tcPr>
            <w:tcW w:w="1134" w:type="dxa"/>
          </w:tcPr>
          <w:p w14:paraId="7C92CC85" w14:textId="77777777" w:rsidR="00516270" w:rsidRPr="00516270" w:rsidRDefault="00516270" w:rsidP="008E5CE8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  <w:t>Funding source</w:t>
            </w:r>
          </w:p>
        </w:tc>
        <w:tc>
          <w:tcPr>
            <w:tcW w:w="992" w:type="dxa"/>
          </w:tcPr>
          <w:p w14:paraId="26BD17A3" w14:textId="77777777" w:rsidR="00516270" w:rsidRPr="00516270" w:rsidRDefault="00516270" w:rsidP="008E5CE8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  <w:t>Amounts Euro (SEK)</w:t>
            </w:r>
          </w:p>
        </w:tc>
        <w:tc>
          <w:tcPr>
            <w:tcW w:w="1134" w:type="dxa"/>
          </w:tcPr>
          <w:p w14:paraId="3F40826F" w14:textId="77777777" w:rsidR="00516270" w:rsidRPr="00516270" w:rsidRDefault="00516270" w:rsidP="008E5CE8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  <w:t xml:space="preserve">Period </w:t>
            </w:r>
          </w:p>
        </w:tc>
        <w:tc>
          <w:tcPr>
            <w:tcW w:w="992" w:type="dxa"/>
          </w:tcPr>
          <w:p w14:paraId="28D8BB56" w14:textId="77777777" w:rsidR="00516270" w:rsidRPr="00516270" w:rsidRDefault="00516270" w:rsidP="008E5CE8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  <w:t>Role of the PI</w:t>
            </w:r>
          </w:p>
        </w:tc>
        <w:tc>
          <w:tcPr>
            <w:tcW w:w="3686" w:type="dxa"/>
          </w:tcPr>
          <w:p w14:paraId="1D979202" w14:textId="77777777" w:rsidR="00516270" w:rsidRPr="00516270" w:rsidRDefault="00516270" w:rsidP="008E5CE8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  <w:t>Relation to current proposal</w:t>
            </w:r>
          </w:p>
        </w:tc>
      </w:tr>
      <w:tr w:rsidR="00516270" w:rsidRPr="00516270" w14:paraId="43A453FD" w14:textId="77777777" w:rsidTr="00516270">
        <w:tc>
          <w:tcPr>
            <w:tcW w:w="1560" w:type="dxa"/>
          </w:tcPr>
          <w:p w14:paraId="70E93869" w14:textId="7DCB4148" w:rsidR="00516270" w:rsidRPr="00516270" w:rsidRDefault="00516270" w:rsidP="00516270">
            <w:pPr>
              <w:adjustRightInd w:val="0"/>
              <w:contextualSpacing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r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 xml:space="preserve">Synergies between machine learning, real-time analysis and hybrid architectures for efficient </w:t>
            </w:r>
            <w:proofErr w:type="spellStart"/>
            <w:r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event</w:t>
            </w:r>
            <w:proofErr w:type="spellEnd"/>
            <w:r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 xml:space="preserve"> processing and decision making (</w:t>
            </w:r>
            <w:proofErr w:type="spellStart"/>
            <w:r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SMARTHEP</w:t>
            </w:r>
            <w:proofErr w:type="spellEnd"/>
            <w:r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)</w:t>
            </w:r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14:paraId="3E25F973" w14:textId="5C1933EC" w:rsidR="00516270" w:rsidRPr="00516270" w:rsidRDefault="00516270" w:rsidP="008E5CE8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r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MSCA</w:t>
            </w:r>
            <w:proofErr w:type="spellEnd"/>
          </w:p>
        </w:tc>
        <w:tc>
          <w:tcPr>
            <w:tcW w:w="992" w:type="dxa"/>
          </w:tcPr>
          <w:p w14:paraId="51DF7A6E" w14:textId="1C349AD5" w:rsidR="00516270" w:rsidRPr="00516270" w:rsidRDefault="00516270" w:rsidP="008E5CE8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r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[amount]</w:t>
            </w:r>
          </w:p>
        </w:tc>
        <w:tc>
          <w:tcPr>
            <w:tcW w:w="1134" w:type="dxa"/>
          </w:tcPr>
          <w:p w14:paraId="0568BD02" w14:textId="77777777" w:rsidR="00516270" w:rsidRPr="00516270" w:rsidRDefault="00516270" w:rsidP="008E5CE8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2016-2021</w:t>
            </w:r>
          </w:p>
        </w:tc>
        <w:tc>
          <w:tcPr>
            <w:tcW w:w="992" w:type="dxa"/>
          </w:tcPr>
          <w:p w14:paraId="1E27B08C" w14:textId="4E8CBBCF" w:rsidR="00516270" w:rsidRPr="00516270" w:rsidRDefault="00516270" w:rsidP="008E5CE8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r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Coordinator</w:t>
            </w:r>
          </w:p>
        </w:tc>
        <w:tc>
          <w:tcPr>
            <w:tcW w:w="3686" w:type="dxa"/>
          </w:tcPr>
          <w:p w14:paraId="73ACB4E3" w14:textId="13F4AD83" w:rsidR="00516270" w:rsidRPr="00516270" w:rsidRDefault="00516270" w:rsidP="008E5CE8">
            <w:pPr>
              <w:adjustRightInd w:val="0"/>
              <w:contextualSpacing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r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LHC-wide and industrial applications of real-time analysis techniques (not covered in this proposal)</w:t>
            </w:r>
          </w:p>
        </w:tc>
      </w:tr>
    </w:tbl>
    <w:p w14:paraId="294E36CF" w14:textId="77777777" w:rsidR="002607BE" w:rsidRPr="00516270" w:rsidRDefault="002607BE" w:rsidP="00910334">
      <w:pPr>
        <w:adjustRightInd w:val="0"/>
        <w:contextualSpacing/>
        <w:jc w:val="both"/>
        <w:rPr>
          <w:rFonts w:ascii="Garamond" w:hAnsi="Garamond" w:cs="Times"/>
          <w:b/>
          <w:color w:val="4472C4" w:themeColor="accent1"/>
          <w:sz w:val="20"/>
          <w:szCs w:val="20"/>
        </w:rPr>
      </w:pPr>
    </w:p>
    <w:p w14:paraId="41385482" w14:textId="47D3F441" w:rsidR="002772E2" w:rsidRPr="00516270" w:rsidRDefault="002772E2" w:rsidP="00910334">
      <w:pPr>
        <w:adjustRightInd w:val="0"/>
        <w:contextualSpacing/>
        <w:jc w:val="both"/>
        <w:rPr>
          <w:rFonts w:ascii="Garamond" w:hAnsi="Garamond" w:cs="Times"/>
          <w:b/>
          <w:color w:val="4472C4" w:themeColor="accent1"/>
          <w:sz w:val="20"/>
          <w:szCs w:val="20"/>
        </w:rPr>
      </w:pPr>
      <w:r w:rsidRPr="00516270">
        <w:rPr>
          <w:rFonts w:ascii="Garamond" w:hAnsi="Garamond" w:cs="Times"/>
          <w:b/>
          <w:color w:val="4472C4" w:themeColor="accent1"/>
          <w:sz w:val="20"/>
          <w:szCs w:val="20"/>
        </w:rPr>
        <w:t xml:space="preserve">Previous external funding </w:t>
      </w:r>
    </w:p>
    <w:tbl>
      <w:tblPr>
        <w:tblStyle w:val="Tabellrutnt"/>
        <w:tblW w:w="9493" w:type="dxa"/>
        <w:tblLook w:val="04A0" w:firstRow="1" w:lastRow="0" w:firstColumn="1" w:lastColumn="0" w:noHBand="0" w:noVBand="1"/>
      </w:tblPr>
      <w:tblGrid>
        <w:gridCol w:w="1555"/>
        <w:gridCol w:w="1134"/>
        <w:gridCol w:w="992"/>
        <w:gridCol w:w="1134"/>
        <w:gridCol w:w="992"/>
        <w:gridCol w:w="3686"/>
      </w:tblGrid>
      <w:tr w:rsidR="00516270" w:rsidRPr="00516270" w14:paraId="1702232F" w14:textId="77777777" w:rsidTr="00516270">
        <w:trPr>
          <w:trHeight w:val="250"/>
        </w:trPr>
        <w:tc>
          <w:tcPr>
            <w:tcW w:w="1555" w:type="dxa"/>
          </w:tcPr>
          <w:p w14:paraId="4696D5A3" w14:textId="2B47B849" w:rsidR="00516270" w:rsidRPr="00516270" w:rsidRDefault="00516270" w:rsidP="00516270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  <w:t>Project title</w:t>
            </w:r>
          </w:p>
        </w:tc>
        <w:tc>
          <w:tcPr>
            <w:tcW w:w="1134" w:type="dxa"/>
          </w:tcPr>
          <w:p w14:paraId="3BE2F305" w14:textId="21EF8BF5" w:rsidR="00516270" w:rsidRPr="00516270" w:rsidRDefault="00516270" w:rsidP="00516270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  <w:t>Funding source</w:t>
            </w:r>
          </w:p>
        </w:tc>
        <w:tc>
          <w:tcPr>
            <w:tcW w:w="992" w:type="dxa"/>
          </w:tcPr>
          <w:p w14:paraId="7CB6CFEA" w14:textId="0F9EF37C" w:rsidR="00516270" w:rsidRPr="00516270" w:rsidRDefault="00516270" w:rsidP="00516270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  <w:t>Amounts Euro (SEK)</w:t>
            </w:r>
          </w:p>
        </w:tc>
        <w:tc>
          <w:tcPr>
            <w:tcW w:w="1134" w:type="dxa"/>
          </w:tcPr>
          <w:p w14:paraId="22010ADC" w14:textId="51992F42" w:rsidR="00516270" w:rsidRPr="00516270" w:rsidRDefault="00516270" w:rsidP="00516270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  <w:t xml:space="preserve">Period </w:t>
            </w:r>
          </w:p>
        </w:tc>
        <w:tc>
          <w:tcPr>
            <w:tcW w:w="992" w:type="dxa"/>
          </w:tcPr>
          <w:p w14:paraId="1EEA9E81" w14:textId="17CCBE74" w:rsidR="00516270" w:rsidRPr="00516270" w:rsidRDefault="00516270" w:rsidP="00516270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3686" w:type="dxa"/>
          </w:tcPr>
          <w:p w14:paraId="29CF7682" w14:textId="77777777" w:rsidR="00516270" w:rsidRPr="00516270" w:rsidRDefault="00516270" w:rsidP="00516270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  <w:t>Relation to current proposal</w:t>
            </w:r>
          </w:p>
        </w:tc>
      </w:tr>
      <w:tr w:rsidR="00516270" w:rsidRPr="00516270" w14:paraId="0365691B" w14:textId="77777777" w:rsidTr="00516270">
        <w:tc>
          <w:tcPr>
            <w:tcW w:w="1555" w:type="dxa"/>
          </w:tcPr>
          <w:p w14:paraId="7975813D" w14:textId="77777777" w:rsidR="00516270" w:rsidRPr="00516270" w:rsidRDefault="00516270" w:rsidP="00516270">
            <w:pPr>
              <w:adjustRightInd w:val="0"/>
              <w:contextualSpacing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 xml:space="preserve">Searches for DM and New Phenomena with the ATLAS detector at the Large Hadron Collider and beyond. </w:t>
            </w:r>
          </w:p>
          <w:p w14:paraId="30FA87F8" w14:textId="77777777" w:rsidR="00516270" w:rsidRPr="00516270" w:rsidRDefault="00516270" w:rsidP="00516270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4C8CEAA" w14:textId="7DD8F564" w:rsidR="00516270" w:rsidRPr="00516270" w:rsidRDefault="00516270" w:rsidP="00516270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VR (Swedish Research Council)</w:t>
            </w:r>
          </w:p>
        </w:tc>
        <w:tc>
          <w:tcPr>
            <w:tcW w:w="992" w:type="dxa"/>
          </w:tcPr>
          <w:p w14:paraId="6F2AD76E" w14:textId="14A4CBE3" w:rsidR="00516270" w:rsidRPr="00516270" w:rsidRDefault="00516270" w:rsidP="00516270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230760</w:t>
            </w:r>
            <w:r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br/>
              <w:t>(</w:t>
            </w:r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2400000</w:t>
            </w:r>
            <w:r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)</w:t>
            </w:r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br/>
            </w:r>
          </w:p>
        </w:tc>
        <w:tc>
          <w:tcPr>
            <w:tcW w:w="1134" w:type="dxa"/>
          </w:tcPr>
          <w:p w14:paraId="480C8044" w14:textId="0C533527" w:rsidR="00516270" w:rsidRPr="00516270" w:rsidRDefault="00516270" w:rsidP="00516270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2015-2018</w:t>
            </w:r>
          </w:p>
        </w:tc>
        <w:tc>
          <w:tcPr>
            <w:tcW w:w="992" w:type="dxa"/>
          </w:tcPr>
          <w:p w14:paraId="59C44F94" w14:textId="4223C3E4" w:rsidR="00516270" w:rsidRPr="00516270" w:rsidRDefault="00516270" w:rsidP="00516270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r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 xml:space="preserve">Sole </w:t>
            </w:r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PI</w:t>
            </w:r>
          </w:p>
        </w:tc>
        <w:tc>
          <w:tcPr>
            <w:tcW w:w="3686" w:type="dxa"/>
          </w:tcPr>
          <w:p w14:paraId="5B2DB429" w14:textId="4A50C979" w:rsidR="00516270" w:rsidRPr="00516270" w:rsidRDefault="00516270" w:rsidP="00516270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None</w:t>
            </w:r>
          </w:p>
        </w:tc>
      </w:tr>
    </w:tbl>
    <w:p w14:paraId="23CFFB8E" w14:textId="1C7332E3" w:rsidR="00DD418C" w:rsidRPr="00516270" w:rsidRDefault="00DD418C" w:rsidP="00910334">
      <w:pPr>
        <w:spacing w:before="120" w:after="120"/>
        <w:jc w:val="both"/>
        <w:rPr>
          <w:rFonts w:ascii="Garamond" w:eastAsiaTheme="minorHAnsi" w:hAnsi="Garamond" w:cs="Times"/>
          <w:color w:val="000000"/>
          <w:sz w:val="20"/>
          <w:szCs w:val="20"/>
        </w:rPr>
      </w:pPr>
    </w:p>
    <w:p w14:paraId="419081FD" w14:textId="79945FF0" w:rsidR="00516270" w:rsidRDefault="00516270" w:rsidP="002607BE">
      <w:pPr>
        <w:spacing w:before="120" w:after="120"/>
        <w:jc w:val="both"/>
        <w:rPr>
          <w:rFonts w:ascii="Garamond" w:hAnsi="Garamond" w:cs="Times"/>
          <w:color w:val="000000" w:themeColor="text1"/>
          <w:sz w:val="20"/>
          <w:szCs w:val="20"/>
        </w:rPr>
      </w:pPr>
      <w:r>
        <w:rPr>
          <w:rFonts w:ascii="Garamond" w:hAnsi="Garamond" w:cs="Times"/>
          <w:color w:val="000000" w:themeColor="text1"/>
          <w:sz w:val="20"/>
          <w:szCs w:val="20"/>
        </w:rPr>
        <w:t xml:space="preserve">[Discuss the success of the </w:t>
      </w:r>
      <w:proofErr w:type="spellStart"/>
      <w:r>
        <w:rPr>
          <w:rFonts w:ascii="Garamond" w:hAnsi="Garamond" w:cs="Times"/>
          <w:color w:val="000000" w:themeColor="text1"/>
          <w:sz w:val="20"/>
          <w:szCs w:val="20"/>
        </w:rPr>
        <w:t>StG</w:t>
      </w:r>
      <w:proofErr w:type="spellEnd"/>
      <w:r>
        <w:rPr>
          <w:rFonts w:ascii="Garamond" w:hAnsi="Garamond" w:cs="Times"/>
          <w:color w:val="000000" w:themeColor="text1"/>
          <w:sz w:val="20"/>
          <w:szCs w:val="20"/>
        </w:rPr>
        <w:t xml:space="preserve"> and how this enables the </w:t>
      </w:r>
      <w:proofErr w:type="spellStart"/>
      <w:r>
        <w:rPr>
          <w:rFonts w:ascii="Garamond" w:hAnsi="Garamond" w:cs="Times"/>
          <w:color w:val="000000" w:themeColor="text1"/>
          <w:sz w:val="20"/>
          <w:szCs w:val="20"/>
        </w:rPr>
        <w:t>CoG</w:t>
      </w:r>
      <w:proofErr w:type="spellEnd"/>
      <w:r>
        <w:rPr>
          <w:rFonts w:ascii="Garamond" w:hAnsi="Garamond" w:cs="Times"/>
          <w:color w:val="000000" w:themeColor="text1"/>
          <w:sz w:val="20"/>
          <w:szCs w:val="20"/>
        </w:rPr>
        <w:t>]</w:t>
      </w:r>
    </w:p>
    <w:p w14:paraId="66EC7E1E" w14:textId="77777777" w:rsidR="00726E0F" w:rsidRDefault="002607BE" w:rsidP="002607BE">
      <w:pPr>
        <w:spacing w:before="120" w:after="120"/>
        <w:jc w:val="both"/>
        <w:rPr>
          <w:rFonts w:ascii="Garamond" w:hAnsi="Garamond" w:cs="Times"/>
          <w:color w:val="000000" w:themeColor="text1"/>
          <w:sz w:val="20"/>
          <w:szCs w:val="20"/>
        </w:rPr>
      </w:pPr>
      <w:r w:rsidRPr="00516270">
        <w:rPr>
          <w:rFonts w:ascii="Garamond" w:hAnsi="Garamond" w:cs="Times"/>
          <w:color w:val="000000" w:themeColor="text1"/>
          <w:sz w:val="20"/>
          <w:szCs w:val="20"/>
        </w:rPr>
        <w:t xml:space="preserve">This Consolidator grant is a </w:t>
      </w:r>
      <w:r w:rsidRPr="00516270">
        <w:rPr>
          <w:rFonts w:ascii="Garamond" w:hAnsi="Garamond" w:cs="Times"/>
          <w:b/>
          <w:color w:val="000000" w:themeColor="text1"/>
          <w:sz w:val="20"/>
          <w:szCs w:val="20"/>
        </w:rPr>
        <w:t>natural extension of my research program, significantly expanded in ambition and experimental coverage</w:t>
      </w:r>
      <w:r w:rsidRPr="00516270">
        <w:rPr>
          <w:rFonts w:ascii="Garamond" w:hAnsi="Garamond" w:cs="Times"/>
          <w:color w:val="000000" w:themeColor="text1"/>
          <w:sz w:val="20"/>
          <w:szCs w:val="20"/>
        </w:rPr>
        <w:t>. It extends real-time analysis as the stepping stone to new, more sensitive DM searches with broad theoretical motivations</w:t>
      </w:r>
      <w:r w:rsidR="00516270">
        <w:rPr>
          <w:rFonts w:ascii="Garamond" w:hAnsi="Garamond" w:cs="Times"/>
          <w:color w:val="000000" w:themeColor="text1"/>
          <w:sz w:val="20"/>
          <w:szCs w:val="20"/>
        </w:rPr>
        <w:t xml:space="preserve">. It </w:t>
      </w:r>
      <w:r w:rsidR="00726E0F">
        <w:rPr>
          <w:rFonts w:ascii="Garamond" w:hAnsi="Garamond" w:cs="Times"/>
          <w:color w:val="000000" w:themeColor="text1"/>
          <w:sz w:val="20"/>
          <w:szCs w:val="20"/>
        </w:rPr>
        <w:t>enables</w:t>
      </w:r>
      <w:r w:rsidRPr="00516270">
        <w:rPr>
          <w:rFonts w:ascii="Garamond" w:hAnsi="Garamond" w:cs="Times"/>
          <w:color w:val="000000" w:themeColor="text1"/>
          <w:sz w:val="20"/>
          <w:szCs w:val="20"/>
        </w:rPr>
        <w:t xml:space="preserve"> </w:t>
      </w:r>
      <w:r w:rsidR="00516270">
        <w:rPr>
          <w:rFonts w:ascii="Garamond" w:hAnsi="Garamond" w:cs="Times"/>
          <w:color w:val="000000" w:themeColor="text1"/>
          <w:sz w:val="20"/>
          <w:szCs w:val="20"/>
        </w:rPr>
        <w:t xml:space="preserve">my research group and </w:t>
      </w:r>
      <w:r w:rsidR="00726E0F">
        <w:rPr>
          <w:rFonts w:ascii="Garamond" w:hAnsi="Garamond" w:cs="Times"/>
          <w:color w:val="000000" w:themeColor="text1"/>
          <w:sz w:val="20"/>
          <w:szCs w:val="20"/>
        </w:rPr>
        <w:t xml:space="preserve">the </w:t>
      </w:r>
      <w:r w:rsidR="00516270">
        <w:rPr>
          <w:rFonts w:ascii="Garamond" w:hAnsi="Garamond" w:cs="Times"/>
          <w:color w:val="000000" w:themeColor="text1"/>
          <w:sz w:val="20"/>
          <w:szCs w:val="20"/>
        </w:rPr>
        <w:t>ATLAS DM search communit</w:t>
      </w:r>
      <w:r w:rsidR="00726E0F">
        <w:rPr>
          <w:rFonts w:ascii="Garamond" w:hAnsi="Garamond" w:cs="Times"/>
          <w:color w:val="000000" w:themeColor="text1"/>
          <w:sz w:val="20"/>
          <w:szCs w:val="20"/>
        </w:rPr>
        <w:t>y</w:t>
      </w:r>
      <w:r w:rsidR="00516270">
        <w:rPr>
          <w:rFonts w:ascii="Garamond" w:hAnsi="Garamond" w:cs="Times"/>
          <w:color w:val="000000" w:themeColor="text1"/>
          <w:sz w:val="20"/>
          <w:szCs w:val="20"/>
        </w:rPr>
        <w:t xml:space="preserve"> to </w:t>
      </w:r>
      <w:r w:rsidRPr="00516270">
        <w:rPr>
          <w:rFonts w:ascii="Garamond" w:hAnsi="Garamond" w:cs="Times"/>
          <w:color w:val="000000" w:themeColor="text1"/>
          <w:sz w:val="20"/>
          <w:szCs w:val="20"/>
        </w:rPr>
        <w:t xml:space="preserve">make a major contribution to the global DM landscape. </w:t>
      </w:r>
    </w:p>
    <w:p w14:paraId="1DD767E2" w14:textId="0AD9F72F" w:rsidR="002607BE" w:rsidRPr="00516270" w:rsidRDefault="002607BE" w:rsidP="002607BE">
      <w:pPr>
        <w:spacing w:before="120" w:after="120"/>
        <w:jc w:val="both"/>
        <w:rPr>
          <w:rFonts w:ascii="Garamond" w:hAnsi="Garamond" w:cs="Times"/>
          <w:color w:val="000000" w:themeColor="text1"/>
          <w:sz w:val="20"/>
          <w:szCs w:val="20"/>
        </w:rPr>
      </w:pPr>
      <w:r w:rsidRPr="00516270">
        <w:rPr>
          <w:rFonts w:ascii="Garamond" w:hAnsi="Garamond" w:cs="Times"/>
          <w:color w:val="000000" w:themeColor="text1"/>
          <w:sz w:val="20"/>
          <w:szCs w:val="20"/>
        </w:rPr>
        <w:t xml:space="preserve">This grant would establish me further as a leader in my field and responsible for a research program with implications beyond high energy physics. </w:t>
      </w:r>
    </w:p>
    <w:p w14:paraId="0A73F700" w14:textId="77777777" w:rsidR="002607BE" w:rsidRPr="00516270" w:rsidRDefault="002607BE" w:rsidP="00910334">
      <w:pPr>
        <w:spacing w:before="120" w:after="120"/>
        <w:jc w:val="both"/>
        <w:rPr>
          <w:rFonts w:ascii="Garamond" w:eastAsiaTheme="minorHAnsi" w:hAnsi="Garamond" w:cs="Times"/>
          <w:color w:val="000000"/>
          <w:sz w:val="20"/>
          <w:szCs w:val="20"/>
        </w:rPr>
      </w:pPr>
    </w:p>
    <w:sectPr w:rsidR="002607BE" w:rsidRPr="00516270" w:rsidSect="00516270">
      <w:headerReference w:type="default" r:id="rId8"/>
      <w:headerReference w:type="first" r:id="rId9"/>
      <w:pgSz w:w="11900" w:h="16840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8050B1" w14:textId="77777777" w:rsidR="00BB1C7B" w:rsidRDefault="00BB1C7B" w:rsidP="004928F7">
      <w:r>
        <w:separator/>
      </w:r>
    </w:p>
  </w:endnote>
  <w:endnote w:type="continuationSeparator" w:id="0">
    <w:p w14:paraId="01293BE5" w14:textId="77777777" w:rsidR="00BB1C7B" w:rsidRDefault="00BB1C7B" w:rsidP="00492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Garamond">
    <w:altName w:val="Courier New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2A0BA4" w14:textId="77777777" w:rsidR="00BB1C7B" w:rsidRDefault="00BB1C7B" w:rsidP="004928F7">
      <w:r>
        <w:separator/>
      </w:r>
    </w:p>
  </w:footnote>
  <w:footnote w:type="continuationSeparator" w:id="0">
    <w:p w14:paraId="105055B7" w14:textId="77777777" w:rsidR="00BB1C7B" w:rsidRDefault="00BB1C7B" w:rsidP="00492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83E795" w14:textId="2BF3C768" w:rsidR="00B979A2" w:rsidRPr="00B979A2" w:rsidRDefault="00B979A2" w:rsidP="00B979A2">
    <w:pPr>
      <w:widowControl w:val="0"/>
      <w:autoSpaceDE w:val="0"/>
      <w:autoSpaceDN w:val="0"/>
      <w:adjustRightInd w:val="0"/>
      <w:spacing w:after="240"/>
      <w:contextualSpacing/>
      <w:jc w:val="center"/>
      <w:outlineLvl w:val="0"/>
      <w:rPr>
        <w:rFonts w:ascii="Garamond" w:hAnsi="Garamond"/>
        <w:color w:val="000000" w:themeColor="text1"/>
      </w:rPr>
    </w:pPr>
    <w:r w:rsidRPr="00D57F7E">
      <w:rPr>
        <w:rFonts w:ascii="Garamond" w:hAnsi="Garamond"/>
        <w:color w:val="000000" w:themeColor="text1"/>
      </w:rPr>
      <w:t xml:space="preserve">Caterina Doglioni - Lund University - D. Phil, Oxford University, 16/12/2011 </w:t>
    </w:r>
    <w:r>
      <w:rPr>
        <w:rFonts w:ascii="Garamond" w:hAnsi="Garamond"/>
        <w:color w:val="000000" w:themeColor="text1"/>
      </w:rPr>
      <w:t>–</w:t>
    </w:r>
    <w:r w:rsidRPr="00D57F7E">
      <w:rPr>
        <w:rFonts w:ascii="Garamond" w:hAnsi="Garamond"/>
        <w:color w:val="000000" w:themeColor="text1"/>
      </w:rPr>
      <w:t xml:space="preserve"> 8407273427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C41ECC" w14:textId="6C62907A" w:rsidR="003C603E" w:rsidRPr="003C603E" w:rsidRDefault="003C603E" w:rsidP="003C603E">
    <w:pPr>
      <w:widowControl w:val="0"/>
      <w:autoSpaceDE w:val="0"/>
      <w:autoSpaceDN w:val="0"/>
      <w:adjustRightInd w:val="0"/>
      <w:spacing w:after="240"/>
      <w:contextualSpacing/>
      <w:jc w:val="center"/>
      <w:outlineLvl w:val="0"/>
      <w:rPr>
        <w:rFonts w:ascii="Garamond" w:hAnsi="Garamond"/>
        <w:color w:val="000000" w:themeColor="text1"/>
      </w:rPr>
    </w:pPr>
    <w:r w:rsidRPr="00D57F7E">
      <w:rPr>
        <w:rFonts w:ascii="Garamond" w:hAnsi="Garamond"/>
        <w:color w:val="000000" w:themeColor="text1"/>
      </w:rPr>
      <w:t xml:space="preserve">Caterina Doglioni - Lund University - D. Phil, Oxford University, 16/12/2011 </w:t>
    </w:r>
    <w:r>
      <w:rPr>
        <w:rFonts w:ascii="Garamond" w:hAnsi="Garamond"/>
        <w:color w:val="000000" w:themeColor="text1"/>
      </w:rPr>
      <w:t>–</w:t>
    </w:r>
    <w:r w:rsidRPr="00D57F7E">
      <w:rPr>
        <w:rFonts w:ascii="Garamond" w:hAnsi="Garamond"/>
        <w:color w:val="000000" w:themeColor="text1"/>
      </w:rPr>
      <w:t xml:space="preserve"> 8407273427</w:t>
    </w:r>
    <w:r>
      <w:rPr>
        <w:rFonts w:ascii="Garamond" w:hAnsi="Garamond"/>
        <w:color w:val="000000" w:themeColor="text1"/>
      </w:rPr>
      <w:br/>
    </w:r>
    <w:r w:rsidR="002607BE">
      <w:rPr>
        <w:rFonts w:ascii="Garamond" w:hAnsi="Garamond"/>
        <w:b/>
        <w:bCs/>
        <w:color w:val="000000"/>
      </w:rPr>
      <w:t>Funding ID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9DD68A2"/>
    <w:multiLevelType w:val="hybridMultilevel"/>
    <w:tmpl w:val="E8E2A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705AD"/>
    <w:multiLevelType w:val="hybridMultilevel"/>
    <w:tmpl w:val="9EA0FA1A"/>
    <w:lvl w:ilvl="0" w:tplc="9118E610">
      <w:numFmt w:val="bullet"/>
      <w:lvlText w:val="-"/>
      <w:lvlJc w:val="left"/>
      <w:pPr>
        <w:ind w:left="720" w:hanging="360"/>
      </w:pPr>
      <w:rPr>
        <w:rFonts w:ascii="Garamond" w:eastAsiaTheme="minorHAnsi" w:hAnsi="Garamond" w:cs="Trebuchet M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7607E"/>
    <w:multiLevelType w:val="hybridMultilevel"/>
    <w:tmpl w:val="6E309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8F7"/>
    <w:rsid w:val="0004745F"/>
    <w:rsid w:val="00070C2E"/>
    <w:rsid w:val="00076310"/>
    <w:rsid w:val="00081175"/>
    <w:rsid w:val="000904E1"/>
    <w:rsid w:val="000C44E4"/>
    <w:rsid w:val="00107A46"/>
    <w:rsid w:val="00147FD0"/>
    <w:rsid w:val="00150473"/>
    <w:rsid w:val="00173D5D"/>
    <w:rsid w:val="00183E8C"/>
    <w:rsid w:val="00196AD5"/>
    <w:rsid w:val="001979B3"/>
    <w:rsid w:val="001F65D4"/>
    <w:rsid w:val="00201111"/>
    <w:rsid w:val="00216A12"/>
    <w:rsid w:val="00223DF9"/>
    <w:rsid w:val="00226E08"/>
    <w:rsid w:val="00241587"/>
    <w:rsid w:val="00244271"/>
    <w:rsid w:val="002607BE"/>
    <w:rsid w:val="0027311C"/>
    <w:rsid w:val="002772E2"/>
    <w:rsid w:val="002975B1"/>
    <w:rsid w:val="002A2AE2"/>
    <w:rsid w:val="002C13C2"/>
    <w:rsid w:val="002F6273"/>
    <w:rsid w:val="00302494"/>
    <w:rsid w:val="00314F1D"/>
    <w:rsid w:val="003277AA"/>
    <w:rsid w:val="00340B09"/>
    <w:rsid w:val="00361DD5"/>
    <w:rsid w:val="003975A4"/>
    <w:rsid w:val="003C603E"/>
    <w:rsid w:val="003C6ABE"/>
    <w:rsid w:val="003D6D81"/>
    <w:rsid w:val="00421EBF"/>
    <w:rsid w:val="00437E76"/>
    <w:rsid w:val="00451769"/>
    <w:rsid w:val="00461F07"/>
    <w:rsid w:val="0048705A"/>
    <w:rsid w:val="004928F7"/>
    <w:rsid w:val="00497214"/>
    <w:rsid w:val="004C6F57"/>
    <w:rsid w:val="004D2CF6"/>
    <w:rsid w:val="00516270"/>
    <w:rsid w:val="0051700F"/>
    <w:rsid w:val="00567E45"/>
    <w:rsid w:val="00575409"/>
    <w:rsid w:val="0057606E"/>
    <w:rsid w:val="00595987"/>
    <w:rsid w:val="00597E69"/>
    <w:rsid w:val="005A25BB"/>
    <w:rsid w:val="005A2E90"/>
    <w:rsid w:val="005A61DC"/>
    <w:rsid w:val="005B076B"/>
    <w:rsid w:val="005B2DBB"/>
    <w:rsid w:val="005C2538"/>
    <w:rsid w:val="005E482E"/>
    <w:rsid w:val="005F3C10"/>
    <w:rsid w:val="00605D2C"/>
    <w:rsid w:val="0061647C"/>
    <w:rsid w:val="00644293"/>
    <w:rsid w:val="006737F5"/>
    <w:rsid w:val="006E368E"/>
    <w:rsid w:val="006F64AD"/>
    <w:rsid w:val="00726E0F"/>
    <w:rsid w:val="007305BD"/>
    <w:rsid w:val="00734D9F"/>
    <w:rsid w:val="00755983"/>
    <w:rsid w:val="00781660"/>
    <w:rsid w:val="00797023"/>
    <w:rsid w:val="007A2284"/>
    <w:rsid w:val="00802F6E"/>
    <w:rsid w:val="0083059F"/>
    <w:rsid w:val="00841C7D"/>
    <w:rsid w:val="00850DBB"/>
    <w:rsid w:val="008A468C"/>
    <w:rsid w:val="008D001A"/>
    <w:rsid w:val="008F55C3"/>
    <w:rsid w:val="00910334"/>
    <w:rsid w:val="00945C32"/>
    <w:rsid w:val="0095262D"/>
    <w:rsid w:val="009740D0"/>
    <w:rsid w:val="009A3B1C"/>
    <w:rsid w:val="009A3B57"/>
    <w:rsid w:val="009C2F60"/>
    <w:rsid w:val="009C4807"/>
    <w:rsid w:val="009C5EDD"/>
    <w:rsid w:val="009D2F11"/>
    <w:rsid w:val="009E48BD"/>
    <w:rsid w:val="00A26394"/>
    <w:rsid w:val="00A54D72"/>
    <w:rsid w:val="00A812C6"/>
    <w:rsid w:val="00A93646"/>
    <w:rsid w:val="00AC07D3"/>
    <w:rsid w:val="00AD0ADA"/>
    <w:rsid w:val="00B11521"/>
    <w:rsid w:val="00B979A2"/>
    <w:rsid w:val="00BA7829"/>
    <w:rsid w:val="00BB1C7B"/>
    <w:rsid w:val="00BE5C0D"/>
    <w:rsid w:val="00C32F53"/>
    <w:rsid w:val="00C55B2E"/>
    <w:rsid w:val="00C743FC"/>
    <w:rsid w:val="00CD4661"/>
    <w:rsid w:val="00CD74DF"/>
    <w:rsid w:val="00CF5FE1"/>
    <w:rsid w:val="00D101EC"/>
    <w:rsid w:val="00D35EF1"/>
    <w:rsid w:val="00D551DD"/>
    <w:rsid w:val="00DA1DA2"/>
    <w:rsid w:val="00DC3B06"/>
    <w:rsid w:val="00DC6310"/>
    <w:rsid w:val="00DD418C"/>
    <w:rsid w:val="00DF36EE"/>
    <w:rsid w:val="00E56749"/>
    <w:rsid w:val="00E814A7"/>
    <w:rsid w:val="00E920AC"/>
    <w:rsid w:val="00F03664"/>
    <w:rsid w:val="00F3460B"/>
    <w:rsid w:val="00F44625"/>
    <w:rsid w:val="00FD19B5"/>
    <w:rsid w:val="00FF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B63F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277AA"/>
    <w:rPr>
      <w:rFonts w:ascii="Times New Roman" w:eastAsia="Times New Roman" w:hAnsi="Times New Roman" w:cs="Times New Roman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semiHidden/>
    <w:rsid w:val="004928F7"/>
    <w:rPr>
      <w:color w:val="0000FF"/>
      <w:u w:val="single"/>
    </w:rPr>
  </w:style>
  <w:style w:type="paragraph" w:styleId="Fotnotstext">
    <w:name w:val="footnote text"/>
    <w:basedOn w:val="Normal"/>
    <w:link w:val="FotnotstextChar"/>
    <w:uiPriority w:val="99"/>
    <w:unhideWhenUsed/>
    <w:rsid w:val="004928F7"/>
    <w:rPr>
      <w:rFonts w:ascii="AGaramond" w:hAnsi="AGaramond"/>
      <w:lang w:val="sv-SE" w:eastAsia="sv-SE"/>
    </w:rPr>
  </w:style>
  <w:style w:type="character" w:customStyle="1" w:styleId="FotnotstextChar">
    <w:name w:val="Fotnotstext Char"/>
    <w:basedOn w:val="Standardstycketeckensnitt"/>
    <w:link w:val="Fotnotstext"/>
    <w:uiPriority w:val="99"/>
    <w:rsid w:val="004928F7"/>
    <w:rPr>
      <w:rFonts w:ascii="AGaramond" w:eastAsia="Times New Roman" w:hAnsi="AGaramond" w:cs="Times New Roman"/>
      <w:lang w:val="sv-SE" w:eastAsia="sv-SE"/>
    </w:rPr>
  </w:style>
  <w:style w:type="character" w:styleId="Fotnotsreferens">
    <w:name w:val="footnote reference"/>
    <w:basedOn w:val="Standardstycketeckensnitt"/>
    <w:uiPriority w:val="99"/>
    <w:unhideWhenUsed/>
    <w:rsid w:val="004928F7"/>
    <w:rPr>
      <w:vertAlign w:val="superscript"/>
    </w:rPr>
  </w:style>
  <w:style w:type="paragraph" w:styleId="Liststycke">
    <w:name w:val="List Paragraph"/>
    <w:basedOn w:val="Normal"/>
    <w:uiPriority w:val="34"/>
    <w:qFormat/>
    <w:rsid w:val="00A54D72"/>
    <w:pPr>
      <w:spacing w:after="200" w:line="276" w:lineRule="auto"/>
      <w:ind w:left="720"/>
      <w:contextualSpacing/>
      <w:jc w:val="both"/>
    </w:pPr>
    <w:rPr>
      <w:rFonts w:asciiTheme="minorHAnsi" w:eastAsiaTheme="minorEastAsia" w:hAnsiTheme="minorHAnsi" w:cstheme="minorBidi"/>
      <w:sz w:val="20"/>
      <w:szCs w:val="20"/>
    </w:rPr>
  </w:style>
  <w:style w:type="paragraph" w:customStyle="1" w:styleId="p1">
    <w:name w:val="p1"/>
    <w:basedOn w:val="Normal"/>
    <w:rsid w:val="00A54D72"/>
    <w:pPr>
      <w:spacing w:after="200" w:line="276" w:lineRule="auto"/>
      <w:jc w:val="both"/>
    </w:pPr>
    <w:rPr>
      <w:rFonts w:ascii="Arial" w:eastAsiaTheme="minorEastAsia" w:hAnsi="Arial" w:cs="Arial"/>
      <w:color w:val="707070"/>
      <w:sz w:val="22"/>
      <w:szCs w:val="22"/>
    </w:rPr>
  </w:style>
  <w:style w:type="paragraph" w:styleId="HTML-frformaterad">
    <w:name w:val="HTML Preformatted"/>
    <w:basedOn w:val="Normal"/>
    <w:link w:val="HTML-frformateradChar"/>
    <w:uiPriority w:val="99"/>
    <w:unhideWhenUsed/>
    <w:rsid w:val="00597E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rsid w:val="00597E69"/>
    <w:rPr>
      <w:rFonts w:ascii="Courier New" w:hAnsi="Courier New" w:cs="Courier New"/>
      <w:sz w:val="20"/>
      <w:szCs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6737F5"/>
    <w:rPr>
      <w:color w:val="954F72" w:themeColor="followedHyperlink"/>
      <w:u w:val="single"/>
    </w:rPr>
  </w:style>
  <w:style w:type="paragraph" w:styleId="Sidhuvud">
    <w:name w:val="header"/>
    <w:basedOn w:val="Normal"/>
    <w:link w:val="SidhuvudChar"/>
    <w:uiPriority w:val="99"/>
    <w:unhideWhenUsed/>
    <w:rsid w:val="00B979A2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B979A2"/>
    <w:rPr>
      <w:rFonts w:ascii="Times New Roman" w:eastAsia="Times New Roman" w:hAnsi="Times New Roman" w:cs="Times New Roman"/>
    </w:rPr>
  </w:style>
  <w:style w:type="paragraph" w:styleId="Sidfot">
    <w:name w:val="footer"/>
    <w:basedOn w:val="Normal"/>
    <w:link w:val="SidfotChar"/>
    <w:uiPriority w:val="99"/>
    <w:unhideWhenUsed/>
    <w:rsid w:val="00B979A2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B979A2"/>
    <w:rPr>
      <w:rFonts w:ascii="Times New Roman" w:eastAsia="Times New Roman" w:hAnsi="Times New Roman" w:cs="Times New Roman"/>
    </w:rPr>
  </w:style>
  <w:style w:type="table" w:styleId="Tabellrutnt">
    <w:name w:val="Table Grid"/>
    <w:basedOn w:val="Normaltabell"/>
    <w:uiPriority w:val="39"/>
    <w:rsid w:val="009C48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BE5C0D"/>
    <w:rPr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BE5C0D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D171B3A-2ADB-E048-9338-B628D071D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370</Words>
  <Characters>1963</Characters>
  <Application>Microsoft Office Word</Application>
  <DocSecurity>0</DocSecurity>
  <Lines>16</Lines>
  <Paragraphs>4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Lund University</Company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Caterina Doglioni</dc:creator>
  <cp:keywords/>
  <dc:description/>
  <cp:lastModifiedBy>Caterina Doglioni</cp:lastModifiedBy>
  <cp:revision>5</cp:revision>
  <cp:lastPrinted>2019-01-18T08:02:00Z</cp:lastPrinted>
  <dcterms:created xsi:type="dcterms:W3CDTF">2020-01-06T11:01:00Z</dcterms:created>
  <dcterms:modified xsi:type="dcterms:W3CDTF">2020-01-06T11:21:00Z</dcterms:modified>
</cp:coreProperties>
</file>