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26241F"/>
          <w:sz w:val="44"/>
          <w:szCs w:val="44"/>
        </w:rPr>
        <w:t xml:space="preserve">Mobile Performance Diagnosis</w:t>
      </w:r>
    </w:p>
    <w:p>
      <w:pPr>
        <w:spacing w:after="60"/>
      </w:pPr>
      <w:r>
        <w:rPr>
          <w:color w:val="56523F"/>
          <w:sz w:val="26"/>
          <w:szCs w:val="26"/>
        </w:rPr>
        <w:t xml:space="preserve">sso.rajasthan.gov.in — Rajasthan Single Sign-On Portal</w:t>
      </w:r>
    </w:p>
    <w:p>
      <w:pPr>
        <w:pBdr>
          <w:bottom w:val="single" w:color="D8CFB4" w:sz="6"/>
        </w:pBdr>
        <w:spacing w:after="300"/>
      </w:pPr>
      <w:r>
        <w:rPr>
          <w:i/>
          <w:iCs/>
          <w:color w:val="888888"/>
          <w:sz w:val="20"/>
          <w:szCs w:val="20"/>
        </w:rPr>
        <w:t xml:space="preserve">Prepared for: Digital Heroes — Web Development Task B      |      Tool: Google PageSpeed Insights / Lighthouse (Mobile)</w:t>
      </w:r>
    </w:p>
    <w:p>
      <w:pPr>
        <w:pStyle w:val="Heading1"/>
        <w:spacing w:after="150" w:before="300"/>
      </w:pPr>
      <w:r>
        <w:t xml:space="preserve">1. Why This Site</w:t>
      </w:r>
    </w:p>
    <w:p>
      <w:pPr>
        <w:spacing w:after="120"/>
      </w:pPr>
      <w:r>
        <w:t xml:space="preserve">sso.rajasthan.gov.in is the Rajasthan government's Single Sign-On portal, giving citizens a single login for 100+ state services (e-Mitra, scholarships, land records, recruitment, pensions). It is public infrastructure, not a marketing site, which makes performance a citizen-access issue rather than a conversion-rate issue: every extra second of instability or delay is friction for someone trying to reach a government service, often on a modest phone and an inconsistent connection.</w:t>
      </w:r>
    </w:p>
    <w:p>
      <w:pPr>
        <w:pStyle w:val="Heading1"/>
        <w:spacing w:after="150" w:before="300"/>
      </w:pPr>
      <w:r>
        <w:t xml:space="preserve">2. Core Web Vitals: Field Data vs. Lab Data</w:t>
      </w:r>
    </w:p>
    <w:p>
      <w:pPr>
        <w:spacing w:after="120"/>
      </w:pPr>
      <w:r>
        <w:t xml:space="preserve">Two different pictures emerge depending on how the site is measured, and the gap between them is itself a finding.</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400"/>
      </w:tblGrid>
      <w:tr>
        <w:trPr>
          <w:tblHeader/>
        </w:trPr>
        <w:tc>
          <w:tcPr>
            <w:tcW w:type="dxa" w:w="2600"/>
            <w:shd w:fill="26241F" w:val="clear"/>
            <w:tcMar>
              <w:top w:type="dxa" w:w="80"/>
              <w:left w:type="dxa" w:w="100"/>
              <w:bottom w:type="dxa" w:w="80"/>
              <w:right w:type="dxa" w:w="100"/>
            </w:tcMar>
          </w:tcPr>
          <w:p>
            <w:pPr>
              <w:jc w:val="left"/>
            </w:pPr>
            <w:r>
              <w:rPr>
                <w:b/>
                <w:bCs/>
                <w:color w:val="FFFFFF"/>
              </w:rPr>
              <w:t xml:space="preserve">Metric</w:t>
            </w:r>
          </w:p>
        </w:tc>
        <w:tc>
          <w:tcPr>
            <w:tcW w:type="dxa" w:w="3400"/>
            <w:shd w:fill="26241F" w:val="clear"/>
            <w:tcMar>
              <w:top w:type="dxa" w:w="80"/>
              <w:left w:type="dxa" w:w="100"/>
              <w:bottom w:type="dxa" w:w="80"/>
              <w:right w:type="dxa" w:w="100"/>
            </w:tcMar>
          </w:tcPr>
          <w:p>
            <w:pPr>
              <w:jc w:val="left"/>
            </w:pPr>
            <w:r>
              <w:rPr>
                <w:b/>
                <w:bCs/>
                <w:color w:val="FFFFFF"/>
              </w:rPr>
              <w:t xml:space="preserve">Field Data (Real Users, 28-day)</w:t>
            </w:r>
          </w:p>
        </w:tc>
        <w:tc>
          <w:tcPr>
            <w:tcW w:type="dxa" w:w="3400"/>
            <w:shd w:fill="26241F" w:val="clear"/>
            <w:tcMar>
              <w:top w:type="dxa" w:w="80"/>
              <w:left w:type="dxa" w:w="100"/>
              <w:bottom w:type="dxa" w:w="80"/>
              <w:right w:type="dxa" w:w="100"/>
            </w:tcMar>
          </w:tcPr>
          <w:p>
            <w:pPr>
              <w:jc w:val="left"/>
            </w:pPr>
            <w:r>
              <w:rPr>
                <w:b/>
                <w:bCs/>
                <w:color w:val="FFFFFF"/>
              </w:rPr>
              <w:t xml:space="preserve">Lab Data (Lighthouse, Mobile)</w:t>
            </w:r>
          </w:p>
        </w:tc>
      </w:tr>
      <w:tr>
        <w:tc>
          <w:tcPr>
            <w:tcW w:type="dxa" w:w="2600"/>
            <w:tcMar>
              <w:top w:type="dxa" w:w="80"/>
              <w:left w:type="dxa" w:w="100"/>
              <w:bottom w:type="dxa" w:w="80"/>
              <w:right w:type="dxa" w:w="100"/>
            </w:tcMar>
          </w:tcPr>
          <w:p>
            <w:pPr>
              <w:jc w:val="left"/>
            </w:pPr>
            <w:r>
              <w:rPr>
                <w:b/>
                <w:bCs/>
                <w:color w:val="000000"/>
              </w:rPr>
              <w:t xml:space="preserve">LCP</w:t>
            </w:r>
          </w:p>
        </w:tc>
        <w:tc>
          <w:tcPr>
            <w:tcW w:type="dxa" w:w="3400"/>
            <w:tcMar>
              <w:top w:type="dxa" w:w="80"/>
              <w:left w:type="dxa" w:w="100"/>
              <w:bottom w:type="dxa" w:w="80"/>
              <w:right w:type="dxa" w:w="100"/>
            </w:tcMar>
          </w:tcPr>
          <w:p>
            <w:pPr>
              <w:jc w:val="left"/>
            </w:pPr>
            <w:r>
              <w:rPr>
                <w:b w:val="false"/>
                <w:bCs w:val="false"/>
                <w:color w:val="3F5B44"/>
              </w:rPr>
              <w:t xml:space="preserve">1.2s — Good</w:t>
            </w:r>
          </w:p>
        </w:tc>
        <w:tc>
          <w:tcPr>
            <w:tcW w:type="dxa" w:w="3400"/>
            <w:tcMar>
              <w:top w:type="dxa" w:w="80"/>
              <w:left w:type="dxa" w:w="100"/>
              <w:bottom w:type="dxa" w:w="80"/>
              <w:right w:type="dxa" w:w="100"/>
            </w:tcMar>
          </w:tcPr>
          <w:p>
            <w:pPr>
              <w:jc w:val="left"/>
            </w:pPr>
            <w:r>
              <w:rPr>
                <w:b w:val="false"/>
                <w:bCs w:val="false"/>
                <w:color w:val="3F5B44"/>
              </w:rPr>
              <w:t xml:space="preserve">1.5s — Good</w:t>
            </w:r>
          </w:p>
        </w:tc>
      </w:tr>
      <w:tr>
        <w:tc>
          <w:tcPr>
            <w:tcW w:type="dxa" w:w="2600"/>
            <w:tcMar>
              <w:top w:type="dxa" w:w="80"/>
              <w:left w:type="dxa" w:w="100"/>
              <w:bottom w:type="dxa" w:w="80"/>
              <w:right w:type="dxa" w:w="100"/>
            </w:tcMar>
          </w:tcPr>
          <w:p>
            <w:pPr>
              <w:jc w:val="left"/>
            </w:pPr>
            <w:r>
              <w:rPr>
                <w:b/>
                <w:bCs/>
                <w:color w:val="000000"/>
              </w:rPr>
              <w:t xml:space="preserve">INP</w:t>
            </w:r>
          </w:p>
        </w:tc>
        <w:tc>
          <w:tcPr>
            <w:tcW w:type="dxa" w:w="3400"/>
            <w:tcMar>
              <w:top w:type="dxa" w:w="80"/>
              <w:left w:type="dxa" w:w="100"/>
              <w:bottom w:type="dxa" w:w="80"/>
              <w:right w:type="dxa" w:w="100"/>
            </w:tcMar>
          </w:tcPr>
          <w:p>
            <w:pPr>
              <w:jc w:val="left"/>
            </w:pPr>
            <w:r>
              <w:rPr>
                <w:b w:val="false"/>
                <w:bCs w:val="false"/>
                <w:color w:val="B8860B"/>
              </w:rPr>
              <w:t xml:space="preserve">295ms — Needs Improvement</w:t>
            </w:r>
          </w:p>
        </w:tc>
        <w:tc>
          <w:tcPr>
            <w:tcW w:type="dxa" w:w="3400"/>
            <w:tcMar>
              <w:top w:type="dxa" w:w="80"/>
              <w:left w:type="dxa" w:w="100"/>
              <w:bottom w:type="dxa" w:w="80"/>
              <w:right w:type="dxa" w:w="100"/>
            </w:tcMar>
          </w:tcPr>
          <w:p>
            <w:pPr>
              <w:jc w:val="left"/>
            </w:pPr>
            <w:r>
              <w:rPr>
                <w:b w:val="false"/>
                <w:bCs w:val="false"/>
                <w:color w:val="444444"/>
              </w:rPr>
              <w:t xml:space="preserve">n/a (TBT: 0ms)</w:t>
            </w:r>
          </w:p>
        </w:tc>
      </w:tr>
      <w:tr>
        <w:tc>
          <w:tcPr>
            <w:tcW w:type="dxa" w:w="2600"/>
            <w:tcMar>
              <w:top w:type="dxa" w:w="80"/>
              <w:left w:type="dxa" w:w="100"/>
              <w:bottom w:type="dxa" w:w="80"/>
              <w:right w:type="dxa" w:w="100"/>
            </w:tcMar>
          </w:tcPr>
          <w:p>
            <w:pPr>
              <w:jc w:val="left"/>
            </w:pPr>
            <w:r>
              <w:rPr>
                <w:b/>
                <w:bCs/>
                <w:color w:val="000000"/>
              </w:rPr>
              <w:t xml:space="preserve">CLS</w:t>
            </w:r>
          </w:p>
        </w:tc>
        <w:tc>
          <w:tcPr>
            <w:tcW w:type="dxa" w:w="3400"/>
            <w:tcMar>
              <w:top w:type="dxa" w:w="80"/>
              <w:left w:type="dxa" w:w="100"/>
              <w:bottom w:type="dxa" w:w="80"/>
              <w:right w:type="dxa" w:w="100"/>
            </w:tcMar>
          </w:tcPr>
          <w:p>
            <w:pPr>
              <w:jc w:val="left"/>
            </w:pPr>
            <w:r>
              <w:rPr>
                <w:b w:val="false"/>
                <w:bCs w:val="false"/>
                <w:color w:val="3F5B44"/>
              </w:rPr>
              <w:t xml:space="preserve">0 — Good</w:t>
            </w:r>
          </w:p>
        </w:tc>
        <w:tc>
          <w:tcPr>
            <w:tcW w:type="dxa" w:w="3400"/>
            <w:tcMar>
              <w:top w:type="dxa" w:w="80"/>
              <w:left w:type="dxa" w:w="100"/>
              <w:bottom w:type="dxa" w:w="80"/>
              <w:right w:type="dxa" w:w="100"/>
            </w:tcMar>
          </w:tcPr>
          <w:p>
            <w:pPr>
              <w:jc w:val="left"/>
            </w:pPr>
            <w:r>
              <w:rPr>
                <w:b w:val="false"/>
                <w:bCs w:val="false"/>
                <w:color w:val="A83C34"/>
              </w:rPr>
              <w:t xml:space="preserve">0.363 — Poor</w:t>
            </w:r>
          </w:p>
        </w:tc>
      </w:tr>
      <w:tr>
        <w:tc>
          <w:tcPr>
            <w:tcW w:type="dxa" w:w="2600"/>
            <w:tcMar>
              <w:top w:type="dxa" w:w="80"/>
              <w:left w:type="dxa" w:w="100"/>
              <w:bottom w:type="dxa" w:w="80"/>
              <w:right w:type="dxa" w:w="100"/>
            </w:tcMar>
          </w:tcPr>
          <w:p>
            <w:pPr>
              <w:jc w:val="left"/>
            </w:pPr>
            <w:r>
              <w:rPr>
                <w:b/>
                <w:bCs/>
                <w:color w:val="000000"/>
              </w:rPr>
              <w:t xml:space="preserve">FCP</w:t>
            </w:r>
          </w:p>
        </w:tc>
        <w:tc>
          <w:tcPr>
            <w:tcW w:type="dxa" w:w="3400"/>
            <w:tcMar>
              <w:top w:type="dxa" w:w="80"/>
              <w:left w:type="dxa" w:w="100"/>
              <w:bottom w:type="dxa" w:w="80"/>
              <w:right w:type="dxa" w:w="100"/>
            </w:tcMar>
          </w:tcPr>
          <w:p>
            <w:pPr>
              <w:jc w:val="left"/>
            </w:pPr>
            <w:r>
              <w:rPr>
                <w:b w:val="false"/>
                <w:bCs w:val="false"/>
                <w:color w:val="3F5B44"/>
              </w:rPr>
              <w:t xml:space="preserve">1.2s — Good</w:t>
            </w:r>
          </w:p>
        </w:tc>
        <w:tc>
          <w:tcPr>
            <w:tcW w:type="dxa" w:w="3400"/>
            <w:tcMar>
              <w:top w:type="dxa" w:w="80"/>
              <w:left w:type="dxa" w:w="100"/>
              <w:bottom w:type="dxa" w:w="80"/>
              <w:right w:type="dxa" w:w="100"/>
            </w:tcMar>
          </w:tcPr>
          <w:p>
            <w:pPr>
              <w:jc w:val="left"/>
            </w:pPr>
            <w:r>
              <w:rPr>
                <w:b w:val="false"/>
                <w:bCs w:val="false"/>
                <w:color w:val="3F5B44"/>
              </w:rPr>
              <w:t xml:space="preserve">0.9s — Good</w:t>
            </w:r>
          </w:p>
        </w:tc>
      </w:tr>
      <w:tr>
        <w:tc>
          <w:tcPr>
            <w:tcW w:type="dxa" w:w="2600"/>
            <w:tcMar>
              <w:top w:type="dxa" w:w="80"/>
              <w:left w:type="dxa" w:w="100"/>
              <w:bottom w:type="dxa" w:w="80"/>
              <w:right w:type="dxa" w:w="100"/>
            </w:tcMar>
          </w:tcPr>
          <w:p>
            <w:pPr>
              <w:jc w:val="left"/>
            </w:pPr>
            <w:r>
              <w:rPr>
                <w:b/>
                <w:bCs/>
                <w:color w:val="000000"/>
              </w:rPr>
              <w:t xml:space="preserve">TTFB</w:t>
            </w:r>
          </w:p>
        </w:tc>
        <w:tc>
          <w:tcPr>
            <w:tcW w:type="dxa" w:w="3400"/>
            <w:tcMar>
              <w:top w:type="dxa" w:w="80"/>
              <w:left w:type="dxa" w:w="100"/>
              <w:bottom w:type="dxa" w:w="80"/>
              <w:right w:type="dxa" w:w="100"/>
            </w:tcMar>
          </w:tcPr>
          <w:p>
            <w:pPr>
              <w:jc w:val="left"/>
            </w:pPr>
            <w:r>
              <w:rPr>
                <w:b w:val="false"/>
                <w:bCs w:val="false"/>
                <w:color w:val="3F5B44"/>
              </w:rPr>
              <w:t xml:space="preserve">0.7s — Good</w:t>
            </w:r>
          </w:p>
        </w:tc>
        <w:tc>
          <w:tcPr>
            <w:tcW w:type="dxa" w:w="3400"/>
            <w:tcMar>
              <w:top w:type="dxa" w:w="80"/>
              <w:left w:type="dxa" w:w="100"/>
              <w:bottom w:type="dxa" w:w="80"/>
              <w:right w:type="dxa" w:w="100"/>
            </w:tcMar>
          </w:tcPr>
          <w:p>
            <w:pPr>
              <w:jc w:val="left"/>
            </w:pPr>
            <w:r>
              <w:rPr>
                <w:b w:val="false"/>
                <w:bCs w:val="false"/>
                <w:color w:val="444444"/>
              </w:rPr>
              <w:t xml:space="preserve">—</w:t>
            </w:r>
          </w:p>
        </w:tc>
      </w:tr>
    </w:tbl>
    <w:p>
      <w:pPr>
        <w:spacing w:after="200"/>
      </w:pPr>
    </w:p>
    <w:p>
      <w:pPr>
        <w:spacing w:after="120"/>
      </w:pPr>
      <w:r>
        <w:rPr>
          <w:i/>
          <w:iCs/>
        </w:rPr>
        <w:t xml:space="preserve">Field data reflects real Chrome users over the last 28 days. Lab data is one simulated Lighthouse run on a throttled mid-range device (Moto G Power, Slow 4G). The Core Web Vitals Assessment is officially "Failed" because of INP, based on real-user data — not something a single lab run would catch, since Lighthouse's lab proxy for INP (Total Blocking Time) reads 0ms.</w:t>
      </w:r>
    </w:p>
    <w:p>
      <w:pPr>
        <w:spacing w:after="120"/>
      </w:pPr>
      <w:r>
        <w:t xml:space="preserve">More strikingly, real users report a CLS of 0 (no layout shift), while the lab test shows a severe 0.363 (Poor). This mismatch means the shift is intermittent — it likely depends on network timing, device speed, or which rotating card happens to be mid-transition when a user loads the page. A slower device or connection is exactly when it is most likely to appear, which matters given this portal serves citizens on a wide range of hardware.</w:t>
      </w:r>
    </w:p>
    <w:p>
      <w:pPr>
        <w:pStyle w:val="Heading1"/>
        <w:spacing w:after="150" w:before="300"/>
      </w:pPr>
      <w:r>
        <w:t xml:space="preserve">3. Root Cause: One Element Causes 98.6% of the Layout Shift</w:t>
      </w:r>
    </w:p>
    <w:p>
      <w:pPr>
        <w:spacing w:after="120"/>
      </w:pPr>
      <w:r>
        <w:t xml:space="preserve">The Lighthouse "Layout shift culprits" audit isolates exactly which elements move and by how much:</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5200"/>
        <w:gridCol w:w="2200"/>
        <w:gridCol w:w="2000"/>
      </w:tblGrid>
      <w:tr>
        <w:trPr>
          <w:tblHeader/>
        </w:trPr>
        <w:tc>
          <w:tcPr>
            <w:tcW w:type="dxa" w:w="5200"/>
            <w:shd w:fill="26241F" w:val="clear"/>
            <w:tcMar>
              <w:top w:type="dxa" w:w="80"/>
              <w:left w:type="dxa" w:w="100"/>
              <w:bottom w:type="dxa" w:w="80"/>
              <w:right w:type="dxa" w:w="100"/>
            </w:tcMar>
          </w:tcPr>
          <w:p>
            <w:pPr>
              <w:jc w:val="left"/>
            </w:pPr>
            <w:r>
              <w:rPr>
                <w:b/>
                <w:bCs/>
                <w:color w:val="FFFFFF"/>
              </w:rPr>
              <w:t xml:space="preserve">Element</w:t>
            </w:r>
          </w:p>
        </w:tc>
        <w:tc>
          <w:tcPr>
            <w:tcW w:type="dxa" w:w="2200"/>
            <w:shd w:fill="26241F" w:val="clear"/>
            <w:tcMar>
              <w:top w:type="dxa" w:w="80"/>
              <w:left w:type="dxa" w:w="100"/>
              <w:bottom w:type="dxa" w:w="80"/>
              <w:right w:type="dxa" w:w="100"/>
            </w:tcMar>
          </w:tcPr>
          <w:p>
            <w:pPr>
              <w:jc w:val="left"/>
            </w:pPr>
            <w:r>
              <w:rPr>
                <w:b/>
                <w:bCs/>
                <w:color w:val="FFFFFF"/>
              </w:rPr>
              <w:t xml:space="preserve">Layout Shift Score</w:t>
            </w:r>
          </w:p>
        </w:tc>
        <w:tc>
          <w:tcPr>
            <w:tcW w:type="dxa" w:w="2000"/>
            <w:shd w:fill="26241F" w:val="clear"/>
            <w:tcMar>
              <w:top w:type="dxa" w:w="80"/>
              <w:left w:type="dxa" w:w="100"/>
              <w:bottom w:type="dxa" w:w="80"/>
              <w:right w:type="dxa" w:w="100"/>
            </w:tcMar>
          </w:tcPr>
          <w:p>
            <w:pPr>
              <w:jc w:val="left"/>
            </w:pPr>
            <w:r>
              <w:rPr>
                <w:b/>
                <w:bCs/>
                <w:color w:val="FFFFFF"/>
              </w:rPr>
              <w:t xml:space="preserve">% of Total</w:t>
            </w:r>
          </w:p>
        </w:tc>
      </w:tr>
      <w:tr>
        <w:tc>
          <w:tcPr>
            <w:tcW w:type="dxa" w:w="5200"/>
            <w:tcMar>
              <w:top w:type="dxa" w:w="80"/>
              <w:left w:type="dxa" w:w="100"/>
              <w:bottom w:type="dxa" w:w="80"/>
              <w:right w:type="dxa" w:w="100"/>
            </w:tcMar>
          </w:tcPr>
          <w:p>
            <w:pPr>
              <w:jc w:val="left"/>
            </w:pPr>
            <w:r>
              <w:rPr>
                <w:b w:val="false"/>
                <w:bCs w:val="false"/>
                <w:color w:val="000000"/>
              </w:rPr>
              <w:t xml:space="preserve">Total (all elements)</w:t>
            </w:r>
          </w:p>
        </w:tc>
        <w:tc>
          <w:tcPr>
            <w:tcW w:type="dxa" w:w="2200"/>
            <w:tcMar>
              <w:top w:type="dxa" w:w="80"/>
              <w:left w:type="dxa" w:w="100"/>
              <w:bottom w:type="dxa" w:w="80"/>
              <w:right w:type="dxa" w:w="100"/>
            </w:tcMar>
          </w:tcPr>
          <w:p>
            <w:pPr>
              <w:jc w:val="left"/>
            </w:pPr>
            <w:r>
              <w:rPr>
                <w:b w:val="false"/>
                <w:bCs w:val="false"/>
                <w:color w:val="000000"/>
              </w:rPr>
              <w:t xml:space="preserve">0.363</w:t>
            </w:r>
          </w:p>
        </w:tc>
        <w:tc>
          <w:tcPr>
            <w:tcW w:type="dxa" w:w="2000"/>
            <w:tcMar>
              <w:top w:type="dxa" w:w="80"/>
              <w:left w:type="dxa" w:w="100"/>
              <w:bottom w:type="dxa" w:w="80"/>
              <w:right w:type="dxa" w:w="100"/>
            </w:tcMar>
          </w:tcPr>
          <w:p>
            <w:pPr>
              <w:jc w:val="left"/>
            </w:pPr>
            <w:r>
              <w:rPr>
                <w:b w:val="false"/>
                <w:bCs w:val="false"/>
                <w:color w:val="000000"/>
              </w:rPr>
              <w:t xml:space="preserve">100%</w:t>
            </w:r>
          </w:p>
        </w:tc>
      </w:tr>
      <w:tr>
        <w:tc>
          <w:tcPr>
            <w:tcW w:type="dxa" w:w="5200"/>
            <w:shd w:fill="FBF0DC" w:val="clear"/>
            <w:tcMar>
              <w:top w:type="dxa" w:w="80"/>
              <w:left w:type="dxa" w:w="100"/>
              <w:bottom w:type="dxa" w:w="80"/>
              <w:right w:type="dxa" w:w="100"/>
            </w:tcMar>
          </w:tcPr>
          <w:p>
            <w:pPr>
              <w:jc w:val="left"/>
            </w:pPr>
            <w:r>
              <w:rPr>
                <w:b w:val="false"/>
                <w:bCs w:val="false"/>
                <w:color w:val="000000"/>
              </w:rPr>
              <w:t xml:space="preserve">"IDENTITIES 34,001,407" stat card (rotating stat carousel)</w:t>
            </w:r>
          </w:p>
        </w:tc>
        <w:tc>
          <w:tcPr>
            <w:tcW w:type="dxa" w:w="2200"/>
            <w:shd w:fill="FBF0DC" w:val="clear"/>
            <w:tcMar>
              <w:top w:type="dxa" w:w="80"/>
              <w:left w:type="dxa" w:w="100"/>
              <w:bottom w:type="dxa" w:w="80"/>
              <w:right w:type="dxa" w:w="100"/>
            </w:tcMar>
          </w:tcPr>
          <w:p>
            <w:pPr>
              <w:jc w:val="left"/>
            </w:pPr>
            <w:r>
              <w:rPr>
                <w:b/>
                <w:bCs/>
                <w:color w:val="000000"/>
              </w:rPr>
              <w:t xml:space="preserve">0.358</w:t>
            </w:r>
          </w:p>
        </w:tc>
        <w:tc>
          <w:tcPr>
            <w:tcW w:type="dxa" w:w="2000"/>
            <w:shd w:fill="FBF0DC" w:val="clear"/>
            <w:tcMar>
              <w:top w:type="dxa" w:w="80"/>
              <w:left w:type="dxa" w:w="100"/>
              <w:bottom w:type="dxa" w:w="80"/>
              <w:right w:type="dxa" w:w="100"/>
            </w:tcMar>
          </w:tcPr>
          <w:p>
            <w:pPr>
              <w:jc w:val="left"/>
            </w:pPr>
            <w:r>
              <w:rPr>
                <w:b/>
                <w:bCs/>
                <w:color w:val="000000"/>
              </w:rPr>
              <w:t xml:space="preserve">98.6%</w:t>
            </w:r>
          </w:p>
        </w:tc>
      </w:tr>
      <w:tr>
        <w:tc>
          <w:tcPr>
            <w:tcW w:type="dxa" w:w="5200"/>
            <w:tcMar>
              <w:top w:type="dxa" w:w="80"/>
              <w:left w:type="dxa" w:w="100"/>
              <w:bottom w:type="dxa" w:w="80"/>
              <w:right w:type="dxa" w:w="100"/>
            </w:tcMar>
          </w:tcPr>
          <w:p>
            <w:pPr>
              <w:jc w:val="left"/>
            </w:pPr>
            <w:r>
              <w:rPr>
                <w:b w:val="false"/>
                <w:bCs w:val="false"/>
                <w:color w:val="000000"/>
              </w:rPr>
              <w:t xml:space="preserve">BISCare-App banner link icon</w:t>
            </w:r>
          </w:p>
        </w:tc>
        <w:tc>
          <w:tcPr>
            <w:tcW w:type="dxa" w:w="2200"/>
            <w:tcMar>
              <w:top w:type="dxa" w:w="80"/>
              <w:left w:type="dxa" w:w="100"/>
              <w:bottom w:type="dxa" w:w="80"/>
              <w:right w:type="dxa" w:w="100"/>
            </w:tcMar>
          </w:tcPr>
          <w:p>
            <w:pPr>
              <w:jc w:val="left"/>
            </w:pPr>
            <w:r>
              <w:rPr>
                <w:b w:val="false"/>
                <w:bCs w:val="false"/>
                <w:color w:val="000000"/>
              </w:rPr>
              <w:t xml:space="preserve">0.004</w:t>
            </w:r>
          </w:p>
        </w:tc>
        <w:tc>
          <w:tcPr>
            <w:tcW w:type="dxa" w:w="2000"/>
            <w:tcMar>
              <w:top w:type="dxa" w:w="80"/>
              <w:left w:type="dxa" w:w="100"/>
              <w:bottom w:type="dxa" w:w="80"/>
              <w:right w:type="dxa" w:w="100"/>
            </w:tcMar>
          </w:tcPr>
          <w:p>
            <w:pPr>
              <w:jc w:val="left"/>
            </w:pPr>
            <w:r>
              <w:rPr>
                <w:b w:val="false"/>
                <w:bCs w:val="false"/>
                <w:color w:val="000000"/>
              </w:rPr>
              <w:t xml:space="preserve">1.1%</w:t>
            </w:r>
          </w:p>
        </w:tc>
      </w:tr>
      <w:tr>
        <w:tc>
          <w:tcPr>
            <w:tcW w:type="dxa" w:w="5200"/>
            <w:tcMar>
              <w:top w:type="dxa" w:w="80"/>
              <w:left w:type="dxa" w:w="100"/>
              <w:bottom w:type="dxa" w:w="80"/>
              <w:right w:type="dxa" w:w="100"/>
            </w:tcMar>
          </w:tcPr>
          <w:p>
            <w:pPr>
              <w:jc w:val="left"/>
            </w:pPr>
            <w:r>
              <w:rPr>
                <w:b w:val="false"/>
                <w:bCs w:val="false"/>
                <w:color w:val="000000"/>
              </w:rPr>
              <w:t xml:space="preserve">#Visitors counter div</w:t>
            </w:r>
          </w:p>
        </w:tc>
        <w:tc>
          <w:tcPr>
            <w:tcW w:type="dxa" w:w="2200"/>
            <w:tcMar>
              <w:top w:type="dxa" w:w="80"/>
              <w:left w:type="dxa" w:w="100"/>
              <w:bottom w:type="dxa" w:w="80"/>
              <w:right w:type="dxa" w:w="100"/>
            </w:tcMar>
          </w:tcPr>
          <w:p>
            <w:pPr>
              <w:jc w:val="left"/>
            </w:pPr>
            <w:r>
              <w:rPr>
                <w:b w:val="false"/>
                <w:bCs w:val="false"/>
                <w:color w:val="000000"/>
              </w:rPr>
              <w:t xml:space="preserve">0.001</w:t>
            </w:r>
          </w:p>
        </w:tc>
        <w:tc>
          <w:tcPr>
            <w:tcW w:type="dxa" w:w="2000"/>
            <w:tcMar>
              <w:top w:type="dxa" w:w="80"/>
              <w:left w:type="dxa" w:w="100"/>
              <w:bottom w:type="dxa" w:w="80"/>
              <w:right w:type="dxa" w:w="100"/>
            </w:tcMar>
          </w:tcPr>
          <w:p>
            <w:pPr>
              <w:jc w:val="left"/>
            </w:pPr>
            <w:r>
              <w:rPr>
                <w:b w:val="false"/>
                <w:bCs w:val="false"/>
                <w:color w:val="000000"/>
              </w:rPr>
              <w:t xml:space="preserve">0.3%</w:t>
            </w:r>
          </w:p>
        </w:tc>
      </w:tr>
      <w:tr>
        <w:tc>
          <w:tcPr>
            <w:tcW w:type="dxa" w:w="5200"/>
            <w:tcMar>
              <w:top w:type="dxa" w:w="80"/>
              <w:left w:type="dxa" w:w="100"/>
              <w:bottom w:type="dxa" w:w="80"/>
              <w:right w:type="dxa" w:w="100"/>
            </w:tcMar>
          </w:tcPr>
          <w:p>
            <w:pPr>
              <w:jc w:val="left"/>
            </w:pPr>
            <w:r>
              <w:rPr>
                <w:b w:val="false"/>
                <w:bCs w:val="false"/>
                <w:color w:val="000000"/>
              </w:rPr>
              <w:t xml:space="preserve">BISCare-App banner image (2nd instance) — flagged as unsized image, score not isolated</w:t>
            </w:r>
          </w:p>
        </w:tc>
        <w:tc>
          <w:tcPr>
            <w:tcW w:type="dxa" w:w="2200"/>
            <w:tcMar>
              <w:top w:type="dxa" w:w="80"/>
              <w:left w:type="dxa" w:w="100"/>
              <w:bottom w:type="dxa" w:w="80"/>
              <w:right w:type="dxa" w:w="100"/>
            </w:tcMar>
          </w:tcPr>
          <w:p>
            <w:pPr>
              <w:jc w:val="left"/>
            </w:pPr>
            <w:r>
              <w:rPr>
                <w:b w:val="false"/>
                <w:bCs w:val="false"/>
                <w:color w:val="000000"/>
              </w:rPr>
              <w:t xml:space="preserve">—</w:t>
            </w:r>
          </w:p>
        </w:tc>
        <w:tc>
          <w:tcPr>
            <w:tcW w:type="dxa" w:w="2000"/>
            <w:tcMar>
              <w:top w:type="dxa" w:w="80"/>
              <w:left w:type="dxa" w:w="100"/>
              <w:bottom w:type="dxa" w:w="80"/>
              <w:right w:type="dxa" w:w="100"/>
            </w:tcMar>
          </w:tcPr>
          <w:p>
            <w:pPr>
              <w:jc w:val="left"/>
            </w:pPr>
            <w:r>
              <w:rPr>
                <w:b w:val="false"/>
                <w:bCs w:val="false"/>
                <w:color w:val="000000"/>
              </w:rPr>
              <w:t xml:space="preserve">—</w:t>
            </w:r>
          </w:p>
        </w:tc>
      </w:tr>
    </w:tbl>
    <w:p>
      <w:pPr>
        <w:spacing w:after="200"/>
      </w:pPr>
    </w:p>
    <w:p>
      <w:pPr>
        <w:spacing w:after="120"/>
      </w:pPr>
      <w:r>
        <w:t xml:space="preserve">The dominant culprit is a rotating stat card reading "IDENTITIES 34,001,407" — part of a carousel that cycles between G2G Apps, G2C/G2B Apps, and Identities counts. Its markup:</w:t>
      </w:r>
    </w:p>
    <w:p>
      <w:pPr>
        <w:spacing w:after="120"/>
      </w:pPr>
      <w:r>
        <w:rPr>
          <w:rFonts w:ascii="Consolas" w:cs="Consolas" w:eastAsia="Consolas" w:hAnsi="Consolas"/>
          <w:color w:val="444444"/>
          <w:sz w:val="18"/>
          <w:szCs w:val="18"/>
        </w:rPr>
        <w:t xml:space="preserve">&lt;div class="item-content color-blue border-bottom" style="height: 189px;"&gt;</w:t>
      </w:r>
    </w:p>
    <w:p>
      <w:pPr>
        <w:spacing w:after="120"/>
      </w:pPr>
      <w:r>
        <w:t xml:space="preserve">The inline height of 189px is set on this specific card, but the carousel's parent container does not appear to reserve that same height for every rotation. When this card swaps in — likely with a numeric counter animation — the surrounding layout shifts to accommodate it. Because this is one specific card in a rotation rather than a permanent fixture, it explains why the problem is intermittent rather than present on every load.</w:t>
      </w:r>
    </w:p>
    <w:p>
      <w:pPr>
        <w:pStyle w:val="Heading1"/>
        <w:spacing w:after="150" w:before="300"/>
      </w:pPr>
      <w:r>
        <w:t xml:space="preserve">4. Secondary Issue: Unsized Images</w:t>
      </w:r>
    </w:p>
    <w:p>
      <w:pPr>
        <w:spacing w:after="120"/>
      </w:pPr>
      <w:r>
        <w:t xml:space="preserve">Lighthouse separately flags three first-party images with no explicit width/height attributes:</w:t>
      </w:r>
    </w:p>
    <w:p>
      <w:pPr>
        <w:pStyle w:val="ListParagraph"/>
        <w:numPr>
          <w:ilvl w:val="0"/>
          <w:numId w:val="1"/>
        </w:numPr>
        <w:spacing w:after="80"/>
      </w:pPr>
      <w:r>
        <w:t xml:space="preserve">public/images/ssoLogo.png — "RajSSO" logo</w:t>
      </w:r>
    </w:p>
    <w:p>
      <w:pPr>
        <w:pStyle w:val="ListParagraph"/>
        <w:numPr>
          <w:ilvl w:val="0"/>
          <w:numId w:val="1"/>
        </w:numPr>
        <w:spacing w:after="80"/>
      </w:pPr>
      <w:r>
        <w:t xml:space="preserve">public/images/BIS_Website1.png — "BIS Website" banner</w:t>
      </w:r>
    </w:p>
    <w:p>
      <w:pPr>
        <w:pStyle w:val="ListParagraph"/>
        <w:numPr>
          <w:ilvl w:val="0"/>
          <w:numId w:val="1"/>
        </w:numPr>
        <w:spacing w:after="80"/>
      </w:pPr>
      <w:r>
        <w:t xml:space="preserve">public/images/BISCare_App1.jpg — "BISCare-App" banner (appears twice; contributes 0.004 to CLS directly, plus an additional unscored instance)</w:t>
      </w:r>
    </w:p>
    <w:p>
      <w:pPr>
        <w:spacing w:after="120"/>
      </w:pPr>
      <w:r>
        <w:t xml:space="preserve">These contribute a smaller, but still avoidable, share of the instability. Unlike the stat carousel, this is a simple, mechanical fix.</w:t>
      </w:r>
    </w:p>
    <w:p>
      <w:pPr>
        <w:pStyle w:val="Heading1"/>
        <w:spacing w:after="150" w:before="300"/>
      </w:pPr>
      <w:r>
        <w:t xml:space="preserve">5. Other Findings (Lower Priority for This Task)</w:t>
      </w:r>
    </w:p>
    <w:p>
      <w:pPr>
        <w:pStyle w:val="ListParagraph"/>
        <w:numPr>
          <w:ilvl w:val="0"/>
          <w:numId w:val="1"/>
        </w:numPr>
        <w:spacing w:after="80"/>
      </w:pPr>
      <w:r>
        <w:t xml:space="preserve">SEO: 50/100 — page is blocked from indexing, links are not crawlable, and there is no meta description. Notable for a citizen-facing portal that people should be able to find via search.</w:t>
      </w:r>
    </w:p>
    <w:p>
      <w:pPr>
        <w:pStyle w:val="ListParagraph"/>
        <w:numPr>
          <w:ilvl w:val="0"/>
          <w:numId w:val="1"/>
        </w:numPr>
        <w:spacing w:after="80"/>
      </w:pPr>
      <w:r>
        <w:t xml:space="preserve">Render-blocking requests: est. 140ms of savings available.</w:t>
      </w:r>
    </w:p>
    <w:p>
      <w:pPr>
        <w:pStyle w:val="ListParagraph"/>
        <w:numPr>
          <w:ilvl w:val="0"/>
          <w:numId w:val="1"/>
        </w:numPr>
        <w:spacing w:after="80"/>
      </w:pPr>
      <w:r>
        <w:t xml:space="preserve">Network dependency tree: flagged, but de-prioritized here since field LCP is already "Good" — real users are not experiencing this as a load-speed problem.</w:t>
      </w:r>
    </w:p>
    <w:p>
      <w:pPr>
        <w:pStyle w:val="ListParagraph"/>
        <w:numPr>
          <w:ilvl w:val="0"/>
          <w:numId w:val="1"/>
        </w:numPr>
        <w:spacing w:after="80"/>
      </w:pPr>
      <w:r>
        <w:t xml:space="preserve">Accessibility: 92/100 — one missing &lt;html lang&gt; attribute.</w:t>
      </w:r>
    </w:p>
    <w:p>
      <w:pPr>
        <w:pStyle w:val="ListParagraph"/>
        <w:numPr>
          <w:ilvl w:val="0"/>
          <w:numId w:val="1"/>
        </w:numPr>
        <w:spacing w:after="80"/>
      </w:pPr>
      <w:r>
        <w:t xml:space="preserve">Best Practices: 100/100.</w:t>
      </w:r>
    </w:p>
    <w:p>
      <w:r>
        <w:br/>
        <w:t xml:space="preserve"/>
      </w:r>
    </w:p>
    <w:p>
      <w:pPr>
        <w:pStyle w:val="Heading1"/>
        <w:spacing w:after="150" w:before="300"/>
      </w:pPr>
      <w:r>
        <w:t xml:space="preserve">6. Prioritized Fix List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500"/>
        <w:gridCol w:w="3600"/>
        <w:gridCol w:w="1700"/>
        <w:gridCol w:w="1700"/>
        <w:gridCol w:w="1900"/>
      </w:tblGrid>
      <w:tr>
        <w:trPr>
          <w:tblHeader/>
        </w:trPr>
        <w:tc>
          <w:tcPr>
            <w:tcW w:type="dxa" w:w="500"/>
            <w:shd w:fill="26241F" w:val="clear"/>
            <w:tcMar>
              <w:top w:type="dxa" w:w="80"/>
              <w:left w:type="dxa" w:w="100"/>
              <w:bottom w:type="dxa" w:w="80"/>
              <w:right w:type="dxa" w:w="100"/>
            </w:tcMar>
          </w:tcPr>
          <w:p>
            <w:pPr>
              <w:jc w:val="left"/>
            </w:pPr>
            <w:r>
              <w:rPr>
                <w:b/>
                <w:bCs/>
                <w:color w:val="FFFFFF"/>
              </w:rPr>
              <w:t xml:space="preserve">#</w:t>
            </w:r>
          </w:p>
        </w:tc>
        <w:tc>
          <w:tcPr>
            <w:tcW w:type="dxa" w:w="3600"/>
            <w:shd w:fill="26241F" w:val="clear"/>
            <w:tcMar>
              <w:top w:type="dxa" w:w="80"/>
              <w:left w:type="dxa" w:w="100"/>
              <w:bottom w:type="dxa" w:w="80"/>
              <w:right w:type="dxa" w:w="100"/>
            </w:tcMar>
          </w:tcPr>
          <w:p>
            <w:pPr>
              <w:jc w:val="left"/>
            </w:pPr>
            <w:r>
              <w:rPr>
                <w:b/>
                <w:bCs/>
                <w:color w:val="FFFFFF"/>
              </w:rPr>
              <w:t xml:space="preserve">Fix</w:t>
            </w:r>
          </w:p>
        </w:tc>
        <w:tc>
          <w:tcPr>
            <w:tcW w:type="dxa" w:w="1700"/>
            <w:shd w:fill="26241F" w:val="clear"/>
            <w:tcMar>
              <w:top w:type="dxa" w:w="80"/>
              <w:left w:type="dxa" w:w="100"/>
              <w:bottom w:type="dxa" w:w="80"/>
              <w:right w:type="dxa" w:w="100"/>
            </w:tcMar>
          </w:tcPr>
          <w:p>
            <w:pPr>
              <w:jc w:val="left"/>
            </w:pPr>
            <w:r>
              <w:rPr>
                <w:b/>
                <w:bCs/>
                <w:color w:val="FFFFFF"/>
              </w:rPr>
              <w:t xml:space="preserve">Impact</w:t>
            </w:r>
          </w:p>
        </w:tc>
        <w:tc>
          <w:tcPr>
            <w:tcW w:type="dxa" w:w="1700"/>
            <w:shd w:fill="26241F" w:val="clear"/>
            <w:tcMar>
              <w:top w:type="dxa" w:w="80"/>
              <w:left w:type="dxa" w:w="100"/>
              <w:bottom w:type="dxa" w:w="80"/>
              <w:right w:type="dxa" w:w="100"/>
            </w:tcMar>
          </w:tcPr>
          <w:p>
            <w:pPr>
              <w:jc w:val="left"/>
            </w:pPr>
            <w:r>
              <w:rPr>
                <w:b/>
                <w:bCs/>
                <w:color w:val="FFFFFF"/>
              </w:rPr>
              <w:t xml:space="preserve">Effort</w:t>
            </w:r>
          </w:p>
        </w:tc>
        <w:tc>
          <w:tcPr>
            <w:tcW w:type="dxa" w:w="1900"/>
            <w:shd w:fill="26241F" w:val="clear"/>
            <w:tcMar>
              <w:top w:type="dxa" w:w="80"/>
              <w:left w:type="dxa" w:w="100"/>
              <w:bottom w:type="dxa" w:w="80"/>
              <w:right w:type="dxa" w:w="100"/>
            </w:tcMar>
          </w:tcPr>
          <w:p>
            <w:pPr>
              <w:jc w:val="left"/>
            </w:pPr>
            <w:r>
              <w:rPr>
                <w:b/>
                <w:bCs/>
                <w:color w:val="FFFFFF"/>
              </w:rPr>
              <w:t xml:space="preserve">Priority</w:t>
            </w:r>
          </w:p>
        </w:tc>
      </w:tr>
      <w:tr>
        <w:tc>
          <w:tcPr>
            <w:tcW w:type="dxa" w:w="500"/>
            <w:shd w:fill="FBF0DC" w:val="clear"/>
            <w:tcMar>
              <w:top w:type="dxa" w:w="80"/>
              <w:left w:type="dxa" w:w="100"/>
              <w:bottom w:type="dxa" w:w="80"/>
              <w:right w:type="dxa" w:w="100"/>
            </w:tcMar>
          </w:tcPr>
          <w:p>
            <w:pPr>
              <w:jc w:val="left"/>
            </w:pPr>
            <w:r>
              <w:rPr>
                <w:b/>
                <w:bCs/>
                <w:color w:val="000000"/>
              </w:rPr>
              <w:t xml:space="preserve">1</w:t>
            </w:r>
          </w:p>
        </w:tc>
        <w:tc>
          <w:tcPr>
            <w:tcW w:type="dxa" w:w="3600"/>
            <w:shd w:fill="FBF0DC" w:val="clear"/>
            <w:tcMar>
              <w:top w:type="dxa" w:w="80"/>
              <w:left w:type="dxa" w:w="100"/>
              <w:bottom w:type="dxa" w:w="80"/>
              <w:right w:type="dxa" w:w="100"/>
            </w:tcMar>
          </w:tcPr>
          <w:p>
            <w:pPr>
              <w:jc w:val="left"/>
            </w:pPr>
            <w:r>
              <w:rPr>
                <w:b w:val="false"/>
                <w:bCs w:val="false"/>
                <w:color w:val="000000"/>
              </w:rPr>
              <w:t xml:space="preserve">Reserve a fixed height on the rotating stat-carousel container (matching the tallest card, incl. IDENTITIES) instead of letting each card's real content dictate height</w:t>
            </w:r>
          </w:p>
        </w:tc>
        <w:tc>
          <w:tcPr>
            <w:tcW w:type="dxa" w:w="1700"/>
            <w:shd w:fill="FBF0DC" w:val="clear"/>
            <w:tcMar>
              <w:top w:type="dxa" w:w="80"/>
              <w:left w:type="dxa" w:w="100"/>
              <w:bottom w:type="dxa" w:w="80"/>
              <w:right w:type="dxa" w:w="100"/>
            </w:tcMar>
          </w:tcPr>
          <w:p>
            <w:pPr>
              <w:jc w:val="left"/>
            </w:pPr>
            <w:r>
              <w:rPr>
                <w:b w:val="false"/>
                <w:bCs w:val="false"/>
                <w:color w:val="000000"/>
              </w:rPr>
              <w:t xml:space="preserve">Very High (fixes 98.6% of CLS)</w:t>
            </w:r>
          </w:p>
        </w:tc>
        <w:tc>
          <w:tcPr>
            <w:tcW w:type="dxa" w:w="1700"/>
            <w:shd w:fill="FBF0DC" w:val="clear"/>
            <w:tcMar>
              <w:top w:type="dxa" w:w="80"/>
              <w:left w:type="dxa" w:w="100"/>
              <w:bottom w:type="dxa" w:w="80"/>
              <w:right w:type="dxa" w:w="100"/>
            </w:tcMar>
          </w:tcPr>
          <w:p>
            <w:pPr>
              <w:jc w:val="left"/>
            </w:pPr>
            <w:r>
              <w:rPr>
                <w:b w:val="false"/>
                <w:bCs w:val="false"/>
                <w:color w:val="000000"/>
              </w:rPr>
              <w:t xml:space="preserve">Low</w:t>
            </w:r>
          </w:p>
        </w:tc>
        <w:tc>
          <w:tcPr>
            <w:tcW w:type="dxa" w:w="1900"/>
            <w:shd w:fill="FBF0DC" w:val="clear"/>
            <w:tcMar>
              <w:top w:type="dxa" w:w="80"/>
              <w:left w:type="dxa" w:w="100"/>
              <w:bottom w:type="dxa" w:w="80"/>
              <w:right w:type="dxa" w:w="100"/>
            </w:tcMar>
          </w:tcPr>
          <w:p>
            <w:pPr>
              <w:jc w:val="left"/>
            </w:pPr>
            <w:r>
              <w:rPr>
                <w:b/>
                <w:bCs/>
                <w:color w:val="000000"/>
              </w:rPr>
              <w:t xml:space="preserve">Do first</w:t>
            </w:r>
          </w:p>
        </w:tc>
      </w:tr>
      <w:tr>
        <w:tc>
          <w:tcPr>
            <w:tcW w:type="dxa" w:w="500"/>
            <w:tcMar>
              <w:top w:type="dxa" w:w="80"/>
              <w:left w:type="dxa" w:w="100"/>
              <w:bottom w:type="dxa" w:w="80"/>
              <w:right w:type="dxa" w:w="100"/>
            </w:tcMar>
          </w:tcPr>
          <w:p>
            <w:pPr>
              <w:jc w:val="left"/>
            </w:pPr>
            <w:r>
              <w:rPr>
                <w:b/>
                <w:bCs/>
                <w:color w:val="000000"/>
              </w:rPr>
              <w:t xml:space="preserve">2</w:t>
            </w:r>
          </w:p>
        </w:tc>
        <w:tc>
          <w:tcPr>
            <w:tcW w:type="dxa" w:w="3600"/>
            <w:tcMar>
              <w:top w:type="dxa" w:w="80"/>
              <w:left w:type="dxa" w:w="100"/>
              <w:bottom w:type="dxa" w:w="80"/>
              <w:right w:type="dxa" w:w="100"/>
            </w:tcMar>
          </w:tcPr>
          <w:p>
            <w:pPr>
              <w:jc w:val="left"/>
            </w:pPr>
            <w:r>
              <w:rPr>
                <w:b w:val="false"/>
                <w:bCs w:val="false"/>
                <w:color w:val="000000"/>
              </w:rPr>
              <w:t xml:space="preserve">Add explicit width/height attributes to the 3 unsized images: ssoLogo.png, BIS_Website1.png, BISCare_App1.jpg</w:t>
            </w:r>
          </w:p>
        </w:tc>
        <w:tc>
          <w:tcPr>
            <w:tcW w:type="dxa" w:w="1700"/>
            <w:tcMar>
              <w:top w:type="dxa" w:w="80"/>
              <w:left w:type="dxa" w:w="100"/>
              <w:bottom w:type="dxa" w:w="80"/>
              <w:right w:type="dxa" w:w="100"/>
            </w:tcMar>
          </w:tcPr>
          <w:p>
            <w:pPr>
              <w:jc w:val="left"/>
            </w:pPr>
            <w:r>
              <w:rPr>
                <w:b w:val="false"/>
                <w:bCs w:val="false"/>
                <w:color w:val="000000"/>
              </w:rPr>
              <w:t xml:space="preserve">Low-Medium</w:t>
            </w:r>
          </w:p>
        </w:tc>
        <w:tc>
          <w:tcPr>
            <w:tcW w:type="dxa" w:w="1700"/>
            <w:tcMar>
              <w:top w:type="dxa" w:w="80"/>
              <w:left w:type="dxa" w:w="100"/>
              <w:bottom w:type="dxa" w:w="80"/>
              <w:right w:type="dxa" w:w="100"/>
            </w:tcMar>
          </w:tcPr>
          <w:p>
            <w:pPr>
              <w:jc w:val="left"/>
            </w:pPr>
            <w:r>
              <w:rPr>
                <w:b w:val="false"/>
                <w:bCs w:val="false"/>
                <w:color w:val="000000"/>
              </w:rPr>
              <w:t xml:space="preserve">Very Low</w:t>
            </w:r>
          </w:p>
        </w:tc>
        <w:tc>
          <w:tcPr>
            <w:tcW w:type="dxa" w:w="1900"/>
            <w:tcMar>
              <w:top w:type="dxa" w:w="80"/>
              <w:left w:type="dxa" w:w="100"/>
              <w:bottom w:type="dxa" w:w="80"/>
              <w:right w:type="dxa" w:w="100"/>
            </w:tcMar>
          </w:tcPr>
          <w:p>
            <w:pPr>
              <w:jc w:val="left"/>
            </w:pPr>
            <w:r>
              <w:rPr>
                <w:b/>
                <w:bCs/>
                <w:color w:val="000000"/>
              </w:rPr>
              <w:t xml:space="preserve">Do first</w:t>
            </w:r>
          </w:p>
        </w:tc>
      </w:tr>
      <w:tr>
        <w:tc>
          <w:tcPr>
            <w:tcW w:type="dxa" w:w="500"/>
            <w:tcMar>
              <w:top w:type="dxa" w:w="80"/>
              <w:left w:type="dxa" w:w="100"/>
              <w:bottom w:type="dxa" w:w="80"/>
              <w:right w:type="dxa" w:w="100"/>
            </w:tcMar>
          </w:tcPr>
          <w:p>
            <w:pPr>
              <w:jc w:val="left"/>
            </w:pPr>
            <w:r>
              <w:rPr>
                <w:b/>
                <w:bCs/>
                <w:color w:val="000000"/>
              </w:rPr>
              <w:t xml:space="preserve">3</w:t>
            </w:r>
          </w:p>
        </w:tc>
        <w:tc>
          <w:tcPr>
            <w:tcW w:type="dxa" w:w="3600"/>
            <w:tcMar>
              <w:top w:type="dxa" w:w="80"/>
              <w:left w:type="dxa" w:w="100"/>
              <w:bottom w:type="dxa" w:w="80"/>
              <w:right w:type="dxa" w:w="100"/>
            </w:tcMar>
          </w:tcPr>
          <w:p>
            <w:pPr>
              <w:jc w:val="left"/>
            </w:pPr>
            <w:r>
              <w:rPr>
                <w:b w:val="false"/>
                <w:bCs w:val="false"/>
                <w:color w:val="000000"/>
              </w:rPr>
              <w:t xml:space="preserve">Add a meta description and resolve indexing/crawlability blocks (SEO score 50/100)</w:t>
            </w:r>
          </w:p>
        </w:tc>
        <w:tc>
          <w:tcPr>
            <w:tcW w:type="dxa" w:w="1700"/>
            <w:tcMar>
              <w:top w:type="dxa" w:w="80"/>
              <w:left w:type="dxa" w:w="100"/>
              <w:bottom w:type="dxa" w:w="80"/>
              <w:right w:type="dxa" w:w="100"/>
            </w:tcMar>
          </w:tcPr>
          <w:p>
            <w:pPr>
              <w:jc w:val="left"/>
            </w:pPr>
            <w:r>
              <w:rPr>
                <w:b w:val="false"/>
                <w:bCs w:val="false"/>
                <w:color w:val="000000"/>
              </w:rPr>
              <w:t xml:space="preserve">Medium (citizen discoverability)</w:t>
            </w:r>
          </w:p>
        </w:tc>
        <w:tc>
          <w:tcPr>
            <w:tcW w:type="dxa" w:w="1700"/>
            <w:tcMar>
              <w:top w:type="dxa" w:w="80"/>
              <w:left w:type="dxa" w:w="100"/>
              <w:bottom w:type="dxa" w:w="80"/>
              <w:right w:type="dxa" w:w="100"/>
            </w:tcMar>
          </w:tcPr>
          <w:p>
            <w:pPr>
              <w:jc w:val="left"/>
            </w:pPr>
            <w:r>
              <w:rPr>
                <w:b w:val="false"/>
                <w:bCs w:val="false"/>
                <w:color w:val="000000"/>
              </w:rPr>
              <w:t xml:space="preserve">Low</w:t>
            </w:r>
          </w:p>
        </w:tc>
        <w:tc>
          <w:tcPr>
            <w:tcW w:type="dxa" w:w="1900"/>
            <w:tcMar>
              <w:top w:type="dxa" w:w="80"/>
              <w:left w:type="dxa" w:w="100"/>
              <w:bottom w:type="dxa" w:w="80"/>
              <w:right w:type="dxa" w:w="100"/>
            </w:tcMar>
          </w:tcPr>
          <w:p>
            <w:pPr>
              <w:jc w:val="left"/>
            </w:pPr>
            <w:r>
              <w:rPr>
                <w:b/>
                <w:bCs/>
                <w:color w:val="000000"/>
              </w:rPr>
              <w:t xml:space="preserve">Do next</w:t>
            </w:r>
          </w:p>
        </w:tc>
      </w:tr>
      <w:tr>
        <w:tc>
          <w:tcPr>
            <w:tcW w:type="dxa" w:w="500"/>
            <w:tcMar>
              <w:top w:type="dxa" w:w="80"/>
              <w:left w:type="dxa" w:w="100"/>
              <w:bottom w:type="dxa" w:w="80"/>
              <w:right w:type="dxa" w:w="100"/>
            </w:tcMar>
          </w:tcPr>
          <w:p>
            <w:pPr>
              <w:jc w:val="left"/>
            </w:pPr>
            <w:r>
              <w:rPr>
                <w:b/>
                <w:bCs/>
                <w:color w:val="000000"/>
              </w:rPr>
              <w:t xml:space="preserve">4</w:t>
            </w:r>
          </w:p>
        </w:tc>
        <w:tc>
          <w:tcPr>
            <w:tcW w:type="dxa" w:w="3600"/>
            <w:tcMar>
              <w:top w:type="dxa" w:w="80"/>
              <w:left w:type="dxa" w:w="100"/>
              <w:bottom w:type="dxa" w:w="80"/>
              <w:right w:type="dxa" w:w="100"/>
            </w:tcMar>
          </w:tcPr>
          <w:p>
            <w:pPr>
              <w:jc w:val="left"/>
            </w:pPr>
            <w:r>
              <w:rPr>
                <w:b w:val="false"/>
                <w:bCs w:val="false"/>
                <w:color w:val="000000"/>
              </w:rPr>
              <w:t xml:space="preserve">Reduce render-blocking requests (est. 140ms savings) — defer/async non-critical CSS/JS</w:t>
            </w:r>
          </w:p>
        </w:tc>
        <w:tc>
          <w:tcPr>
            <w:tcW w:type="dxa" w:w="1700"/>
            <w:tcMar>
              <w:top w:type="dxa" w:w="80"/>
              <w:left w:type="dxa" w:w="100"/>
              <w:bottom w:type="dxa" w:w="80"/>
              <w:right w:type="dxa" w:w="100"/>
            </w:tcMar>
          </w:tcPr>
          <w:p>
            <w:pPr>
              <w:jc w:val="left"/>
            </w:pPr>
            <w:r>
              <w:rPr>
                <w:b w:val="false"/>
                <w:bCs w:val="false"/>
                <w:color w:val="000000"/>
              </w:rPr>
              <w:t xml:space="preserve">Low-Medium</w:t>
            </w:r>
          </w:p>
        </w:tc>
        <w:tc>
          <w:tcPr>
            <w:tcW w:type="dxa" w:w="1700"/>
            <w:tcMar>
              <w:top w:type="dxa" w:w="80"/>
              <w:left w:type="dxa" w:w="100"/>
              <w:bottom w:type="dxa" w:w="80"/>
              <w:right w:type="dxa" w:w="100"/>
            </w:tcMar>
          </w:tcPr>
          <w:p>
            <w:pPr>
              <w:jc w:val="left"/>
            </w:pPr>
            <w:r>
              <w:rPr>
                <w:b w:val="false"/>
                <w:bCs w:val="false"/>
                <w:color w:val="000000"/>
              </w:rPr>
              <w:t xml:space="preserve">Medium</w:t>
            </w:r>
          </w:p>
        </w:tc>
        <w:tc>
          <w:tcPr>
            <w:tcW w:type="dxa" w:w="1900"/>
            <w:tcMar>
              <w:top w:type="dxa" w:w="80"/>
              <w:left w:type="dxa" w:w="100"/>
              <w:bottom w:type="dxa" w:w="80"/>
              <w:right w:type="dxa" w:w="100"/>
            </w:tcMar>
          </w:tcPr>
          <w:p>
            <w:pPr>
              <w:jc w:val="left"/>
            </w:pPr>
            <w:r>
              <w:rPr>
                <w:b/>
                <w:bCs/>
                <w:color w:val="000000"/>
              </w:rPr>
              <w:t xml:space="preserve">Do next</w:t>
            </w:r>
          </w:p>
        </w:tc>
      </w:tr>
      <w:tr>
        <w:tc>
          <w:tcPr>
            <w:tcW w:type="dxa" w:w="500"/>
            <w:tcMar>
              <w:top w:type="dxa" w:w="80"/>
              <w:left w:type="dxa" w:w="100"/>
              <w:bottom w:type="dxa" w:w="80"/>
              <w:right w:type="dxa" w:w="100"/>
            </w:tcMar>
          </w:tcPr>
          <w:p>
            <w:pPr>
              <w:jc w:val="left"/>
            </w:pPr>
            <w:r>
              <w:rPr>
                <w:b/>
                <w:bCs/>
                <w:color w:val="000000"/>
              </w:rPr>
              <w:t xml:space="preserve">5</w:t>
            </w:r>
          </w:p>
        </w:tc>
        <w:tc>
          <w:tcPr>
            <w:tcW w:type="dxa" w:w="3600"/>
            <w:tcMar>
              <w:top w:type="dxa" w:w="80"/>
              <w:left w:type="dxa" w:w="100"/>
              <w:bottom w:type="dxa" w:w="80"/>
              <w:right w:type="dxa" w:w="100"/>
            </w:tcMar>
          </w:tcPr>
          <w:p>
            <w:pPr>
              <w:jc w:val="left"/>
            </w:pPr>
            <w:r>
              <w:rPr>
                <w:b w:val="false"/>
                <w:bCs w:val="false"/>
                <w:color w:val="000000"/>
              </w:rPr>
              <w:t xml:space="preserve">Profile real-user INP (295ms) with Chrome DevTools Performance panel / field traces to find the exact slow interaction handler</w:t>
            </w:r>
          </w:p>
        </w:tc>
        <w:tc>
          <w:tcPr>
            <w:tcW w:type="dxa" w:w="1700"/>
            <w:tcMar>
              <w:top w:type="dxa" w:w="80"/>
              <w:left w:type="dxa" w:w="100"/>
              <w:bottom w:type="dxa" w:w="80"/>
              <w:right w:type="dxa" w:w="100"/>
            </w:tcMar>
          </w:tcPr>
          <w:p>
            <w:pPr>
              <w:jc w:val="left"/>
            </w:pPr>
            <w:r>
              <w:rPr>
                <w:b w:val="false"/>
                <w:bCs w:val="false"/>
                <w:color w:val="000000"/>
              </w:rPr>
              <w:t xml:space="preserve">Medium-High (real users feel this)</w:t>
            </w:r>
          </w:p>
        </w:tc>
        <w:tc>
          <w:tcPr>
            <w:tcW w:type="dxa" w:w="1700"/>
            <w:tcMar>
              <w:top w:type="dxa" w:w="80"/>
              <w:left w:type="dxa" w:w="100"/>
              <w:bottom w:type="dxa" w:w="80"/>
              <w:right w:type="dxa" w:w="100"/>
            </w:tcMar>
          </w:tcPr>
          <w:p>
            <w:pPr>
              <w:jc w:val="left"/>
            </w:pPr>
            <w:r>
              <w:rPr>
                <w:b w:val="false"/>
                <w:bCs w:val="false"/>
                <w:color w:val="000000"/>
              </w:rPr>
              <w:t xml:space="preserve">Unknown until profiled</w:t>
            </w:r>
          </w:p>
        </w:tc>
        <w:tc>
          <w:tcPr>
            <w:tcW w:type="dxa" w:w="1900"/>
            <w:tcMar>
              <w:top w:type="dxa" w:w="80"/>
              <w:left w:type="dxa" w:w="100"/>
              <w:bottom w:type="dxa" w:w="80"/>
              <w:right w:type="dxa" w:w="100"/>
            </w:tcMar>
          </w:tcPr>
          <w:p>
            <w:pPr>
              <w:jc w:val="left"/>
            </w:pPr>
            <w:r>
              <w:rPr>
                <w:b/>
                <w:bCs/>
                <w:color w:val="000000"/>
              </w:rPr>
              <w:t xml:space="preserve">Investigate</w:t>
            </w:r>
          </w:p>
        </w:tc>
      </w:tr>
      <w:tr>
        <w:tc>
          <w:tcPr>
            <w:tcW w:type="dxa" w:w="500"/>
            <w:tcMar>
              <w:top w:type="dxa" w:w="80"/>
              <w:left w:type="dxa" w:w="100"/>
              <w:bottom w:type="dxa" w:w="80"/>
              <w:right w:type="dxa" w:w="100"/>
            </w:tcMar>
          </w:tcPr>
          <w:p>
            <w:pPr>
              <w:jc w:val="left"/>
            </w:pPr>
            <w:r>
              <w:rPr>
                <w:b/>
                <w:bCs/>
                <w:color w:val="000000"/>
              </w:rPr>
              <w:t xml:space="preserve">6</w:t>
            </w:r>
          </w:p>
        </w:tc>
        <w:tc>
          <w:tcPr>
            <w:tcW w:type="dxa" w:w="3600"/>
            <w:tcMar>
              <w:top w:type="dxa" w:w="80"/>
              <w:left w:type="dxa" w:w="100"/>
              <w:bottom w:type="dxa" w:w="80"/>
              <w:right w:type="dxa" w:w="100"/>
            </w:tcMar>
          </w:tcPr>
          <w:p>
            <w:pPr>
              <w:jc w:val="left"/>
            </w:pPr>
            <w:r>
              <w:rPr>
                <w:b w:val="false"/>
                <w:bCs w:val="false"/>
                <w:color w:val="000000"/>
              </w:rPr>
              <w:t xml:space="preserve">Flatten the network dependency tree (serial resource loading)</w:t>
            </w:r>
          </w:p>
        </w:tc>
        <w:tc>
          <w:tcPr>
            <w:tcW w:type="dxa" w:w="1700"/>
            <w:tcMar>
              <w:top w:type="dxa" w:w="80"/>
              <w:left w:type="dxa" w:w="100"/>
              <w:bottom w:type="dxa" w:w="80"/>
              <w:right w:type="dxa" w:w="100"/>
            </w:tcMar>
          </w:tcPr>
          <w:p>
            <w:pPr>
              <w:jc w:val="left"/>
            </w:pPr>
            <w:r>
              <w:rPr>
                <w:b w:val="false"/>
                <w:bCs w:val="false"/>
                <w:color w:val="000000"/>
              </w:rPr>
              <w:t xml:space="preserve">Low (LCP already Good in field data)</w:t>
            </w:r>
          </w:p>
        </w:tc>
        <w:tc>
          <w:tcPr>
            <w:tcW w:type="dxa" w:w="1700"/>
            <w:tcMar>
              <w:top w:type="dxa" w:w="80"/>
              <w:left w:type="dxa" w:w="100"/>
              <w:bottom w:type="dxa" w:w="80"/>
              <w:right w:type="dxa" w:w="100"/>
            </w:tcMar>
          </w:tcPr>
          <w:p>
            <w:pPr>
              <w:jc w:val="left"/>
            </w:pPr>
            <w:r>
              <w:rPr>
                <w:b w:val="false"/>
                <w:bCs w:val="false"/>
                <w:color w:val="000000"/>
              </w:rPr>
              <w:t xml:space="preserve">Medium-High</w:t>
            </w:r>
          </w:p>
        </w:tc>
        <w:tc>
          <w:tcPr>
            <w:tcW w:type="dxa" w:w="1900"/>
            <w:tcMar>
              <w:top w:type="dxa" w:w="80"/>
              <w:left w:type="dxa" w:w="100"/>
              <w:bottom w:type="dxa" w:w="80"/>
              <w:right w:type="dxa" w:w="100"/>
            </w:tcMar>
          </w:tcPr>
          <w:p>
            <w:pPr>
              <w:jc w:val="left"/>
            </w:pPr>
            <w:r>
              <w:rPr>
                <w:b/>
                <w:bCs/>
                <w:color w:val="000000"/>
              </w:rPr>
              <w:t xml:space="preserve">Deprioritize</w:t>
            </w:r>
          </w:p>
        </w:tc>
      </w:tr>
    </w:tbl>
    <w:p>
      <w:pPr>
        <w:spacing w:after="160"/>
      </w:pPr>
    </w:p>
    <w:p>
      <w:pPr>
        <w:spacing w:after="120"/>
      </w:pPr>
      <w:r>
        <w:rPr>
          <w:i/>
          <w:iCs/>
        </w:rPr>
        <w:t xml:space="preserve">Fixes 1 and 2 are both low-effort and address the two concrete, evidenced problems in this report. Fix 5 (profiling INP) is flagged as an investigation step rather than a coded fix, because Lighthouse's lab data does not reproduce it — it needs a live trace of real interactions, which is a reasonable next engagement rather than something to guess at from this audit alone.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2026-07-25T06:21:05.927Z</dcterms:created>
  <dcterms:modified xsi:type="dcterms:W3CDTF">2026-07-25T06:21:05.945Z</dcterms:modified>
</cp:coreProperties>
</file>

<file path=docProps/custom.xml><?xml version="1.0" encoding="utf-8"?>
<Properties xmlns="http://schemas.openxmlformats.org/officeDocument/2006/custom-properties" xmlns:vt="http://schemas.openxmlformats.org/officeDocument/2006/docPropsVTypes"/>
</file>