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6DC07" w14:textId="245C97A1" w:rsidR="00E270C4" w:rsidRDefault="00E270C4"/>
    <w:p w14:paraId="0F31C2D3" w14:textId="030BC923" w:rsidR="00E270C4" w:rsidRDefault="00E270C4"/>
    <w:p w14:paraId="266AA429" w14:textId="77777777" w:rsidR="00E270C4" w:rsidRDefault="00E270C4" w:rsidP="00E270C4"/>
    <w:p w14:paraId="64288F23" w14:textId="77777777" w:rsidR="00E270C4" w:rsidRPr="000969ED" w:rsidRDefault="00E270C4" w:rsidP="00E270C4">
      <w:pPr>
        <w:rPr>
          <w:b/>
          <w:bCs/>
          <w:i/>
          <w:iCs/>
        </w:rPr>
      </w:pPr>
    </w:p>
    <w:p w14:paraId="03080E2E" w14:textId="4EDF0A16" w:rsidR="00E270C4" w:rsidRPr="00D267AF" w:rsidRDefault="00D267AF" w:rsidP="00E270C4">
      <w:pPr>
        <w:rPr>
          <w:b/>
          <w:bCs/>
          <w:i/>
          <w:iCs/>
        </w:rPr>
      </w:pPr>
      <w:r w:rsidRPr="000969ED">
        <w:rPr>
          <w:b/>
          <w:bCs/>
          <w:i/>
          <w:iCs/>
        </w:rPr>
        <w:t>Compound</w:t>
      </w:r>
      <w:r w:rsidRPr="00D267AF">
        <w:rPr>
          <w:b/>
          <w:bCs/>
          <w:i/>
          <w:iCs/>
        </w:rPr>
        <w:t xml:space="preserve"> Pandemic and Hurricane</w:t>
      </w:r>
      <w:r w:rsidRPr="000969ED">
        <w:rPr>
          <w:b/>
          <w:bCs/>
          <w:i/>
          <w:iCs/>
        </w:rPr>
        <w:t xml:space="preserve"> Hazard Index</w:t>
      </w:r>
      <w:r w:rsidRPr="00D267AF">
        <w:rPr>
          <w:b/>
          <w:bCs/>
          <w:i/>
          <w:iCs/>
        </w:rPr>
        <w:t xml:space="preserve"> (CPHI)</w:t>
      </w:r>
      <w:r w:rsidRPr="00D267AF">
        <w:rPr>
          <w:b/>
          <w:bCs/>
          <w:i/>
          <w:iCs/>
        </w:rPr>
        <w:t xml:space="preserve"> </w:t>
      </w:r>
      <w:r w:rsidR="00E270C4" w:rsidRPr="00D267AF">
        <w:rPr>
          <w:b/>
          <w:bCs/>
          <w:i/>
          <w:iCs/>
        </w:rPr>
        <w:t>Overview</w:t>
      </w:r>
    </w:p>
    <w:p w14:paraId="6714B3BB" w14:textId="77777777" w:rsidR="00E270C4" w:rsidRDefault="00E270C4" w:rsidP="00E270C4"/>
    <w:p w14:paraId="5FD073E0" w14:textId="4564989D" w:rsidR="0011764A" w:rsidRDefault="00E270C4" w:rsidP="00E270C4">
      <w:pPr>
        <w:ind w:firstLine="720"/>
      </w:pPr>
      <w:r w:rsidRPr="000969ED">
        <w:t xml:space="preserve">Practices such as social distancing and sheltering-in-place have changed the operation of our day-to-day lives while business and other facility closures have limited the accessibility to certain services. In light of recent events, from a </w:t>
      </w:r>
      <w:hyperlink r:id="rId4" w:history="1">
        <w:r w:rsidRPr="000969ED">
          <w:rPr>
            <w:rStyle w:val="Hyperlink"/>
          </w:rPr>
          <w:t>cyclone hitting the coasts of India and Bangladesh</w:t>
        </w:r>
      </w:hyperlink>
      <w:r w:rsidRPr="000969ED">
        <w:t xml:space="preserve"> in late May, and the dam failures causing </w:t>
      </w:r>
      <w:hyperlink r:id="rId5" w:history="1">
        <w:r w:rsidRPr="000969ED">
          <w:rPr>
            <w:rStyle w:val="Hyperlink"/>
          </w:rPr>
          <w:t>catastrophic flooding in a Michigan city</w:t>
        </w:r>
      </w:hyperlink>
      <w:r w:rsidRPr="000969ED">
        <w:t xml:space="preserve">, concerns about how the pandemic situation will affect the response to such natural hazards are being raised. Are we prepared to handle additional threats, such as flooding and hurricanes, as the world continues to cope with the spread of COVID-19? Now more than ever, robust hazard mitigation planning is needed to help cities prepare for the compound impact of multiple hazards. An important aspect of this process is identifying and planning safe evacuation zones and shelters that also take into account the risks of the spread of infectious diseases and viruses, such as COVID-19. </w:t>
      </w:r>
    </w:p>
    <w:p w14:paraId="4F4094AB" w14:textId="5D92D445" w:rsidR="0011764A" w:rsidRDefault="00E270C4" w:rsidP="0011764A">
      <w:pPr>
        <w:ind w:firstLine="720"/>
      </w:pPr>
      <w:r w:rsidRPr="000969ED">
        <w:t>The UrbanResilience.AI team developed the Compound</w:t>
      </w:r>
      <w:r w:rsidR="00D267AF">
        <w:t xml:space="preserve"> Pandemic and Hurricane</w:t>
      </w:r>
      <w:r w:rsidRPr="000969ED">
        <w:t xml:space="preserve"> Hazard Index</w:t>
      </w:r>
      <w:r w:rsidR="00DA012A">
        <w:t xml:space="preserve"> (C</w:t>
      </w:r>
      <w:r w:rsidR="00D267AF">
        <w:t>P</w:t>
      </w:r>
      <w:r w:rsidR="00DA012A">
        <w:t>HI)</w:t>
      </w:r>
      <w:r w:rsidRPr="000969ED">
        <w:t xml:space="preserve"> as an indicator of county-level compounded vulnerability and risk to COVID-19 exposure and spread, hurricane impact, and flooding. Socioeconomic factors are also considere</w:t>
      </w:r>
      <w:r w:rsidR="0011764A">
        <w:t>d as a factor for determining a community’s accessibility to facilities and services necessary for</w:t>
      </w:r>
      <w:r w:rsidR="00DA012A">
        <w:t xml:space="preserve"> preparative and protective actions during a disaster event.</w:t>
      </w:r>
      <w:r w:rsidRPr="000969ED">
        <w:t xml:space="preserve"> </w:t>
      </w:r>
      <w:r w:rsidR="00DA012A">
        <w:t xml:space="preserve">The </w:t>
      </w:r>
      <w:r w:rsidR="00D267AF">
        <w:t>CPHI</w:t>
      </w:r>
      <w:r w:rsidR="00DA012A">
        <w:t xml:space="preserve"> is comprised of data collected </w:t>
      </w:r>
      <w:r w:rsidRPr="000969ED">
        <w:t xml:space="preserve">from the Pandemic Vulnerability Index, the Social Connectedness Index, Social Vulnerability Index, and </w:t>
      </w:r>
      <w:r w:rsidR="0011764A">
        <w:t xml:space="preserve">the Natural </w:t>
      </w:r>
      <w:r w:rsidRPr="000969ED">
        <w:t xml:space="preserve">Hazards Index, at the county level for Gulf Coast and East Coast states, which are prone to hurricane events. </w:t>
      </w:r>
      <w:r w:rsidR="00DA012A">
        <w:t>The final index</w:t>
      </w:r>
      <w:r w:rsidRPr="000969ED">
        <w:t xml:space="preserve"> was developed by summing the normalized values of these indexes by county and taking their weighted average. The final index score is </w:t>
      </w:r>
      <w:r w:rsidR="0011764A">
        <w:t>a percentile</w:t>
      </w:r>
      <w:r w:rsidRPr="000969ED">
        <w:t xml:space="preserve"> rank of each county, where increasing rank corresponds to </w:t>
      </w:r>
      <w:r w:rsidR="0011764A">
        <w:t xml:space="preserve">a higher risk to a </w:t>
      </w:r>
      <w:r w:rsidR="00D267AF">
        <w:t>c</w:t>
      </w:r>
      <w:r w:rsidRPr="000969ED">
        <w:t xml:space="preserve">ompound </w:t>
      </w:r>
      <w:r w:rsidR="00D267AF">
        <w:t>h</w:t>
      </w:r>
      <w:r w:rsidRPr="000969ED">
        <w:t>azard</w:t>
      </w:r>
      <w:r w:rsidR="0011764A">
        <w:t xml:space="preserve"> event. </w:t>
      </w:r>
    </w:p>
    <w:p w14:paraId="4FFF3A10" w14:textId="6CC35F23" w:rsidR="008F56D8" w:rsidRPr="008F56D8" w:rsidRDefault="008F56D8" w:rsidP="00DA012A">
      <w:pPr>
        <w:ind w:firstLine="720"/>
      </w:pPr>
      <w:r w:rsidRPr="008F56D8">
        <w:t xml:space="preserve">The </w:t>
      </w:r>
      <w:r w:rsidR="00D267AF">
        <w:t>CPHI</w:t>
      </w:r>
      <w:r w:rsidRPr="008F56D8">
        <w:t xml:space="preserve"> is displayed visually as a choropleth map, </w:t>
      </w:r>
      <w:r w:rsidR="000B7648">
        <w:t xml:space="preserve">where the color gradient from dark purple to yellow corresponds to increasing risk to a compound hazard event (i.e. dark purple and red areas have low compound hazard risk, yellow and orange areas have high risk). </w:t>
      </w:r>
      <w:r w:rsidRPr="008F56D8">
        <w:t xml:space="preserve">Users can click on each county to view its </w:t>
      </w:r>
      <w:r w:rsidR="00DA012A">
        <w:t>CHI</w:t>
      </w:r>
      <w:r w:rsidR="000B7648">
        <w:t xml:space="preserve"> score in addition to the individual score of</w:t>
      </w:r>
      <w:r w:rsidR="00DA012A">
        <w:t xml:space="preserve"> its</w:t>
      </w:r>
      <w:r w:rsidR="000B7648">
        <w:t xml:space="preserve"> 6 hazard risk components: (1) Pandemic Risk, (2) Natural Hazard Risk, (3) Socioeconomic Status, (4) Household Composition and Disability, (5) Minority Status, (6) Housing type and transportation</w:t>
      </w:r>
      <w:r w:rsidRPr="008F56D8">
        <w:t xml:space="preserve">. </w:t>
      </w:r>
      <w:r w:rsidR="00DA012A" w:rsidRPr="00DA012A">
        <w:t xml:space="preserve">Table 1 includes a description of each component, the rationale for its inclusion, and a link to the public data source. </w:t>
      </w:r>
    </w:p>
    <w:p w14:paraId="7F64EBB1" w14:textId="77777777" w:rsidR="0011764A" w:rsidRDefault="0011764A" w:rsidP="00E270C4">
      <w:pPr>
        <w:ind w:firstLine="720"/>
      </w:pPr>
    </w:p>
    <w:p w14:paraId="34F2C267" w14:textId="77777777" w:rsidR="0011764A" w:rsidRDefault="0011764A" w:rsidP="00E270C4">
      <w:pPr>
        <w:ind w:firstLine="720"/>
      </w:pPr>
    </w:p>
    <w:p w14:paraId="4FD57379" w14:textId="77777777" w:rsidR="00E270C4" w:rsidRDefault="00E270C4" w:rsidP="00E270C4"/>
    <w:p w14:paraId="4ABBC9D7" w14:textId="77777777" w:rsidR="00E270C4" w:rsidRDefault="00E270C4" w:rsidP="00E270C4"/>
    <w:p w14:paraId="213B11A0" w14:textId="77777777" w:rsidR="00E270C4" w:rsidRDefault="00E270C4" w:rsidP="00E270C4"/>
    <w:p w14:paraId="721FFCC4" w14:textId="77777777" w:rsidR="00E270C4" w:rsidRDefault="00E270C4" w:rsidP="00E270C4"/>
    <w:p w14:paraId="5030DCA5" w14:textId="77777777" w:rsidR="00E270C4" w:rsidRDefault="00E270C4" w:rsidP="00E270C4"/>
    <w:p w14:paraId="7D8D8014" w14:textId="77777777" w:rsidR="00E270C4" w:rsidRDefault="00E270C4" w:rsidP="00E270C4"/>
    <w:p w14:paraId="38776CD0" w14:textId="77777777" w:rsidR="00E270C4" w:rsidRDefault="00E270C4" w:rsidP="00E270C4">
      <w:r>
        <w:rPr>
          <w:noProof/>
        </w:rPr>
        <w:t xml:space="preserve"> </w:t>
      </w:r>
    </w:p>
    <w:p w14:paraId="5896309E" w14:textId="77777777" w:rsidR="00E270C4" w:rsidRDefault="00E270C4" w:rsidP="00E270C4"/>
    <w:p w14:paraId="14D3FB10" w14:textId="77777777" w:rsidR="00E270C4" w:rsidRDefault="00E270C4" w:rsidP="00E270C4"/>
    <w:p w14:paraId="23534A3D" w14:textId="77777777" w:rsidR="00E270C4" w:rsidRDefault="00E270C4" w:rsidP="00E270C4"/>
    <w:p w14:paraId="4D53CD31" w14:textId="77777777" w:rsidR="00E270C4" w:rsidRPr="000969ED" w:rsidRDefault="00E270C4" w:rsidP="00E270C4"/>
    <w:p w14:paraId="003EE4C2" w14:textId="3021C23C" w:rsidR="00DA012A" w:rsidRPr="000969ED" w:rsidRDefault="00DA012A" w:rsidP="00DA012A">
      <w:r w:rsidRPr="00DE4473">
        <w:rPr>
          <w:b/>
          <w:bCs/>
        </w:rPr>
        <w:t>Table 1:</w:t>
      </w:r>
      <w:r>
        <w:rPr>
          <w:b/>
          <w:bCs/>
        </w:rPr>
        <w:t xml:space="preserve"> </w:t>
      </w:r>
      <w:r w:rsidR="00D267AF" w:rsidRPr="000969ED">
        <w:t>Compound</w:t>
      </w:r>
      <w:r w:rsidR="00D267AF">
        <w:t xml:space="preserve"> Pandemic and Hurricane</w:t>
      </w:r>
      <w:r w:rsidR="00D267AF" w:rsidRPr="000969ED">
        <w:t xml:space="preserve"> Hazard</w:t>
      </w:r>
    </w:p>
    <w:tbl>
      <w:tblPr>
        <w:tblW w:w="10479" w:type="dxa"/>
        <w:tblInd w:w="-499" w:type="dxa"/>
        <w:tblCellMar>
          <w:top w:w="15" w:type="dxa"/>
          <w:left w:w="15" w:type="dxa"/>
          <w:bottom w:w="15" w:type="dxa"/>
          <w:right w:w="15" w:type="dxa"/>
        </w:tblCellMar>
        <w:tblLook w:val="04A0" w:firstRow="1" w:lastRow="0" w:firstColumn="1" w:lastColumn="0" w:noHBand="0" w:noVBand="1"/>
      </w:tblPr>
      <w:tblGrid>
        <w:gridCol w:w="2300"/>
        <w:gridCol w:w="2006"/>
        <w:gridCol w:w="2123"/>
        <w:gridCol w:w="4050"/>
      </w:tblGrid>
      <w:tr w:rsidR="00E74DCF" w:rsidRPr="0035515B" w14:paraId="49320141" w14:textId="77777777" w:rsidTr="0035515B">
        <w:trPr>
          <w:trHeight w:val="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A8D12" w14:textId="77777777" w:rsidR="00E74DCF" w:rsidRPr="000969ED" w:rsidRDefault="00E74DCF" w:rsidP="00AD024B">
            <w:pPr>
              <w:rPr>
                <w:rFonts w:asciiTheme="majorBidi" w:hAnsiTheme="majorBidi" w:cstheme="majorBidi"/>
                <w:b/>
                <w:bCs/>
                <w:sz w:val="20"/>
                <w:szCs w:val="20"/>
              </w:rPr>
            </w:pPr>
            <w:r w:rsidRPr="000969ED">
              <w:rPr>
                <w:rFonts w:asciiTheme="majorBidi" w:hAnsiTheme="majorBidi" w:cstheme="majorBidi"/>
                <w:b/>
                <w:bCs/>
                <w:sz w:val="20"/>
                <w:szCs w:val="20"/>
              </w:rPr>
              <w:t>Compound Hazard Risk Component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28D8E" w14:textId="13EC4403" w:rsidR="00E74DCF" w:rsidRPr="000969ED" w:rsidRDefault="00E74DCF" w:rsidP="00AD024B">
            <w:pPr>
              <w:rPr>
                <w:rFonts w:asciiTheme="majorBidi" w:hAnsiTheme="majorBidi" w:cstheme="majorBidi"/>
                <w:b/>
                <w:bCs/>
                <w:sz w:val="20"/>
                <w:szCs w:val="20"/>
              </w:rPr>
            </w:pPr>
            <w:r w:rsidRPr="000969ED">
              <w:rPr>
                <w:rFonts w:asciiTheme="majorBidi" w:hAnsiTheme="majorBidi" w:cstheme="majorBidi"/>
                <w:b/>
                <w:bCs/>
                <w:sz w:val="20"/>
                <w:szCs w:val="20"/>
              </w:rPr>
              <w:t>Indicator</w:t>
            </w:r>
            <w:r w:rsidRPr="0035515B">
              <w:rPr>
                <w:rFonts w:asciiTheme="majorBidi" w:hAnsiTheme="majorBidi" w:cstheme="majorBidi"/>
                <w:b/>
                <w:bCs/>
                <w:sz w:val="20"/>
                <w:szCs w:val="20"/>
              </w:rPr>
              <w:t xml:space="preserve"> </w:t>
            </w:r>
          </w:p>
        </w:tc>
        <w:tc>
          <w:tcPr>
            <w:tcW w:w="2123" w:type="dxa"/>
            <w:tcBorders>
              <w:top w:val="single" w:sz="8" w:space="0" w:color="000000"/>
              <w:left w:val="single" w:sz="8" w:space="0" w:color="000000"/>
              <w:bottom w:val="single" w:sz="8" w:space="0" w:color="000000"/>
              <w:right w:val="single" w:sz="8" w:space="0" w:color="000000"/>
            </w:tcBorders>
          </w:tcPr>
          <w:p w14:paraId="763DE6B0" w14:textId="4DC5F4A1" w:rsidR="00E74DCF" w:rsidRPr="0035515B" w:rsidRDefault="00E74DCF" w:rsidP="00AD024B">
            <w:pPr>
              <w:rPr>
                <w:rFonts w:asciiTheme="majorBidi" w:hAnsiTheme="majorBidi" w:cstheme="majorBidi"/>
                <w:b/>
                <w:bCs/>
                <w:sz w:val="20"/>
                <w:szCs w:val="20"/>
              </w:rPr>
            </w:pPr>
            <w:r w:rsidRPr="0035515B">
              <w:rPr>
                <w:rFonts w:asciiTheme="majorBidi" w:hAnsiTheme="majorBidi" w:cstheme="majorBidi"/>
                <w:b/>
                <w:bCs/>
                <w:sz w:val="20"/>
                <w:szCs w:val="20"/>
              </w:rPr>
              <w:t>Source</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685A5" w14:textId="351B5FFB" w:rsidR="00E74DCF" w:rsidRPr="000969ED" w:rsidRDefault="00E74DCF" w:rsidP="00AD024B">
            <w:pPr>
              <w:rPr>
                <w:rFonts w:asciiTheme="majorBidi" w:hAnsiTheme="majorBidi" w:cstheme="majorBidi"/>
                <w:b/>
                <w:bCs/>
                <w:sz w:val="20"/>
                <w:szCs w:val="20"/>
              </w:rPr>
            </w:pPr>
            <w:r w:rsidRPr="000969ED">
              <w:rPr>
                <w:rFonts w:asciiTheme="majorBidi" w:hAnsiTheme="majorBidi" w:cstheme="majorBidi"/>
                <w:b/>
                <w:bCs/>
                <w:sz w:val="20"/>
                <w:szCs w:val="20"/>
              </w:rPr>
              <w:t>Description</w:t>
            </w:r>
          </w:p>
        </w:tc>
      </w:tr>
      <w:tr w:rsidR="00E74DCF" w:rsidRPr="0035515B" w14:paraId="4A4A1A78" w14:textId="77777777" w:rsidTr="0035515B">
        <w:trPr>
          <w:trHeight w:val="72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6ED30" w14:textId="77777777" w:rsidR="00E74DCF" w:rsidRPr="000969ED" w:rsidRDefault="00E74DCF" w:rsidP="00AD024B">
            <w:pPr>
              <w:rPr>
                <w:rFonts w:asciiTheme="majorBidi" w:hAnsiTheme="majorBidi" w:cstheme="majorBidi"/>
                <w:sz w:val="20"/>
                <w:szCs w:val="20"/>
              </w:rPr>
            </w:pPr>
            <w:r w:rsidRPr="000969ED">
              <w:rPr>
                <w:rFonts w:asciiTheme="majorBidi" w:hAnsiTheme="majorBidi" w:cstheme="majorBidi"/>
                <w:sz w:val="20"/>
                <w:szCs w:val="20"/>
              </w:rPr>
              <w:t xml:space="preserve">(1)   </w:t>
            </w:r>
            <w:r w:rsidRPr="0035515B">
              <w:rPr>
                <w:rFonts w:asciiTheme="majorBidi" w:hAnsiTheme="majorBidi" w:cstheme="majorBidi"/>
                <w:sz w:val="20"/>
                <w:szCs w:val="20"/>
              </w:rPr>
              <w:t>Pandemic</w:t>
            </w:r>
            <w:r w:rsidRPr="000969ED">
              <w:rPr>
                <w:rFonts w:asciiTheme="majorBidi" w:hAnsiTheme="majorBidi" w:cstheme="majorBidi"/>
                <w:sz w:val="20"/>
                <w:szCs w:val="20"/>
              </w:rPr>
              <w:t xml:space="preserve"> Risk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A6045B" w14:textId="77777777" w:rsidR="00E74DCF" w:rsidRPr="000969ED" w:rsidRDefault="00E74DCF" w:rsidP="0035515B">
            <w:pPr>
              <w:rPr>
                <w:rFonts w:asciiTheme="majorBidi" w:hAnsiTheme="majorBidi" w:cstheme="majorBidi"/>
                <w:sz w:val="20"/>
                <w:szCs w:val="20"/>
              </w:rPr>
            </w:pPr>
            <w:r w:rsidRPr="000969ED">
              <w:rPr>
                <w:rFonts w:asciiTheme="majorBidi" w:hAnsiTheme="majorBidi" w:cstheme="majorBidi"/>
                <w:sz w:val="20"/>
                <w:szCs w:val="20"/>
              </w:rPr>
              <w:t>Pandemic Vulnerability Index</w:t>
            </w:r>
            <w:r w:rsidRPr="0035515B">
              <w:rPr>
                <w:rFonts w:asciiTheme="majorBidi" w:hAnsiTheme="majorBidi" w:cstheme="majorBidi"/>
                <w:sz w:val="20"/>
                <w:szCs w:val="20"/>
              </w:rPr>
              <w:t xml:space="preserve"> (PVI)</w:t>
            </w:r>
          </w:p>
        </w:tc>
        <w:tc>
          <w:tcPr>
            <w:tcW w:w="2123" w:type="dxa"/>
            <w:tcBorders>
              <w:top w:val="single" w:sz="8" w:space="0" w:color="000000"/>
              <w:left w:val="single" w:sz="8" w:space="0" w:color="000000"/>
              <w:bottom w:val="single" w:sz="8" w:space="0" w:color="000000"/>
              <w:right w:val="single" w:sz="8" w:space="0" w:color="000000"/>
            </w:tcBorders>
            <w:vAlign w:val="center"/>
          </w:tcPr>
          <w:p w14:paraId="739791CA" w14:textId="28DE5E0E" w:rsidR="00E74DCF" w:rsidRPr="0035515B" w:rsidRDefault="00E74DCF" w:rsidP="0035515B">
            <w:pPr>
              <w:rPr>
                <w:rFonts w:asciiTheme="majorBidi" w:hAnsiTheme="majorBidi" w:cstheme="majorBidi"/>
                <w:sz w:val="20"/>
                <w:szCs w:val="20"/>
              </w:rPr>
            </w:pPr>
            <w:hyperlink r:id="rId6" w:history="1">
              <w:r w:rsidRPr="0035515B">
                <w:rPr>
                  <w:rStyle w:val="Hyperlink"/>
                  <w:rFonts w:asciiTheme="majorBidi" w:hAnsiTheme="majorBidi" w:cstheme="majorBidi"/>
                  <w:sz w:val="20"/>
                  <w:szCs w:val="20"/>
                </w:rPr>
                <w:t>NIEHS, North Carolina State University and Texas A&amp;M University</w:t>
              </w:r>
            </w:hyperlink>
          </w:p>
        </w:tc>
        <w:tc>
          <w:tcPr>
            <w:tcW w:w="40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DC3E33" w14:textId="4AF570B0" w:rsidR="00E74DCF" w:rsidRDefault="00E74DCF" w:rsidP="0035515B">
            <w:pPr>
              <w:rPr>
                <w:rFonts w:asciiTheme="majorBidi" w:hAnsiTheme="majorBidi" w:cstheme="majorBidi"/>
                <w:sz w:val="20"/>
                <w:szCs w:val="20"/>
              </w:rPr>
            </w:pPr>
            <w:r w:rsidRPr="000969ED">
              <w:rPr>
                <w:rFonts w:asciiTheme="majorBidi" w:hAnsiTheme="majorBidi" w:cstheme="majorBidi"/>
                <w:sz w:val="20"/>
                <w:szCs w:val="20"/>
              </w:rPr>
              <w:t xml:space="preserve">Pandemic Vulnerability Index - A normalized value to depict the risk of each county when it comes to having cases of COVID </w:t>
            </w:r>
            <w:r w:rsidRPr="0035515B">
              <w:rPr>
                <w:rFonts w:asciiTheme="majorBidi" w:hAnsiTheme="majorBidi" w:cstheme="majorBidi"/>
                <w:sz w:val="20"/>
                <w:szCs w:val="20"/>
              </w:rPr>
              <w:t>–</w:t>
            </w:r>
            <w:r w:rsidRPr="000969ED">
              <w:rPr>
                <w:rFonts w:asciiTheme="majorBidi" w:hAnsiTheme="majorBidi" w:cstheme="majorBidi"/>
                <w:sz w:val="20"/>
                <w:szCs w:val="20"/>
              </w:rPr>
              <w:t xml:space="preserve"> 19</w:t>
            </w:r>
            <w:r w:rsidRPr="0035515B">
              <w:rPr>
                <w:rFonts w:asciiTheme="majorBidi" w:hAnsiTheme="majorBidi" w:cstheme="majorBidi"/>
                <w:sz w:val="20"/>
                <w:szCs w:val="20"/>
              </w:rPr>
              <w:t>. The data is updated on a weekly basis. The PVI values used reflect</w:t>
            </w:r>
            <w:r w:rsidR="00D267AF">
              <w:rPr>
                <w:rFonts w:asciiTheme="majorBidi" w:hAnsiTheme="majorBidi" w:cstheme="majorBidi"/>
                <w:sz w:val="20"/>
                <w:szCs w:val="20"/>
              </w:rPr>
              <w:t xml:space="preserve"> </w:t>
            </w:r>
            <w:r w:rsidRPr="0035515B">
              <w:rPr>
                <w:rFonts w:asciiTheme="majorBidi" w:hAnsiTheme="majorBidi" w:cstheme="majorBidi"/>
                <w:sz w:val="20"/>
                <w:szCs w:val="20"/>
              </w:rPr>
              <w:t xml:space="preserve">conditions and cases </w:t>
            </w:r>
            <w:r w:rsidR="00D267AF">
              <w:rPr>
                <w:rFonts w:asciiTheme="majorBidi" w:hAnsiTheme="majorBidi" w:cstheme="majorBidi"/>
                <w:sz w:val="20"/>
                <w:szCs w:val="20"/>
              </w:rPr>
              <w:t xml:space="preserve">averaged between 03/15/2020 and </w:t>
            </w:r>
            <w:r w:rsidRPr="0035515B">
              <w:rPr>
                <w:rFonts w:asciiTheme="majorBidi" w:hAnsiTheme="majorBidi" w:cstheme="majorBidi"/>
                <w:sz w:val="20"/>
                <w:szCs w:val="20"/>
              </w:rPr>
              <w:t>0</w:t>
            </w:r>
            <w:r w:rsidR="00D267AF">
              <w:rPr>
                <w:rFonts w:asciiTheme="majorBidi" w:hAnsiTheme="majorBidi" w:cstheme="majorBidi"/>
                <w:sz w:val="20"/>
                <w:szCs w:val="20"/>
              </w:rPr>
              <w:t>6</w:t>
            </w:r>
            <w:r w:rsidRPr="0035515B">
              <w:rPr>
                <w:rFonts w:asciiTheme="majorBidi" w:hAnsiTheme="majorBidi" w:cstheme="majorBidi"/>
                <w:sz w:val="20"/>
                <w:szCs w:val="20"/>
              </w:rPr>
              <w:t>/</w:t>
            </w:r>
            <w:r w:rsidR="00D267AF">
              <w:rPr>
                <w:rFonts w:asciiTheme="majorBidi" w:hAnsiTheme="majorBidi" w:cstheme="majorBidi"/>
                <w:sz w:val="20"/>
                <w:szCs w:val="20"/>
              </w:rPr>
              <w:t>01</w:t>
            </w:r>
            <w:r w:rsidRPr="0035515B">
              <w:rPr>
                <w:rFonts w:asciiTheme="majorBidi" w:hAnsiTheme="majorBidi" w:cstheme="majorBidi"/>
                <w:sz w:val="20"/>
                <w:szCs w:val="20"/>
              </w:rPr>
              <w:t>/2020.</w:t>
            </w:r>
            <w:r w:rsidR="00D267AF">
              <w:rPr>
                <w:rFonts w:asciiTheme="majorBidi" w:hAnsiTheme="majorBidi" w:cstheme="majorBidi"/>
                <w:sz w:val="20"/>
                <w:szCs w:val="20"/>
              </w:rPr>
              <w:t xml:space="preserve"> </w:t>
            </w:r>
          </w:p>
          <w:p w14:paraId="1C037C1E" w14:textId="4CBD5A8C" w:rsidR="0035515B" w:rsidRDefault="0035515B" w:rsidP="0035515B">
            <w:pPr>
              <w:rPr>
                <w:rFonts w:asciiTheme="majorBidi" w:hAnsiTheme="majorBidi" w:cstheme="majorBidi"/>
                <w:sz w:val="20"/>
                <w:szCs w:val="20"/>
              </w:rPr>
            </w:pPr>
          </w:p>
          <w:p w14:paraId="174789EC" w14:textId="77777777" w:rsidR="0035515B" w:rsidRPr="0035515B" w:rsidRDefault="0035515B" w:rsidP="0035515B">
            <w:pPr>
              <w:rPr>
                <w:rFonts w:asciiTheme="majorBidi" w:hAnsiTheme="majorBidi" w:cstheme="majorBidi"/>
                <w:sz w:val="20"/>
                <w:szCs w:val="20"/>
              </w:rPr>
            </w:pPr>
          </w:p>
          <w:p w14:paraId="6FD03FB6" w14:textId="77777777" w:rsidR="00E74DCF" w:rsidRDefault="00E74DCF" w:rsidP="0035515B">
            <w:pPr>
              <w:rPr>
                <w:rFonts w:asciiTheme="majorBidi" w:hAnsiTheme="majorBidi" w:cstheme="majorBidi"/>
                <w:sz w:val="20"/>
                <w:szCs w:val="20"/>
              </w:rPr>
            </w:pPr>
            <w:r w:rsidRPr="00EB4048">
              <w:rPr>
                <w:rFonts w:asciiTheme="majorBidi" w:hAnsiTheme="majorBidi" w:cstheme="majorBidi"/>
                <w:sz w:val="20"/>
                <w:szCs w:val="20"/>
              </w:rPr>
              <w:t xml:space="preserve">The SCI measures the strength of connectedness between two geographic areas as represented by Facebook friendship ties. These connections can reveal important insights about economic opportunities, social mobility, trade, and more. They also aid in the tracking of how groups of people move between counties in normal times, as well as in times of disasters. </w:t>
            </w:r>
          </w:p>
          <w:p w14:paraId="044AF29D" w14:textId="2E82ED24" w:rsidR="0035515B" w:rsidRPr="000969ED" w:rsidRDefault="0035515B" w:rsidP="0035515B">
            <w:pPr>
              <w:rPr>
                <w:rFonts w:asciiTheme="majorBidi" w:hAnsiTheme="majorBidi" w:cstheme="majorBidi"/>
                <w:sz w:val="20"/>
                <w:szCs w:val="20"/>
              </w:rPr>
            </w:pPr>
          </w:p>
        </w:tc>
      </w:tr>
      <w:tr w:rsidR="00E74DCF" w:rsidRPr="0035515B" w14:paraId="4558B08F" w14:textId="77777777" w:rsidTr="0035515B">
        <w:trPr>
          <w:trHeight w:val="9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E65898" w14:textId="77777777" w:rsidR="00E74DCF" w:rsidRPr="000969ED" w:rsidRDefault="00E74DCF" w:rsidP="00AD024B">
            <w:pPr>
              <w:rPr>
                <w:rFonts w:asciiTheme="majorBidi" w:hAnsiTheme="majorBidi" w:cstheme="majorBid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E18161" w14:textId="77777777" w:rsidR="00E74DCF" w:rsidRPr="000969ED" w:rsidRDefault="00E74DCF" w:rsidP="0035515B">
            <w:pPr>
              <w:rPr>
                <w:rFonts w:asciiTheme="majorBidi" w:hAnsiTheme="majorBidi" w:cstheme="majorBidi"/>
                <w:sz w:val="20"/>
                <w:szCs w:val="20"/>
              </w:rPr>
            </w:pPr>
            <w:r w:rsidRPr="000969ED">
              <w:rPr>
                <w:rFonts w:asciiTheme="majorBidi" w:hAnsiTheme="majorBidi" w:cstheme="majorBidi"/>
                <w:sz w:val="20"/>
                <w:szCs w:val="20"/>
              </w:rPr>
              <w:t xml:space="preserve">Facebook Social Connectedness Index </w:t>
            </w:r>
            <w:r w:rsidRPr="0035515B">
              <w:rPr>
                <w:rFonts w:asciiTheme="majorBidi" w:hAnsiTheme="majorBidi" w:cstheme="majorBidi"/>
                <w:sz w:val="20"/>
                <w:szCs w:val="20"/>
              </w:rPr>
              <w:t>(SCI)</w:t>
            </w:r>
          </w:p>
        </w:tc>
        <w:tc>
          <w:tcPr>
            <w:tcW w:w="2123" w:type="dxa"/>
            <w:tcBorders>
              <w:top w:val="single" w:sz="8" w:space="0" w:color="000000"/>
              <w:left w:val="single" w:sz="8" w:space="0" w:color="000000"/>
              <w:bottom w:val="single" w:sz="8" w:space="0" w:color="000000"/>
              <w:right w:val="single" w:sz="8" w:space="0" w:color="000000"/>
            </w:tcBorders>
            <w:vAlign w:val="center"/>
          </w:tcPr>
          <w:p w14:paraId="3E2CCA8C" w14:textId="0F1176A7" w:rsidR="00E74DCF" w:rsidRPr="0035515B" w:rsidRDefault="00E74DCF" w:rsidP="0035515B">
            <w:pPr>
              <w:rPr>
                <w:rFonts w:asciiTheme="majorBidi" w:hAnsiTheme="majorBidi" w:cstheme="majorBidi"/>
                <w:sz w:val="20"/>
                <w:szCs w:val="20"/>
              </w:rPr>
            </w:pPr>
            <w:hyperlink r:id="rId7" w:history="1">
              <w:r w:rsidRPr="0035515B">
                <w:rPr>
                  <w:rStyle w:val="Hyperlink"/>
                  <w:rFonts w:asciiTheme="majorBidi" w:hAnsiTheme="majorBidi" w:cstheme="majorBidi"/>
                  <w:sz w:val="20"/>
                  <w:szCs w:val="20"/>
                </w:rPr>
                <w:t>FB Dat</w:t>
              </w:r>
              <w:r w:rsidRPr="0035515B">
                <w:rPr>
                  <w:rStyle w:val="Hyperlink"/>
                  <w:rFonts w:asciiTheme="majorBidi" w:hAnsiTheme="majorBidi" w:cstheme="majorBidi"/>
                  <w:sz w:val="20"/>
                  <w:szCs w:val="20"/>
                </w:rPr>
                <w:t>a</w:t>
              </w:r>
              <w:r w:rsidRPr="0035515B">
                <w:rPr>
                  <w:rStyle w:val="Hyperlink"/>
                  <w:rFonts w:asciiTheme="majorBidi" w:hAnsiTheme="majorBidi" w:cstheme="majorBidi"/>
                  <w:sz w:val="20"/>
                  <w:szCs w:val="20"/>
                </w:rPr>
                <w:t xml:space="preserve"> f</w:t>
              </w:r>
              <w:r w:rsidRPr="0035515B">
                <w:rPr>
                  <w:rStyle w:val="Hyperlink"/>
                  <w:rFonts w:asciiTheme="majorBidi" w:hAnsiTheme="majorBidi" w:cstheme="majorBidi"/>
                  <w:sz w:val="20"/>
                  <w:szCs w:val="20"/>
                </w:rPr>
                <w:t>o</w:t>
              </w:r>
              <w:r w:rsidRPr="0035515B">
                <w:rPr>
                  <w:rStyle w:val="Hyperlink"/>
                  <w:rFonts w:asciiTheme="majorBidi" w:hAnsiTheme="majorBidi" w:cstheme="majorBidi"/>
                  <w:sz w:val="20"/>
                  <w:szCs w:val="20"/>
                </w:rPr>
                <w:t>r Good</w:t>
              </w:r>
            </w:hyperlink>
          </w:p>
        </w:tc>
        <w:tc>
          <w:tcPr>
            <w:tcW w:w="4050" w:type="dxa"/>
            <w:vMerge/>
            <w:tcBorders>
              <w:top w:val="single" w:sz="8" w:space="0" w:color="000000"/>
              <w:left w:val="single" w:sz="8" w:space="0" w:color="000000"/>
              <w:bottom w:val="single" w:sz="8" w:space="0" w:color="000000"/>
              <w:right w:val="single" w:sz="8" w:space="0" w:color="000000"/>
            </w:tcBorders>
            <w:vAlign w:val="center"/>
            <w:hideMark/>
          </w:tcPr>
          <w:p w14:paraId="3D3C175A" w14:textId="18C0F968" w:rsidR="00E74DCF" w:rsidRPr="000969ED" w:rsidRDefault="00E74DCF" w:rsidP="0035515B">
            <w:pPr>
              <w:rPr>
                <w:rFonts w:asciiTheme="majorBidi" w:hAnsiTheme="majorBidi" w:cstheme="majorBidi"/>
                <w:sz w:val="20"/>
                <w:szCs w:val="20"/>
              </w:rPr>
            </w:pPr>
          </w:p>
        </w:tc>
      </w:tr>
      <w:tr w:rsidR="00E74DCF" w:rsidRPr="0035515B" w14:paraId="79C5870D" w14:textId="77777777" w:rsidTr="0035515B">
        <w:trPr>
          <w:trHeight w:val="285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481F" w14:textId="77777777" w:rsidR="00E74DCF" w:rsidRPr="000969ED" w:rsidRDefault="00E74DCF" w:rsidP="00AD024B">
            <w:pPr>
              <w:rPr>
                <w:rFonts w:asciiTheme="majorBidi" w:hAnsiTheme="majorBidi" w:cstheme="majorBidi"/>
                <w:sz w:val="20"/>
                <w:szCs w:val="20"/>
              </w:rPr>
            </w:pPr>
            <w:r w:rsidRPr="000969ED">
              <w:rPr>
                <w:rFonts w:asciiTheme="majorBidi" w:hAnsiTheme="majorBidi" w:cstheme="majorBidi"/>
                <w:sz w:val="20"/>
                <w:szCs w:val="20"/>
              </w:rPr>
              <w:t>(2)   Natural Hazard Risk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2DB5DC" w14:textId="558BCC18" w:rsidR="00E74DCF" w:rsidRPr="000969ED" w:rsidRDefault="00E74DCF" w:rsidP="0035515B">
            <w:pPr>
              <w:rPr>
                <w:rFonts w:asciiTheme="majorBidi" w:hAnsiTheme="majorBidi" w:cstheme="majorBidi"/>
                <w:sz w:val="20"/>
                <w:szCs w:val="20"/>
              </w:rPr>
            </w:pPr>
            <w:r w:rsidRPr="000969ED">
              <w:rPr>
                <w:rFonts w:asciiTheme="majorBidi" w:hAnsiTheme="majorBidi" w:cstheme="majorBidi"/>
                <w:sz w:val="20"/>
                <w:szCs w:val="20"/>
              </w:rPr>
              <w:t xml:space="preserve">Hurricane </w:t>
            </w:r>
            <w:r w:rsidR="00967F59" w:rsidRPr="0035515B">
              <w:rPr>
                <w:rFonts w:asciiTheme="majorBidi" w:hAnsiTheme="majorBidi" w:cstheme="majorBidi"/>
                <w:sz w:val="20"/>
                <w:szCs w:val="20"/>
              </w:rPr>
              <w:t xml:space="preserve">Hazard </w:t>
            </w:r>
            <w:r w:rsidRPr="000969ED">
              <w:rPr>
                <w:rFonts w:asciiTheme="majorBidi" w:hAnsiTheme="majorBidi" w:cstheme="majorBidi"/>
                <w:sz w:val="20"/>
                <w:szCs w:val="20"/>
              </w:rPr>
              <w:t>Index</w:t>
            </w:r>
          </w:p>
        </w:tc>
        <w:tc>
          <w:tcPr>
            <w:tcW w:w="2123" w:type="dxa"/>
            <w:tcBorders>
              <w:top w:val="single" w:sz="8" w:space="0" w:color="000000"/>
              <w:left w:val="single" w:sz="8" w:space="0" w:color="000000"/>
              <w:bottom w:val="single" w:sz="8" w:space="0" w:color="000000"/>
              <w:right w:val="single" w:sz="8" w:space="0" w:color="000000"/>
            </w:tcBorders>
            <w:vAlign w:val="center"/>
          </w:tcPr>
          <w:p w14:paraId="11C67EC4" w14:textId="51AE5DC7" w:rsidR="002B4586" w:rsidRPr="0035515B" w:rsidRDefault="00E74DCF" w:rsidP="0035515B">
            <w:pPr>
              <w:rPr>
                <w:rFonts w:asciiTheme="majorBidi" w:hAnsiTheme="majorBidi" w:cstheme="majorBidi"/>
                <w:sz w:val="20"/>
                <w:szCs w:val="20"/>
              </w:rPr>
            </w:pPr>
            <w:hyperlink r:id="rId8" w:history="1">
              <w:r w:rsidRPr="0035515B">
                <w:rPr>
                  <w:rStyle w:val="Hyperlink"/>
                  <w:rFonts w:asciiTheme="majorBidi" w:hAnsiTheme="majorBidi" w:cstheme="majorBidi"/>
                  <w:sz w:val="20"/>
                  <w:szCs w:val="20"/>
                </w:rPr>
                <w:t>Natio</w:t>
              </w:r>
              <w:r w:rsidRPr="0035515B">
                <w:rPr>
                  <w:rStyle w:val="Hyperlink"/>
                  <w:rFonts w:asciiTheme="majorBidi" w:hAnsiTheme="majorBidi" w:cstheme="majorBidi"/>
                  <w:sz w:val="20"/>
                  <w:szCs w:val="20"/>
                </w:rPr>
                <w:t>n</w:t>
              </w:r>
              <w:r w:rsidRPr="0035515B">
                <w:rPr>
                  <w:rStyle w:val="Hyperlink"/>
                  <w:rFonts w:asciiTheme="majorBidi" w:hAnsiTheme="majorBidi" w:cstheme="majorBidi"/>
                  <w:sz w:val="20"/>
                  <w:szCs w:val="20"/>
                </w:rPr>
                <w:t>al Center for Disaster Preparedness, Earth Institute, Columbia University</w:t>
              </w:r>
            </w:hyperlink>
          </w:p>
        </w:tc>
        <w:tc>
          <w:tcPr>
            <w:tcW w:w="40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A929C6" w14:textId="0465EB33" w:rsidR="002B4586" w:rsidRPr="0035515B" w:rsidRDefault="002B4586" w:rsidP="0035515B">
            <w:pPr>
              <w:rPr>
                <w:rFonts w:asciiTheme="majorBidi" w:eastAsiaTheme="minorHAnsi" w:hAnsiTheme="majorBidi" w:cstheme="majorBidi"/>
                <w:sz w:val="20"/>
                <w:szCs w:val="20"/>
              </w:rPr>
            </w:pPr>
            <w:r w:rsidRPr="0035515B">
              <w:rPr>
                <w:rFonts w:asciiTheme="majorBidi" w:eastAsiaTheme="minorHAnsi" w:hAnsiTheme="majorBidi" w:cstheme="majorBidi"/>
                <w:sz w:val="20"/>
                <w:szCs w:val="20"/>
              </w:rPr>
              <w:t xml:space="preserve">The Hurricane Risk is based on historic data on Hurricane tracks collected from </w:t>
            </w:r>
            <w:hyperlink r:id="rId9" w:history="1">
              <w:r w:rsidRPr="0035515B">
                <w:rPr>
                  <w:rStyle w:val="Hyperlink"/>
                  <w:rFonts w:asciiTheme="majorBidi" w:hAnsiTheme="majorBidi" w:cstheme="majorBidi"/>
                  <w:sz w:val="20"/>
                  <w:szCs w:val="20"/>
                </w:rPr>
                <w:t>National Oceanic and Atmospheric Administration</w:t>
              </w:r>
            </w:hyperlink>
            <w:r w:rsidRPr="0035515B">
              <w:rPr>
                <w:rFonts w:asciiTheme="majorBidi" w:hAnsiTheme="majorBidi" w:cstheme="majorBidi"/>
                <w:sz w:val="20"/>
                <w:szCs w:val="20"/>
              </w:rPr>
              <w:t xml:space="preserve"> between 1851-2004</w:t>
            </w:r>
            <w:r w:rsidR="00967F59" w:rsidRPr="0035515B">
              <w:rPr>
                <w:rFonts w:asciiTheme="majorBidi" w:hAnsiTheme="majorBidi" w:cstheme="majorBidi"/>
                <w:sz w:val="20"/>
                <w:szCs w:val="20"/>
              </w:rPr>
              <w:t xml:space="preserve">. The final score is based on </w:t>
            </w:r>
            <w:r w:rsidRPr="002B4586">
              <w:rPr>
                <w:rFonts w:asciiTheme="majorBidi" w:eastAsiaTheme="minorHAnsi" w:hAnsiTheme="majorBidi" w:cstheme="majorBidi"/>
                <w:sz w:val="20"/>
                <w:szCs w:val="20"/>
              </w:rPr>
              <w:t>the category number that describes that event</w:t>
            </w:r>
            <w:r w:rsidR="00967F59" w:rsidRPr="0035515B">
              <w:rPr>
                <w:rFonts w:asciiTheme="majorBidi" w:eastAsiaTheme="minorHAnsi" w:hAnsiTheme="majorBidi" w:cstheme="majorBidi"/>
                <w:sz w:val="20"/>
                <w:szCs w:val="20"/>
              </w:rPr>
              <w:t xml:space="preserve"> and w</w:t>
            </w:r>
            <w:r w:rsidRPr="002B4586">
              <w:rPr>
                <w:rFonts w:asciiTheme="majorBidi" w:eastAsiaTheme="minorHAnsi" w:hAnsiTheme="majorBidi" w:cstheme="majorBidi"/>
                <w:sz w:val="20"/>
                <w:szCs w:val="20"/>
              </w:rPr>
              <w:t>eigh</w:t>
            </w:r>
            <w:r w:rsidR="00967F59" w:rsidRPr="0035515B">
              <w:rPr>
                <w:rFonts w:asciiTheme="majorBidi" w:eastAsiaTheme="minorHAnsi" w:hAnsiTheme="majorBidi" w:cstheme="majorBidi"/>
                <w:sz w:val="20"/>
                <w:szCs w:val="20"/>
              </w:rPr>
              <w:t>ted</w:t>
            </w:r>
            <w:r w:rsidRPr="002B4586">
              <w:rPr>
                <w:rFonts w:asciiTheme="majorBidi" w:eastAsiaTheme="minorHAnsi" w:hAnsiTheme="majorBidi" w:cstheme="majorBidi"/>
                <w:sz w:val="20"/>
                <w:szCs w:val="20"/>
              </w:rPr>
              <w:t xml:space="preserve"> by intensity</w:t>
            </w:r>
            <w:r w:rsidR="00967F59" w:rsidRPr="0035515B">
              <w:rPr>
                <w:rFonts w:asciiTheme="majorBidi" w:eastAsiaTheme="minorHAnsi" w:hAnsiTheme="majorBidi" w:cstheme="majorBidi"/>
                <w:sz w:val="20"/>
                <w:szCs w:val="20"/>
              </w:rPr>
              <w:t xml:space="preserve">. </w:t>
            </w:r>
            <w:r w:rsidRPr="002B4586">
              <w:rPr>
                <w:rFonts w:asciiTheme="majorBidi" w:eastAsiaTheme="minorHAnsi" w:hAnsiTheme="majorBidi" w:cstheme="majorBidi"/>
                <w:sz w:val="20"/>
                <w:szCs w:val="20"/>
              </w:rPr>
              <w:t>Values describing each hurricane event were aggregated by United States County, normalized by total county ar</w:t>
            </w:r>
            <w:r w:rsidR="00967F59" w:rsidRPr="0035515B">
              <w:rPr>
                <w:rFonts w:asciiTheme="majorBidi" w:eastAsiaTheme="minorHAnsi" w:hAnsiTheme="majorBidi" w:cstheme="majorBidi"/>
                <w:sz w:val="20"/>
                <w:szCs w:val="20"/>
              </w:rPr>
              <w:t xml:space="preserve">ea. </w:t>
            </w:r>
          </w:p>
          <w:p w14:paraId="59DE71EA" w14:textId="45C50136" w:rsidR="00967F59" w:rsidRPr="0035515B" w:rsidRDefault="00967F59" w:rsidP="0035515B">
            <w:pPr>
              <w:rPr>
                <w:rFonts w:asciiTheme="majorBidi" w:eastAsiaTheme="minorHAnsi" w:hAnsiTheme="majorBidi" w:cstheme="majorBidi"/>
                <w:sz w:val="20"/>
                <w:szCs w:val="20"/>
              </w:rPr>
            </w:pPr>
          </w:p>
          <w:p w14:paraId="4D883A53" w14:textId="2196060F" w:rsidR="00967F59" w:rsidRPr="0035515B" w:rsidRDefault="00967F59" w:rsidP="0035515B">
            <w:pPr>
              <w:rPr>
                <w:rFonts w:asciiTheme="majorBidi" w:eastAsiaTheme="minorHAnsi" w:hAnsiTheme="majorBidi" w:cstheme="majorBidi"/>
                <w:sz w:val="20"/>
                <w:szCs w:val="20"/>
              </w:rPr>
            </w:pPr>
            <w:r w:rsidRPr="0035515B">
              <w:rPr>
                <w:rFonts w:asciiTheme="majorBidi" w:eastAsiaTheme="minorHAnsi" w:hAnsiTheme="majorBidi" w:cstheme="majorBidi"/>
                <w:sz w:val="20"/>
                <w:szCs w:val="20"/>
              </w:rPr>
              <w:t xml:space="preserve">The Flood Hazard is based on data collected by </w:t>
            </w:r>
            <w:hyperlink r:id="rId10" w:history="1">
              <w:r w:rsidRPr="0035515B">
                <w:rPr>
                  <w:rStyle w:val="Hyperlink"/>
                  <w:rFonts w:asciiTheme="majorBidi" w:eastAsiaTheme="minorHAnsi" w:hAnsiTheme="majorBidi" w:cstheme="majorBidi"/>
                  <w:sz w:val="20"/>
                  <w:szCs w:val="20"/>
                </w:rPr>
                <w:t>United States Federal Emergency Management Administration</w:t>
              </w:r>
            </w:hyperlink>
            <w:r w:rsidR="00D267AF">
              <w:rPr>
                <w:rFonts w:asciiTheme="majorBidi" w:eastAsiaTheme="minorHAnsi" w:hAnsiTheme="majorBidi" w:cstheme="majorBidi"/>
                <w:sz w:val="20"/>
                <w:szCs w:val="20"/>
              </w:rPr>
              <w:t xml:space="preserve">’s National Flood Hazard Layer. </w:t>
            </w:r>
            <w:r w:rsidRPr="0035515B">
              <w:rPr>
                <w:rFonts w:asciiTheme="majorBidi" w:eastAsiaTheme="minorHAnsi" w:hAnsiTheme="majorBidi" w:cstheme="majorBidi"/>
                <w:sz w:val="20"/>
                <w:szCs w:val="20"/>
              </w:rPr>
              <w:t>Flood area</w:t>
            </w:r>
            <w:r w:rsidR="00D267AF">
              <w:rPr>
                <w:rFonts w:asciiTheme="majorBidi" w:eastAsiaTheme="minorHAnsi" w:hAnsiTheme="majorBidi" w:cstheme="majorBidi"/>
                <w:sz w:val="20"/>
                <w:szCs w:val="20"/>
              </w:rPr>
              <w:t>s</w:t>
            </w:r>
            <w:r w:rsidRPr="0035515B">
              <w:rPr>
                <w:rFonts w:asciiTheme="majorBidi" w:eastAsiaTheme="minorHAnsi" w:hAnsiTheme="majorBidi" w:cstheme="majorBidi"/>
                <w:sz w:val="20"/>
                <w:szCs w:val="20"/>
              </w:rPr>
              <w:t xml:space="preserve"> </w:t>
            </w:r>
            <w:r w:rsidR="00D267AF">
              <w:rPr>
                <w:rFonts w:asciiTheme="majorBidi" w:eastAsiaTheme="minorHAnsi" w:hAnsiTheme="majorBidi" w:cstheme="majorBidi"/>
                <w:sz w:val="20"/>
                <w:szCs w:val="20"/>
              </w:rPr>
              <w:t>were</w:t>
            </w:r>
            <w:r w:rsidRPr="0035515B">
              <w:rPr>
                <w:rFonts w:asciiTheme="majorBidi" w:eastAsiaTheme="minorHAnsi" w:hAnsiTheme="majorBidi" w:cstheme="majorBidi"/>
                <w:sz w:val="20"/>
                <w:szCs w:val="20"/>
              </w:rPr>
              <w:t xml:space="preserve"> aggregated by county</w:t>
            </w:r>
            <w:r w:rsidR="00D267AF">
              <w:rPr>
                <w:rFonts w:asciiTheme="majorBidi" w:eastAsiaTheme="minorHAnsi" w:hAnsiTheme="majorBidi" w:cstheme="majorBidi"/>
                <w:sz w:val="20"/>
                <w:szCs w:val="20"/>
              </w:rPr>
              <w:t xml:space="preserve"> and are </w:t>
            </w:r>
            <w:r w:rsidRPr="0035515B">
              <w:rPr>
                <w:rFonts w:asciiTheme="majorBidi" w:eastAsiaTheme="minorHAnsi" w:hAnsiTheme="majorBidi" w:cstheme="majorBidi"/>
                <w:sz w:val="20"/>
                <w:szCs w:val="20"/>
              </w:rPr>
              <w:t>expressed as a fraction of the total county land area</w:t>
            </w:r>
            <w:r w:rsidR="00D267AF">
              <w:rPr>
                <w:rFonts w:asciiTheme="majorBidi" w:eastAsiaTheme="minorHAnsi" w:hAnsiTheme="majorBidi" w:cstheme="majorBidi"/>
                <w:sz w:val="20"/>
                <w:szCs w:val="20"/>
              </w:rPr>
              <w:t>.</w:t>
            </w:r>
            <w:r w:rsidRPr="0035515B">
              <w:rPr>
                <w:rFonts w:asciiTheme="majorBidi" w:eastAsiaTheme="minorHAnsi" w:hAnsiTheme="majorBidi" w:cstheme="majorBidi"/>
                <w:sz w:val="20"/>
                <w:szCs w:val="20"/>
              </w:rPr>
              <w:t xml:space="preserve"> </w:t>
            </w:r>
            <w:r w:rsidR="00D267AF">
              <w:rPr>
                <w:rFonts w:asciiTheme="majorBidi" w:eastAsiaTheme="minorHAnsi" w:hAnsiTheme="majorBidi" w:cstheme="majorBidi"/>
                <w:sz w:val="20"/>
                <w:szCs w:val="20"/>
              </w:rPr>
              <w:t>F</w:t>
            </w:r>
            <w:r w:rsidRPr="0035515B">
              <w:rPr>
                <w:rFonts w:asciiTheme="majorBidi" w:eastAsiaTheme="minorHAnsi" w:hAnsiTheme="majorBidi" w:cstheme="majorBidi"/>
                <w:sz w:val="20"/>
                <w:szCs w:val="20"/>
              </w:rPr>
              <w:t>lood hazard</w:t>
            </w:r>
            <w:r w:rsidR="00D267AF">
              <w:rPr>
                <w:rFonts w:asciiTheme="majorBidi" w:eastAsiaTheme="minorHAnsi" w:hAnsiTheme="majorBidi" w:cstheme="majorBidi"/>
                <w:sz w:val="20"/>
                <w:szCs w:val="20"/>
              </w:rPr>
              <w:t>s were</w:t>
            </w:r>
            <w:r w:rsidRPr="0035515B">
              <w:rPr>
                <w:rFonts w:asciiTheme="majorBidi" w:eastAsiaTheme="minorHAnsi" w:hAnsiTheme="majorBidi" w:cstheme="majorBidi"/>
                <w:sz w:val="20"/>
                <w:szCs w:val="20"/>
              </w:rPr>
              <w:t xml:space="preserve"> classified based upon percentage of land that is susceptible to flooding. National Flood Hazard Layer </w:t>
            </w:r>
            <w:r w:rsidR="00D267AF">
              <w:rPr>
                <w:rFonts w:asciiTheme="majorBidi" w:eastAsiaTheme="minorHAnsi" w:hAnsiTheme="majorBidi" w:cstheme="majorBidi"/>
                <w:sz w:val="20"/>
                <w:szCs w:val="20"/>
              </w:rPr>
              <w:t xml:space="preserve">only covers </w:t>
            </w:r>
            <w:r w:rsidRPr="0035515B">
              <w:rPr>
                <w:rFonts w:asciiTheme="majorBidi" w:eastAsiaTheme="minorHAnsi" w:hAnsiTheme="majorBidi" w:cstheme="majorBidi"/>
                <w:sz w:val="20"/>
                <w:szCs w:val="20"/>
              </w:rPr>
              <w:t>populated area</w:t>
            </w:r>
            <w:r w:rsidR="00D267AF">
              <w:rPr>
                <w:rFonts w:asciiTheme="majorBidi" w:eastAsiaTheme="minorHAnsi" w:hAnsiTheme="majorBidi" w:cstheme="majorBidi"/>
                <w:sz w:val="20"/>
                <w:szCs w:val="20"/>
              </w:rPr>
              <w:t>s;</w:t>
            </w:r>
            <w:r w:rsidRPr="0035515B">
              <w:rPr>
                <w:rFonts w:asciiTheme="majorBidi" w:eastAsiaTheme="minorHAnsi" w:hAnsiTheme="majorBidi" w:cstheme="majorBidi"/>
                <w:sz w:val="20"/>
                <w:szCs w:val="20"/>
              </w:rPr>
              <w:t xml:space="preserve"> </w:t>
            </w:r>
            <w:r w:rsidR="00D267AF">
              <w:rPr>
                <w:rFonts w:asciiTheme="majorBidi" w:eastAsiaTheme="minorHAnsi" w:hAnsiTheme="majorBidi" w:cstheme="majorBidi"/>
                <w:sz w:val="20"/>
                <w:szCs w:val="20"/>
              </w:rPr>
              <w:t xml:space="preserve">areas not </w:t>
            </w:r>
            <w:r w:rsidRPr="0035515B">
              <w:rPr>
                <w:rFonts w:asciiTheme="majorBidi" w:eastAsiaTheme="minorHAnsi" w:hAnsiTheme="majorBidi" w:cstheme="majorBidi"/>
                <w:sz w:val="20"/>
                <w:szCs w:val="20"/>
              </w:rPr>
              <w:t xml:space="preserve">included in National Flood Hazard Layer were </w:t>
            </w:r>
            <w:r w:rsidR="00D267AF">
              <w:rPr>
                <w:rFonts w:asciiTheme="majorBidi" w:eastAsiaTheme="minorHAnsi" w:hAnsiTheme="majorBidi" w:cstheme="majorBidi"/>
                <w:sz w:val="20"/>
                <w:szCs w:val="20"/>
              </w:rPr>
              <w:t xml:space="preserve">given low </w:t>
            </w:r>
            <w:r w:rsidRPr="0035515B">
              <w:rPr>
                <w:rFonts w:asciiTheme="majorBidi" w:eastAsiaTheme="minorHAnsi" w:hAnsiTheme="majorBidi" w:cstheme="majorBidi"/>
                <w:sz w:val="20"/>
                <w:szCs w:val="20"/>
              </w:rPr>
              <w:t>flood risk</w:t>
            </w:r>
            <w:r w:rsidR="00D267AF">
              <w:rPr>
                <w:rFonts w:asciiTheme="majorBidi" w:eastAsiaTheme="minorHAnsi" w:hAnsiTheme="majorBidi" w:cstheme="majorBidi"/>
                <w:sz w:val="20"/>
                <w:szCs w:val="20"/>
              </w:rPr>
              <w:t xml:space="preserve">. </w:t>
            </w:r>
          </w:p>
          <w:p w14:paraId="31CC6157" w14:textId="7E32631B" w:rsidR="00967F59" w:rsidRPr="002B4586" w:rsidRDefault="00967F59" w:rsidP="0035515B">
            <w:pPr>
              <w:rPr>
                <w:rFonts w:asciiTheme="majorBidi" w:eastAsiaTheme="minorHAnsi" w:hAnsiTheme="majorBidi" w:cstheme="majorBidi"/>
                <w:sz w:val="20"/>
                <w:szCs w:val="20"/>
              </w:rPr>
            </w:pPr>
          </w:p>
          <w:p w14:paraId="64A06EBF" w14:textId="57632670" w:rsidR="00E74DCF" w:rsidRPr="000969ED" w:rsidRDefault="00E74DCF" w:rsidP="0035515B">
            <w:pPr>
              <w:rPr>
                <w:rFonts w:asciiTheme="majorBidi" w:hAnsiTheme="majorBidi" w:cstheme="majorBidi"/>
                <w:sz w:val="20"/>
                <w:szCs w:val="20"/>
              </w:rPr>
            </w:pPr>
          </w:p>
        </w:tc>
      </w:tr>
      <w:tr w:rsidR="00E74DCF" w:rsidRPr="0035515B" w14:paraId="5945A206" w14:textId="77777777" w:rsidTr="0035515B">
        <w:trPr>
          <w:trHeight w:val="7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DAEC9E" w14:textId="77777777" w:rsidR="00E74DCF" w:rsidRPr="000969ED" w:rsidRDefault="00E74DCF" w:rsidP="00AD024B">
            <w:pPr>
              <w:rPr>
                <w:rFonts w:asciiTheme="majorBidi" w:hAnsiTheme="majorBidi" w:cstheme="majorBid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B43CA5" w14:textId="67671CC0" w:rsidR="00E74DCF" w:rsidRPr="000969ED" w:rsidRDefault="00E74DCF" w:rsidP="0035515B">
            <w:pPr>
              <w:rPr>
                <w:rFonts w:asciiTheme="majorBidi" w:hAnsiTheme="majorBidi" w:cstheme="majorBidi"/>
                <w:sz w:val="20"/>
                <w:szCs w:val="20"/>
              </w:rPr>
            </w:pPr>
            <w:r w:rsidRPr="000969ED">
              <w:rPr>
                <w:rFonts w:asciiTheme="majorBidi" w:hAnsiTheme="majorBidi" w:cstheme="majorBidi"/>
                <w:sz w:val="20"/>
                <w:szCs w:val="20"/>
              </w:rPr>
              <w:t xml:space="preserve">Flood </w:t>
            </w:r>
            <w:r w:rsidR="00967F59" w:rsidRPr="0035515B">
              <w:rPr>
                <w:rFonts w:asciiTheme="majorBidi" w:hAnsiTheme="majorBidi" w:cstheme="majorBidi"/>
                <w:sz w:val="20"/>
                <w:szCs w:val="20"/>
              </w:rPr>
              <w:t>Hazard</w:t>
            </w:r>
            <w:r w:rsidRPr="000969ED">
              <w:rPr>
                <w:rFonts w:asciiTheme="majorBidi" w:hAnsiTheme="majorBidi" w:cstheme="majorBidi"/>
                <w:sz w:val="20"/>
                <w:szCs w:val="20"/>
              </w:rPr>
              <w:t xml:space="preserve"> Index </w:t>
            </w:r>
          </w:p>
        </w:tc>
        <w:tc>
          <w:tcPr>
            <w:tcW w:w="2123" w:type="dxa"/>
            <w:tcBorders>
              <w:top w:val="single" w:sz="8" w:space="0" w:color="000000"/>
              <w:left w:val="single" w:sz="8" w:space="0" w:color="000000"/>
              <w:bottom w:val="single" w:sz="8" w:space="0" w:color="000000"/>
              <w:right w:val="single" w:sz="8" w:space="0" w:color="000000"/>
            </w:tcBorders>
            <w:vAlign w:val="center"/>
          </w:tcPr>
          <w:p w14:paraId="690310EC" w14:textId="77777777" w:rsidR="00E74DCF" w:rsidRPr="0035515B" w:rsidRDefault="00E74DCF" w:rsidP="0035515B">
            <w:pPr>
              <w:rPr>
                <w:rFonts w:asciiTheme="majorBidi" w:hAnsiTheme="majorBidi" w:cstheme="majorBidi"/>
                <w:sz w:val="20"/>
                <w:szCs w:val="20"/>
              </w:rPr>
            </w:pPr>
            <w:hyperlink r:id="rId11" w:history="1">
              <w:r w:rsidRPr="0035515B">
                <w:rPr>
                  <w:rStyle w:val="Hyperlink"/>
                  <w:rFonts w:asciiTheme="majorBidi" w:hAnsiTheme="majorBidi" w:cstheme="majorBidi"/>
                  <w:sz w:val="20"/>
                  <w:szCs w:val="20"/>
                </w:rPr>
                <w:t>National Center for Disaster Preparedness, Earth Institute, Columbia University</w:t>
              </w:r>
            </w:hyperlink>
          </w:p>
          <w:p w14:paraId="4CA06633" w14:textId="77777777" w:rsidR="002B4586" w:rsidRPr="0035515B" w:rsidRDefault="002B4586" w:rsidP="0035515B">
            <w:pPr>
              <w:rPr>
                <w:rFonts w:asciiTheme="majorBidi" w:hAnsiTheme="majorBidi" w:cstheme="majorBidi"/>
                <w:sz w:val="20"/>
                <w:szCs w:val="20"/>
              </w:rPr>
            </w:pPr>
          </w:p>
          <w:p w14:paraId="3BB22919" w14:textId="4B58B6C1" w:rsidR="002B4586" w:rsidRPr="0035515B" w:rsidRDefault="002B4586" w:rsidP="0035515B">
            <w:pPr>
              <w:rPr>
                <w:rFonts w:asciiTheme="majorBidi" w:hAnsiTheme="majorBidi" w:cstheme="majorBidi"/>
                <w:sz w:val="20"/>
                <w:szCs w:val="20"/>
              </w:rPr>
            </w:pPr>
          </w:p>
        </w:tc>
        <w:tc>
          <w:tcPr>
            <w:tcW w:w="4050" w:type="dxa"/>
            <w:vMerge/>
            <w:tcBorders>
              <w:top w:val="single" w:sz="8" w:space="0" w:color="000000"/>
              <w:left w:val="single" w:sz="8" w:space="0" w:color="000000"/>
              <w:bottom w:val="single" w:sz="8" w:space="0" w:color="000000"/>
              <w:right w:val="single" w:sz="8" w:space="0" w:color="000000"/>
            </w:tcBorders>
            <w:vAlign w:val="center"/>
            <w:hideMark/>
          </w:tcPr>
          <w:p w14:paraId="2A4FFA64" w14:textId="06F9E426" w:rsidR="00E74DCF" w:rsidRPr="000969ED" w:rsidRDefault="00E74DCF" w:rsidP="0035515B">
            <w:pPr>
              <w:rPr>
                <w:rFonts w:asciiTheme="majorBidi" w:hAnsiTheme="majorBidi" w:cstheme="majorBidi"/>
                <w:sz w:val="20"/>
                <w:szCs w:val="20"/>
              </w:rPr>
            </w:pPr>
          </w:p>
        </w:tc>
      </w:tr>
      <w:tr w:rsidR="0035515B" w:rsidRPr="0035515B" w14:paraId="36EF340C" w14:textId="77777777" w:rsidTr="0035515B">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595E5" w14:textId="022C0036" w:rsidR="0035515B" w:rsidRPr="000969ED" w:rsidRDefault="0035515B" w:rsidP="00AD024B">
            <w:pPr>
              <w:rPr>
                <w:rFonts w:asciiTheme="majorBidi" w:hAnsiTheme="majorBidi" w:cstheme="majorBidi"/>
                <w:sz w:val="20"/>
                <w:szCs w:val="20"/>
              </w:rPr>
            </w:pPr>
            <w:r w:rsidRPr="000969ED">
              <w:rPr>
                <w:rFonts w:asciiTheme="majorBidi" w:hAnsiTheme="majorBidi" w:cstheme="majorBidi"/>
                <w:sz w:val="20"/>
                <w:szCs w:val="20"/>
              </w:rPr>
              <w:t>(3)   Socioeconomic Status</w:t>
            </w:r>
            <w:r w:rsidRPr="0035515B">
              <w:rPr>
                <w:rFonts w:asciiTheme="majorBidi" w:hAnsiTheme="majorBidi" w:cstheme="majorBidi"/>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346A9A" w14:textId="6151B83D" w:rsidR="0035515B" w:rsidRPr="000969ED" w:rsidRDefault="0035515B" w:rsidP="0035515B">
            <w:pPr>
              <w:rPr>
                <w:rFonts w:asciiTheme="majorBidi" w:hAnsiTheme="majorBidi" w:cstheme="majorBidi"/>
                <w:sz w:val="20"/>
                <w:szCs w:val="20"/>
              </w:rPr>
            </w:pPr>
            <w:r w:rsidRPr="0035515B">
              <w:rPr>
                <w:rFonts w:asciiTheme="majorBidi" w:hAnsiTheme="majorBidi" w:cstheme="majorBidi"/>
                <w:sz w:val="20"/>
                <w:szCs w:val="20"/>
              </w:rPr>
              <w:t xml:space="preserve">% </w:t>
            </w:r>
            <w:r w:rsidRPr="000969ED">
              <w:rPr>
                <w:rFonts w:asciiTheme="majorBidi" w:hAnsiTheme="majorBidi" w:cstheme="majorBidi"/>
                <w:sz w:val="20"/>
                <w:szCs w:val="20"/>
              </w:rPr>
              <w:t xml:space="preserve">Below Poverty </w:t>
            </w:r>
          </w:p>
        </w:tc>
        <w:tc>
          <w:tcPr>
            <w:tcW w:w="2123" w:type="dxa"/>
            <w:vMerge w:val="restart"/>
            <w:tcBorders>
              <w:top w:val="single" w:sz="8" w:space="0" w:color="000000"/>
              <w:left w:val="single" w:sz="8" w:space="0" w:color="000000"/>
              <w:right w:val="single" w:sz="8" w:space="0" w:color="000000"/>
            </w:tcBorders>
            <w:vAlign w:val="center"/>
          </w:tcPr>
          <w:p w14:paraId="7C0CA496" w14:textId="77777777" w:rsidR="0035515B" w:rsidRDefault="0035515B" w:rsidP="0035515B">
            <w:pPr>
              <w:rPr>
                <w:rFonts w:asciiTheme="majorBidi" w:hAnsiTheme="majorBidi" w:cstheme="majorBidi"/>
                <w:sz w:val="20"/>
                <w:szCs w:val="20"/>
              </w:rPr>
            </w:pPr>
          </w:p>
          <w:p w14:paraId="4EEBD096" w14:textId="77777777" w:rsidR="0035515B" w:rsidRDefault="0035515B" w:rsidP="0035515B">
            <w:pPr>
              <w:rPr>
                <w:rFonts w:asciiTheme="majorBidi" w:hAnsiTheme="majorBidi" w:cstheme="majorBidi"/>
                <w:sz w:val="20"/>
                <w:szCs w:val="20"/>
              </w:rPr>
            </w:pPr>
          </w:p>
          <w:p w14:paraId="7354571C" w14:textId="77777777" w:rsidR="0035515B" w:rsidRDefault="0035515B" w:rsidP="0035515B">
            <w:pPr>
              <w:rPr>
                <w:rFonts w:asciiTheme="majorBidi" w:hAnsiTheme="majorBidi" w:cstheme="majorBidi"/>
                <w:sz w:val="20"/>
                <w:szCs w:val="20"/>
              </w:rPr>
            </w:pPr>
          </w:p>
          <w:p w14:paraId="389E492C" w14:textId="77777777" w:rsidR="0035515B" w:rsidRDefault="0035515B" w:rsidP="0035515B">
            <w:pPr>
              <w:rPr>
                <w:rFonts w:asciiTheme="majorBidi" w:hAnsiTheme="majorBidi" w:cstheme="majorBidi"/>
                <w:sz w:val="20"/>
                <w:szCs w:val="20"/>
              </w:rPr>
            </w:pPr>
          </w:p>
          <w:p w14:paraId="18D6095B" w14:textId="77777777" w:rsidR="0035515B" w:rsidRDefault="0035515B" w:rsidP="0035515B">
            <w:pPr>
              <w:rPr>
                <w:rFonts w:asciiTheme="majorBidi" w:hAnsiTheme="majorBidi" w:cstheme="majorBidi"/>
                <w:sz w:val="20"/>
                <w:szCs w:val="20"/>
              </w:rPr>
            </w:pPr>
          </w:p>
          <w:p w14:paraId="1AAF6B58" w14:textId="77777777" w:rsidR="0035515B" w:rsidRDefault="0035515B" w:rsidP="0035515B">
            <w:pPr>
              <w:rPr>
                <w:rFonts w:asciiTheme="majorBidi" w:hAnsiTheme="majorBidi" w:cstheme="majorBidi"/>
                <w:sz w:val="20"/>
                <w:szCs w:val="20"/>
              </w:rPr>
            </w:pPr>
          </w:p>
          <w:p w14:paraId="1AA5CAE7" w14:textId="77777777" w:rsidR="0035515B" w:rsidRDefault="0035515B" w:rsidP="0035515B">
            <w:pPr>
              <w:rPr>
                <w:rFonts w:asciiTheme="majorBidi" w:hAnsiTheme="majorBidi" w:cstheme="majorBidi"/>
                <w:sz w:val="20"/>
                <w:szCs w:val="20"/>
              </w:rPr>
            </w:pPr>
          </w:p>
          <w:p w14:paraId="09805CCA" w14:textId="77777777" w:rsidR="0035515B" w:rsidRDefault="0035515B" w:rsidP="0035515B">
            <w:pPr>
              <w:rPr>
                <w:rFonts w:asciiTheme="majorBidi" w:hAnsiTheme="majorBidi" w:cstheme="majorBidi"/>
                <w:sz w:val="20"/>
                <w:szCs w:val="20"/>
              </w:rPr>
            </w:pPr>
          </w:p>
          <w:p w14:paraId="39483258" w14:textId="77777777" w:rsidR="0035515B" w:rsidRDefault="0035515B" w:rsidP="0035515B">
            <w:pPr>
              <w:rPr>
                <w:rFonts w:asciiTheme="majorBidi" w:hAnsiTheme="majorBidi" w:cstheme="majorBidi"/>
                <w:sz w:val="20"/>
                <w:szCs w:val="20"/>
              </w:rPr>
            </w:pPr>
          </w:p>
          <w:p w14:paraId="63825589" w14:textId="77777777" w:rsidR="0035515B" w:rsidRDefault="0035515B" w:rsidP="0035515B">
            <w:pPr>
              <w:rPr>
                <w:rFonts w:asciiTheme="majorBidi" w:hAnsiTheme="majorBidi" w:cstheme="majorBidi"/>
                <w:sz w:val="20"/>
                <w:szCs w:val="20"/>
              </w:rPr>
            </w:pPr>
          </w:p>
          <w:p w14:paraId="3377A18A" w14:textId="77777777" w:rsidR="0035515B" w:rsidRDefault="0035515B" w:rsidP="0035515B">
            <w:pPr>
              <w:rPr>
                <w:rFonts w:asciiTheme="majorBidi" w:hAnsiTheme="majorBidi" w:cstheme="majorBidi"/>
                <w:sz w:val="20"/>
                <w:szCs w:val="20"/>
              </w:rPr>
            </w:pPr>
          </w:p>
          <w:p w14:paraId="625C5605" w14:textId="1A185B6A" w:rsidR="0035515B" w:rsidRPr="0035515B" w:rsidRDefault="0035515B" w:rsidP="0035515B">
            <w:pPr>
              <w:rPr>
                <w:rFonts w:asciiTheme="majorBidi" w:hAnsiTheme="majorBidi" w:cstheme="majorBidi"/>
                <w:sz w:val="20"/>
                <w:szCs w:val="20"/>
              </w:rPr>
            </w:pPr>
            <w:hyperlink r:id="rId12" w:history="1">
              <w:r w:rsidRPr="0035515B">
                <w:rPr>
                  <w:rStyle w:val="Hyperlink"/>
                  <w:rFonts w:asciiTheme="majorBidi" w:hAnsiTheme="majorBidi" w:cstheme="majorBidi"/>
                  <w:sz w:val="20"/>
                  <w:szCs w:val="20"/>
                </w:rPr>
                <w:t>ATSDR</w:t>
              </w:r>
              <w:r w:rsidRPr="0035515B">
                <w:rPr>
                  <w:rStyle w:val="Hyperlink"/>
                  <w:rFonts w:asciiTheme="majorBidi" w:hAnsiTheme="majorBidi" w:cstheme="majorBidi"/>
                  <w:sz w:val="20"/>
                  <w:szCs w:val="20"/>
                </w:rPr>
                <w:t>’</w:t>
              </w:r>
              <w:r w:rsidRPr="0035515B">
                <w:rPr>
                  <w:rStyle w:val="Hyperlink"/>
                  <w:rFonts w:asciiTheme="majorBidi" w:hAnsiTheme="majorBidi" w:cstheme="majorBidi"/>
                  <w:sz w:val="20"/>
                  <w:szCs w:val="20"/>
                </w:rPr>
                <w:t>s Geospatial Research, Analysis &amp; Services Program (GRASP)</w:t>
              </w:r>
            </w:hyperlink>
          </w:p>
        </w:tc>
        <w:tc>
          <w:tcPr>
            <w:tcW w:w="405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1F6D69CF" w14:textId="77777777" w:rsidR="0035515B" w:rsidRDefault="0035515B" w:rsidP="0035515B">
            <w:pPr>
              <w:rPr>
                <w:rFonts w:asciiTheme="majorBidi" w:hAnsiTheme="majorBidi" w:cstheme="majorBidi"/>
                <w:sz w:val="20"/>
                <w:szCs w:val="20"/>
              </w:rPr>
            </w:pPr>
          </w:p>
          <w:p w14:paraId="1906DA3E" w14:textId="2F7D33A4" w:rsidR="0035515B" w:rsidRPr="000969ED" w:rsidRDefault="0035515B" w:rsidP="0035515B">
            <w:pPr>
              <w:rPr>
                <w:rFonts w:asciiTheme="majorBidi" w:hAnsiTheme="majorBidi" w:cstheme="majorBidi"/>
                <w:sz w:val="20"/>
                <w:szCs w:val="20"/>
              </w:rPr>
            </w:pPr>
            <w:r w:rsidRPr="0035515B">
              <w:rPr>
                <w:rFonts w:asciiTheme="majorBidi" w:hAnsiTheme="majorBidi" w:cstheme="majorBidi"/>
                <w:sz w:val="20"/>
                <w:szCs w:val="20"/>
              </w:rPr>
              <w:t xml:space="preserve">Components 3 – 6 correspond to the SVI’s 4 Themes. The SVI was developed </w:t>
            </w:r>
            <w:r w:rsidR="00D267AF">
              <w:rPr>
                <w:rFonts w:asciiTheme="majorBidi" w:hAnsiTheme="majorBidi" w:cstheme="majorBidi"/>
                <w:sz w:val="20"/>
                <w:szCs w:val="20"/>
              </w:rPr>
              <w:t>“</w:t>
            </w:r>
            <w:r w:rsidRPr="0035515B">
              <w:rPr>
                <w:rFonts w:asciiTheme="majorBidi" w:hAnsiTheme="majorBidi" w:cstheme="majorBidi"/>
                <w:sz w:val="20"/>
                <w:szCs w:val="20"/>
              </w:rPr>
              <w:t xml:space="preserve">to help public health officials and emergency response planners identify and map the communities that </w:t>
            </w:r>
            <w:r w:rsidRPr="0035515B">
              <w:rPr>
                <w:rFonts w:asciiTheme="majorBidi" w:hAnsiTheme="majorBidi" w:cstheme="majorBidi"/>
                <w:sz w:val="20"/>
                <w:szCs w:val="20"/>
              </w:rPr>
              <w:lastRenderedPageBreak/>
              <w:t>will most likely need support before, during, and after a hazardous event. The degree to which a community exhibits certain social conditions, including high poverty, low percentage of vehicle access, or crowded households, may affect that community’s ability to prevent human suffering and financial loss in the event of disaster. These factors describe a community’s social vulnerability</w:t>
            </w:r>
            <w:r w:rsidR="00D267AF">
              <w:rPr>
                <w:rFonts w:asciiTheme="majorBidi" w:hAnsiTheme="majorBidi" w:cstheme="majorBidi"/>
                <w:sz w:val="20"/>
                <w:szCs w:val="20"/>
              </w:rPr>
              <w:t>” (</w:t>
            </w:r>
            <w:hyperlink r:id="rId13" w:history="1">
              <w:r w:rsidR="00D267AF" w:rsidRPr="00D267AF">
                <w:rPr>
                  <w:rStyle w:val="Hyperlink"/>
                  <w:rFonts w:asciiTheme="majorBidi" w:hAnsiTheme="majorBidi" w:cstheme="majorBidi"/>
                  <w:sz w:val="20"/>
                  <w:szCs w:val="20"/>
                </w:rPr>
                <w:t>ATSDR</w:t>
              </w:r>
            </w:hyperlink>
            <w:r w:rsidR="00D267AF">
              <w:rPr>
                <w:rFonts w:asciiTheme="majorBidi" w:hAnsiTheme="majorBidi" w:cstheme="majorBidi"/>
                <w:sz w:val="20"/>
                <w:szCs w:val="20"/>
              </w:rPr>
              <w:t>)</w:t>
            </w:r>
          </w:p>
        </w:tc>
      </w:tr>
      <w:tr w:rsidR="0035515B" w:rsidRPr="0035515B" w14:paraId="459D81F4" w14:textId="77777777" w:rsidTr="00923D82">
        <w:trPr>
          <w:trHeight w:val="5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AC7AB1" w14:textId="77777777" w:rsidR="0035515B" w:rsidRPr="000969ED" w:rsidRDefault="0035515B" w:rsidP="00AD024B">
            <w:pPr>
              <w:rPr>
                <w:rFonts w:asciiTheme="majorBidi" w:hAnsiTheme="majorBidi" w:cstheme="majorBid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B92F9" w14:textId="1715EF67" w:rsidR="0035515B" w:rsidRPr="000969ED" w:rsidRDefault="0035515B" w:rsidP="00AD024B">
            <w:pPr>
              <w:rPr>
                <w:rFonts w:asciiTheme="majorBidi" w:hAnsiTheme="majorBidi" w:cstheme="majorBidi"/>
                <w:sz w:val="20"/>
                <w:szCs w:val="20"/>
              </w:rPr>
            </w:pPr>
            <w:r w:rsidRPr="0035515B">
              <w:rPr>
                <w:rFonts w:asciiTheme="majorBidi" w:hAnsiTheme="majorBidi" w:cstheme="majorBidi"/>
                <w:sz w:val="20"/>
                <w:szCs w:val="20"/>
              </w:rPr>
              <w:t xml:space="preserve">% </w:t>
            </w:r>
            <w:r w:rsidRPr="000969ED">
              <w:rPr>
                <w:rFonts w:asciiTheme="majorBidi" w:hAnsiTheme="majorBidi" w:cstheme="majorBidi"/>
                <w:sz w:val="20"/>
                <w:szCs w:val="20"/>
              </w:rPr>
              <w:t xml:space="preserve">Unemployed </w:t>
            </w:r>
          </w:p>
        </w:tc>
        <w:tc>
          <w:tcPr>
            <w:tcW w:w="2123" w:type="dxa"/>
            <w:vMerge/>
            <w:tcBorders>
              <w:left w:val="single" w:sz="8" w:space="0" w:color="000000"/>
              <w:right w:val="single" w:sz="8" w:space="0" w:color="000000"/>
            </w:tcBorders>
          </w:tcPr>
          <w:p w14:paraId="072B52C8" w14:textId="77777777" w:rsidR="0035515B" w:rsidRPr="0035515B" w:rsidRDefault="0035515B" w:rsidP="00AD024B">
            <w:pPr>
              <w:rPr>
                <w:rFonts w:asciiTheme="majorBidi" w:hAnsiTheme="majorBidi" w:cstheme="majorBidi"/>
                <w:sz w:val="20"/>
                <w:szCs w:val="20"/>
              </w:rPr>
            </w:pPr>
          </w:p>
        </w:tc>
        <w:tc>
          <w:tcPr>
            <w:tcW w:w="4050" w:type="dxa"/>
            <w:vMerge/>
            <w:tcBorders>
              <w:left w:val="single" w:sz="8" w:space="0" w:color="000000"/>
              <w:right w:val="single" w:sz="8" w:space="0" w:color="000000"/>
            </w:tcBorders>
            <w:vAlign w:val="center"/>
            <w:hideMark/>
          </w:tcPr>
          <w:p w14:paraId="1BD7ECA0" w14:textId="0B5CEE36" w:rsidR="0035515B" w:rsidRPr="000969ED" w:rsidRDefault="0035515B" w:rsidP="00AD024B">
            <w:pPr>
              <w:rPr>
                <w:rFonts w:asciiTheme="majorBidi" w:hAnsiTheme="majorBidi" w:cstheme="majorBidi"/>
                <w:sz w:val="20"/>
                <w:szCs w:val="20"/>
              </w:rPr>
            </w:pPr>
          </w:p>
        </w:tc>
      </w:tr>
      <w:tr w:rsidR="0035515B" w:rsidRPr="0035515B" w14:paraId="3422CCAC" w14:textId="77777777" w:rsidTr="00923D82">
        <w:trPr>
          <w:trHeight w:val="5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8F4096" w14:textId="77777777" w:rsidR="0035515B" w:rsidRPr="000969ED" w:rsidRDefault="0035515B" w:rsidP="00AD024B">
            <w:pPr>
              <w:rPr>
                <w:rFonts w:asciiTheme="majorBidi" w:hAnsiTheme="majorBidi" w:cstheme="majorBid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D9742" w14:textId="4635CBCF" w:rsidR="0035515B" w:rsidRPr="000969ED" w:rsidRDefault="0035515B" w:rsidP="00AD024B">
            <w:pPr>
              <w:rPr>
                <w:rFonts w:asciiTheme="majorBidi" w:hAnsiTheme="majorBidi" w:cstheme="majorBidi"/>
                <w:sz w:val="20"/>
                <w:szCs w:val="20"/>
              </w:rPr>
            </w:pPr>
            <w:r w:rsidRPr="0035515B">
              <w:rPr>
                <w:rFonts w:asciiTheme="majorBidi" w:hAnsiTheme="majorBidi" w:cstheme="majorBidi"/>
                <w:sz w:val="20"/>
                <w:szCs w:val="20"/>
              </w:rPr>
              <w:t xml:space="preserve">% </w:t>
            </w:r>
            <w:r w:rsidRPr="000969ED">
              <w:rPr>
                <w:rFonts w:asciiTheme="majorBidi" w:hAnsiTheme="majorBidi" w:cstheme="majorBidi"/>
                <w:sz w:val="20"/>
                <w:szCs w:val="20"/>
              </w:rPr>
              <w:t>Income Index</w:t>
            </w:r>
          </w:p>
        </w:tc>
        <w:tc>
          <w:tcPr>
            <w:tcW w:w="2123" w:type="dxa"/>
            <w:vMerge/>
            <w:tcBorders>
              <w:left w:val="single" w:sz="8" w:space="0" w:color="000000"/>
              <w:right w:val="single" w:sz="8" w:space="0" w:color="000000"/>
            </w:tcBorders>
          </w:tcPr>
          <w:p w14:paraId="17AAFEEB" w14:textId="77777777" w:rsidR="0035515B" w:rsidRPr="0035515B" w:rsidRDefault="0035515B" w:rsidP="00AD024B">
            <w:pPr>
              <w:rPr>
                <w:rFonts w:asciiTheme="majorBidi" w:hAnsiTheme="majorBidi" w:cstheme="majorBidi"/>
                <w:sz w:val="20"/>
                <w:szCs w:val="20"/>
              </w:rPr>
            </w:pPr>
          </w:p>
        </w:tc>
        <w:tc>
          <w:tcPr>
            <w:tcW w:w="4050" w:type="dxa"/>
            <w:vMerge/>
            <w:tcBorders>
              <w:left w:val="single" w:sz="8" w:space="0" w:color="000000"/>
              <w:right w:val="single" w:sz="8" w:space="0" w:color="000000"/>
            </w:tcBorders>
            <w:vAlign w:val="center"/>
            <w:hideMark/>
          </w:tcPr>
          <w:p w14:paraId="25C5E65A" w14:textId="241368DF" w:rsidR="0035515B" w:rsidRPr="000969ED" w:rsidRDefault="0035515B" w:rsidP="00AD024B">
            <w:pPr>
              <w:rPr>
                <w:rFonts w:asciiTheme="majorBidi" w:hAnsiTheme="majorBidi" w:cstheme="majorBidi"/>
                <w:sz w:val="20"/>
                <w:szCs w:val="20"/>
              </w:rPr>
            </w:pPr>
          </w:p>
        </w:tc>
      </w:tr>
      <w:tr w:rsidR="0035515B" w:rsidRPr="0035515B" w14:paraId="03851B16" w14:textId="77777777" w:rsidTr="00923D82">
        <w:trPr>
          <w:trHeight w:val="7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12A6A2" w14:textId="77777777" w:rsidR="0035515B" w:rsidRPr="000969ED" w:rsidRDefault="0035515B" w:rsidP="00AD024B">
            <w:pPr>
              <w:rPr>
                <w:rFonts w:asciiTheme="majorBidi" w:hAnsiTheme="majorBidi" w:cstheme="majorBid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F6345" w14:textId="5C8C2FE7" w:rsidR="0035515B" w:rsidRPr="000969ED" w:rsidRDefault="0035515B" w:rsidP="00AD024B">
            <w:pPr>
              <w:rPr>
                <w:rFonts w:asciiTheme="majorBidi" w:hAnsiTheme="majorBidi" w:cstheme="majorBidi"/>
                <w:sz w:val="20"/>
                <w:szCs w:val="20"/>
              </w:rPr>
            </w:pPr>
            <w:r w:rsidRPr="0035515B">
              <w:rPr>
                <w:rFonts w:asciiTheme="majorBidi" w:hAnsiTheme="majorBidi" w:cstheme="majorBidi"/>
                <w:sz w:val="20"/>
                <w:szCs w:val="20"/>
              </w:rPr>
              <w:t xml:space="preserve">% </w:t>
            </w:r>
            <w:r w:rsidRPr="000969ED">
              <w:rPr>
                <w:rFonts w:asciiTheme="majorBidi" w:hAnsiTheme="majorBidi" w:cstheme="majorBidi"/>
                <w:sz w:val="20"/>
                <w:szCs w:val="20"/>
              </w:rPr>
              <w:t>No High School Diploma I</w:t>
            </w:r>
          </w:p>
        </w:tc>
        <w:tc>
          <w:tcPr>
            <w:tcW w:w="2123" w:type="dxa"/>
            <w:vMerge/>
            <w:tcBorders>
              <w:left w:val="single" w:sz="8" w:space="0" w:color="000000"/>
              <w:right w:val="single" w:sz="8" w:space="0" w:color="000000"/>
            </w:tcBorders>
          </w:tcPr>
          <w:p w14:paraId="6D1BA65F" w14:textId="77777777" w:rsidR="0035515B" w:rsidRPr="0035515B" w:rsidRDefault="0035515B" w:rsidP="00AD024B">
            <w:pPr>
              <w:rPr>
                <w:rFonts w:asciiTheme="majorBidi" w:hAnsiTheme="majorBidi" w:cstheme="majorBidi"/>
                <w:sz w:val="20"/>
                <w:szCs w:val="20"/>
              </w:rPr>
            </w:pPr>
          </w:p>
        </w:tc>
        <w:tc>
          <w:tcPr>
            <w:tcW w:w="4050" w:type="dxa"/>
            <w:vMerge/>
            <w:tcBorders>
              <w:left w:val="single" w:sz="8" w:space="0" w:color="000000"/>
              <w:right w:val="single" w:sz="8" w:space="0" w:color="000000"/>
            </w:tcBorders>
            <w:vAlign w:val="center"/>
            <w:hideMark/>
          </w:tcPr>
          <w:p w14:paraId="29497E75" w14:textId="160230ED" w:rsidR="0035515B" w:rsidRPr="000969ED" w:rsidRDefault="0035515B" w:rsidP="00AD024B">
            <w:pPr>
              <w:rPr>
                <w:rFonts w:asciiTheme="majorBidi" w:hAnsiTheme="majorBidi" w:cstheme="majorBidi"/>
                <w:sz w:val="20"/>
                <w:szCs w:val="20"/>
              </w:rPr>
            </w:pPr>
          </w:p>
        </w:tc>
      </w:tr>
      <w:tr w:rsidR="0035515B" w:rsidRPr="0035515B" w14:paraId="1CCB252F" w14:textId="77777777" w:rsidTr="00923D82">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CC089" w14:textId="6D10CCAA" w:rsidR="0035515B" w:rsidRPr="000969ED" w:rsidRDefault="0035515B" w:rsidP="00AD024B">
            <w:pPr>
              <w:rPr>
                <w:rFonts w:asciiTheme="majorBidi" w:hAnsiTheme="majorBidi" w:cstheme="majorBidi"/>
                <w:sz w:val="20"/>
                <w:szCs w:val="20"/>
              </w:rPr>
            </w:pPr>
            <w:r w:rsidRPr="000969ED">
              <w:rPr>
                <w:rFonts w:asciiTheme="majorBidi" w:hAnsiTheme="majorBidi" w:cstheme="majorBidi"/>
                <w:sz w:val="20"/>
                <w:szCs w:val="20"/>
              </w:rPr>
              <w:t>(4)   Household Composition and Disability</w:t>
            </w:r>
            <w:r w:rsidRPr="0035515B">
              <w:rPr>
                <w:rFonts w:asciiTheme="majorBidi" w:hAnsiTheme="majorBidi" w:cstheme="majorBidi"/>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2FB51" w14:textId="2A66EDC1" w:rsidR="0035515B" w:rsidRPr="000969ED" w:rsidRDefault="0035515B" w:rsidP="00AD024B">
            <w:pPr>
              <w:rPr>
                <w:rFonts w:asciiTheme="majorBidi" w:hAnsiTheme="majorBidi" w:cstheme="majorBidi"/>
                <w:sz w:val="20"/>
                <w:szCs w:val="20"/>
              </w:rPr>
            </w:pPr>
            <w:r w:rsidRPr="0035515B">
              <w:rPr>
                <w:rFonts w:asciiTheme="majorBidi" w:hAnsiTheme="majorBidi" w:cstheme="majorBidi"/>
                <w:sz w:val="20"/>
                <w:szCs w:val="20"/>
              </w:rPr>
              <w:t xml:space="preserve">% </w:t>
            </w:r>
            <w:r w:rsidRPr="000969ED">
              <w:rPr>
                <w:rFonts w:asciiTheme="majorBidi" w:hAnsiTheme="majorBidi" w:cstheme="majorBidi"/>
                <w:sz w:val="20"/>
                <w:szCs w:val="20"/>
              </w:rPr>
              <w:t xml:space="preserve">Aged 65+ </w:t>
            </w:r>
          </w:p>
        </w:tc>
        <w:tc>
          <w:tcPr>
            <w:tcW w:w="2123" w:type="dxa"/>
            <w:vMerge/>
            <w:tcBorders>
              <w:left w:val="single" w:sz="8" w:space="0" w:color="000000"/>
              <w:right w:val="single" w:sz="8" w:space="0" w:color="000000"/>
            </w:tcBorders>
          </w:tcPr>
          <w:p w14:paraId="6C890830" w14:textId="77777777" w:rsidR="0035515B" w:rsidRPr="0035515B" w:rsidRDefault="0035515B" w:rsidP="00DA012A">
            <w:pPr>
              <w:rPr>
                <w:rFonts w:asciiTheme="majorBidi" w:hAnsiTheme="majorBidi" w:cstheme="majorBidi"/>
                <w:sz w:val="20"/>
                <w:szCs w:val="20"/>
              </w:rPr>
            </w:pPr>
          </w:p>
        </w:tc>
        <w:tc>
          <w:tcPr>
            <w:tcW w:w="4050" w:type="dxa"/>
            <w:vMerge/>
            <w:tcBorders>
              <w:left w:val="single" w:sz="8" w:space="0" w:color="000000"/>
              <w:right w:val="single" w:sz="8" w:space="0" w:color="000000"/>
            </w:tcBorders>
            <w:tcMar>
              <w:top w:w="100" w:type="dxa"/>
              <w:left w:w="100" w:type="dxa"/>
              <w:bottom w:w="100" w:type="dxa"/>
              <w:right w:w="100" w:type="dxa"/>
            </w:tcMar>
            <w:hideMark/>
          </w:tcPr>
          <w:p w14:paraId="1F41078B" w14:textId="58CA8624" w:rsidR="0035515B" w:rsidRPr="000969ED" w:rsidRDefault="0035515B" w:rsidP="00DA012A">
            <w:pPr>
              <w:rPr>
                <w:rFonts w:asciiTheme="majorBidi" w:hAnsiTheme="majorBidi" w:cstheme="majorBidi"/>
                <w:sz w:val="20"/>
                <w:szCs w:val="20"/>
              </w:rPr>
            </w:pPr>
          </w:p>
        </w:tc>
      </w:tr>
      <w:tr w:rsidR="0035515B" w:rsidRPr="0035515B" w14:paraId="7E9AE3F0" w14:textId="77777777" w:rsidTr="00923D82">
        <w:trPr>
          <w:trHeight w:val="7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5E2CB4" w14:textId="77777777" w:rsidR="0035515B" w:rsidRPr="000969ED" w:rsidRDefault="0035515B" w:rsidP="00AD024B">
            <w:pPr>
              <w:rPr>
                <w:rFonts w:asciiTheme="majorBidi" w:hAnsiTheme="majorBidi" w:cstheme="majorBid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CAD0" w14:textId="7A8763B9" w:rsidR="0035515B" w:rsidRPr="000969ED" w:rsidRDefault="0035515B" w:rsidP="00AD024B">
            <w:pPr>
              <w:rPr>
                <w:rFonts w:asciiTheme="majorBidi" w:hAnsiTheme="majorBidi" w:cstheme="majorBidi"/>
                <w:sz w:val="20"/>
                <w:szCs w:val="20"/>
              </w:rPr>
            </w:pPr>
            <w:r w:rsidRPr="0035515B">
              <w:rPr>
                <w:rFonts w:asciiTheme="majorBidi" w:hAnsiTheme="majorBidi" w:cstheme="majorBidi"/>
                <w:sz w:val="20"/>
                <w:szCs w:val="20"/>
              </w:rPr>
              <w:t xml:space="preserve">% </w:t>
            </w:r>
            <w:r w:rsidRPr="000969ED">
              <w:rPr>
                <w:rFonts w:asciiTheme="majorBidi" w:hAnsiTheme="majorBidi" w:cstheme="majorBidi"/>
                <w:sz w:val="20"/>
                <w:szCs w:val="20"/>
              </w:rPr>
              <w:t xml:space="preserve">Aged 5+ with Disability </w:t>
            </w:r>
          </w:p>
        </w:tc>
        <w:tc>
          <w:tcPr>
            <w:tcW w:w="2123" w:type="dxa"/>
            <w:vMerge/>
            <w:tcBorders>
              <w:left w:val="single" w:sz="8" w:space="0" w:color="000000"/>
              <w:right w:val="single" w:sz="8" w:space="0" w:color="000000"/>
            </w:tcBorders>
          </w:tcPr>
          <w:p w14:paraId="4AB3A0BD" w14:textId="77777777" w:rsidR="0035515B" w:rsidRPr="0035515B" w:rsidRDefault="0035515B" w:rsidP="00AD024B">
            <w:pPr>
              <w:rPr>
                <w:rFonts w:asciiTheme="majorBidi" w:hAnsiTheme="majorBidi" w:cstheme="majorBidi"/>
                <w:sz w:val="20"/>
                <w:szCs w:val="20"/>
              </w:rPr>
            </w:pPr>
          </w:p>
        </w:tc>
        <w:tc>
          <w:tcPr>
            <w:tcW w:w="4050" w:type="dxa"/>
            <w:vMerge/>
            <w:tcBorders>
              <w:left w:val="single" w:sz="8" w:space="0" w:color="000000"/>
              <w:right w:val="single" w:sz="8" w:space="0" w:color="000000"/>
            </w:tcBorders>
            <w:vAlign w:val="center"/>
            <w:hideMark/>
          </w:tcPr>
          <w:p w14:paraId="550D69A6" w14:textId="600C15F7" w:rsidR="0035515B" w:rsidRPr="000969ED" w:rsidRDefault="0035515B" w:rsidP="00AD024B">
            <w:pPr>
              <w:rPr>
                <w:rFonts w:asciiTheme="majorBidi" w:hAnsiTheme="majorBidi" w:cstheme="majorBidi"/>
                <w:sz w:val="20"/>
                <w:szCs w:val="20"/>
              </w:rPr>
            </w:pPr>
          </w:p>
        </w:tc>
      </w:tr>
      <w:tr w:rsidR="0035515B" w:rsidRPr="0035515B" w14:paraId="7EEB10AC" w14:textId="77777777" w:rsidTr="00923D82">
        <w:trPr>
          <w:trHeight w:val="7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2757D7" w14:textId="77777777" w:rsidR="0035515B" w:rsidRPr="000969ED" w:rsidRDefault="0035515B" w:rsidP="00AD024B">
            <w:pPr>
              <w:rPr>
                <w:rFonts w:asciiTheme="majorBidi" w:hAnsiTheme="majorBidi" w:cstheme="majorBid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18B13" w14:textId="66C5016B" w:rsidR="0035515B" w:rsidRPr="000969ED" w:rsidRDefault="0035515B" w:rsidP="00AD024B">
            <w:pPr>
              <w:rPr>
                <w:rFonts w:asciiTheme="majorBidi" w:hAnsiTheme="majorBidi" w:cstheme="majorBidi"/>
                <w:sz w:val="20"/>
                <w:szCs w:val="20"/>
              </w:rPr>
            </w:pPr>
            <w:r w:rsidRPr="0035515B">
              <w:rPr>
                <w:rFonts w:asciiTheme="majorBidi" w:hAnsiTheme="majorBidi" w:cstheme="majorBidi"/>
                <w:sz w:val="20"/>
                <w:szCs w:val="20"/>
              </w:rPr>
              <w:t xml:space="preserve">% </w:t>
            </w:r>
            <w:r w:rsidRPr="000969ED">
              <w:rPr>
                <w:rFonts w:asciiTheme="majorBidi" w:hAnsiTheme="majorBidi" w:cstheme="majorBidi"/>
                <w:sz w:val="20"/>
                <w:szCs w:val="20"/>
              </w:rPr>
              <w:t xml:space="preserve">Single Parent Household </w:t>
            </w:r>
          </w:p>
        </w:tc>
        <w:tc>
          <w:tcPr>
            <w:tcW w:w="2123" w:type="dxa"/>
            <w:vMerge/>
            <w:tcBorders>
              <w:left w:val="single" w:sz="8" w:space="0" w:color="000000"/>
              <w:right w:val="single" w:sz="8" w:space="0" w:color="000000"/>
            </w:tcBorders>
          </w:tcPr>
          <w:p w14:paraId="378F55A6" w14:textId="77777777" w:rsidR="0035515B" w:rsidRPr="0035515B" w:rsidRDefault="0035515B" w:rsidP="00AD024B">
            <w:pPr>
              <w:rPr>
                <w:rFonts w:asciiTheme="majorBidi" w:hAnsiTheme="majorBidi" w:cstheme="majorBidi"/>
                <w:sz w:val="20"/>
                <w:szCs w:val="20"/>
              </w:rPr>
            </w:pPr>
          </w:p>
        </w:tc>
        <w:tc>
          <w:tcPr>
            <w:tcW w:w="4050" w:type="dxa"/>
            <w:vMerge/>
            <w:tcBorders>
              <w:left w:val="single" w:sz="8" w:space="0" w:color="000000"/>
              <w:right w:val="single" w:sz="8" w:space="0" w:color="000000"/>
            </w:tcBorders>
            <w:vAlign w:val="center"/>
            <w:hideMark/>
          </w:tcPr>
          <w:p w14:paraId="406F0A4D" w14:textId="682A3DBC" w:rsidR="0035515B" w:rsidRPr="000969ED" w:rsidRDefault="0035515B" w:rsidP="00AD024B">
            <w:pPr>
              <w:rPr>
                <w:rFonts w:asciiTheme="majorBidi" w:hAnsiTheme="majorBidi" w:cstheme="majorBidi"/>
                <w:sz w:val="20"/>
                <w:szCs w:val="20"/>
              </w:rPr>
            </w:pPr>
          </w:p>
        </w:tc>
      </w:tr>
      <w:tr w:rsidR="0035515B" w:rsidRPr="0035515B" w14:paraId="4E4A0C39" w14:textId="77777777" w:rsidTr="00923D82">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B9B7C" w14:textId="388886AE" w:rsidR="0035515B" w:rsidRPr="000969ED" w:rsidRDefault="0035515B" w:rsidP="00AD024B">
            <w:pPr>
              <w:rPr>
                <w:rFonts w:asciiTheme="majorBidi" w:hAnsiTheme="majorBidi" w:cstheme="majorBidi"/>
                <w:sz w:val="20"/>
                <w:szCs w:val="20"/>
              </w:rPr>
            </w:pPr>
            <w:r w:rsidRPr="000969ED">
              <w:rPr>
                <w:rFonts w:asciiTheme="majorBidi" w:hAnsiTheme="majorBidi" w:cstheme="majorBidi"/>
                <w:sz w:val="20"/>
                <w:szCs w:val="20"/>
              </w:rPr>
              <w:t>(5)   Minority Status</w:t>
            </w:r>
            <w:r w:rsidRPr="0035515B">
              <w:rPr>
                <w:rFonts w:asciiTheme="majorBidi" w:hAnsiTheme="majorBidi" w:cstheme="majorBidi"/>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8A768" w14:textId="640FB68E" w:rsidR="0035515B" w:rsidRPr="000969ED" w:rsidRDefault="0035515B" w:rsidP="00AD024B">
            <w:pPr>
              <w:rPr>
                <w:rFonts w:asciiTheme="majorBidi" w:hAnsiTheme="majorBidi" w:cstheme="majorBidi"/>
                <w:sz w:val="20"/>
                <w:szCs w:val="20"/>
              </w:rPr>
            </w:pPr>
            <w:r w:rsidRPr="0035515B">
              <w:rPr>
                <w:rFonts w:asciiTheme="majorBidi" w:hAnsiTheme="majorBidi" w:cstheme="majorBidi"/>
                <w:sz w:val="20"/>
                <w:szCs w:val="20"/>
              </w:rPr>
              <w:t xml:space="preserve">% </w:t>
            </w:r>
            <w:r w:rsidRPr="000969ED">
              <w:rPr>
                <w:rFonts w:asciiTheme="majorBidi" w:hAnsiTheme="majorBidi" w:cstheme="majorBidi"/>
                <w:sz w:val="20"/>
                <w:szCs w:val="20"/>
              </w:rPr>
              <w:t xml:space="preserve">Minority </w:t>
            </w:r>
          </w:p>
        </w:tc>
        <w:tc>
          <w:tcPr>
            <w:tcW w:w="2123" w:type="dxa"/>
            <w:vMerge/>
            <w:tcBorders>
              <w:left w:val="single" w:sz="8" w:space="0" w:color="000000"/>
              <w:right w:val="single" w:sz="8" w:space="0" w:color="000000"/>
            </w:tcBorders>
          </w:tcPr>
          <w:p w14:paraId="6E8B0227" w14:textId="77777777" w:rsidR="0035515B" w:rsidRPr="0035515B" w:rsidRDefault="0035515B" w:rsidP="00AD024B">
            <w:pPr>
              <w:rPr>
                <w:rFonts w:asciiTheme="majorBidi" w:hAnsiTheme="majorBidi" w:cstheme="majorBidi"/>
                <w:sz w:val="20"/>
                <w:szCs w:val="20"/>
              </w:rPr>
            </w:pPr>
          </w:p>
        </w:tc>
        <w:tc>
          <w:tcPr>
            <w:tcW w:w="4050" w:type="dxa"/>
            <w:vMerge/>
            <w:tcBorders>
              <w:left w:val="single" w:sz="8" w:space="0" w:color="000000"/>
              <w:right w:val="single" w:sz="8" w:space="0" w:color="000000"/>
            </w:tcBorders>
            <w:tcMar>
              <w:top w:w="100" w:type="dxa"/>
              <w:left w:w="100" w:type="dxa"/>
              <w:bottom w:w="100" w:type="dxa"/>
              <w:right w:w="100" w:type="dxa"/>
            </w:tcMar>
            <w:hideMark/>
          </w:tcPr>
          <w:p w14:paraId="07F14754" w14:textId="10D5A0EB" w:rsidR="0035515B" w:rsidRPr="000969ED" w:rsidRDefault="0035515B" w:rsidP="00AD024B">
            <w:pPr>
              <w:rPr>
                <w:rFonts w:asciiTheme="majorBidi" w:hAnsiTheme="majorBidi" w:cstheme="majorBidi"/>
                <w:sz w:val="20"/>
                <w:szCs w:val="20"/>
              </w:rPr>
            </w:pPr>
          </w:p>
        </w:tc>
      </w:tr>
      <w:tr w:rsidR="0035515B" w:rsidRPr="0035515B" w14:paraId="6B43583F" w14:textId="77777777" w:rsidTr="00923D82">
        <w:trPr>
          <w:trHeight w:val="7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C3D514" w14:textId="77777777" w:rsidR="0035515B" w:rsidRPr="000969ED" w:rsidRDefault="0035515B" w:rsidP="00AD024B">
            <w:pPr>
              <w:rPr>
                <w:rFonts w:asciiTheme="majorBidi" w:hAnsiTheme="majorBidi" w:cstheme="majorBid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22919" w14:textId="5E469255" w:rsidR="0035515B" w:rsidRPr="000969ED" w:rsidRDefault="0035515B" w:rsidP="00AD024B">
            <w:pPr>
              <w:rPr>
                <w:rFonts w:asciiTheme="majorBidi" w:hAnsiTheme="majorBidi" w:cstheme="majorBidi"/>
                <w:sz w:val="20"/>
                <w:szCs w:val="20"/>
              </w:rPr>
            </w:pPr>
            <w:r w:rsidRPr="0035515B">
              <w:rPr>
                <w:rFonts w:asciiTheme="majorBidi" w:hAnsiTheme="majorBidi" w:cstheme="majorBidi"/>
                <w:sz w:val="20"/>
                <w:szCs w:val="20"/>
              </w:rPr>
              <w:t xml:space="preserve">% </w:t>
            </w:r>
            <w:r w:rsidRPr="000969ED">
              <w:rPr>
                <w:rFonts w:asciiTheme="majorBidi" w:hAnsiTheme="majorBidi" w:cstheme="majorBidi"/>
                <w:sz w:val="20"/>
                <w:szCs w:val="20"/>
              </w:rPr>
              <w:t xml:space="preserve">Speaks English "Less than Well" </w:t>
            </w:r>
          </w:p>
        </w:tc>
        <w:tc>
          <w:tcPr>
            <w:tcW w:w="2123" w:type="dxa"/>
            <w:vMerge/>
            <w:tcBorders>
              <w:left w:val="single" w:sz="8" w:space="0" w:color="000000"/>
              <w:right w:val="single" w:sz="8" w:space="0" w:color="000000"/>
            </w:tcBorders>
          </w:tcPr>
          <w:p w14:paraId="25014B16" w14:textId="77777777" w:rsidR="0035515B" w:rsidRPr="0035515B" w:rsidRDefault="0035515B" w:rsidP="00AD024B">
            <w:pPr>
              <w:rPr>
                <w:rFonts w:asciiTheme="majorBidi" w:hAnsiTheme="majorBidi" w:cstheme="majorBidi"/>
                <w:sz w:val="20"/>
                <w:szCs w:val="20"/>
              </w:rPr>
            </w:pPr>
          </w:p>
        </w:tc>
        <w:tc>
          <w:tcPr>
            <w:tcW w:w="4050" w:type="dxa"/>
            <w:vMerge/>
            <w:tcBorders>
              <w:left w:val="single" w:sz="8" w:space="0" w:color="000000"/>
              <w:right w:val="single" w:sz="8" w:space="0" w:color="000000"/>
            </w:tcBorders>
            <w:vAlign w:val="center"/>
            <w:hideMark/>
          </w:tcPr>
          <w:p w14:paraId="407F35E5" w14:textId="65DE8781" w:rsidR="0035515B" w:rsidRPr="000969ED" w:rsidRDefault="0035515B" w:rsidP="00AD024B">
            <w:pPr>
              <w:rPr>
                <w:rFonts w:asciiTheme="majorBidi" w:hAnsiTheme="majorBidi" w:cstheme="majorBidi"/>
                <w:sz w:val="20"/>
                <w:szCs w:val="20"/>
              </w:rPr>
            </w:pPr>
          </w:p>
        </w:tc>
      </w:tr>
      <w:tr w:rsidR="0035515B" w:rsidRPr="0035515B" w14:paraId="0CAC91C6" w14:textId="77777777" w:rsidTr="00923D82">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D62B9" w14:textId="68A3816C" w:rsidR="0035515B" w:rsidRPr="000969ED" w:rsidRDefault="0035515B" w:rsidP="00AD024B">
            <w:pPr>
              <w:rPr>
                <w:rFonts w:asciiTheme="majorBidi" w:hAnsiTheme="majorBidi" w:cstheme="majorBidi"/>
                <w:sz w:val="20"/>
                <w:szCs w:val="20"/>
              </w:rPr>
            </w:pPr>
            <w:r w:rsidRPr="000969ED">
              <w:rPr>
                <w:rFonts w:asciiTheme="majorBidi" w:hAnsiTheme="majorBidi" w:cstheme="majorBidi"/>
                <w:sz w:val="20"/>
                <w:szCs w:val="20"/>
              </w:rPr>
              <w:t>(6)   Housing type &amp; Transportation</w:t>
            </w:r>
            <w:r w:rsidRPr="0035515B">
              <w:rPr>
                <w:rFonts w:asciiTheme="majorBidi" w:hAnsiTheme="majorBidi" w:cstheme="majorBidi"/>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1142B" w14:textId="0872E3D2" w:rsidR="0035515B" w:rsidRPr="000969ED" w:rsidRDefault="0035515B" w:rsidP="00AD024B">
            <w:pPr>
              <w:rPr>
                <w:rFonts w:asciiTheme="majorBidi" w:hAnsiTheme="majorBidi" w:cstheme="majorBidi"/>
                <w:sz w:val="20"/>
                <w:szCs w:val="20"/>
              </w:rPr>
            </w:pPr>
            <w:r w:rsidRPr="0035515B">
              <w:rPr>
                <w:rFonts w:asciiTheme="majorBidi" w:hAnsiTheme="majorBidi" w:cstheme="majorBidi"/>
                <w:sz w:val="20"/>
                <w:szCs w:val="20"/>
              </w:rPr>
              <w:t xml:space="preserve">% </w:t>
            </w:r>
            <w:r w:rsidRPr="000969ED">
              <w:rPr>
                <w:rFonts w:asciiTheme="majorBidi" w:hAnsiTheme="majorBidi" w:cstheme="majorBidi"/>
                <w:sz w:val="20"/>
                <w:szCs w:val="20"/>
              </w:rPr>
              <w:t xml:space="preserve">Multi-Unit Structures </w:t>
            </w:r>
          </w:p>
        </w:tc>
        <w:tc>
          <w:tcPr>
            <w:tcW w:w="2123" w:type="dxa"/>
            <w:vMerge/>
            <w:tcBorders>
              <w:left w:val="single" w:sz="8" w:space="0" w:color="000000"/>
              <w:right w:val="single" w:sz="8" w:space="0" w:color="000000"/>
            </w:tcBorders>
          </w:tcPr>
          <w:p w14:paraId="4C80B5D6" w14:textId="77777777" w:rsidR="0035515B" w:rsidRPr="0035515B" w:rsidRDefault="0035515B" w:rsidP="00AD024B">
            <w:pPr>
              <w:rPr>
                <w:rFonts w:asciiTheme="majorBidi" w:hAnsiTheme="majorBidi" w:cstheme="majorBidi"/>
                <w:sz w:val="20"/>
                <w:szCs w:val="20"/>
              </w:rPr>
            </w:pPr>
          </w:p>
        </w:tc>
        <w:tc>
          <w:tcPr>
            <w:tcW w:w="4050" w:type="dxa"/>
            <w:vMerge/>
            <w:tcBorders>
              <w:left w:val="single" w:sz="8" w:space="0" w:color="000000"/>
              <w:right w:val="single" w:sz="8" w:space="0" w:color="000000"/>
            </w:tcBorders>
            <w:tcMar>
              <w:top w:w="100" w:type="dxa"/>
              <w:left w:w="100" w:type="dxa"/>
              <w:bottom w:w="100" w:type="dxa"/>
              <w:right w:w="100" w:type="dxa"/>
            </w:tcMar>
            <w:hideMark/>
          </w:tcPr>
          <w:p w14:paraId="1A96223F" w14:textId="3DAA620F" w:rsidR="0035515B" w:rsidRPr="000969ED" w:rsidRDefault="0035515B" w:rsidP="00AD024B">
            <w:pPr>
              <w:rPr>
                <w:rFonts w:asciiTheme="majorBidi" w:hAnsiTheme="majorBidi" w:cstheme="majorBidi"/>
                <w:sz w:val="20"/>
                <w:szCs w:val="20"/>
              </w:rPr>
            </w:pPr>
          </w:p>
        </w:tc>
      </w:tr>
      <w:tr w:rsidR="0035515B" w:rsidRPr="0035515B" w14:paraId="0584EDE0" w14:textId="77777777" w:rsidTr="00923D82">
        <w:trPr>
          <w:trHeight w:val="5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6105F6" w14:textId="77777777" w:rsidR="0035515B" w:rsidRPr="000969ED" w:rsidRDefault="0035515B" w:rsidP="00AD024B">
            <w:pPr>
              <w:rPr>
                <w:rFonts w:asciiTheme="majorBidi" w:hAnsiTheme="majorBidi" w:cstheme="majorBid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E8E93" w14:textId="3017AD5C" w:rsidR="0035515B" w:rsidRPr="000969ED" w:rsidRDefault="0035515B" w:rsidP="00AD024B">
            <w:pPr>
              <w:rPr>
                <w:rFonts w:asciiTheme="majorBidi" w:hAnsiTheme="majorBidi" w:cstheme="majorBidi"/>
                <w:sz w:val="20"/>
                <w:szCs w:val="20"/>
              </w:rPr>
            </w:pPr>
            <w:r w:rsidRPr="0035515B">
              <w:rPr>
                <w:rFonts w:asciiTheme="majorBidi" w:hAnsiTheme="majorBidi" w:cstheme="majorBidi"/>
                <w:sz w:val="20"/>
                <w:szCs w:val="20"/>
              </w:rPr>
              <w:t xml:space="preserve">% </w:t>
            </w:r>
            <w:r w:rsidRPr="000969ED">
              <w:rPr>
                <w:rFonts w:asciiTheme="majorBidi" w:hAnsiTheme="majorBidi" w:cstheme="majorBidi"/>
                <w:sz w:val="20"/>
                <w:szCs w:val="20"/>
              </w:rPr>
              <w:t xml:space="preserve">Mobile Homes </w:t>
            </w:r>
          </w:p>
        </w:tc>
        <w:tc>
          <w:tcPr>
            <w:tcW w:w="2123" w:type="dxa"/>
            <w:vMerge/>
            <w:tcBorders>
              <w:left w:val="single" w:sz="8" w:space="0" w:color="000000"/>
              <w:right w:val="single" w:sz="8" w:space="0" w:color="000000"/>
            </w:tcBorders>
          </w:tcPr>
          <w:p w14:paraId="46CF0442" w14:textId="77777777" w:rsidR="0035515B" w:rsidRPr="0035515B" w:rsidRDefault="0035515B" w:rsidP="00AD024B">
            <w:pPr>
              <w:rPr>
                <w:rFonts w:asciiTheme="majorBidi" w:hAnsiTheme="majorBidi" w:cstheme="majorBidi"/>
                <w:sz w:val="20"/>
                <w:szCs w:val="20"/>
              </w:rPr>
            </w:pPr>
          </w:p>
        </w:tc>
        <w:tc>
          <w:tcPr>
            <w:tcW w:w="4050" w:type="dxa"/>
            <w:vMerge/>
            <w:tcBorders>
              <w:left w:val="single" w:sz="8" w:space="0" w:color="000000"/>
              <w:right w:val="single" w:sz="8" w:space="0" w:color="000000"/>
            </w:tcBorders>
            <w:vAlign w:val="center"/>
            <w:hideMark/>
          </w:tcPr>
          <w:p w14:paraId="46D8C832" w14:textId="00CCAB29" w:rsidR="0035515B" w:rsidRPr="000969ED" w:rsidRDefault="0035515B" w:rsidP="00AD024B">
            <w:pPr>
              <w:rPr>
                <w:rFonts w:asciiTheme="majorBidi" w:hAnsiTheme="majorBidi" w:cstheme="majorBidi"/>
                <w:sz w:val="20"/>
                <w:szCs w:val="20"/>
              </w:rPr>
            </w:pPr>
          </w:p>
        </w:tc>
      </w:tr>
      <w:tr w:rsidR="0035515B" w:rsidRPr="0035515B" w14:paraId="76807292" w14:textId="77777777" w:rsidTr="00923D82">
        <w:trPr>
          <w:trHeight w:val="5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A65755" w14:textId="77777777" w:rsidR="0035515B" w:rsidRPr="000969ED" w:rsidRDefault="0035515B" w:rsidP="00AD024B">
            <w:pPr>
              <w:rPr>
                <w:rFonts w:asciiTheme="majorBidi" w:hAnsiTheme="majorBidi" w:cstheme="majorBid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1311F" w14:textId="5647A4B6" w:rsidR="0035515B" w:rsidRPr="000969ED" w:rsidRDefault="0035515B" w:rsidP="00AD024B">
            <w:pPr>
              <w:rPr>
                <w:rFonts w:asciiTheme="majorBidi" w:hAnsiTheme="majorBidi" w:cstheme="majorBidi"/>
                <w:sz w:val="20"/>
                <w:szCs w:val="20"/>
              </w:rPr>
            </w:pPr>
            <w:r w:rsidRPr="0035515B">
              <w:rPr>
                <w:rFonts w:asciiTheme="majorBidi" w:hAnsiTheme="majorBidi" w:cstheme="majorBidi"/>
                <w:sz w:val="20"/>
                <w:szCs w:val="20"/>
              </w:rPr>
              <w:t xml:space="preserve">% </w:t>
            </w:r>
            <w:r w:rsidRPr="000969ED">
              <w:rPr>
                <w:rFonts w:asciiTheme="majorBidi" w:hAnsiTheme="majorBidi" w:cstheme="majorBidi"/>
                <w:sz w:val="20"/>
                <w:szCs w:val="20"/>
              </w:rPr>
              <w:t xml:space="preserve">Crowding </w:t>
            </w:r>
          </w:p>
        </w:tc>
        <w:tc>
          <w:tcPr>
            <w:tcW w:w="2123" w:type="dxa"/>
            <w:vMerge/>
            <w:tcBorders>
              <w:left w:val="single" w:sz="8" w:space="0" w:color="000000"/>
              <w:right w:val="single" w:sz="8" w:space="0" w:color="000000"/>
            </w:tcBorders>
          </w:tcPr>
          <w:p w14:paraId="3D261A1F" w14:textId="77777777" w:rsidR="0035515B" w:rsidRPr="0035515B" w:rsidRDefault="0035515B" w:rsidP="00AD024B">
            <w:pPr>
              <w:rPr>
                <w:rFonts w:asciiTheme="majorBidi" w:hAnsiTheme="majorBidi" w:cstheme="majorBidi"/>
                <w:sz w:val="20"/>
                <w:szCs w:val="20"/>
              </w:rPr>
            </w:pPr>
          </w:p>
        </w:tc>
        <w:tc>
          <w:tcPr>
            <w:tcW w:w="4050" w:type="dxa"/>
            <w:vMerge/>
            <w:tcBorders>
              <w:left w:val="single" w:sz="8" w:space="0" w:color="000000"/>
              <w:right w:val="single" w:sz="8" w:space="0" w:color="000000"/>
            </w:tcBorders>
            <w:vAlign w:val="center"/>
            <w:hideMark/>
          </w:tcPr>
          <w:p w14:paraId="797E1F37" w14:textId="0EE332F2" w:rsidR="0035515B" w:rsidRPr="000969ED" w:rsidRDefault="0035515B" w:rsidP="00AD024B">
            <w:pPr>
              <w:rPr>
                <w:rFonts w:asciiTheme="majorBidi" w:hAnsiTheme="majorBidi" w:cstheme="majorBidi"/>
                <w:sz w:val="20"/>
                <w:szCs w:val="20"/>
              </w:rPr>
            </w:pPr>
          </w:p>
        </w:tc>
      </w:tr>
      <w:tr w:rsidR="0035515B" w:rsidRPr="0035515B" w14:paraId="0B8B6AF7" w14:textId="77777777" w:rsidTr="00923D82">
        <w:trPr>
          <w:trHeight w:val="5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B832F7" w14:textId="77777777" w:rsidR="0035515B" w:rsidRPr="000969ED" w:rsidRDefault="0035515B" w:rsidP="00AD024B">
            <w:pPr>
              <w:rPr>
                <w:rFonts w:asciiTheme="majorBidi" w:hAnsiTheme="majorBidi" w:cstheme="majorBid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8052D" w14:textId="00837EF9" w:rsidR="0035515B" w:rsidRPr="000969ED" w:rsidRDefault="0035515B" w:rsidP="00AD024B">
            <w:pPr>
              <w:rPr>
                <w:rFonts w:asciiTheme="majorBidi" w:hAnsiTheme="majorBidi" w:cstheme="majorBidi"/>
                <w:sz w:val="20"/>
                <w:szCs w:val="20"/>
              </w:rPr>
            </w:pPr>
            <w:r w:rsidRPr="0035515B">
              <w:rPr>
                <w:rFonts w:asciiTheme="majorBidi" w:hAnsiTheme="majorBidi" w:cstheme="majorBidi"/>
                <w:sz w:val="20"/>
                <w:szCs w:val="20"/>
              </w:rPr>
              <w:t xml:space="preserve">% </w:t>
            </w:r>
            <w:r w:rsidRPr="000969ED">
              <w:rPr>
                <w:rFonts w:asciiTheme="majorBidi" w:hAnsiTheme="majorBidi" w:cstheme="majorBidi"/>
                <w:sz w:val="20"/>
                <w:szCs w:val="20"/>
              </w:rPr>
              <w:t xml:space="preserve">No Vehicles </w:t>
            </w:r>
          </w:p>
        </w:tc>
        <w:tc>
          <w:tcPr>
            <w:tcW w:w="2123" w:type="dxa"/>
            <w:vMerge/>
            <w:tcBorders>
              <w:left w:val="single" w:sz="8" w:space="0" w:color="000000"/>
              <w:right w:val="single" w:sz="8" w:space="0" w:color="000000"/>
            </w:tcBorders>
          </w:tcPr>
          <w:p w14:paraId="14597900" w14:textId="77777777" w:rsidR="0035515B" w:rsidRPr="0035515B" w:rsidRDefault="0035515B" w:rsidP="00AD024B">
            <w:pPr>
              <w:rPr>
                <w:rFonts w:asciiTheme="majorBidi" w:hAnsiTheme="majorBidi" w:cstheme="majorBidi"/>
                <w:sz w:val="20"/>
                <w:szCs w:val="20"/>
              </w:rPr>
            </w:pPr>
          </w:p>
        </w:tc>
        <w:tc>
          <w:tcPr>
            <w:tcW w:w="4050" w:type="dxa"/>
            <w:vMerge/>
            <w:tcBorders>
              <w:left w:val="single" w:sz="8" w:space="0" w:color="000000"/>
              <w:right w:val="single" w:sz="8" w:space="0" w:color="000000"/>
            </w:tcBorders>
            <w:vAlign w:val="center"/>
            <w:hideMark/>
          </w:tcPr>
          <w:p w14:paraId="1A5A0C02" w14:textId="79C4F78B" w:rsidR="0035515B" w:rsidRPr="000969ED" w:rsidRDefault="0035515B" w:rsidP="00AD024B">
            <w:pPr>
              <w:rPr>
                <w:rFonts w:asciiTheme="majorBidi" w:hAnsiTheme="majorBidi" w:cstheme="majorBidi"/>
                <w:sz w:val="20"/>
                <w:szCs w:val="20"/>
              </w:rPr>
            </w:pPr>
          </w:p>
        </w:tc>
      </w:tr>
      <w:tr w:rsidR="0035515B" w:rsidRPr="0035515B" w14:paraId="57AFB15D" w14:textId="77777777" w:rsidTr="00923D82">
        <w:trPr>
          <w:trHeight w:val="5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934F15" w14:textId="77777777" w:rsidR="0035515B" w:rsidRPr="000969ED" w:rsidRDefault="0035515B" w:rsidP="00AD024B">
            <w:pPr>
              <w:rPr>
                <w:rFonts w:asciiTheme="majorBidi" w:hAnsiTheme="majorBidi" w:cstheme="majorBid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DD229" w14:textId="3DDD7DA6" w:rsidR="0035515B" w:rsidRPr="000969ED" w:rsidRDefault="0035515B" w:rsidP="00AD024B">
            <w:pPr>
              <w:rPr>
                <w:rFonts w:asciiTheme="majorBidi" w:hAnsiTheme="majorBidi" w:cstheme="majorBidi"/>
                <w:sz w:val="20"/>
                <w:szCs w:val="20"/>
              </w:rPr>
            </w:pPr>
            <w:r w:rsidRPr="0035515B">
              <w:rPr>
                <w:rFonts w:asciiTheme="majorBidi" w:hAnsiTheme="majorBidi" w:cstheme="majorBidi"/>
                <w:sz w:val="20"/>
                <w:szCs w:val="20"/>
              </w:rPr>
              <w:t xml:space="preserve">% </w:t>
            </w:r>
            <w:r w:rsidRPr="000969ED">
              <w:rPr>
                <w:rFonts w:asciiTheme="majorBidi" w:hAnsiTheme="majorBidi" w:cstheme="majorBidi"/>
                <w:sz w:val="20"/>
                <w:szCs w:val="20"/>
              </w:rPr>
              <w:t xml:space="preserve">Group Quarters </w:t>
            </w:r>
          </w:p>
        </w:tc>
        <w:tc>
          <w:tcPr>
            <w:tcW w:w="2123" w:type="dxa"/>
            <w:vMerge/>
            <w:tcBorders>
              <w:left w:val="single" w:sz="8" w:space="0" w:color="000000"/>
              <w:bottom w:val="single" w:sz="8" w:space="0" w:color="000000"/>
              <w:right w:val="single" w:sz="8" w:space="0" w:color="000000"/>
            </w:tcBorders>
          </w:tcPr>
          <w:p w14:paraId="1F73328C" w14:textId="77777777" w:rsidR="0035515B" w:rsidRPr="0035515B" w:rsidRDefault="0035515B" w:rsidP="00AD024B">
            <w:pPr>
              <w:rPr>
                <w:rFonts w:asciiTheme="majorBidi" w:hAnsiTheme="majorBidi" w:cstheme="majorBidi"/>
                <w:sz w:val="20"/>
                <w:szCs w:val="20"/>
              </w:rPr>
            </w:pPr>
          </w:p>
        </w:tc>
        <w:tc>
          <w:tcPr>
            <w:tcW w:w="4050" w:type="dxa"/>
            <w:vMerge/>
            <w:tcBorders>
              <w:left w:val="single" w:sz="8" w:space="0" w:color="000000"/>
              <w:bottom w:val="single" w:sz="8" w:space="0" w:color="000000"/>
              <w:right w:val="single" w:sz="8" w:space="0" w:color="000000"/>
            </w:tcBorders>
            <w:vAlign w:val="center"/>
            <w:hideMark/>
          </w:tcPr>
          <w:p w14:paraId="397EFCA9" w14:textId="47839EE3" w:rsidR="0035515B" w:rsidRPr="000969ED" w:rsidRDefault="0035515B" w:rsidP="00AD024B">
            <w:pPr>
              <w:rPr>
                <w:rFonts w:asciiTheme="majorBidi" w:hAnsiTheme="majorBidi" w:cstheme="majorBidi"/>
                <w:sz w:val="20"/>
                <w:szCs w:val="20"/>
              </w:rPr>
            </w:pPr>
          </w:p>
        </w:tc>
      </w:tr>
    </w:tbl>
    <w:p w14:paraId="0A34320D" w14:textId="77777777" w:rsidR="00DA012A" w:rsidRPr="000969ED" w:rsidRDefault="00DA012A" w:rsidP="00DA012A">
      <w:pPr>
        <w:rPr>
          <w:rFonts w:asciiTheme="majorBidi" w:hAnsiTheme="majorBidi" w:cstheme="majorBidi"/>
          <w:sz w:val="20"/>
          <w:szCs w:val="20"/>
        </w:rPr>
      </w:pPr>
    </w:p>
    <w:p w14:paraId="22F3B222" w14:textId="77777777" w:rsidR="00E270C4" w:rsidRDefault="00E270C4" w:rsidP="00E270C4"/>
    <w:p w14:paraId="762FE4D5" w14:textId="77777777" w:rsidR="00E270C4" w:rsidRDefault="00E270C4"/>
    <w:sectPr w:rsidR="00E270C4" w:rsidSect="00B77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C4"/>
    <w:rsid w:val="000B7648"/>
    <w:rsid w:val="0011764A"/>
    <w:rsid w:val="001A4B2F"/>
    <w:rsid w:val="002B4586"/>
    <w:rsid w:val="0035515B"/>
    <w:rsid w:val="008F56D8"/>
    <w:rsid w:val="00967F59"/>
    <w:rsid w:val="00B77E4A"/>
    <w:rsid w:val="00D267AF"/>
    <w:rsid w:val="00DA012A"/>
    <w:rsid w:val="00E270C4"/>
    <w:rsid w:val="00E74DCF"/>
    <w:rsid w:val="00EE72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796D"/>
  <w15:chartTrackingRefBased/>
  <w15:docId w15:val="{0C892273-5DEE-5E4A-87BC-AFA7333C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58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DCF"/>
    <w:rPr>
      <w:color w:val="0563C1" w:themeColor="hyperlink"/>
      <w:u w:val="single"/>
    </w:rPr>
  </w:style>
  <w:style w:type="character" w:styleId="UnresolvedMention">
    <w:name w:val="Unresolved Mention"/>
    <w:basedOn w:val="DefaultParagraphFont"/>
    <w:uiPriority w:val="99"/>
    <w:semiHidden/>
    <w:unhideWhenUsed/>
    <w:rsid w:val="00E74DCF"/>
    <w:rPr>
      <w:color w:val="605E5C"/>
      <w:shd w:val="clear" w:color="auto" w:fill="E1DFDD"/>
    </w:rPr>
  </w:style>
  <w:style w:type="character" w:styleId="FollowedHyperlink">
    <w:name w:val="FollowedHyperlink"/>
    <w:basedOn w:val="DefaultParagraphFont"/>
    <w:uiPriority w:val="99"/>
    <w:semiHidden/>
    <w:unhideWhenUsed/>
    <w:rsid w:val="002B4586"/>
    <w:rPr>
      <w:color w:val="954F72" w:themeColor="followedHyperlink"/>
      <w:u w:val="single"/>
    </w:rPr>
  </w:style>
  <w:style w:type="paragraph" w:styleId="NormalWeb">
    <w:name w:val="Normal (Web)"/>
    <w:basedOn w:val="Normal"/>
    <w:uiPriority w:val="99"/>
    <w:semiHidden/>
    <w:unhideWhenUsed/>
    <w:rsid w:val="00967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611227">
      <w:bodyDiv w:val="1"/>
      <w:marLeft w:val="0"/>
      <w:marRight w:val="0"/>
      <w:marTop w:val="0"/>
      <w:marBottom w:val="0"/>
      <w:divBdr>
        <w:top w:val="none" w:sz="0" w:space="0" w:color="auto"/>
        <w:left w:val="none" w:sz="0" w:space="0" w:color="auto"/>
        <w:bottom w:val="none" w:sz="0" w:space="0" w:color="auto"/>
        <w:right w:val="none" w:sz="0" w:space="0" w:color="auto"/>
      </w:divBdr>
    </w:div>
    <w:div w:id="622931319">
      <w:bodyDiv w:val="1"/>
      <w:marLeft w:val="0"/>
      <w:marRight w:val="0"/>
      <w:marTop w:val="0"/>
      <w:marBottom w:val="0"/>
      <w:divBdr>
        <w:top w:val="none" w:sz="0" w:space="0" w:color="auto"/>
        <w:left w:val="none" w:sz="0" w:space="0" w:color="auto"/>
        <w:bottom w:val="none" w:sz="0" w:space="0" w:color="auto"/>
        <w:right w:val="none" w:sz="0" w:space="0" w:color="auto"/>
      </w:divBdr>
    </w:div>
    <w:div w:id="696005770">
      <w:bodyDiv w:val="1"/>
      <w:marLeft w:val="0"/>
      <w:marRight w:val="0"/>
      <w:marTop w:val="0"/>
      <w:marBottom w:val="0"/>
      <w:divBdr>
        <w:top w:val="none" w:sz="0" w:space="0" w:color="auto"/>
        <w:left w:val="none" w:sz="0" w:space="0" w:color="auto"/>
        <w:bottom w:val="none" w:sz="0" w:space="0" w:color="auto"/>
        <w:right w:val="none" w:sz="0" w:space="0" w:color="auto"/>
      </w:divBdr>
      <w:divsChild>
        <w:div w:id="1838374409">
          <w:marLeft w:val="0"/>
          <w:marRight w:val="0"/>
          <w:marTop w:val="0"/>
          <w:marBottom w:val="0"/>
          <w:divBdr>
            <w:top w:val="none" w:sz="0" w:space="0" w:color="auto"/>
            <w:left w:val="none" w:sz="0" w:space="0" w:color="auto"/>
            <w:bottom w:val="none" w:sz="0" w:space="0" w:color="auto"/>
            <w:right w:val="none" w:sz="0" w:space="0" w:color="auto"/>
          </w:divBdr>
          <w:divsChild>
            <w:div w:id="1588147306">
              <w:marLeft w:val="0"/>
              <w:marRight w:val="0"/>
              <w:marTop w:val="0"/>
              <w:marBottom w:val="0"/>
              <w:divBdr>
                <w:top w:val="none" w:sz="0" w:space="0" w:color="auto"/>
                <w:left w:val="none" w:sz="0" w:space="0" w:color="auto"/>
                <w:bottom w:val="none" w:sz="0" w:space="0" w:color="auto"/>
                <w:right w:val="none" w:sz="0" w:space="0" w:color="auto"/>
              </w:divBdr>
              <w:divsChild>
                <w:div w:id="16445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07978">
      <w:bodyDiv w:val="1"/>
      <w:marLeft w:val="0"/>
      <w:marRight w:val="0"/>
      <w:marTop w:val="0"/>
      <w:marBottom w:val="0"/>
      <w:divBdr>
        <w:top w:val="none" w:sz="0" w:space="0" w:color="auto"/>
        <w:left w:val="none" w:sz="0" w:space="0" w:color="auto"/>
        <w:bottom w:val="none" w:sz="0" w:space="0" w:color="auto"/>
        <w:right w:val="none" w:sz="0" w:space="0" w:color="auto"/>
      </w:divBdr>
      <w:divsChild>
        <w:div w:id="613100435">
          <w:marLeft w:val="0"/>
          <w:marRight w:val="0"/>
          <w:marTop w:val="0"/>
          <w:marBottom w:val="0"/>
          <w:divBdr>
            <w:top w:val="none" w:sz="0" w:space="0" w:color="auto"/>
            <w:left w:val="none" w:sz="0" w:space="0" w:color="auto"/>
            <w:bottom w:val="none" w:sz="0" w:space="0" w:color="auto"/>
            <w:right w:val="none" w:sz="0" w:space="0" w:color="auto"/>
          </w:divBdr>
          <w:divsChild>
            <w:div w:id="2043822292">
              <w:marLeft w:val="0"/>
              <w:marRight w:val="0"/>
              <w:marTop w:val="0"/>
              <w:marBottom w:val="0"/>
              <w:divBdr>
                <w:top w:val="none" w:sz="0" w:space="0" w:color="auto"/>
                <w:left w:val="none" w:sz="0" w:space="0" w:color="auto"/>
                <w:bottom w:val="none" w:sz="0" w:space="0" w:color="auto"/>
                <w:right w:val="none" w:sz="0" w:space="0" w:color="auto"/>
              </w:divBdr>
              <w:divsChild>
                <w:div w:id="7676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7792">
      <w:bodyDiv w:val="1"/>
      <w:marLeft w:val="0"/>
      <w:marRight w:val="0"/>
      <w:marTop w:val="0"/>
      <w:marBottom w:val="0"/>
      <w:divBdr>
        <w:top w:val="none" w:sz="0" w:space="0" w:color="auto"/>
        <w:left w:val="none" w:sz="0" w:space="0" w:color="auto"/>
        <w:bottom w:val="none" w:sz="0" w:space="0" w:color="auto"/>
        <w:right w:val="none" w:sz="0" w:space="0" w:color="auto"/>
      </w:divBdr>
    </w:div>
    <w:div w:id="1093740400">
      <w:bodyDiv w:val="1"/>
      <w:marLeft w:val="0"/>
      <w:marRight w:val="0"/>
      <w:marTop w:val="0"/>
      <w:marBottom w:val="0"/>
      <w:divBdr>
        <w:top w:val="none" w:sz="0" w:space="0" w:color="auto"/>
        <w:left w:val="none" w:sz="0" w:space="0" w:color="auto"/>
        <w:bottom w:val="none" w:sz="0" w:space="0" w:color="auto"/>
        <w:right w:val="none" w:sz="0" w:space="0" w:color="auto"/>
      </w:divBdr>
    </w:div>
    <w:div w:id="1655793838">
      <w:bodyDiv w:val="1"/>
      <w:marLeft w:val="0"/>
      <w:marRight w:val="0"/>
      <w:marTop w:val="0"/>
      <w:marBottom w:val="0"/>
      <w:divBdr>
        <w:top w:val="none" w:sz="0" w:space="0" w:color="auto"/>
        <w:left w:val="none" w:sz="0" w:space="0" w:color="auto"/>
        <w:bottom w:val="none" w:sz="0" w:space="0" w:color="auto"/>
        <w:right w:val="none" w:sz="0" w:space="0" w:color="auto"/>
      </w:divBdr>
      <w:divsChild>
        <w:div w:id="2087457799">
          <w:marLeft w:val="0"/>
          <w:marRight w:val="0"/>
          <w:marTop w:val="0"/>
          <w:marBottom w:val="0"/>
          <w:divBdr>
            <w:top w:val="none" w:sz="0" w:space="0" w:color="auto"/>
            <w:left w:val="none" w:sz="0" w:space="0" w:color="auto"/>
            <w:bottom w:val="none" w:sz="0" w:space="0" w:color="auto"/>
            <w:right w:val="none" w:sz="0" w:space="0" w:color="auto"/>
          </w:divBdr>
          <w:divsChild>
            <w:div w:id="811941478">
              <w:marLeft w:val="0"/>
              <w:marRight w:val="0"/>
              <w:marTop w:val="0"/>
              <w:marBottom w:val="0"/>
              <w:divBdr>
                <w:top w:val="none" w:sz="0" w:space="0" w:color="auto"/>
                <w:left w:val="none" w:sz="0" w:space="0" w:color="auto"/>
                <w:bottom w:val="none" w:sz="0" w:space="0" w:color="auto"/>
                <w:right w:val="none" w:sz="0" w:space="0" w:color="auto"/>
              </w:divBdr>
              <w:divsChild>
                <w:div w:id="17474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83937">
      <w:bodyDiv w:val="1"/>
      <w:marLeft w:val="0"/>
      <w:marRight w:val="0"/>
      <w:marTop w:val="0"/>
      <w:marBottom w:val="0"/>
      <w:divBdr>
        <w:top w:val="none" w:sz="0" w:space="0" w:color="auto"/>
        <w:left w:val="none" w:sz="0" w:space="0" w:color="auto"/>
        <w:bottom w:val="none" w:sz="0" w:space="0" w:color="auto"/>
        <w:right w:val="none" w:sz="0" w:space="0" w:color="auto"/>
      </w:divBdr>
    </w:div>
    <w:div w:id="196519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ub.arcgis.com/datasets/800f684ebadf423bae4c669cb0a1d7da" TargetMode="External"/><Relationship Id="rId13" Type="http://schemas.openxmlformats.org/officeDocument/2006/relationships/hyperlink" Target="https://svi.cdc.gov/Documents/Data/2018_SVI_Data/SVI2018Documentation-508.pdf" TargetMode="External"/><Relationship Id="rId3" Type="http://schemas.openxmlformats.org/officeDocument/2006/relationships/webSettings" Target="webSettings.xml"/><Relationship Id="rId7" Type="http://schemas.openxmlformats.org/officeDocument/2006/relationships/hyperlink" Target="https://dataforgood.fb.com/tools/movement-range-maps/" TargetMode="External"/><Relationship Id="rId12" Type="http://schemas.openxmlformats.org/officeDocument/2006/relationships/hyperlink" Target="https://svi.cdc.gov/Documents/Data/2018_SVI_Data/SVI2018Documentation-508.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VID19PVI/data" TargetMode="External"/><Relationship Id="rId11" Type="http://schemas.openxmlformats.org/officeDocument/2006/relationships/hyperlink" Target="http://hub.arcgis.com/datasets/800f684ebadf423bae4c669cb0a1d7da" TargetMode="External"/><Relationship Id="rId5" Type="http://schemas.openxmlformats.org/officeDocument/2006/relationships/hyperlink" Target="https://www.cnn.com/2020/05/20/weather/michigan-dam-breaches/index.html" TargetMode="External"/><Relationship Id="rId15" Type="http://schemas.openxmlformats.org/officeDocument/2006/relationships/theme" Target="theme/theme1.xml"/><Relationship Id="rId10" Type="http://schemas.openxmlformats.org/officeDocument/2006/relationships/hyperlink" Target="https://data.femadata.com/FIMA/Risk_MAP/NFHL/" TargetMode="External"/><Relationship Id="rId4" Type="http://schemas.openxmlformats.org/officeDocument/2006/relationships/hyperlink" Target="https://amp.cnn.com/cnn/2020/05/19/asia/super-cyclone-amphan-india-banglash-intl-hnk/index.html" TargetMode="External"/><Relationship Id="rId9" Type="http://schemas.openxmlformats.org/officeDocument/2006/relationships/hyperlink" Target="https://catalog.data.gov/dataset/historical-north-atlantic-tropical-cyclone-tracks-1851-2004-direct-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Author1</dc:creator>
  <cp:keywords/>
  <dc:description/>
  <cp:lastModifiedBy>Author1</cp:lastModifiedBy>
  <cp:revision>2</cp:revision>
  <dcterms:created xsi:type="dcterms:W3CDTF">2020-08-22T03:06:00Z</dcterms:created>
  <dcterms:modified xsi:type="dcterms:W3CDTF">2020-08-22T03:06:00Z</dcterms:modified>
</cp:coreProperties>
</file>