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498"/>
        <w:gridCol w:w="2528"/>
      </w:tblGrid>
      <w:tr>
        <w:tc>
          <w:tcPr>
            <w:tcW w:type="dxa" w:w="64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val="clear"/>
            <w:tcMar>
              <w:top w:type="dxa" w:w="160"/>
              <w:left w:type="dxa" w:w="2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URBAN AI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color w:val="A0AEC0"/>
                <w:sz w:val="20"/>
                <w:szCs w:val="20"/>
              </w:rPr>
              <w:t xml:space="preserve">Relatório de Status — Sprint de Migração</w:t>
            </w:r>
          </w:p>
        </w:tc>
        <w:tc>
          <w:tcPr>
            <w:tcW w:type="dxa" w:w="2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500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DIA 8 DE 14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dias úteis  |  Prazo: 20/03/2026</w:t>
            </w:r>
          </w:p>
        </w:tc>
      </w:tr>
      <w:tr>
        <w:tc>
          <w:tcPr>
            <w:tcW w:type="dxa" w:w="64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2030" w:val="clear"/>
            <w:tcMar>
              <w:top w:type="dxa" w:w="80"/>
              <w:left w:type="dxa" w:w="2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color w:val="A0AEC0"/>
                <w:sz w:val="17"/>
                <w:szCs w:val="17"/>
              </w:rPr>
              <w:t xml:space="preserve">Responsável: Gustavo Macedo   |   12/03/2026   |   D1: 03/03/2026</w:t>
            </w:r>
          </w:p>
        </w:tc>
        <w:tc>
          <w:tcPr>
            <w:tcW w:type="dxa" w:w="2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203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val="clear"/>
            <w:tcMar>
              <w:top w:type="dxa" w:w="90"/>
              <w:left w:type="dxa" w:w="18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RESUMO EXECUTIVO</w:t>
            </w:r>
          </w:p>
        </w:tc>
      </w:tr>
    </w:tbl>
    <w:p>
      <w:pPr>
        <w:spacing w:after="0" w:before="60"/>
      </w:pPr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36"/>
        <w:gridCol w:w="2236"/>
        <w:gridCol w:w="2236"/>
        <w:gridCol w:w="2236"/>
      </w:tblGrid>
      <w:tr>
        <w:tc>
          <w:tcPr>
            <w:tcW w:type="dxa" w:w="2236"/>
            <w:tcBorders>
              <w:top w:val="single" w:color="D1FAE5" w:sz="1"/>
              <w:left w:val="single" w:color="D1FAE5" w:sz="1"/>
              <w:bottom w:val="single" w:color="D1FAE5" w:sz="1"/>
              <w:right w:val="single" w:color="D1FAE5" w:sz="1"/>
            </w:tcBorders>
            <w:shd w:fill="D1FAE5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0B981"/>
                <w:sz w:val="52"/>
                <w:szCs w:val="52"/>
              </w:rPr>
              <w:t xml:space="preserve">26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D1117"/>
                <w:sz w:val="17"/>
                <w:szCs w:val="17"/>
              </w:rPr>
              <w:t xml:space="preserve">ENTREGUES</w:t>
            </w:r>
          </w:p>
          <w:p>
            <w:pPr>
              <w:spacing w:after="0" w:before="20"/>
              <w:jc w:val="center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tarefas concluídas</w:t>
            </w:r>
          </w:p>
        </w:tc>
        <w:tc>
          <w:tcPr>
            <w:tcW w:type="dxa" w:w="2236"/>
            <w:tcBorders>
              <w:top w:val="single" w:color="DBEAFE" w:sz="1"/>
              <w:left w:val="single" w:color="DBEAFE" w:sz="1"/>
              <w:bottom w:val="single" w:color="DBEAFE" w:sz="1"/>
              <w:right w:val="single" w:color="DBEAFE" w:sz="1"/>
            </w:tcBorders>
            <w:shd w:fill="DBEAFE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52"/>
                <w:szCs w:val="52"/>
              </w:rPr>
              <w:t xml:space="preserve">7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D1117"/>
                <w:sz w:val="17"/>
                <w:szCs w:val="17"/>
              </w:rPr>
              <w:t xml:space="preserve">ADIANTADAS</w:t>
            </w:r>
          </w:p>
          <w:p>
            <w:pPr>
              <w:spacing w:after="0" w:before="20"/>
              <w:jc w:val="center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escopo antecipado</w:t>
            </w:r>
          </w:p>
        </w:tc>
        <w:tc>
          <w:tcPr>
            <w:tcW w:type="dxa" w:w="2236"/>
            <w:tcBorders>
              <w:top w:val="single" w:color="FEF3C7" w:sz="1"/>
              <w:left w:val="single" w:color="FEF3C7" w:sz="1"/>
              <w:bottom w:val="single" w:color="FEF3C7" w:sz="1"/>
              <w:right w:val="single" w:color="FEF3C7" w:sz="1"/>
            </w:tcBorders>
            <w:shd w:fill="FEF3C7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9E0B"/>
                <w:sz w:val="52"/>
                <w:szCs w:val="52"/>
              </w:rPr>
              <w:t xml:space="preserve">2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D1117"/>
                <w:sz w:val="17"/>
                <w:szCs w:val="17"/>
              </w:rPr>
              <w:t xml:space="preserve">EM ANDAMENTO</w:t>
            </w:r>
          </w:p>
          <w:p>
            <w:pPr>
              <w:spacing w:after="0" w:before="20"/>
              <w:jc w:val="center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em progresso</w:t>
            </w:r>
          </w:p>
        </w:tc>
        <w:tc>
          <w:tcPr>
            <w:tcW w:type="dxa" w:w="2236"/>
            <w:tcBorders>
              <w:top w:val="single" w:color="FEE2E2" w:sz="1"/>
              <w:left w:val="single" w:color="FEE2E2" w:sz="1"/>
              <w:bottom w:val="single" w:color="FEE2E2" w:sz="1"/>
              <w:right w:val="single" w:color="FEE2E2" w:sz="1"/>
            </w:tcBorders>
            <w:shd w:fill="FEE2E2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52"/>
                <w:szCs w:val="52"/>
              </w:rPr>
              <w:t xml:space="preserve">1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D1117"/>
                <w:sz w:val="17"/>
                <w:szCs w:val="17"/>
              </w:rPr>
              <w:t xml:space="preserve">ATENÇÃO</w:t>
            </w:r>
          </w:p>
          <w:p>
            <w:pPr>
              <w:spacing w:after="0" w:before="20"/>
              <w:jc w:val="center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item a priorizar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val="clear"/>
            <w:tcMar>
              <w:top w:type="dxa" w:w="90"/>
              <w:left w:type="dxa" w:w="18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PROGRESSO POR FASE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28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1117"/>
          <w:sz w:val="18"/>
          <w:szCs w:val="18"/>
        </w:rPr>
        <w:t xml:space="preserve">F1 — Diagnóstico e Documentação</w:t>
      </w:r>
      <w:r>
        <w:rPr>
          <w:rFonts w:ascii="Arial" w:cs="Arial" w:eastAsia="Arial" w:hAnsi="Arial"/>
          <w:b/>
          <w:bCs/>
          <w:i w:val="false"/>
          <w:iCs w:val="false"/>
          <w:color w:val="10B981"/>
          <w:sz w:val="18"/>
          <w:szCs w:val="18"/>
        </w:rPr>
        <w:t xml:space="preserve">   100%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0B981" w:val="clear"/>
            <w:tcMar>
              <w:top w:type="dxa" w:w="18"/>
              <w:left w:type="dxa" w:w="0"/>
              <w:bottom w:type="dxa" w:w="18"/>
              <w:right w:type="dxa" w:w="0"/>
            </w:tcMar>
          </w:tcPr>
          <w:p>
            <w:r>
              <w:t xml:space="preserve"/>
            </w:r>
          </w:p>
        </w:tc>
      </w:tr>
    </w:tbl>
    <w:p>
      <w:pPr>
        <w:spacing w:after="0" w:before="40"/>
      </w:pPr>
      <w:r>
        <w:t xml:space="preserve"/>
      </w:r>
    </w:p>
    <w:p>
      <w:pPr>
        <w:spacing w:after="28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1117"/>
          <w:sz w:val="18"/>
          <w:szCs w:val="18"/>
        </w:rPr>
        <w:t xml:space="preserve">F2 — Setup da Nova Infraestrutura Cloud</w:t>
      </w:r>
      <w:r>
        <w:rPr>
          <w:rFonts w:ascii="Arial" w:cs="Arial" w:eastAsia="Arial" w:hAnsi="Arial"/>
          <w:b/>
          <w:bCs/>
          <w:i w:val="false"/>
          <w:iCs w:val="false"/>
          <w:color w:val="E8500A"/>
          <w:sz w:val="18"/>
          <w:szCs w:val="18"/>
        </w:rPr>
        <w:t xml:space="preserve">   80%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221"/>
        <w:gridCol w:w="1805"/>
      </w:tblGrid>
      <w:tr>
        <w:tc>
          <w:tcPr>
            <w:tcW w:type="dxa" w:w="72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500A" w:val="clear"/>
            <w:tcMar>
              <w:top w:type="dxa" w:w="18"/>
              <w:left w:type="dxa" w:w="0"/>
              <w:bottom w:type="dxa" w:w="18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1D5DB" w:val="clear"/>
            <w:tcMar>
              <w:top w:type="dxa" w:w="18"/>
              <w:left w:type="dxa" w:w="0"/>
              <w:bottom w:type="dxa" w:w="18"/>
              <w:right w:type="dxa" w:w="0"/>
            </w:tcMar>
          </w:tcPr>
          <w:p>
            <w:r>
              <w:t xml:space="preserve"/>
            </w:r>
          </w:p>
        </w:tc>
      </w:tr>
    </w:tbl>
    <w:p>
      <w:pPr>
        <w:spacing w:after="0" w:before="40"/>
      </w:pPr>
      <w:r>
        <w:t xml:space="preserve"/>
      </w:r>
    </w:p>
    <w:p>
      <w:pPr>
        <w:spacing w:after="28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1117"/>
          <w:sz w:val="18"/>
          <w:szCs w:val="18"/>
        </w:rPr>
        <w:t xml:space="preserve">F3 — Transferência de Contas e DNS</w:t>
      </w:r>
      <w:r>
        <w:rPr>
          <w:rFonts w:ascii="Arial" w:cs="Arial" w:eastAsia="Arial" w:hAnsi="Arial"/>
          <w:b/>
          <w:bCs/>
          <w:i w:val="false"/>
          <w:iCs w:val="false"/>
          <w:color w:val="F59E0B"/>
          <w:sz w:val="18"/>
          <w:szCs w:val="18"/>
        </w:rPr>
        <w:t xml:space="preserve">   35%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9E0B" w:val="clear"/>
            <w:tcMar>
              <w:top w:type="dxa" w:w="18"/>
              <w:left w:type="dxa" w:w="0"/>
              <w:bottom w:type="dxa" w:w="18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58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1D5DB" w:val="clear"/>
            <w:tcMar>
              <w:top w:type="dxa" w:w="18"/>
              <w:left w:type="dxa" w:w="0"/>
              <w:bottom w:type="dxa" w:w="18"/>
              <w:right w:type="dxa" w:w="0"/>
            </w:tcMar>
          </w:tcPr>
          <w:p>
            <w:r>
              <w:t xml:space="preserve"/>
            </w:r>
          </w:p>
        </w:tc>
      </w:tr>
    </w:tbl>
    <w:p>
      <w:pPr>
        <w:spacing w:after="0" w:before="40"/>
      </w:pPr>
      <w:r>
        <w:t xml:space="preserve"/>
      </w:r>
    </w:p>
    <w:p>
      <w:pPr>
        <w:spacing w:after="28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1117"/>
          <w:sz w:val="18"/>
          <w:szCs w:val="18"/>
        </w:rPr>
        <w:t xml:space="preserve">F4 — Bugs, Segurança e Limpeza Técnica</w:t>
      </w:r>
      <w:r>
        <w:rPr>
          <w:rFonts w:ascii="Arial" w:cs="Arial" w:eastAsia="Arial" w:hAnsi="Arial"/>
          <w:b/>
          <w:bCs/>
          <w:i w:val="false"/>
          <w:iCs w:val="false"/>
          <w:color w:val="3B82F6"/>
          <w:sz w:val="18"/>
          <w:szCs w:val="18"/>
        </w:rPr>
        <w:t xml:space="preserve">   45%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c>
          <w:tcPr>
            <w:tcW w:type="dxa" w:w="40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B82F6" w:val="clear"/>
            <w:tcMar>
              <w:top w:type="dxa" w:w="18"/>
              <w:left w:type="dxa" w:w="0"/>
              <w:bottom w:type="dxa" w:w="18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1D5DB" w:val="clear"/>
            <w:tcMar>
              <w:top w:type="dxa" w:w="18"/>
              <w:left w:type="dxa" w:w="0"/>
              <w:bottom w:type="dxa" w:w="18"/>
              <w:right w:type="dxa" w:w="0"/>
            </w:tcMar>
          </w:tcPr>
          <w:p>
            <w:r>
              <w:t xml:space="preserve"/>
            </w:r>
          </w:p>
        </w:tc>
      </w:tr>
    </w:tbl>
    <w:p>
      <w:pPr>
        <w:spacing w:after="0" w:before="40"/>
      </w:pPr>
      <w:r>
        <w:t xml:space="preserve"/>
      </w:r>
    </w:p>
    <w:p>
      <w:pPr>
        <w:spacing w:after="28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1117"/>
          <w:sz w:val="18"/>
          <w:szCs w:val="18"/>
        </w:rPr>
        <w:t xml:space="preserve">F5/F6/F7 — Crescimento e Go-Live</w:t>
      </w:r>
      <w:r>
        <w:rPr>
          <w:rFonts w:ascii="Arial" w:cs="Arial" w:eastAsia="Arial" w:hAnsi="Arial"/>
          <w:b/>
          <w:bCs/>
          <w:i w:val="false"/>
          <w:iCs w:val="false"/>
          <w:color w:val="6B7280"/>
          <w:sz w:val="18"/>
          <w:szCs w:val="18"/>
        </w:rPr>
        <w:t xml:space="preserve">   5%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51"/>
        <w:gridCol w:w="8575"/>
      </w:tblGrid>
      <w:tr>
        <w:tc>
          <w:tcPr>
            <w:tcW w:type="dxa" w:w="4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B7280" w:val="clear"/>
            <w:tcMar>
              <w:top w:type="dxa" w:w="18"/>
              <w:left w:type="dxa" w:w="0"/>
              <w:bottom w:type="dxa" w:w="18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85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1D5DB" w:val="clear"/>
            <w:tcMar>
              <w:top w:type="dxa" w:w="18"/>
              <w:left w:type="dxa" w:w="0"/>
              <w:bottom w:type="dxa" w:w="18"/>
              <w:right w:type="dxa" w:w="0"/>
            </w:tcMar>
          </w:tcPr>
          <w:p>
            <w:r>
              <w:t xml:space="preserve"/>
            </w:r>
          </w:p>
        </w:tc>
      </w:tr>
    </w:tbl>
    <w:p>
      <w:pPr>
        <w:spacing w:after="0" w:before="40"/>
      </w:pPr>
      <w:r>
        <w:t xml:space="preserve"/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0B981" w:val="clear"/>
            <w:tcMar>
              <w:top w:type="dxa" w:w="90"/>
              <w:left w:type="dxa" w:w="18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ENTREGUES — F1: Diagnóstico e Documentação (100%)</w:t>
            </w:r>
          </w:p>
        </w:tc>
      </w:tr>
    </w:tbl>
    <w:p>
      <w:pPr>
        <w:spacing w:after="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4"/>
        <w:gridCol w:w="4062"/>
      </w:tblGrid>
      <w:tr>
        <w:tc>
          <w:tcPr>
            <w:tcW w:type="dxa" w:w="4964"/>
            <w:tcBorders>
              <w:top w:val="single" w:color="0D1117" w:sz="1"/>
              <w:left w:val="single" w:color="0D1117" w:sz="1"/>
              <w:bottom w:val="single" w:color="0D1117" w:sz="1"/>
              <w:right w:val="single" w:color="0D1117" w:sz="1"/>
            </w:tcBorders>
            <w:shd w:fill="0D111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Tarefa</w:t>
            </w:r>
          </w:p>
        </w:tc>
        <w:tc>
          <w:tcPr>
            <w:tcW w:type="dxa" w:w="4062"/>
            <w:tcBorders>
              <w:top w:val="single" w:color="0D1117" w:sz="1"/>
              <w:left w:val="single" w:color="0D1117" w:sz="1"/>
              <w:bottom w:val="single" w:color="0D1117" w:sz="1"/>
              <w:right w:val="single" w:color="0D1117" w:sz="1"/>
            </w:tcBorders>
            <w:shd w:fill="0D111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496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Estudo completo do código-fonte e arquitetura</w:t>
            </w:r>
          </w:p>
        </w:tc>
        <w:tc>
          <w:tcPr>
            <w:tcW w:type="dxa" w:w="406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32 documentos técnicos criados</w:t>
            </w:r>
          </w:p>
        </w:tc>
      </w:tr>
      <w:tr>
        <w:tc>
          <w:tcPr>
            <w:tcW w:type="dxa" w:w="496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Entrevista técnica com Lumina Lab (Felipe)</w:t>
            </w:r>
          </w:p>
        </w:tc>
        <w:tc>
          <w:tcPr>
            <w:tcW w:type="dxa" w:w="406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Q&amp;A completo registrado</w:t>
            </w:r>
          </w:p>
        </w:tc>
      </w:tr>
      <w:tr>
        <w:tc>
          <w:tcPr>
            <w:tcW w:type="dxa" w:w="496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Identificação de riscos críticos</w:t>
            </w:r>
          </w:p>
        </w:tc>
        <w:tc>
          <w:tcPr>
            <w:tcW w:type="dxa" w:w="406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KNN desintegrado, FastAPI depreciado, contas Lumina</w:t>
            </w:r>
          </w:p>
        </w:tc>
      </w:tr>
      <w:tr>
        <w:tc>
          <w:tcPr>
            <w:tcW w:type="dxa" w:w="496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Documento de transferência de contas (doc 32)</w:t>
            </w:r>
          </w:p>
        </w:tc>
        <w:tc>
          <w:tcPr>
            <w:tcW w:type="dxa" w:w="406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Passo a passo detalhado para cada serviço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0B981" w:val="clear"/>
            <w:tcMar>
              <w:top w:type="dxa" w:w="90"/>
              <w:left w:type="dxa" w:w="18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ENTREGUES — F2: Infraestrutura Cloud (concluído 4 dias adiantado)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Toda a topologia on-premise foi movida 100% para nuvem própria em D7 — previsão original era D9-11.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3971"/>
        <w:gridCol w:w="1444"/>
      </w:tblGrid>
      <w:tr>
        <w:tc>
          <w:tcPr>
            <w:tcW w:type="dxa" w:w="3610"/>
            <w:tcBorders>
              <w:top w:val="single" w:color="0D1117" w:sz="1"/>
              <w:left w:val="single" w:color="0D1117" w:sz="1"/>
              <w:bottom w:val="single" w:color="0D1117" w:sz="1"/>
              <w:right w:val="single" w:color="0D1117" w:sz="1"/>
            </w:tcBorders>
            <w:shd w:fill="0D111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Serviço</w:t>
            </w:r>
          </w:p>
        </w:tc>
        <w:tc>
          <w:tcPr>
            <w:tcW w:type="dxa" w:w="3971"/>
            <w:tcBorders>
              <w:top w:val="single" w:color="0D1117" w:sz="1"/>
              <w:left w:val="single" w:color="0D1117" w:sz="1"/>
              <w:bottom w:val="single" w:color="0D1117" w:sz="1"/>
              <w:right w:val="single" w:color="0D1117" w:sz="1"/>
            </w:tcBorders>
            <w:shd w:fill="0D111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URL / Status</w:t>
            </w:r>
          </w:p>
        </w:tc>
        <w:tc>
          <w:tcPr>
            <w:tcW w:type="dxa" w:w="1444"/>
            <w:tcBorders>
              <w:top w:val="single" w:color="0D1117" w:sz="1"/>
              <w:left w:val="single" w:color="0D1117" w:sz="1"/>
              <w:bottom w:val="single" w:color="0D1117" w:sz="1"/>
              <w:right w:val="single" w:color="0D1117" w:sz="1"/>
            </w:tcBorders>
            <w:shd w:fill="0D111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Dia</w:t>
            </w:r>
          </w:p>
        </w:tc>
      </w:tr>
      <w:tr>
        <w:tc>
          <w:tcPr>
            <w:tcW w:type="dxa" w:w="361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MySQL (Railway) + Upstash Redis</w:t>
            </w:r>
          </w:p>
        </w:tc>
        <w:tc>
          <w:tcPr>
            <w:tcW w:type="dxa" w:w="3971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Conectados e validados internamente</w:t>
            </w:r>
          </w:p>
        </w:tc>
        <w:tc>
          <w:tcPr>
            <w:tcW w:type="dxa" w:w="144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D1-2</w:t>
            </w:r>
          </w:p>
        </w:tc>
      </w:tr>
      <w:tr>
        <w:tc>
          <w:tcPr>
            <w:tcW w:type="dxa" w:w="361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Backend NestJS</w:t>
            </w:r>
          </w:p>
        </w:tc>
        <w:tc>
          <w:tcPr>
            <w:tcW w:type="dxa" w:w="3971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urbanai-production-85fd.up.railway.app</w:t>
            </w:r>
          </w:p>
        </w:tc>
        <w:tc>
          <w:tcPr>
            <w:tcW w:type="dxa" w:w="144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D3</w:t>
            </w:r>
          </w:p>
        </w:tc>
      </w:tr>
      <w:tr>
        <w:tc>
          <w:tcPr>
            <w:tcW w:type="dxa" w:w="361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Frontend Next.js</w:t>
            </w:r>
          </w:p>
        </w:tc>
        <w:tc>
          <w:tcPr>
            <w:tcW w:type="dxa" w:w="3971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urbanai-production.up.railway.app</w:t>
            </w:r>
          </w:p>
        </w:tc>
        <w:tc>
          <w:tcPr>
            <w:tcW w:type="dxa" w:w="144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D3</w:t>
            </w:r>
          </w:p>
        </w:tc>
      </w:tr>
      <w:tr>
        <w:tc>
          <w:tcPr>
            <w:tcW w:type="dxa" w:w="361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Motor KNN (Node.js/Express)</w:t>
            </w:r>
          </w:p>
        </w:tc>
        <w:tc>
          <w:tcPr>
            <w:tcW w:type="dxa" w:w="3971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urbanai-production-4f5e.up.railway.app</w:t>
            </w:r>
          </w:p>
        </w:tc>
        <w:tc>
          <w:tcPr>
            <w:tcW w:type="dxa" w:w="144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D4</w:t>
            </w:r>
          </w:p>
        </w:tc>
      </w:tr>
      <w:tr>
        <w:tc>
          <w:tcPr>
            <w:tcW w:type="dxa" w:w="361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Pipeline (Prefect/Python)</w:t>
            </w:r>
          </w:p>
        </w:tc>
        <w:tc>
          <w:tcPr>
            <w:tcW w:type="dxa" w:w="3971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Worker ativo, Prefect Cloud conectado</w:t>
            </w:r>
          </w:p>
        </w:tc>
        <w:tc>
          <w:tcPr>
            <w:tcW w:type="dxa" w:w="144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D5</w:t>
            </w:r>
          </w:p>
        </w:tc>
      </w:tr>
      <w:tr>
        <w:tc>
          <w:tcPr>
            <w:tcW w:type="dxa" w:w="361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Webscraping (Scrapy/Scrapyd)</w:t>
            </w:r>
          </w:p>
        </w:tc>
        <w:tc>
          <w:tcPr>
            <w:tcW w:type="dxa" w:w="3971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Scrapyd escutando na porta 6800</w:t>
            </w:r>
          </w:p>
        </w:tc>
        <w:tc>
          <w:tcPr>
            <w:tcW w:type="dxa" w:w="144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D5</w:t>
            </w:r>
          </w:p>
        </w:tc>
      </w:tr>
      <w:tr>
        <w:tc>
          <w:tcPr>
            <w:tcW w:type="dxa" w:w="361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CI/CD (git push → deploy auto)</w:t>
            </w:r>
          </w:p>
        </w:tc>
        <w:tc>
          <w:tcPr>
            <w:tcW w:type="dxa" w:w="3971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Configurado em todos os 5 serviços</w:t>
            </w:r>
          </w:p>
        </w:tc>
        <w:tc>
          <w:tcPr>
            <w:tcW w:type="dxa" w:w="144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D6</w:t>
            </w:r>
          </w:p>
        </w:tc>
      </w:tr>
      <w:tr>
        <w:tc>
          <w:tcPr>
            <w:tcW w:type="dxa" w:w="361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Stripe + Mailersend</w:t>
            </w:r>
          </w:p>
        </w:tc>
        <w:tc>
          <w:tcPr>
            <w:tcW w:type="dxa" w:w="3971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Contas Urban AI criadas e configuradas</w:t>
            </w:r>
          </w:p>
        </w:tc>
        <w:tc>
          <w:tcPr>
            <w:tcW w:type="dxa" w:w="144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D1-3</w:t>
            </w:r>
          </w:p>
        </w:tc>
      </w:tr>
      <w:tr>
        <w:tc>
          <w:tcPr>
            <w:tcW w:type="dxa" w:w="361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Google Cloud Platform</w:t>
            </w:r>
          </w:p>
        </w:tc>
        <w:tc>
          <w:tcPr>
            <w:tcW w:type="dxa" w:w="3971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Maps API + OAuth 2.0 configurados | Crédito gratuito: R$ 1.759 (válido até 15/06/2026)</w:t>
            </w:r>
          </w:p>
        </w:tc>
        <w:tc>
          <w:tcPr>
            <w:tcW w:type="dxa" w:w="144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D8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B82F6" w:val="clear"/>
            <w:tcMar>
              <w:top w:type="dxa" w:w="90"/>
              <w:left w:type="dxa" w:w="18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ENTREGAS EXTRAS — Escopo Antecipado de F4 (7 itens)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D1117"/>
          <w:sz w:val="18"/>
          <w:szCs w:val="18"/>
        </w:rPr>
        <w:t xml:space="preserve">7 correções críticas foram realizadas antecipadamente. </w:t>
      </w: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Sem elas, o sistema não funcionaria.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3340"/>
        <w:gridCol w:w="2618"/>
      </w:tblGrid>
      <w:tr>
        <w:tc>
          <w:tcPr>
            <w:tcW w:type="dxa" w:w="3069"/>
            <w:tcBorders>
              <w:top w:val="single" w:color="0D1117" w:sz="1"/>
              <w:left w:val="single" w:color="0D1117" w:sz="1"/>
              <w:bottom w:val="single" w:color="0D1117" w:sz="1"/>
              <w:right w:val="single" w:color="0D1117" w:sz="1"/>
            </w:tcBorders>
            <w:shd w:fill="0D111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Bug / Melhoria</w:t>
            </w:r>
          </w:p>
        </w:tc>
        <w:tc>
          <w:tcPr>
            <w:tcW w:type="dxa" w:w="3340"/>
            <w:tcBorders>
              <w:top w:val="single" w:color="0D1117" w:sz="1"/>
              <w:left w:val="single" w:color="0D1117" w:sz="1"/>
              <w:bottom w:val="single" w:color="0D1117" w:sz="1"/>
              <w:right w:val="single" w:color="0D1117" w:sz="1"/>
            </w:tcBorders>
            <w:shd w:fill="0D111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Ação Realizada</w:t>
            </w:r>
          </w:p>
        </w:tc>
        <w:tc>
          <w:tcPr>
            <w:tcW w:type="dxa" w:w="2618"/>
            <w:tcBorders>
              <w:top w:val="single" w:color="0D1117" w:sz="1"/>
              <w:left w:val="single" w:color="0D1117" w:sz="1"/>
              <w:bottom w:val="single" w:color="0D1117" w:sz="1"/>
              <w:right w:val="single" w:color="0D1117" w:sz="1"/>
            </w:tcBorders>
            <w:shd w:fill="0D111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</w:tr>
      <w:tr>
        <w:tc>
          <w:tcPr>
            <w:tcW w:type="dxa" w:w="306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KNN Classifier falhava com amostras pequenas</w:t>
            </w:r>
          </w:p>
        </w:tc>
        <w:tc>
          <w:tcPr>
            <w:tcW w:type="dxa" w:w="334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Reescrito com fallback nativo ml-knn</w:t>
            </w:r>
          </w:p>
        </w:tc>
        <w:tc>
          <w:tcPr>
            <w:tcW w:type="dxa" w:w="2618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Motor de preços operacional</w:t>
            </w:r>
          </w:p>
        </w:tc>
      </w:tr>
      <w:tr>
        <w:tc>
          <w:tcPr>
            <w:tcW w:type="dxa" w:w="306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Dependência axios ausente (Mapbox/isochrone.js)</w:t>
            </w:r>
          </w:p>
        </w:tc>
        <w:tc>
          <w:tcPr>
            <w:tcW w:type="dxa" w:w="334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Identificada, instalada e vinculada</w:t>
            </w:r>
          </w:p>
        </w:tc>
        <w:tc>
          <w:tcPr>
            <w:tcW w:type="dxa" w:w="2618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Cálculo espacial funcionando</w:t>
            </w:r>
          </w:p>
        </w:tc>
      </w:tr>
      <w:tr>
        <w:tc>
          <w:tcPr>
            <w:tcW w:type="dxa" w:w="306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Deadlock de login: verificação de e-mail quebrada</w:t>
            </w:r>
          </w:p>
        </w:tc>
        <w:tc>
          <w:tcPr>
            <w:tcW w:type="dxa" w:w="334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Bypass TypeORM: campo ativo = true por padrão</w:t>
            </w:r>
          </w:p>
        </w:tc>
        <w:tc>
          <w:tcPr>
            <w:tcW w:type="dxa" w:w="2618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Usuários conseguem fazer login</w:t>
            </w:r>
          </w:p>
        </w:tc>
      </w:tr>
      <w:tr>
        <w:tc>
          <w:tcPr>
            <w:tcW w:type="dxa" w:w="306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Next.js compilava sem variáveis de ambiente (.env)</w:t>
            </w:r>
          </w:p>
        </w:tc>
        <w:tc>
          <w:tcPr>
            <w:tcW w:type="dxa" w:w="334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Dockerfile refatorado com build ARGs NEXT_PUBLIC_*</w:t>
            </w:r>
          </w:p>
        </w:tc>
        <w:tc>
          <w:tcPr>
            <w:tcW w:type="dxa" w:w="2618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Stripe e rotas de API funcionando</w:t>
            </w:r>
          </w:p>
        </w:tc>
      </w:tr>
      <w:tr>
        <w:tc>
          <w:tcPr>
            <w:tcW w:type="dxa" w:w="306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Credenciais antigas expostas no git (Ticketmaster/S3)</w:t>
            </w:r>
          </w:p>
        </w:tc>
        <w:tc>
          <w:tcPr>
            <w:tcW w:type="dxa" w:w="334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Limpeza e substituição por mock seguro</w:t>
            </w:r>
          </w:p>
        </w:tc>
        <w:tc>
          <w:tcPr>
            <w:tcW w:type="dxa" w:w="2618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Risco de segurança eliminado</w:t>
            </w:r>
          </w:p>
        </w:tc>
      </w:tr>
      <w:tr>
        <w:tc>
          <w:tcPr>
            <w:tcW w:type="dxa" w:w="306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Railway MCP CLI integrado</w:t>
            </w:r>
          </w:p>
        </w:tc>
        <w:tc>
          <w:tcPr>
            <w:tcW w:type="dxa" w:w="334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Rotação de chaves secretas sem acesso gráfico</w:t>
            </w:r>
          </w:p>
        </w:tc>
        <w:tc>
          <w:tcPr>
            <w:tcW w:type="dxa" w:w="2618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Gestão segura das chaves</w:t>
            </w:r>
          </w:p>
        </w:tc>
      </w:tr>
      <w:tr>
        <w:tc>
          <w:tcPr>
            <w:tcW w:type="dxa" w:w="306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Páginas institucionais ausentes (Sobre, Contato, Privacidade)</w:t>
            </w:r>
          </w:p>
        </w:tc>
        <w:tc>
          <w:tcPr>
            <w:tcW w:type="dxa" w:w="334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Criadas com Grupo de Rotas Limpo no Next.js</w:t>
            </w:r>
          </w:p>
        </w:tc>
        <w:tc>
          <w:tcPr>
            <w:tcW w:type="dxa" w:w="2618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SEO e compliance legal atendidos</w:t>
            </w:r>
          </w:p>
        </w:tc>
      </w:tr>
    </w:tbl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4444" w:val="clear"/>
            <w:tcMar>
              <w:top w:type="dxa" w:w="90"/>
              <w:left w:type="dxa" w:w="18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ITENS ATRASADOS — PENDENTES (dependem de terceiros)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D9488"/>
          <w:sz w:val="18"/>
          <w:szCs w:val="18"/>
        </w:rPr>
        <w:t xml:space="preserve">Os 4 Quick Wins foram concluídos em D8.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EF4444"/>
          <w:sz w:val="18"/>
          <w:szCs w:val="18"/>
        </w:rPr>
        <w:t xml:space="preserve">Itens abaixo dependem de resposta de terceiros (Lumina Lab / Fabrício).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9"/>
        <w:gridCol w:w="812"/>
        <w:gridCol w:w="812"/>
        <w:gridCol w:w="1173"/>
        <w:gridCol w:w="3249"/>
      </w:tblGrid>
      <w:tr>
        <w:tc>
          <w:tcPr>
            <w:tcW w:type="dxa" w:w="2979"/>
            <w:tcBorders>
              <w:top w:val="single" w:color="EF4444" w:sz="1"/>
              <w:left w:val="single" w:color="EF4444" w:sz="1"/>
              <w:bottom w:val="single" w:color="EF4444" w:sz="1"/>
              <w:right w:val="single" w:color="EF4444" w:sz="1"/>
            </w:tcBorders>
            <w:shd w:fill="EF44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812"/>
            <w:tcBorders>
              <w:top w:val="single" w:color="EF4444" w:sz="1"/>
              <w:left w:val="single" w:color="EF4444" w:sz="1"/>
              <w:bottom w:val="single" w:color="EF4444" w:sz="1"/>
              <w:right w:val="single" w:color="EF4444" w:sz="1"/>
            </w:tcBorders>
            <w:shd w:fill="EF44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Previsto</w:t>
            </w:r>
          </w:p>
        </w:tc>
        <w:tc>
          <w:tcPr>
            <w:tcW w:type="dxa" w:w="812"/>
            <w:tcBorders>
              <w:top w:val="single" w:color="EF4444" w:sz="1"/>
              <w:left w:val="single" w:color="EF4444" w:sz="1"/>
              <w:bottom w:val="single" w:color="EF4444" w:sz="1"/>
              <w:right w:val="single" w:color="EF4444" w:sz="1"/>
            </w:tcBorders>
            <w:shd w:fill="EF44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Nova Data</w:t>
            </w:r>
          </w:p>
        </w:tc>
        <w:tc>
          <w:tcPr>
            <w:tcW w:type="dxa" w:w="1173"/>
            <w:tcBorders>
              <w:top w:val="single" w:color="EF4444" w:sz="1"/>
              <w:left w:val="single" w:color="EF4444" w:sz="1"/>
              <w:bottom w:val="single" w:color="EF4444" w:sz="1"/>
              <w:right w:val="single" w:color="EF4444" w:sz="1"/>
            </w:tcBorders>
            <w:shd w:fill="EF44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Atraso</w:t>
            </w:r>
          </w:p>
        </w:tc>
        <w:tc>
          <w:tcPr>
            <w:tcW w:type="dxa" w:w="3249"/>
            <w:tcBorders>
              <w:top w:val="single" w:color="EF4444" w:sz="1"/>
              <w:left w:val="single" w:color="EF4444" w:sz="1"/>
              <w:bottom w:val="single" w:color="EF4444" w:sz="1"/>
              <w:right w:val="single" w:color="EF4444" w:sz="1"/>
            </w:tcBorders>
            <w:shd w:fill="EF44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Ação Necessária</w:t>
            </w:r>
          </w:p>
        </w:tc>
      </w:tr>
      <w:tr>
        <w:tc>
          <w:tcPr>
            <w:tcW w:type="dxa" w:w="297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SSH ao servidor on-premise</w:t>
            </w:r>
          </w:p>
        </w:tc>
        <w:tc>
          <w:tcPr>
            <w:tcW w:type="dxa" w:w="81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D1</w:t>
            </w:r>
          </w:p>
        </w:tc>
        <w:tc>
          <w:tcPr>
            <w:tcW w:type="dxa" w:w="812"/>
            <w:tcBorders>
              <w:top w:val="single" w:color="E8500A" w:sz="6"/>
              <w:left w:val="single" w:color="E8500A" w:sz="6"/>
              <w:bottom w:val="single" w:color="E8500A" w:sz="6"/>
              <w:right w:val="single" w:color="E8500A" w:sz="6"/>
            </w:tcBorders>
            <w:shd w:fill="FFF0E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500A"/>
                <w:sz w:val="18"/>
                <w:szCs w:val="18"/>
              </w:rPr>
              <w:t xml:space="preserve">D8-9</w:t>
            </w:r>
          </w:p>
        </w:tc>
        <w:tc>
          <w:tcPr>
            <w:tcW w:type="dxa" w:w="117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EE2E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7"/>
                <w:szCs w:val="17"/>
              </w:rPr>
              <w:t xml:space="preserve">+7 dias</w:t>
            </w:r>
          </w:p>
        </w:tc>
        <w:tc>
          <w:tcPr>
            <w:tcW w:type="dxa" w:w="324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Solicitar credenciais ao time Lumina Lab</w:t>
            </w:r>
          </w:p>
        </w:tc>
      </w:tr>
      <w:tr>
        <w:tc>
          <w:tcPr>
            <w:tcW w:type="dxa" w:w="297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Solicitar dump do banco on-premise</w:t>
            </w:r>
          </w:p>
        </w:tc>
        <w:tc>
          <w:tcPr>
            <w:tcW w:type="dxa" w:w="81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D2</w:t>
            </w:r>
          </w:p>
        </w:tc>
        <w:tc>
          <w:tcPr>
            <w:tcW w:type="dxa" w:w="812"/>
            <w:tcBorders>
              <w:top w:val="single" w:color="E8500A" w:sz="6"/>
              <w:left w:val="single" w:color="E8500A" w:sz="6"/>
              <w:bottom w:val="single" w:color="E8500A" w:sz="6"/>
              <w:right w:val="single" w:color="E8500A" w:sz="6"/>
            </w:tcBorders>
            <w:shd w:fill="FFF0E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500A"/>
                <w:sz w:val="18"/>
                <w:szCs w:val="18"/>
              </w:rPr>
              <w:t xml:space="preserve">D8-9</w:t>
            </w:r>
          </w:p>
        </w:tc>
        <w:tc>
          <w:tcPr>
            <w:tcW w:type="dxa" w:w="117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EE2E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7"/>
                <w:szCs w:val="17"/>
              </w:rPr>
              <w:t xml:space="preserve">+6 dias</w:t>
            </w:r>
          </w:p>
        </w:tc>
        <w:tc>
          <w:tcPr>
            <w:tcW w:type="dxa" w:w="324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Depende do SSH — iniciar contato D8</w:t>
            </w:r>
          </w:p>
        </w:tc>
      </w:tr>
      <w:tr>
        <w:tc>
          <w:tcPr>
            <w:tcW w:type="dxa" w:w="297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Importar banco no Railway MySQL</w:t>
            </w:r>
          </w:p>
        </w:tc>
        <w:tc>
          <w:tcPr>
            <w:tcW w:type="dxa" w:w="81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D4-5</w:t>
            </w:r>
          </w:p>
        </w:tc>
        <w:tc>
          <w:tcPr>
            <w:tcW w:type="dxa" w:w="812"/>
            <w:tcBorders>
              <w:top w:val="single" w:color="E8500A" w:sz="6"/>
              <w:left w:val="single" w:color="E8500A" w:sz="6"/>
              <w:bottom w:val="single" w:color="E8500A" w:sz="6"/>
              <w:right w:val="single" w:color="E8500A" w:sz="6"/>
            </w:tcBorders>
            <w:shd w:fill="FFF0E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500A"/>
                <w:sz w:val="18"/>
                <w:szCs w:val="18"/>
              </w:rPr>
              <w:t xml:space="preserve">D9-10</w:t>
            </w:r>
          </w:p>
        </w:tc>
        <w:tc>
          <w:tcPr>
            <w:tcW w:type="dxa" w:w="117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EE2E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7"/>
                <w:szCs w:val="17"/>
              </w:rPr>
              <w:t xml:space="preserve">+5 dias</w:t>
            </w:r>
          </w:p>
        </w:tc>
        <w:tc>
          <w:tcPr>
            <w:tcW w:type="dxa" w:w="324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Bloqueado pelo dump — executar logo após receber</w:t>
            </w:r>
          </w:p>
        </w:tc>
      </w:tr>
      <w:tr>
        <w:tc>
          <w:tcPr>
            <w:tcW w:type="dxa" w:w="297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Transferência domínio urbanai.com.br</w:t>
            </w:r>
          </w:p>
        </w:tc>
        <w:tc>
          <w:tcPr>
            <w:tcW w:type="dxa" w:w="81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D2-3</w:t>
            </w:r>
          </w:p>
        </w:tc>
        <w:tc>
          <w:tcPr>
            <w:tcW w:type="dxa" w:w="812"/>
            <w:tcBorders>
              <w:top w:val="single" w:color="E8500A" w:sz="6"/>
              <w:left w:val="single" w:color="E8500A" w:sz="6"/>
              <w:bottom w:val="single" w:color="E8500A" w:sz="6"/>
              <w:right w:val="single" w:color="E8500A" w:sz="6"/>
            </w:tcBorders>
            <w:shd w:fill="FFF0E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500A"/>
                <w:sz w:val="18"/>
                <w:szCs w:val="18"/>
              </w:rPr>
              <w:t xml:space="preserve">D9-10</w:t>
            </w:r>
          </w:p>
        </w:tc>
        <w:tc>
          <w:tcPr>
            <w:tcW w:type="dxa" w:w="117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EE2E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7"/>
                <w:szCs w:val="17"/>
              </w:rPr>
              <w:t xml:space="preserve">+6 dias</w:t>
            </w:r>
          </w:p>
        </w:tc>
        <w:tc>
          <w:tcPr>
            <w:tcW w:type="dxa" w:w="324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Contato formal com Lumina Lab + Hostinger</w:t>
            </w:r>
          </w:p>
        </w:tc>
      </w:tr>
      <w:tr>
        <w:tc>
          <w:tcPr>
            <w:tcW w:type="dxa" w:w="297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Migração RapidAPI (conta Fabrício)</w:t>
            </w:r>
          </w:p>
        </w:tc>
        <w:tc>
          <w:tcPr>
            <w:tcW w:type="dxa" w:w="81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D3-5</w:t>
            </w:r>
          </w:p>
        </w:tc>
        <w:tc>
          <w:tcPr>
            <w:tcW w:type="dxa" w:w="812"/>
            <w:tcBorders>
              <w:top w:val="single" w:color="E8500A" w:sz="6"/>
              <w:left w:val="single" w:color="E8500A" w:sz="6"/>
              <w:bottom w:val="single" w:color="E8500A" w:sz="6"/>
              <w:right w:val="single" w:color="E8500A" w:sz="6"/>
            </w:tcBorders>
            <w:shd w:fill="FFF0E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500A"/>
                <w:sz w:val="18"/>
                <w:szCs w:val="18"/>
              </w:rPr>
              <w:t xml:space="preserve">D10-11</w:t>
            </w:r>
          </w:p>
        </w:tc>
        <w:tc>
          <w:tcPr>
            <w:tcW w:type="dxa" w:w="117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EE2E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7"/>
                <w:szCs w:val="17"/>
              </w:rPr>
              <w:t xml:space="preserve">+6 dias</w:t>
            </w:r>
          </w:p>
        </w:tc>
        <w:tc>
          <w:tcPr>
            <w:tcW w:type="dxa" w:w="324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Agendar reunião com Fabrício — urgente</w:t>
            </w:r>
          </w:p>
        </w:tc>
      </w:tr>
      <w:tr>
        <w:tc>
          <w:tcPr>
            <w:tcW w:type="dxa" w:w="297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Teste completo do sistema</w:t>
            </w:r>
          </w:p>
        </w:tc>
        <w:tc>
          <w:tcPr>
            <w:tcW w:type="dxa" w:w="81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D6-7</w:t>
            </w:r>
          </w:p>
        </w:tc>
        <w:tc>
          <w:tcPr>
            <w:tcW w:type="dxa" w:w="812"/>
            <w:tcBorders>
              <w:top w:val="single" w:color="E8500A" w:sz="6"/>
              <w:left w:val="single" w:color="E8500A" w:sz="6"/>
              <w:bottom w:val="single" w:color="E8500A" w:sz="6"/>
              <w:right w:val="single" w:color="E8500A" w:sz="6"/>
            </w:tcBorders>
            <w:shd w:fill="FFF0E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500A"/>
                <w:sz w:val="18"/>
                <w:szCs w:val="18"/>
              </w:rPr>
              <w:t xml:space="preserve">D9-10</w:t>
            </w:r>
          </w:p>
        </w:tc>
        <w:tc>
          <w:tcPr>
            <w:tcW w:type="dxa" w:w="117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EE2E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17"/>
                <w:szCs w:val="17"/>
              </w:rPr>
              <w:t xml:space="preserve">+3 dias</w:t>
            </w:r>
          </w:p>
        </w:tc>
        <w:tc>
          <w:tcPr>
            <w:tcW w:type="dxa" w:w="3249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Depende do banco importado para ser definitivo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9488" w:val="clear"/>
            <w:tcMar>
              <w:top w:type="dxa" w:w="90"/>
              <w:left w:type="dxa" w:w="18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QUICK WINS — CONCLUÍDOS EM D8 ✓ (total: ~50 min)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D9488"/>
          <w:sz w:val="18"/>
          <w:szCs w:val="18"/>
        </w:rPr>
        <w:t xml:space="preserve">Todas as 4 quick wins foram concluídas em D8 (12/03/2026). </w:t>
      </w: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Obs: upgrade para Railway Pro Plan necessário para habilitar backups automáticos.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993"/>
        <w:gridCol w:w="993"/>
        <w:gridCol w:w="4332"/>
      </w:tblGrid>
      <w:tr>
        <w:tc>
          <w:tcPr>
            <w:tcW w:type="dxa" w:w="2708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Tarefa</w:t>
            </w:r>
          </w:p>
        </w:tc>
        <w:tc>
          <w:tcPr>
            <w:tcW w:type="dxa" w:w="993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Tempo</w:t>
            </w:r>
          </w:p>
        </w:tc>
        <w:tc>
          <w:tcPr>
            <w:tcW w:type="dxa" w:w="993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332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2708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1117"/>
                <w:sz w:val="18"/>
                <w:szCs w:val="18"/>
              </w:rPr>
              <w:t xml:space="preserve">Alertas de billing Railway</w:t>
            </w:r>
          </w:p>
        </w:tc>
        <w:tc>
          <w:tcPr>
            <w:tcW w:type="dxa" w:w="993"/>
            <w:tcBorders>
              <w:top w:val="single" w:color="0D9488" w:sz="4"/>
              <w:left w:val="single" w:color="0D9488" w:sz="4"/>
              <w:bottom w:val="single" w:color="0D9488" w:sz="4"/>
              <w:right w:val="single" w:color="0D9488" w:sz="4"/>
            </w:tcBorders>
            <w:shd w:fill="CCFBF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5 min</w:t>
            </w:r>
          </w:p>
        </w:tc>
        <w:tc>
          <w:tcPr>
            <w:tcW w:type="dxa" w:w="993"/>
            <w:tcBorders>
              <w:top w:val="single" w:color="10B981" w:sz="4"/>
              <w:left w:val="single" w:color="10B981" w:sz="4"/>
              <w:bottom w:val="single" w:color="10B981" w:sz="4"/>
              <w:right w:val="single" w:color="10B981" w:sz="4"/>
            </w:tcBorders>
            <w:shd w:fill="D1FAE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0B981"/>
                <w:sz w:val="17"/>
                <w:szCs w:val="17"/>
              </w:rPr>
              <w:t xml:space="preserve">✓ Feito</w:t>
            </w:r>
          </w:p>
        </w:tc>
        <w:tc>
          <w:tcPr>
            <w:tcW w:type="dxa" w:w="433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7"/>
                <w:szCs w:val="17"/>
              </w:rPr>
              <w:t xml:space="preserve">Limite de gasto configurado em Railway Dashboard → Usage → Alerts</w:t>
            </w:r>
          </w:p>
        </w:tc>
      </w:tr>
      <w:tr>
        <w:tc>
          <w:tcPr>
            <w:tcW w:type="dxa" w:w="2708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CCFBF1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1117"/>
                <w:sz w:val="18"/>
                <w:szCs w:val="18"/>
              </w:rPr>
              <w:t xml:space="preserve">Backup automático DB (Railway)</w:t>
            </w:r>
          </w:p>
        </w:tc>
        <w:tc>
          <w:tcPr>
            <w:tcW w:type="dxa" w:w="993"/>
            <w:tcBorders>
              <w:top w:val="single" w:color="0D9488" w:sz="4"/>
              <w:left w:val="single" w:color="0D9488" w:sz="4"/>
              <w:bottom w:val="single" w:color="0D9488" w:sz="4"/>
              <w:right w:val="single" w:color="0D9488" w:sz="4"/>
            </w:tcBorders>
            <w:shd w:fill="CCFBF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10 min</w:t>
            </w:r>
          </w:p>
        </w:tc>
        <w:tc>
          <w:tcPr>
            <w:tcW w:type="dxa" w:w="993"/>
            <w:tcBorders>
              <w:top w:val="single" w:color="10B981" w:sz="4"/>
              <w:left w:val="single" w:color="10B981" w:sz="4"/>
              <w:bottom w:val="single" w:color="10B981" w:sz="4"/>
              <w:right w:val="single" w:color="10B981" w:sz="4"/>
            </w:tcBorders>
            <w:shd w:fill="D1FAE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0B981"/>
                <w:sz w:val="17"/>
                <w:szCs w:val="17"/>
              </w:rPr>
              <w:t xml:space="preserve">✓ Feito</w:t>
            </w:r>
          </w:p>
        </w:tc>
        <w:tc>
          <w:tcPr>
            <w:tcW w:type="dxa" w:w="433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CCFBF1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7"/>
                <w:szCs w:val="17"/>
              </w:rPr>
              <w:t xml:space="preserve">Backups diários ativos. Requereu upgrade para Railway Pro Plan</w:t>
            </w:r>
          </w:p>
        </w:tc>
      </w:tr>
      <w:tr>
        <w:tc>
          <w:tcPr>
            <w:tcW w:type="dxa" w:w="2708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1117"/>
                <w:sz w:val="18"/>
                <w:szCs w:val="18"/>
              </w:rPr>
              <w:t xml:space="preserve">UptimeRobot (monitoramento)</w:t>
            </w:r>
          </w:p>
        </w:tc>
        <w:tc>
          <w:tcPr>
            <w:tcW w:type="dxa" w:w="993"/>
            <w:tcBorders>
              <w:top w:val="single" w:color="0D9488" w:sz="4"/>
              <w:left w:val="single" w:color="0D9488" w:sz="4"/>
              <w:bottom w:val="single" w:color="0D9488" w:sz="4"/>
              <w:right w:val="single" w:color="0D9488" w:sz="4"/>
            </w:tcBorders>
            <w:shd w:fill="CCFBF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15 min</w:t>
            </w:r>
          </w:p>
        </w:tc>
        <w:tc>
          <w:tcPr>
            <w:tcW w:type="dxa" w:w="993"/>
            <w:tcBorders>
              <w:top w:val="single" w:color="10B981" w:sz="4"/>
              <w:left w:val="single" w:color="10B981" w:sz="4"/>
              <w:bottom w:val="single" w:color="10B981" w:sz="4"/>
              <w:right w:val="single" w:color="10B981" w:sz="4"/>
            </w:tcBorders>
            <w:shd w:fill="D1FAE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0B981"/>
                <w:sz w:val="17"/>
                <w:szCs w:val="17"/>
              </w:rPr>
              <w:t xml:space="preserve">✓ Feito</w:t>
            </w:r>
          </w:p>
        </w:tc>
        <w:tc>
          <w:tcPr>
            <w:tcW w:type="dxa" w:w="433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7"/>
                <w:szCs w:val="17"/>
              </w:rPr>
              <w:t xml:space="preserve">Monitores criados para frontend e backend — alertas por e-mail ativos</w:t>
            </w:r>
          </w:p>
        </w:tc>
      </w:tr>
      <w:tr>
        <w:tc>
          <w:tcPr>
            <w:tcW w:type="dxa" w:w="2708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CCFBF1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1117"/>
                <w:sz w:val="18"/>
                <w:szCs w:val="18"/>
              </w:rPr>
              <w:t xml:space="preserve">Firewall básico Railway</w:t>
            </w:r>
          </w:p>
        </w:tc>
        <w:tc>
          <w:tcPr>
            <w:tcW w:type="dxa" w:w="993"/>
            <w:tcBorders>
              <w:top w:val="single" w:color="0D9488" w:sz="4"/>
              <w:left w:val="single" w:color="0D9488" w:sz="4"/>
              <w:bottom w:val="single" w:color="0D9488" w:sz="4"/>
              <w:right w:val="single" w:color="0D9488" w:sz="4"/>
            </w:tcBorders>
            <w:shd w:fill="CCFBF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20 min</w:t>
            </w:r>
          </w:p>
        </w:tc>
        <w:tc>
          <w:tcPr>
            <w:tcW w:type="dxa" w:w="993"/>
            <w:tcBorders>
              <w:top w:val="single" w:color="10B981" w:sz="4"/>
              <w:left w:val="single" w:color="10B981" w:sz="4"/>
              <w:bottom w:val="single" w:color="10B981" w:sz="4"/>
              <w:right w:val="single" w:color="10B981" w:sz="4"/>
            </w:tcBorders>
            <w:shd w:fill="D1FAE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0B981"/>
                <w:sz w:val="17"/>
                <w:szCs w:val="17"/>
              </w:rPr>
              <w:t xml:space="preserve">✓ Feito</w:t>
            </w:r>
          </w:p>
        </w:tc>
        <w:tc>
          <w:tcPr>
            <w:tcW w:type="dxa" w:w="433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CCFBF1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7"/>
                <w:szCs w:val="17"/>
              </w:rPr>
              <w:t xml:space="preserve">Serviços internos (MySQL, KnnEngine, webscrapping, urban-pipeline) sem domínio público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val="clear"/>
            <w:tcMar>
              <w:top w:type="dxa" w:w="90"/>
              <w:left w:type="dxa" w:w="18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PRÓXIMOS 5 DIAS ÚTEIS — D8 a D12 com Tarefas em Paralelo</w:t>
            </w:r>
          </w:p>
        </w:tc>
      </w:tr>
    </w:tbl>
    <w:p>
      <w:pPr>
        <w:spacing w:after="0" w:before="60"/>
      </w:pPr>
      <w:r>
        <w:t xml:space="preserve"/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1117"/>
          <w:sz w:val="18"/>
          <w:szCs w:val="18"/>
        </w:rPr>
        <w:t xml:space="preserve">As tarefas estão organizadas em </w:t>
      </w:r>
      <w:r>
        <w:rPr>
          <w:rFonts w:ascii="Arial" w:cs="Arial" w:eastAsia="Arial" w:hAnsi="Arial"/>
          <w:b/>
          <w:bCs/>
          <w:i w:val="false"/>
          <w:iCs w:val="false"/>
          <w:color w:val="0D1117"/>
          <w:sz w:val="18"/>
          <w:szCs w:val="18"/>
        </w:rPr>
        <w:t xml:space="preserve">2 trilhos paralelos: </w:t>
      </w:r>
      <w:r>
        <w:rPr>
          <w:rFonts w:ascii="Arial" w:cs="Arial" w:eastAsia="Arial" w:hAnsi="Arial"/>
          <w:b w:val="false"/>
          <w:bCs w:val="false"/>
          <w:i/>
          <w:iCs/>
          <w:color w:val="3B82F6"/>
          <w:sz w:val="18"/>
          <w:szCs w:val="18"/>
        </w:rPr>
        <w:t xml:space="preserve">Trilho A (você faz sozinho) e </w:t>
      </w:r>
      <w:r>
        <w:rPr>
          <w:rFonts w:ascii="Arial" w:cs="Arial" w:eastAsia="Arial" w:hAnsi="Arial"/>
          <w:b w:val="false"/>
          <w:bCs w:val="false"/>
          <w:i/>
          <w:iCs/>
          <w:color w:val="E8500A"/>
          <w:sz w:val="18"/>
          <w:szCs w:val="18"/>
        </w:rPr>
        <w:t xml:space="preserve">Trilho B (depende de terceiros — iniciar contato já).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903"/>
        <w:gridCol w:w="3701"/>
        <w:gridCol w:w="3701"/>
      </w:tblGrid>
      <w:tr>
        <w:tc>
          <w:tcPr>
            <w:tcW w:type="dxa" w:w="722"/>
            <w:tcBorders>
              <w:top w:val="single" w:color="0D1117" w:sz="1"/>
              <w:left w:val="single" w:color="0D1117" w:sz="1"/>
              <w:bottom w:val="single" w:color="0D1117" w:sz="1"/>
              <w:right w:val="single" w:color="0D1117" w:sz="1"/>
            </w:tcBorders>
            <w:shd w:fill="0D111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Dia</w:t>
            </w:r>
          </w:p>
        </w:tc>
        <w:tc>
          <w:tcPr>
            <w:tcW w:type="dxa" w:w="903"/>
            <w:tcBorders>
              <w:top w:val="single" w:color="0D1117" w:sz="1"/>
              <w:left w:val="single" w:color="0D1117" w:sz="1"/>
              <w:bottom w:val="single" w:color="0D1117" w:sz="1"/>
              <w:right w:val="single" w:color="0D1117" w:sz="1"/>
            </w:tcBorders>
            <w:shd w:fill="0D111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3701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3B82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Trilho A — Você faz sozinho</w:t>
            </w:r>
          </w:p>
        </w:tc>
        <w:tc>
          <w:tcPr>
            <w:tcW w:type="dxa" w:w="3701"/>
            <w:tcBorders>
              <w:top w:val="single" w:color="E8500A" w:sz="1"/>
              <w:left w:val="single" w:color="E8500A" w:sz="1"/>
              <w:bottom w:val="single" w:color="E8500A" w:sz="1"/>
              <w:right w:val="single" w:color="E8500A" w:sz="1"/>
            </w:tcBorders>
            <w:shd w:fill="E8500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Trilho B — Depende de terceiros</w:t>
            </w:r>
          </w:p>
        </w:tc>
      </w:tr>
      <w:tr>
        <w:tc>
          <w:tcPr>
            <w:tcW w:type="dxa" w:w="72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1117"/>
                <w:sz w:val="18"/>
                <w:szCs w:val="18"/>
              </w:rPr>
              <w:t xml:space="preserve">D8</w:t>
            </w:r>
          </w:p>
        </w:tc>
        <w:tc>
          <w:tcPr>
            <w:tcW w:type="dxa" w:w="90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7"/>
                <w:szCs w:val="17"/>
              </w:rPr>
              <w:t xml:space="preserve">12/03</w:t>
            </w:r>
          </w:p>
        </w:tc>
        <w:tc>
          <w:tcPr>
            <w:tcW w:type="dxa" w:w="3701"/>
            <w:tcBorders>
              <w:top w:val="single" w:color="3B82F6" w:sz="4"/>
              <w:left w:val="single" w:color="3B82F6" w:sz="4"/>
              <w:bottom w:val="single" w:color="3B82F6" w:sz="4"/>
              <w:right w:val="single" w:color="3B82F6" w:sz="4"/>
            </w:tcBorders>
            <w:shd w:fill="DBEA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✓ Quick win: billing alerts Railway (concluído)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✓ Quick win: backup automático MySQL — Pro Plan ativo (concluído)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✓ Quick win: UptimeRobot monitoramento (concluído)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✓ Quick win: firewall Railway — portas internas fechadas (concluído)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✓ Google Cloud: Maps API + OAuth 2.0 configurados — R$ 1.759 crédito aprovado (concluído)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Configurar env vars Google no Railway + testar fluxo de login</w:t>
            </w:r>
          </w:p>
        </w:tc>
        <w:tc>
          <w:tcPr>
            <w:tcW w:type="dxa" w:w="3701"/>
            <w:tcBorders>
              <w:top w:val="single" w:color="E8500A" w:sz="4"/>
              <w:left w:val="single" w:color="E8500A" w:sz="4"/>
              <w:bottom w:val="single" w:color="E8500A" w:sz="4"/>
              <w:right w:val="single" w:color="E8500A" w:sz="4"/>
            </w:tcBorders>
            <w:shd w:fill="FFF0E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Solicitar SSH ao servidor Lumina Lab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Solicitar dump do banco on-premise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Contato formal: transferência domínio urbanai.com.br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Agendar reunião com Fabrício (RapidAPI)</w:t>
            </w:r>
          </w:p>
        </w:tc>
      </w:tr>
      <w:tr>
        <w:tc>
          <w:tcPr>
            <w:tcW w:type="dxa" w:w="72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1117"/>
                <w:sz w:val="18"/>
                <w:szCs w:val="18"/>
              </w:rPr>
              <w:t xml:space="preserve">D9</w:t>
            </w:r>
          </w:p>
        </w:tc>
        <w:tc>
          <w:tcPr>
            <w:tcW w:type="dxa" w:w="90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7"/>
                <w:szCs w:val="17"/>
              </w:rPr>
              <w:t xml:space="preserve">13/03</w:t>
            </w:r>
          </w:p>
        </w:tc>
        <w:tc>
          <w:tcPr>
            <w:tcW w:type="dxa" w:w="3701"/>
            <w:tcBorders>
              <w:top w:val="single" w:color="3B82F6" w:sz="4"/>
              <w:left w:val="single" w:color="3B82F6" w:sz="4"/>
              <w:bottom w:val="single" w:color="3B82F6" w:sz="4"/>
              <w:right w:val="single" w:color="3B82F6" w:sz="4"/>
            </w:tcBorders>
            <w:shd w:fill="DBEA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Importar banco MySQL (se dump chegar)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Teste ponta a ponta do sistema com dados reais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Testar cadastro → assinatura → dashboard → KNN</w:t>
            </w:r>
          </w:p>
        </w:tc>
        <w:tc>
          <w:tcPr>
            <w:tcW w:type="dxa" w:w="3701"/>
            <w:tcBorders>
              <w:top w:val="single" w:color="E8500A" w:sz="4"/>
              <w:left w:val="single" w:color="E8500A" w:sz="4"/>
              <w:bottom w:val="single" w:color="E8500A" w:sz="4"/>
              <w:right w:val="single" w:color="E8500A" w:sz="4"/>
            </w:tcBorders>
            <w:shd w:fill="FFF0E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Acompanhar status da transferência de domínio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Follow-up com Fabrício sobre RapidAPI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Follow-up com Lumina Lab sobre SSH/dump</w:t>
            </w:r>
          </w:p>
        </w:tc>
      </w:tr>
      <w:tr>
        <w:tc>
          <w:tcPr>
            <w:tcW w:type="dxa" w:w="72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1117"/>
                <w:sz w:val="18"/>
                <w:szCs w:val="18"/>
              </w:rPr>
              <w:t xml:space="preserve">D10</w:t>
            </w:r>
          </w:p>
        </w:tc>
        <w:tc>
          <w:tcPr>
            <w:tcW w:type="dxa" w:w="90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7"/>
                <w:szCs w:val="17"/>
              </w:rPr>
              <w:t xml:space="preserve">14/03</w:t>
            </w:r>
          </w:p>
        </w:tc>
        <w:tc>
          <w:tcPr>
            <w:tcW w:type="dxa" w:w="3701"/>
            <w:tcBorders>
              <w:top w:val="single" w:color="3B82F6" w:sz="4"/>
              <w:left w:val="single" w:color="3B82F6" w:sz="4"/>
              <w:bottom w:val="single" w:color="3B82F6" w:sz="4"/>
              <w:right w:val="single" w:color="3B82F6" w:sz="4"/>
            </w:tcBorders>
            <w:shd w:fill="DBEA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Atualizar todas as env vars com chaves Google Cloud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Testar Stripe webhook (cancelamento)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Rodar 7 spiders manualmente e verificar dados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Documentar bugs encontrados (priorizar por gravidade)</w:t>
            </w:r>
          </w:p>
        </w:tc>
        <w:tc>
          <w:tcPr>
            <w:tcW w:type="dxa" w:w="3701"/>
            <w:tcBorders>
              <w:top w:val="single" w:color="E8500A" w:sz="4"/>
              <w:left w:val="single" w:color="E8500A" w:sz="4"/>
              <w:bottom w:val="single" w:color="E8500A" w:sz="4"/>
              <w:right w:val="single" w:color="E8500A" w:sz="4"/>
            </w:tcBorders>
            <w:shd w:fill="FFF0E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Confirmar chegada do dump do banco (se pendente)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Confirmar reunião com Fabrício</w:t>
            </w:r>
          </w:p>
        </w:tc>
      </w:tr>
      <w:tr>
        <w:tc>
          <w:tcPr>
            <w:tcW w:type="dxa" w:w="72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1117"/>
                <w:sz w:val="18"/>
                <w:szCs w:val="18"/>
              </w:rPr>
              <w:t xml:space="preserve">D11</w:t>
            </w:r>
          </w:p>
        </w:tc>
        <w:tc>
          <w:tcPr>
            <w:tcW w:type="dxa" w:w="90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7"/>
                <w:szCs w:val="17"/>
              </w:rPr>
              <w:t xml:space="preserve">17/03</w:t>
            </w:r>
          </w:p>
        </w:tc>
        <w:tc>
          <w:tcPr>
            <w:tcW w:type="dxa" w:w="3701"/>
            <w:tcBorders>
              <w:top w:val="single" w:color="3B82F6" w:sz="4"/>
              <w:left w:val="single" w:color="3B82F6" w:sz="4"/>
              <w:bottom w:val="single" w:color="3B82F6" w:sz="4"/>
              <w:right w:val="single" w:color="3B82F6" w:sz="4"/>
            </w:tcBorders>
            <w:shd w:fill="DBEA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Redirecionar DNS para nova infra (após testes OK)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Verificar certificado SSL após mudança de DNS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Configurar Sentry (captura de erros em prod)</w:t>
            </w:r>
          </w:p>
        </w:tc>
        <w:tc>
          <w:tcPr>
            <w:tcW w:type="dxa" w:w="3701"/>
            <w:tcBorders>
              <w:top w:val="single" w:color="E8500A" w:sz="4"/>
              <w:left w:val="single" w:color="E8500A" w:sz="4"/>
              <w:bottom w:val="single" w:color="E8500A" w:sz="4"/>
              <w:right w:val="single" w:color="E8500A" w:sz="4"/>
            </w:tcBorders>
            <w:shd w:fill="FFF0E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Acesso RapidAPI (se Fabrício confirmar)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Confirmar status transferência domínio</w:t>
            </w:r>
          </w:p>
        </w:tc>
      </w:tr>
      <w:tr>
        <w:tc>
          <w:tcPr>
            <w:tcW w:type="dxa" w:w="72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1117"/>
                <w:sz w:val="18"/>
                <w:szCs w:val="18"/>
              </w:rPr>
              <w:t xml:space="preserve">D12</w:t>
            </w:r>
          </w:p>
        </w:tc>
        <w:tc>
          <w:tcPr>
            <w:tcW w:type="dxa" w:w="90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7"/>
                <w:szCs w:val="17"/>
              </w:rPr>
              <w:t xml:space="preserve">18/03</w:t>
            </w:r>
          </w:p>
        </w:tc>
        <w:tc>
          <w:tcPr>
            <w:tcW w:type="dxa" w:w="3701"/>
            <w:tcBorders>
              <w:top w:val="single" w:color="3B82F6" w:sz="4"/>
              <w:left w:val="single" w:color="3B82F6" w:sz="4"/>
              <w:bottom w:val="single" w:color="3B82F6" w:sz="4"/>
              <w:right w:val="single" w:color="3B82F6" w:sz="4"/>
            </w:tcBorders>
            <w:shd w:fill="DBEAFE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Revogar acessos Lumina Lab + rotacionar credenciais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Revisar permissões banco (mínimo privilégio)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Corrigir bugs de alta prioridade levantados em D10</w:t>
            </w:r>
          </w:p>
        </w:tc>
        <w:tc>
          <w:tcPr>
            <w:tcW w:type="dxa" w:w="3701"/>
            <w:tcBorders>
              <w:top w:val="single" w:color="E8500A" w:sz="4"/>
              <w:left w:val="single" w:color="E8500A" w:sz="4"/>
              <w:bottom w:val="single" w:color="E8500A" w:sz="4"/>
              <w:right w:val="single" w:color="E8500A" w:sz="4"/>
            </w:tcBorders>
            <w:shd w:fill="FFF0E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Confirmar revogação de acessos com Lumina Lab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1117"/>
                <w:sz w:val="17"/>
                <w:szCs w:val="17"/>
              </w:rPr>
              <w:t xml:space="preserve">• Validar domínio ativo e e-mails funcionando</w:t>
            </w:r>
          </w:p>
        </w:tc>
      </w:tr>
    </w:tbl>
    <w:p>
      <w:pPr>
        <w:spacing w:after="0" w:before="100"/>
      </w:pPr>
      <w:r>
        <w:t xml:space="preserve"/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val="clear"/>
            <w:tcMar>
              <w:top w:type="dxa" w:w="90"/>
              <w:left w:type="dxa" w:w="18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VISÃO GERAL DAS FASES</w:t>
            </w:r>
          </w:p>
        </w:tc>
      </w:tr>
    </w:tbl>
    <w:p>
      <w:pPr>
        <w:spacing w:after="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2437"/>
        <w:gridCol w:w="1083"/>
        <w:gridCol w:w="1534"/>
        <w:gridCol w:w="3340"/>
      </w:tblGrid>
      <w:tr>
        <w:tc>
          <w:tcPr>
            <w:tcW w:type="dxa" w:w="632"/>
            <w:tcBorders>
              <w:top w:val="single" w:color="0D1117" w:sz="1"/>
              <w:left w:val="single" w:color="0D1117" w:sz="1"/>
              <w:bottom w:val="single" w:color="0D1117" w:sz="1"/>
              <w:right w:val="single" w:color="0D1117" w:sz="1"/>
            </w:tcBorders>
            <w:shd w:fill="0D111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437"/>
            <w:tcBorders>
              <w:top w:val="single" w:color="0D1117" w:sz="1"/>
              <w:left w:val="single" w:color="0D1117" w:sz="1"/>
              <w:bottom w:val="single" w:color="0D1117" w:sz="1"/>
              <w:right w:val="single" w:color="0D1117" w:sz="1"/>
            </w:tcBorders>
            <w:shd w:fill="0D111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083"/>
            <w:tcBorders>
              <w:top w:val="single" w:color="0D1117" w:sz="1"/>
              <w:left w:val="single" w:color="0D1117" w:sz="1"/>
              <w:bottom w:val="single" w:color="0D1117" w:sz="1"/>
              <w:right w:val="single" w:color="0D1117" w:sz="1"/>
            </w:tcBorders>
            <w:shd w:fill="0D111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Prazo</w:t>
            </w:r>
          </w:p>
        </w:tc>
        <w:tc>
          <w:tcPr>
            <w:tcW w:type="dxa" w:w="1534"/>
            <w:tcBorders>
              <w:top w:val="single" w:color="0D1117" w:sz="1"/>
              <w:left w:val="single" w:color="0D1117" w:sz="1"/>
              <w:bottom w:val="single" w:color="0D1117" w:sz="1"/>
              <w:right w:val="single" w:color="0D1117" w:sz="1"/>
            </w:tcBorders>
            <w:shd w:fill="0D111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340"/>
            <w:tcBorders>
              <w:top w:val="single" w:color="0D1117" w:sz="1"/>
              <w:left w:val="single" w:color="0D1117" w:sz="1"/>
              <w:bottom w:val="single" w:color="0D1117" w:sz="1"/>
              <w:right w:val="single" w:color="0D1117" w:sz="1"/>
            </w:tcBorders>
            <w:shd w:fill="0D111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63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F1</w:t>
            </w:r>
          </w:p>
        </w:tc>
        <w:tc>
          <w:tcPr>
            <w:tcW w:type="dxa" w:w="2437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Diagnóstico e Documentação</w:t>
            </w:r>
          </w:p>
        </w:tc>
        <w:tc>
          <w:tcPr>
            <w:tcW w:type="dxa" w:w="108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D1-3</w:t>
            </w:r>
          </w:p>
        </w:tc>
        <w:tc>
          <w:tcPr>
            <w:tcW w:type="dxa" w:w="153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D1FAE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0B981"/>
                <w:sz w:val="17"/>
                <w:szCs w:val="17"/>
              </w:rPr>
              <w:t xml:space="preserve">Concluído</w:t>
            </w:r>
          </w:p>
        </w:tc>
        <w:tc>
          <w:tcPr>
            <w:tcW w:type="dxa" w:w="334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100% — 32 docs entregues</w:t>
            </w:r>
          </w:p>
        </w:tc>
      </w:tr>
      <w:tr>
        <w:tc>
          <w:tcPr>
            <w:tcW w:type="dxa" w:w="63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F2</w:t>
            </w:r>
          </w:p>
        </w:tc>
        <w:tc>
          <w:tcPr>
            <w:tcW w:type="dxa" w:w="2437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Setup da Infraestrutura Cloud</w:t>
            </w:r>
          </w:p>
        </w:tc>
        <w:tc>
          <w:tcPr>
            <w:tcW w:type="dxa" w:w="108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D1-7</w:t>
            </w:r>
          </w:p>
        </w:tc>
        <w:tc>
          <w:tcPr>
            <w:tcW w:type="dxa" w:w="153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D1FAE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0B981"/>
                <w:sz w:val="17"/>
                <w:szCs w:val="17"/>
              </w:rPr>
              <w:t xml:space="preserve">Concluído*</w:t>
            </w:r>
          </w:p>
        </w:tc>
        <w:tc>
          <w:tcPr>
            <w:tcW w:type="dxa" w:w="334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*Dump/import do banco pendente</w:t>
            </w:r>
          </w:p>
        </w:tc>
      </w:tr>
      <w:tr>
        <w:tc>
          <w:tcPr>
            <w:tcW w:type="dxa" w:w="63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F3</w:t>
            </w:r>
          </w:p>
        </w:tc>
        <w:tc>
          <w:tcPr>
            <w:tcW w:type="dxa" w:w="2437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Transferência de Contas e DNS</w:t>
            </w:r>
          </w:p>
        </w:tc>
        <w:tc>
          <w:tcPr>
            <w:tcW w:type="dxa" w:w="108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D1-10</w:t>
            </w:r>
          </w:p>
        </w:tc>
        <w:tc>
          <w:tcPr>
            <w:tcW w:type="dxa" w:w="153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EF3C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9E0B"/>
                <w:sz w:val="17"/>
                <w:szCs w:val="17"/>
              </w:rPr>
              <w:t xml:space="preserve">Em andamento</w:t>
            </w:r>
          </w:p>
        </w:tc>
        <w:tc>
          <w:tcPr>
            <w:tcW w:type="dxa" w:w="334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DNS e domínio pendentes — nova meta D8-11</w:t>
            </w:r>
          </w:p>
        </w:tc>
      </w:tr>
      <w:tr>
        <w:tc>
          <w:tcPr>
            <w:tcW w:type="dxa" w:w="63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F4</w:t>
            </w:r>
          </w:p>
        </w:tc>
        <w:tc>
          <w:tcPr>
            <w:tcW w:type="dxa" w:w="2437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Bugs, Segurança e Limpeza</w:t>
            </w:r>
          </w:p>
        </w:tc>
        <w:tc>
          <w:tcPr>
            <w:tcW w:type="dxa" w:w="108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D5-14</w:t>
            </w:r>
          </w:p>
        </w:tc>
        <w:tc>
          <w:tcPr>
            <w:tcW w:type="dxa" w:w="153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EF3C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9E0B"/>
                <w:sz w:val="17"/>
                <w:szCs w:val="17"/>
              </w:rPr>
              <w:t xml:space="preserve">Em andamento</w:t>
            </w:r>
          </w:p>
        </w:tc>
        <w:tc>
          <w:tcPr>
            <w:tcW w:type="dxa" w:w="334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7 itens antecipados — testes iniciam D8</w:t>
            </w:r>
          </w:p>
        </w:tc>
      </w:tr>
      <w:tr>
        <w:tc>
          <w:tcPr>
            <w:tcW w:type="dxa" w:w="63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F5</w:t>
            </w:r>
          </w:p>
        </w:tc>
        <w:tc>
          <w:tcPr>
            <w:tcW w:type="dxa" w:w="2437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Landing Page e Marketing</w:t>
            </w:r>
          </w:p>
        </w:tc>
        <w:tc>
          <w:tcPr>
            <w:tcW w:type="dxa" w:w="108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D15+</w:t>
            </w:r>
          </w:p>
        </w:tc>
        <w:tc>
          <w:tcPr>
            <w:tcW w:type="dxa" w:w="153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7280"/>
                <w:sz w:val="17"/>
                <w:szCs w:val="17"/>
              </w:rPr>
              <w:t xml:space="preserve">Pendente</w:t>
            </w:r>
          </w:p>
        </w:tc>
        <w:tc>
          <w:tcPr>
            <w:tcW w:type="dxa" w:w="334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Pag. institucionais já criadas</w:t>
            </w:r>
          </w:p>
        </w:tc>
      </w:tr>
      <w:tr>
        <w:tc>
          <w:tcPr>
            <w:tcW w:type="dxa" w:w="63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F6</w:t>
            </w:r>
          </w:p>
        </w:tc>
        <w:tc>
          <w:tcPr>
            <w:tcW w:type="dxa" w:w="2437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IA, KNN integrado e APIs</w:t>
            </w:r>
          </w:p>
        </w:tc>
        <w:tc>
          <w:tcPr>
            <w:tcW w:type="dxa" w:w="108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D15+</w:t>
            </w:r>
          </w:p>
        </w:tc>
        <w:tc>
          <w:tcPr>
            <w:tcW w:type="dxa" w:w="153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7280"/>
                <w:sz w:val="17"/>
                <w:szCs w:val="17"/>
              </w:rPr>
              <w:t xml:space="preserve">Pendente</w:t>
            </w:r>
          </w:p>
        </w:tc>
        <w:tc>
          <w:tcPr>
            <w:tcW w:type="dxa" w:w="334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5F4E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Base técnica pronta</w:t>
            </w:r>
          </w:p>
        </w:tc>
      </w:tr>
      <w:tr>
        <w:tc>
          <w:tcPr>
            <w:tcW w:type="dxa" w:w="632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F7</w:t>
            </w:r>
          </w:p>
        </w:tc>
        <w:tc>
          <w:tcPr>
            <w:tcW w:type="dxa" w:w="2437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Beta e Go-Live Oficial</w:t>
            </w:r>
          </w:p>
        </w:tc>
        <w:tc>
          <w:tcPr>
            <w:tcW w:type="dxa" w:w="1083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D28-42</w:t>
            </w:r>
          </w:p>
        </w:tc>
        <w:tc>
          <w:tcPr>
            <w:tcW w:type="dxa" w:w="1534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7280"/>
                <w:sz w:val="17"/>
                <w:szCs w:val="17"/>
              </w:rPr>
              <w:t xml:space="preserve">Pendente</w:t>
            </w:r>
          </w:p>
        </w:tc>
        <w:tc>
          <w:tcPr>
            <w:tcW w:type="dxa" w:w="3340"/>
            <w:tcBorders>
              <w:top w:val="single" w:color="D1D5DB" w:sz="3"/>
              <w:left w:val="single" w:color="D1D5DB" w:sz="3"/>
              <w:bottom w:val="single" w:color="D1D5DB" w:sz="3"/>
              <w:right w:val="single" w:color="D1D5DB" w:sz="3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1117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val="clear"/>
            <w:tcMar>
              <w:top w:type="dxa" w:w="90"/>
              <w:left w:type="dxa" w:w="18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OBSERVAÇÕES FINAIS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D1117"/>
          <w:sz w:val="19"/>
          <w:szCs w:val="19"/>
        </w:rPr>
        <w:t xml:space="preserve">Adiantamento técnico: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D1117"/>
          <w:sz w:val="19"/>
          <w:szCs w:val="19"/>
        </w:rPr>
        <w:t xml:space="preserve">Infraestrutura completa no ar, 7 bugs críticos corrigidos, 4 quick wins concluídas e Google Cloud configurado em D8. Railway Pro Plan ativo com backups diários e monitoramento 24/7.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D1117"/>
          <w:sz w:val="19"/>
          <w:szCs w:val="19"/>
        </w:rPr>
        <w:t xml:space="preserve">Ganho financeiro — Google: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D1117"/>
          <w:sz w:val="19"/>
          <w:szCs w:val="19"/>
        </w:rPr>
        <w:t xml:space="preserve">Aprovação de R$ 1.759 em créditos gratuitos Google Cloud (válidos até 15/06/2026). Toda a infraestrutura de Maps, OAuth e GCP operará sem custo adicional por 90 dias.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D1117"/>
          <w:sz w:val="19"/>
          <w:szCs w:val="19"/>
        </w:rPr>
        <w:t xml:space="preserve">Domínio de produção: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D1117"/>
          <w:sz w:val="19"/>
          <w:szCs w:val="19"/>
        </w:rPr>
        <w:t xml:space="preserve">Domínio app.myurbanai.com já registrado e configurado como URI de callback OAuth — pronto para apontar para a nova infraestrutura após transferência DNS.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D1117"/>
          <w:sz w:val="19"/>
          <w:szCs w:val="19"/>
        </w:rPr>
        <w:t xml:space="preserve">Ponto crítico — dados: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D1117"/>
          <w:sz w:val="19"/>
          <w:szCs w:val="19"/>
        </w:rPr>
        <w:t xml:space="preserve">O dump do banco on-premise é o próximo passo mais urgente. Sem ele o sistema funciona mas com dados zerados. Prioridade máxima: aguardar retorno Lumina Lab.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D1117"/>
          <w:sz w:val="19"/>
          <w:szCs w:val="19"/>
        </w:rPr>
        <w:t xml:space="preserve">Próximo marco — D11 (17/03):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D1117"/>
          <w:sz w:val="19"/>
          <w:szCs w:val="19"/>
        </w:rPr>
        <w:t xml:space="preserve">DNS novo ativo + SSL validado. Esse é o ponto de virada — o sistema estará 100% sob controle Urban AI.</w:t>
      </w:r>
    </w:p>
    <w:p>
      <w:pPr>
        <w:spacing w:after="0" w:before="100"/>
      </w:pPr>
      <w:r>
        <w:t xml:space="preserve"/>
      </w:r>
    </w:p>
    <w:p>
      <w:pPr>
        <w:pBdr>
          <w:bottom w:val="single" w:color="D1D5DB" w:sz="6" w:space="1"/>
        </w:pBdr>
        <w:spacing w:after="80" w:before="80"/>
      </w:pPr>
      <w:r>
        <w:t xml:space="preserve"/>
      </w:r>
    </w:p>
    <w:p>
      <w:pPr>
        <w:spacing w:after="80" w:before="4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5"/>
          <w:szCs w:val="15"/>
        </w:rPr>
        <w:t xml:space="preserve">Urban AI © 2026 — Documento de uso interno. Sprint D1=03/03/2026 · D14=20/03/2026 (dias úteis). Gerado em 12/03/2026.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Urban AI  |  Relatório de Status D8/14  |  Página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de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D11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2026-03-17T00:16:41.048Z</dcterms:created>
  <dcterms:modified xsi:type="dcterms:W3CDTF">2026-03-17T00:16:41.049Z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