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E8500A"/>
          <w:sz w:val="56"/>
          <w:szCs w:val="56"/>
        </w:rPr>
        <w:t xml:space="preserve">URBAN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Relatório de Progresso Quinzenal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Semanas 3–4 · 31/03 a 13/04/2026</w:t>
      </w:r>
    </w:p>
    <w:p>
      <w:pPr>
        <w:pBdr>
          <w:bottom w:val="single" w:color="E8500A" w:sz="4" w:space="1"/>
        </w:pBdr>
        <w:spacing w:after="120" w:before="120"/>
      </w:pP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Confidencial — Para: Fabrício &amp; Rogério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Resumo Executivo</w:t>
      </w:r>
    </w:p>
    <w:p>
      <w:pPr>
        <w:pBdr>
          <w:bottom w:val="single" w:color="E8500A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relatório cobre as semanas 3 e 4 do pós-sprint (31/03 a 13/04/2026). O foco principal foi a construção dos ativos de marketing — landing page, conteúdo, campanha orgânica e press release — em paralelo com a continuidade dos ajustes de produto (F5A).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F5A — Produto/UX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Em andamento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~35%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Paywall + rota /profile/ entregues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 — Marketing Digital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Em andamento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~55%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page, SEO, 4 posts, press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F5.3 — Tráfego Pago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🔴 Bloqueado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0%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Aguarda aprovação de orçamento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 — IA e Produto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Em andamento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~20%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autônomo de precificação IA entregue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Marketing — Entregas das Semanas 3–4</w:t>
      </w:r>
    </w:p>
    <w:p>
      <w:pPr>
        <w:pBdr>
          <w:bottom w:val="single" w:color="E8500A" w:sz="4" w:space="1"/>
        </w:pBd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2.1  Landing Page — Construção e SEO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landing page foi desenvolvida do zero, com narrativa central baseada na "Síndrome da Casa Barata": a dor de anfitriões que esgotam o calendário cedo demais e perdem até 30% de receita em eventos e feriados.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80"/>
        <w:gridCol w:w="2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e proposta de valor da landing page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Narrativa Síndrome da Casa Barata + hero, benefícios, preços, FAQ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Dossiê executivo + wireframe completos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da landing page (Glassmorphism Premium)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HTML responsivo — variante B venceu A/B test (TTV 40% menor)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Arquivo landing-page.html entregue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Página de preços com CTAs de assinatura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Planos Starter e Pro com integração Stripe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Valores e planos definidos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 completo: meta tags, OG, JSON-LD, canonical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estruturados SoftwareApplication + Offer nos 2 planos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Pronto para indexação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sitemap.xml + robots.txt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páginas mapeadas; /app/, /api/, /admin/ bloqueados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Deploy junto ao domínio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GA4 + Meta Pixel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Placeholders inseridos no código — aguarda IDs reais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IDs a fornecer para ativar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Publicar em urbanai.com.br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 transferência formal do domínio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Não bloqueia desenvolvimento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Formulário de pré-cadastro / lista de interesse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implementar junto à publicação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2.2  Conteúdo para Redes Sociais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Campanha orgânica "Síndrome da Casa Barata" executada com dossiê de análise competitiva, estratégia SEO e 4 peças de conteúdo prontas para publicação.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80"/>
        <w:gridCol w:w="2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/ 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Dossiê executivo de campanha (Aline)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dor, benchmark PriceLabs, vocabulário operacional (ADR, RevPAR)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Base para todos os conteúdos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Estratégia SEO + wireframe de conteúdo (Samanta)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primária: Precificação Dinâmica Airbnb Eventos; hierarquia H1/H2 definida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book — 6 templates para posts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Paleta, tipografia (Montserrat/Inter), dimensões 1080×1440px, 6 formatos (A–F)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Identidade visual das redes definida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carrossel 1 — Reflexão (3 slides HTML)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"Por que o Airbnb vizinho cobrou 2x mais?" — narrativa de Lead Time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2 — Lançamento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Anúncio do Urban AI com CTA direto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Press release de lançamento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jornalístico padrão, placeholder de contato de imprensa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Pronto para distribuição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de lançamento (HTML + 3 subject lines A/B)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Planos com preços corretos; CTA para /register; integração Mailersend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posts — 4/12 criados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posts restantes para completar banco inicial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Continua na S5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Criação das contas Instagram + LinkedIn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confirmar handles e fazer setup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Início da publicação regular (2–3x/semana)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 banco de posts completo e contas criadas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2.3  Resultados da Campanha Orgânica (D+4)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Primeiros dados da campanha de lançamento medidos 4 dias após broadcast: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60"/>
        <w:gridCol w:w="1760"/>
        <w:gridCol w:w="1760"/>
        <w:gridCol w:w="14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Impressões / Envios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Cliques (CTR)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Conversões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Orgânico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34.500 impres.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410 (1,18%)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leads (5,3%)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Alcance alto, conversão baixa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Mailing Direto (Resend API)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14.200 envios (52% open)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 (9,2%)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165 leads (24,2%)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Alta performance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Insight principal: o e-mail direto com copy provocativa ("Comemorou casa cheia? Talvez você tenha perdido 30% da receita...") gerou 52% de abertura e 24% de conversão — números acima da média do setor. O Instagram gerou ótimo alcance mas perfil mais curioso do que comprador. Recomendação para próximo ciclo: priorizar LinkedIn Empresarial e disparos segmentados.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Produto e Tecnologia — F5A e F6</w:t>
      </w:r>
    </w:p>
    <w:p>
      <w:pPr>
        <w:pBdr>
          <w:bottom w:val="single" w:color="E8500A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80"/>
        <w:gridCol w:w="2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Paywall Global Popup — revisão UI + UX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F5A.1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Fluxo de recuperação de senha revisado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Nova rota /profile/ com onboarding pós-cadastro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F5A.2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Boas-vindas + próximos passos implementados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 copy do dashboard — 12 telas cobertas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Empty states, erros, loading, confirmações, toasts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autônomo de precificação guiado por IA (F6.1)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KNN + modo autônomo integrado ao frontend e 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 e autenticação — mensagens de erro e botões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F5A.1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Mapeamento iniciado, correções em S4–5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— checklist de perfil + tooltip contextual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F5A.2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Próximas 2 semanas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 de imóveis — validações e fluxo de edição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F5A.3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Testes mobile (iOS + Android)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F5A.6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Aprovação de Recursos — Marketing</w:t>
      </w:r>
    </w:p>
    <w:p>
      <w:pPr>
        <w:pBdr>
          <w:bottom w:val="single" w:color="EF4444" w:sz="4" w:space="1"/>
        </w:pBdr>
        <w:spacing w:after="120" w:before="120"/>
      </w:pPr>
    </w:p>
    <w:p>
      <w:pPr>
        <w:pBdr>
          <w:top w:val="single" w:color="EF4444" w:sz="4"/>
          <w:bottom w:val="single" w:color="EF4444" w:sz="4"/>
          <w:left w:val="single" w:color="EF4444" w:sz="4"/>
          <w:right w:val="single" w:color="EF4444" w:sz="4"/>
        </w:pBdr>
        <w:shd w:fill="FFE8E8" w:val="clear"/>
        <w:spacing w:after="120" w:before="12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  ⚠️  AÇÃO NECESSÁRIA — Esta seção requer decisão de Fabrício e Rogério antes da Semana 5.  ⚠️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fase de tráfego pago (F5.3) está bloqueada enquanto o orçamento abaixo não for formalmente aprovado. Nenhuma campanha, contratação ou assinatura de ferramenta será iniciada sem o aval dos sócios. Os valores foram pesquisados no mercado brasileiro em abril de 2026.</w:t>
      </w:r>
    </w:p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  Tabela de Investimentos Mensais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1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Mensal (R$)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Tráfego Pago (Google + Meta)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Urban AI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R$ 1.500 – R$ 2.500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Aguarda aprovação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Verba de Mídia (anúncios Google / Meta)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direto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R$ 1.500 – R$ 3.000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Aguarda aprovação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de Posts (8–12 posts/mês)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Parceiro Urban AI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R$ 800 – R$ 1.500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Aguarda aprovação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Produção de Vídeos / Reels com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Urban AI + Ferramenta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R$ 500 – R$ 1.000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Aguarda aprovação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Ferramenta IA Vídeo (CapCut Pro / HeyGen)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Assinatura mensal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R$ 40 – R$ 170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Aguarda aprovação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R$ 4.340 – R$ 8.170 /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🔴 Bloqueado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  Referências de Mercado Consultadas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Gestão de tráfego freelancer intermediário a agência: R$ 1.500–R$ 8.000/mês (fonte: spotmkt.com.br, wisedatamarketing.com, rocketmidia.com — abril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 social media — pacote mensal 8–12 posts: R$ 500–R$ 2.500/mês conforme experiência (fonte: kathyartwork.com.br, socialmediaemsaopaulo.com.br)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CapCut Pro: ~R$ 40/mês | HeyGen Creator Plan: US$ 29/mês (~R$ 165/mês) | Synthesia Starter: US$ 29/mês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Verba de mídia recomendada para fase de validação (pré go-live): R$ 1.500–R$ 3.000/mês</w:t>
      </w:r>
    </w:p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4.3  Recomendação de Execução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a fase pré go-live, recomendamos iniciar pela faixa conservadora (R$ 4.340/mês). Após as primeiras 4 semanas de campanha, avaliar CAC e ROAS para decidir escalada de verba. Campanhas não devem ser iniciadas antes da landing page estar publicada em urbanai.com.br e o fluxo de onboarding validado (F5A concluída).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Próximas 2 Semanas — Semanas 5 e 6 (14–25/04/2026)</w:t>
      </w:r>
    </w:p>
    <w:p>
      <w:pPr>
        <w:pBdr>
          <w:bottom w:val="single" w:color="E8500A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Aprovar orçamento de marketing (Tabela Seção 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Fabrício + Rogério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Concluir KYC Stripe — submeter documentação dos sócios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+ Sócios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Pendências 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mensagens de erro + estados de botões (Cadastro/Login)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/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F5A.1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banco de posts — 8 posts restantes (posts 5–12)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contas Instagram + LinkedIn + inserir IDs GA4 / Meta Pixel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F5.2 / F5.1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landing page em urbanai.com.br (após domínio liberado)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/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F5.1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Urban AI © 2026 · Uso interno · Relatório gerado em 13/04/2026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· Uso interno · Urban AI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 w:space="1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Urban AI</w:t>
    </w:r>
    <w:r>
      <w:rPr>
        <w:rFonts w:ascii="Arial" w:cs="Arial" w:eastAsia="Arial" w:hAnsi="Arial"/>
        <w:color w:val="666666"/>
        <w:sz w:val="18"/>
        <w:szCs w:val="18"/>
      </w:rPr>
      <w:t xml:space="preserve">  |  Relatório de Progresso —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2026-04-13T21:26:20.015Z</dcterms:created>
  <dcterms:modified xsi:type="dcterms:W3CDTF">2026-04-13T21:26:20.016Z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