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98"/>
        <w:gridCol w:w="2528"/>
      </w:tblGrid>
      <w:tr>
        <w:tc>
          <w:tcPr>
            <w:tcW w:type="dxa" w:w="64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URBAN AI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A0AEC0"/>
                <w:sz w:val="20"/>
                <w:szCs w:val="20"/>
              </w:rPr>
              <w:t xml:space="preserve">Roadmap Pós-Sprint — Crescimento e Go-Live</w:t>
            </w:r>
          </w:p>
        </w:tc>
        <w:tc>
          <w:tcPr>
            <w:tcW w:type="dxa" w:w="25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PÓS-SPRINT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Sprint encerrado ✓  |  20/03/2026</w:t>
            </w:r>
          </w:p>
        </w:tc>
      </w:tr>
      <w:tr>
        <w:tc>
          <w:tcPr>
            <w:tcW w:type="dxa" w:w="64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030" w:val="clear"/>
            <w:tcMar>
              <w:top w:type="dxa" w:w="8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A0AEC0"/>
                <w:sz w:val="17"/>
                <w:szCs w:val="17"/>
              </w:rPr>
              <w:t xml:space="preserve">Responsável: Gustavo Macedo   |   20/03/2026   |   Sprint D1–D14 encerrado</w:t>
            </w:r>
          </w:p>
        </w:tc>
        <w:tc>
          <w:tcPr>
            <w:tcW w:type="dxa" w:w="25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03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PROGRESSO POR FASE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8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8"/>
          <w:szCs w:val="18"/>
        </w:rPr>
        <w:t xml:space="preserve">Pendências em Aberto (KYC + Domínios)</w:t>
      </w:r>
      <w:r>
        <w:rPr>
          <w:rFonts w:ascii="Arial" w:cs="Arial" w:eastAsia="Arial" w:hAnsi="Arial"/>
          <w:b/>
          <w:bCs/>
          <w:i w:val="false"/>
          <w:iCs w:val="false"/>
          <w:color w:val="EF4444"/>
          <w:sz w:val="18"/>
          <w:szCs w:val="18"/>
        </w:rPr>
        <w:t xml:space="preserve">   0%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"/>
        <w:gridCol w:w="8966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D5DB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28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8"/>
          <w:szCs w:val="18"/>
        </w:rPr>
        <w:t xml:space="preserve">F5A — Validação de Produto e UX</w:t>
      </w:r>
      <w:r>
        <w:rPr>
          <w:rFonts w:ascii="Arial" w:cs="Arial" w:eastAsia="Arial" w:hAnsi="Arial"/>
          <w:b/>
          <w:bCs/>
          <w:i w:val="false"/>
          <w:iCs w:val="false"/>
          <w:color w:val="EC4899"/>
          <w:sz w:val="18"/>
          <w:szCs w:val="18"/>
        </w:rPr>
        <w:t xml:space="preserve">   0%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"/>
        <w:gridCol w:w="8966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4899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D5DB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28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8"/>
          <w:szCs w:val="18"/>
        </w:rPr>
        <w:t xml:space="preserve">F5  — Presença Digital</w:t>
      </w:r>
      <w:r>
        <w:rPr>
          <w:rFonts w:ascii="Arial" w:cs="Arial" w:eastAsia="Arial" w:hAnsi="Arial"/>
          <w:b/>
          <w:bCs/>
          <w:i w:val="false"/>
          <w:iCs w:val="false"/>
          <w:color w:val="E8500A"/>
          <w:sz w:val="18"/>
          <w:szCs w:val="18"/>
        </w:rPr>
        <w:t xml:space="preserve">   0%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"/>
        <w:gridCol w:w="8966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D5DB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28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8"/>
          <w:szCs w:val="18"/>
        </w:rPr>
        <w:t xml:space="preserve">F6  — Inteligência Artificial e Produto</w:t>
      </w:r>
      <w:r>
        <w:rPr>
          <w:rFonts w:ascii="Arial" w:cs="Arial" w:eastAsia="Arial" w:hAnsi="Arial"/>
          <w:b/>
          <w:bCs/>
          <w:i w:val="false"/>
          <w:iCs w:val="false"/>
          <w:color w:val="8B5CF6"/>
          <w:sz w:val="18"/>
          <w:szCs w:val="18"/>
        </w:rPr>
        <w:t xml:space="preserve">   0%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"/>
        <w:gridCol w:w="8966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D5DB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28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8"/>
          <w:szCs w:val="18"/>
        </w:rPr>
        <w:t xml:space="preserve">F7  — Beta Fechado e Go-Live Oficial</w:t>
      </w:r>
      <w:r>
        <w:rPr>
          <w:rFonts w:ascii="Arial" w:cs="Arial" w:eastAsia="Arial" w:hAnsi="Arial"/>
          <w:b/>
          <w:bCs/>
          <w:i w:val="false"/>
          <w:iCs w:val="false"/>
          <w:color w:val="3B82F6"/>
          <w:sz w:val="18"/>
          <w:szCs w:val="18"/>
        </w:rPr>
        <w:t xml:space="preserve">   0%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"/>
        <w:gridCol w:w="8966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D5DB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PENDÊNCIAS EM ABERTO (carryover do sprint)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F4444"/>
          <w:sz w:val="18"/>
          <w:szCs w:val="18"/>
        </w:rPr>
        <w:t xml:space="preserve">3 itens do sprint ainda não fechados.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8"/>
          <w:szCs w:val="18"/>
        </w:rPr>
        <w:t xml:space="preserve">KYC Stripe bloqueia cobranças reais — os demais não bloqueiam operação.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1264"/>
        <w:gridCol w:w="1083"/>
        <w:gridCol w:w="3791"/>
      </w:tblGrid>
      <w:tr>
        <w:tc>
          <w:tcPr>
            <w:tcW w:type="dxa" w:w="2888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EF44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264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EF44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083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EF44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3791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EF44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88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KYC Stripe — docs sócios + contrato social + conta PJ</w:t>
            </w:r>
          </w:p>
        </w:tc>
        <w:tc>
          <w:tcPr>
            <w:tcW w:type="dxa" w:w="126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Gustavo</w:t>
            </w:r>
          </w:p>
        </w:tc>
        <w:tc>
          <w:tcPr>
            <w:tcW w:type="dxa" w:w="108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Semana 1</w:t>
            </w:r>
          </w:p>
        </w:tc>
        <w:tc>
          <w:tcPr>
            <w:tcW w:type="dxa" w:w="379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Docs em reunião. Após submissão: aprovação 1–3 dias. Desbloqueia cobranças reais.</w:t>
            </w:r>
          </w:p>
        </w:tc>
      </w:tr>
      <w:tr>
        <w:tc>
          <w:tcPr>
            <w:tcW w:type="dxa" w:w="288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Transferência domínio urbanai.com.br</w:t>
            </w:r>
          </w:p>
        </w:tc>
        <w:tc>
          <w:tcPr>
            <w:tcW w:type="dxa" w:w="126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Gustavo + Lumina</w:t>
            </w:r>
          </w:p>
        </w:tc>
        <w:tc>
          <w:tcPr>
            <w:tcW w:type="dxa" w:w="108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2–5 dias úteis</w:t>
            </w:r>
          </w:p>
        </w:tc>
        <w:tc>
          <w:tcPr>
            <w:tcW w:type="dxa" w:w="379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Apontamento temporário ativo. Não bloqueia operação.</w:t>
            </w:r>
          </w:p>
        </w:tc>
      </w:tr>
      <w:tr>
        <w:tc>
          <w:tcPr>
            <w:tcW w:type="dxa" w:w="288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Transferência domínio myurbanai.com</w:t>
            </w:r>
          </w:p>
        </w:tc>
        <w:tc>
          <w:tcPr>
            <w:tcW w:type="dxa" w:w="126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Lumina Lab</w:t>
            </w:r>
          </w:p>
        </w:tc>
        <w:tc>
          <w:tcPr>
            <w:tcW w:type="dxa" w:w="108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2–5 dias úteis</w:t>
            </w:r>
          </w:p>
        </w:tc>
        <w:tc>
          <w:tcPr>
            <w:tcW w:type="dxa" w:w="379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Sistema operando via app.myurbanai.com. Não bloqueia operação.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4899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F5A — VALIDAÇÃO DE PRODUTO, UX E FLUXOS REAIS  ⚡ paralelo à F5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C4899"/>
          <w:sz w:val="18"/>
          <w:szCs w:val="18"/>
        </w:rPr>
        <w:t xml:space="preserve">Semanas 1–4  |  21/03 → 18/04/2026  |  🔴 Alta prioridade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8"/>
          <w:szCs w:val="18"/>
        </w:rPr>
        <w:t xml:space="preserve">corrigir antes de escalar aquisição. Problemas identificados: UX de cadastro, ausência de onboarding, fluxo de imóveis e inconsistências no fluxo real.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7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C4899"/>
                <w:sz w:val="20"/>
                <w:szCs w:val="20"/>
              </w:rPr>
              <w:t xml:space="preserve">5A.1  </w:t>
            </w: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Cadastro e Autenticação — UX e Erros</w:t>
            </w:r>
            <w:r>
              <w:rPr>
                <w:rFonts w:ascii="Arial" w:cs="Arial" w:eastAsia="Arial" w:hAnsi="Arial"/>
                <w:i/>
                <w:iCs/>
                <w:color w:val="EC4899"/>
                <w:sz w:val="16"/>
                <w:szCs w:val="16"/>
              </w:rPr>
              <w:t xml:space="preserve">  ⚡ paralelo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Semanas 1–2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Mapear formulários sem feedback visual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Fluxo de confirmação de e-mail ponta a ponta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Substituir erros genéricos por mensagens claras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Fluxo de recuperação de senha (UI + e-mail + redirect)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Corrigir estados dos botões (loading, disabled, erro)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Login Google OAuth — edge cases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7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C4899"/>
                <w:sz w:val="20"/>
                <w:szCs w:val="20"/>
              </w:rPr>
              <w:t xml:space="preserve">5A.2  </w:t>
            </w: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Onboarding — Criação do Fluxo (não existia)</w:t>
            </w:r>
            <w:r>
              <w:rPr>
                <w:rFonts w:ascii="Arial" w:cs="Arial" w:eastAsia="Arial" w:hAnsi="Arial"/>
                <w:i/>
                <w:iCs/>
                <w:color w:val="EC4899"/>
                <w:sz w:val="16"/>
                <w:szCs w:val="16"/>
              </w:rPr>
              <w:t xml:space="preserve">  ⚡ paralelo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Semanas 1–4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Definir jornada: etapas, ordem, obrigatório vs. opcional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Tooltip/guia contextual no primeiro acesso ao dashboard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Tela de boas-vindas pós-cadastro + próximos passos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Sequência de e-mails D1, D3, D7 via Mailersend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Checklist de setup do perfil (foto, nome, imóvel)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Teste com usuários internos + coleta de feedback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7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C4899"/>
                <w:sz w:val="20"/>
                <w:szCs w:val="20"/>
              </w:rPr>
              <w:t xml:space="preserve">5A.3  </w:t>
            </w: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Cadastro de Imóveis — Fluxo e Validações</w:t>
            </w:r>
            <w:r>
              <w:rPr>
                <w:rFonts w:ascii="Arial" w:cs="Arial" w:eastAsia="Arial" w:hAnsi="Arial"/>
                <w:i/>
                <w:iCs/>
                <w:color w:val="EC4899"/>
                <w:sz w:val="16"/>
                <w:szCs w:val="16"/>
              </w:rPr>
              <w:t xml:space="preserve">  ⚡ paralelo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Semanas 1–3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Auditar formulário: campos, ordem, clareza dos labels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Edição de imóvel: dados pré-preenchidos + confirmação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Corrigir campos obrigatórios sem validação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Upload de fotos: formato, tamanho, preview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Imóvel aparece no dashboard imediatamente pós-cadastro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hostId passado corretamente em todos os endpoints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7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C4899"/>
                <w:sz w:val="20"/>
                <w:szCs w:val="20"/>
              </w:rPr>
              <w:t xml:space="preserve">5A.4  </w:t>
            </w: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Dashboard, KNN, Stripe e UX Geral</w:t>
            </w:r>
            <w:r>
              <w:rPr>
                <w:rFonts w:ascii="Arial" w:cs="Arial" w:eastAsia="Arial" w:hAnsi="Arial"/>
                <w:i/>
                <w:iCs/>
                <w:color w:val="EC4899"/>
                <w:sz w:val="16"/>
                <w:szCs w:val="16"/>
              </w:rPr>
              <w:t xml:space="preserve">  ⚡ paralelo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Semanas 2–4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Recomendação de preço com imóvel real cadastrado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Cancelamento de assinatura — UI + webhook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Loading state na tela de recomendação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Usuário sem plano vê CTA claro (não tela de erro)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Legibilidade dos dados (labels, R$/noite, gráficos)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Testar mobile iOS + Android — corrigir quebras críticas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Tratar caso sem dados suficientes (mensagem clara)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Auditar estados vazios — mensagem + CTA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Fluxo de assinatura em produção após KYC aprovado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Fluxo ponta a ponta: cadastro → onboarding → imóvel → preço → assinatura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F5 — PRESENÇA DIGITAL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Semanas 1–6  |  21/03 → 30/04/2026  |  💰 R$ 2.000–5.000/mês mídia + produção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5.1  </w:t>
            </w: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Landing Page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Semanas 1–4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8500A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Definir proposta de valor e copy com Rogério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8500A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Página de preços com CTA Stripe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8500A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Wireframe e estrutura de seções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8500A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SEO básico: title, meta, Open Graph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8500A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Desenvolver design e layout 💰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8500A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Google Analytics 4 + Clarity + Meta Pixel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8500A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Publicar em urbanai.com.br (pós-domínio) 💰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8500A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Formulário de pré-cadastro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5.2  </w:t>
            </w: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Redes Sociais e Tráfego Pago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Semanas 1–6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8500A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Criar Instagram e LinkedIn Urban AI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8500A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Aprovar orçamento mensal com Fabrício + Rogério 💰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8500A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Identidade visual para redes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8500A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Google Ads: "precificar airbnb são paulo" 💰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8500A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Banco inicial: 12 posts sobre precificação Airbnb SP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8500A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Meta Ads: anfitriões Airbnb em SP 💰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8500A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Publicação regular 2–3x/semana 💰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8500A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Monitorar KPIs: CAC, CTR, conversão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F6 — INTELIGÊNCIA ARTIFICIAL E PRODUTO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Semanas 3–10  |  11/04 → 30/05/2026  |  💰 Horas de desenvolvimento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6.1  </w:t>
            </w: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KNN com Dados Reais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Semanas 3–8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B5CF6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Endpoints REST para resultados do KNN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B5CF6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Substituir dados mock por histórico real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B5CF6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Sugestão de preço no dashboard do anfitrião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B5CF6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Retreinamento semanal pós-scraping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B5CF6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Conectar imóveis cadastrados ao treinamento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B5CF6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Ampliar spiders para novos bairros de SP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6.2  </w:t>
            </w: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Fontes de Dados, APIs e Produto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Semanas 3–10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B5CF6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Pesquisar Sympla API + Prefeitura SP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B5CF6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Onboarding guiado no produto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B5CF6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Avaliar API alternativa ao RapidAPI/Airbnb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B5CF6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E-mails de onboarding automático via Mailersend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B5CF6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Reunião estratégica com PriceLabs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B5CF6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Métricas de produto: NPS, ativação, retenção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B5CF6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Painel admin: gestão de usuários + assinaturas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B5CF6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F7 — BETA FECHADO E GO-LIVE OFICIAL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Semanas 8–14  |  18/05 → 04/07/2026  |  💰 Mídia no go-live + ajustes de produto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7.1  </w:t>
            </w: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Beta Fechado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Semanas 8–11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Selecionar 5–10 anfitriões Airbnb SP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Coletar feedback (formulário + entrevistas)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Integrar usuários beta gratuitamente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Priorizar e implementar correções críticas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Acompanhar onboarding de perto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7.2  </w:t>
            </w: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Go-Live Oficial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Semanas 12–14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Checklist final de segurança pré-lançamento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Ativar campanhas de tráfego pago 💰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Preparar comunicação de lançamento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Monitorar ativação e retenção nas 2 primeiras semanas</w:t>
            </w:r>
          </w:p>
        </w:tc>
      </w:tr>
      <w:tr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Anunciar Instagram, LinkedIn e e-mail</w:t>
            </w:r>
          </w:p>
        </w:tc>
        <w:tc>
          <w:tcPr>
            <w:tcW w:type="dxa" w:w="451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B82F6"/>
                <w:sz w:val="15"/>
                <w:szCs w:val="15"/>
              </w:rPr>
              <w:t xml:space="preserve">⬜  </w:t>
            </w: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MARCOS CRÍTICOS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3"/>
        <w:gridCol w:w="3791"/>
        <w:gridCol w:w="4062"/>
      </w:tblGrid>
      <w:tr>
        <w:tc>
          <w:tcPr>
            <w:tcW w:type="dxa" w:w="1173"/>
            <w:tcBorders>
              <w:top w:val="single" w:color="E8500A" w:sz="1"/>
              <w:left w:val="single" w:color="E8500A" w:sz="1"/>
              <w:bottom w:val="single" w:color="E8500A" w:sz="1"/>
              <w:right w:val="single" w:color="E8500A" w:sz="1"/>
            </w:tcBorders>
            <w:shd w:fill="E850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3791"/>
            <w:tcBorders>
              <w:top w:val="single" w:color="E8500A" w:sz="1"/>
              <w:left w:val="single" w:color="E8500A" w:sz="1"/>
              <w:bottom w:val="single" w:color="E8500A" w:sz="1"/>
              <w:right w:val="single" w:color="E8500A" w:sz="1"/>
            </w:tcBorders>
            <w:shd w:fill="E850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Marco</w:t>
            </w:r>
          </w:p>
        </w:tc>
        <w:tc>
          <w:tcPr>
            <w:tcW w:type="dxa" w:w="4062"/>
            <w:tcBorders>
              <w:top w:val="single" w:color="E8500A" w:sz="1"/>
              <w:left w:val="single" w:color="E8500A" w:sz="1"/>
              <w:bottom w:val="single" w:color="E8500A" w:sz="1"/>
              <w:right w:val="single" w:color="E8500A" w:sz="1"/>
            </w:tcBorders>
            <w:shd w:fill="E850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se atrasar</w:t>
            </w:r>
          </w:p>
        </w:tc>
      </w:tr>
      <w:tr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Semana 1</w:t>
            </w:r>
          </w:p>
        </w:tc>
        <w:tc>
          <w:tcPr>
            <w:tcW w:type="dxa" w:w="379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Submeter KYC Stripe</w:t>
            </w:r>
          </w:p>
        </w:tc>
        <w:tc>
          <w:tcPr>
            <w:tcW w:type="dxa" w:w="406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Cobranças reais bloqueadas</w:t>
            </w:r>
          </w:p>
        </w:tc>
      </w:tr>
      <w:tr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Semana 1</w:t>
            </w:r>
          </w:p>
        </w:tc>
        <w:tc>
          <w:tcPr>
            <w:tcW w:type="dxa" w:w="379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Aprovar orçamento de marketing</w:t>
            </w:r>
          </w:p>
        </w:tc>
        <w:tc>
          <w:tcPr>
            <w:tcW w:type="dxa" w:w="406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F5 inteira bloqueada</w:t>
            </w:r>
          </w:p>
        </w:tc>
      </w:tr>
      <w:tr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Semana 1–2</w:t>
            </w:r>
          </w:p>
        </w:tc>
        <w:tc>
          <w:tcPr>
            <w:tcW w:type="dxa" w:w="379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Transferências de domínio concluídas</w:t>
            </w:r>
          </w:p>
        </w:tc>
        <w:tc>
          <w:tcPr>
            <w:tcW w:type="dxa" w:w="406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Landing page não publica em urbanai.com.br</w:t>
            </w:r>
          </w:p>
        </w:tc>
      </w:tr>
      <w:tr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Semana 2–3</w:t>
            </w:r>
          </w:p>
        </w:tc>
        <w:tc>
          <w:tcPr>
            <w:tcW w:type="dxa" w:w="379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Onboarding + cadastro corrigidos (F5A)</w:t>
            </w:r>
          </w:p>
        </w:tc>
        <w:tc>
          <w:tcPr>
            <w:tcW w:type="dxa" w:w="406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Tráfego chegando em produto com problemas → churn alto</w:t>
            </w:r>
          </w:p>
        </w:tc>
      </w:tr>
      <w:tr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Semana 3–4</w:t>
            </w:r>
          </w:p>
        </w:tc>
        <w:tc>
          <w:tcPr>
            <w:tcW w:type="dxa" w:w="379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Landing page no ar</w:t>
            </w:r>
          </w:p>
        </w:tc>
        <w:tc>
          <w:tcPr>
            <w:tcW w:type="dxa" w:w="406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Sem landing = sem conversão de tráfego pago</w:t>
            </w:r>
          </w:p>
        </w:tc>
      </w:tr>
      <w:tr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Semana 4</w:t>
            </w:r>
          </w:p>
        </w:tc>
        <w:tc>
          <w:tcPr>
            <w:tcW w:type="dxa" w:w="379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Validação ponta a ponta concluída (F5A)</w:t>
            </w:r>
          </w:p>
        </w:tc>
        <w:tc>
          <w:tcPr>
            <w:tcW w:type="dxa" w:w="406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Não escalar aquisição antes da F5A aprovada</w:t>
            </w:r>
          </w:p>
        </w:tc>
      </w:tr>
      <w:tr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Semana 8</w:t>
            </w:r>
          </w:p>
        </w:tc>
        <w:tc>
          <w:tcPr>
            <w:tcW w:type="dxa" w:w="379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Beta fechado iniciado</w:t>
            </w:r>
          </w:p>
        </w:tc>
        <w:tc>
          <w:tcPr>
            <w:tcW w:type="dxa" w:w="406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Atraso no go-live oficial</w:t>
            </w:r>
          </w:p>
        </w:tc>
      </w:tr>
      <w:tr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Semana 13–14</w:t>
            </w:r>
          </w:p>
        </w:tc>
        <w:tc>
          <w:tcPr>
            <w:tcW w:type="dxa" w:w="379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Go-Live oficial</w:t>
            </w:r>
          </w:p>
        </w:tc>
        <w:tc>
          <w:tcPr>
            <w:tcW w:type="dxa" w:w="406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D1D5DB" w:sz="6" w:space="1"/>
        </w:pBdr>
        <w:spacing w:after="80" w:before="80"/>
      </w:pPr>
      <w:r>
        <w:t xml:space="preserve"/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6B7280"/>
          <w:sz w:val="15"/>
          <w:szCs w:val="15"/>
        </w:rPr>
        <w:t xml:space="preserve">Urban AI © 2026 — Roadmap Pós-Sprint. Sprint encerrado em 20/03/2026. Gerado em 20/03/2026.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Urban AI  |  Roadmap Pós-Sprint  |  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1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2026-04-02T12:52:15.094Z</dcterms:created>
  <dcterms:modified xsi:type="dcterms:W3CDTF">2026-04-02T12:52:15.095Z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