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0B" w:rsidRDefault="0096180B" w:rsidP="00A20B86">
      <w:pPr>
        <w:jc w:val="center"/>
      </w:pPr>
    </w:p>
    <w:p w:rsidR="00A20B86" w:rsidRDefault="00A20B86" w:rsidP="00A20B86">
      <w:pPr>
        <w:jc w:val="center"/>
      </w:pPr>
    </w:p>
    <w:p w:rsidR="00A20B86" w:rsidRDefault="00A20B86" w:rsidP="00A20B86">
      <w:pPr>
        <w:jc w:val="center"/>
      </w:pPr>
    </w:p>
    <w:p w:rsidR="00A20B86" w:rsidRDefault="00A20B86" w:rsidP="00A20B86">
      <w:pPr>
        <w:jc w:val="center"/>
      </w:pPr>
    </w:p>
    <w:p w:rsidR="00A20B86" w:rsidRDefault="00A20B86" w:rsidP="00A20B86">
      <w:pPr>
        <w:jc w:val="center"/>
      </w:pPr>
    </w:p>
    <w:p w:rsidR="00A20B86" w:rsidRDefault="00A20B86" w:rsidP="00A20B86">
      <w:pPr>
        <w:jc w:val="center"/>
      </w:pPr>
    </w:p>
    <w:p w:rsidR="00A20B86" w:rsidRDefault="00A20B86" w:rsidP="00A20B86">
      <w:pPr>
        <w:jc w:val="center"/>
      </w:pPr>
    </w:p>
    <w:p w:rsidR="00A20B86" w:rsidRPr="00A20B86" w:rsidRDefault="00A20B86" w:rsidP="00A20B86">
      <w:pPr>
        <w:jc w:val="center"/>
        <w:rPr>
          <w:b/>
          <w:sz w:val="40"/>
        </w:rPr>
      </w:pPr>
      <w:r w:rsidRPr="00A20B86">
        <w:rPr>
          <w:b/>
          <w:sz w:val="40"/>
        </w:rPr>
        <w:t>CIS</w:t>
      </w:r>
      <w:bookmarkStart w:id="0" w:name="_GoBack"/>
      <w:bookmarkEnd w:id="0"/>
      <w:r w:rsidRPr="00A20B86">
        <w:rPr>
          <w:b/>
          <w:sz w:val="40"/>
        </w:rPr>
        <w:t xml:space="preserve"> 4640</w:t>
      </w:r>
    </w:p>
    <w:p w:rsidR="00A20B86" w:rsidRPr="00A20B86" w:rsidRDefault="00A20B86" w:rsidP="00A20B86">
      <w:pPr>
        <w:jc w:val="center"/>
        <w:rPr>
          <w:b/>
          <w:sz w:val="40"/>
        </w:rPr>
      </w:pPr>
      <w:r w:rsidRPr="00A20B86">
        <w:rPr>
          <w:b/>
          <w:sz w:val="40"/>
        </w:rPr>
        <w:t>Assignment 2</w:t>
      </w:r>
    </w:p>
    <w:p w:rsidR="00A20B86" w:rsidRDefault="00A20B86" w:rsidP="00A20B86">
      <w:pPr>
        <w:jc w:val="center"/>
        <w:rPr>
          <w:b/>
          <w:sz w:val="40"/>
        </w:rPr>
      </w:pPr>
      <w:r w:rsidRPr="00A20B86">
        <w:rPr>
          <w:b/>
          <w:sz w:val="40"/>
        </w:rPr>
        <w:t>2015-10-20</w:t>
      </w:r>
    </w:p>
    <w:p w:rsidR="00BD111F" w:rsidRDefault="00BD111F" w:rsidP="00A20B86">
      <w:pPr>
        <w:jc w:val="center"/>
        <w:rPr>
          <w:b/>
          <w:sz w:val="40"/>
        </w:rPr>
      </w:pPr>
      <w:r>
        <w:rPr>
          <w:b/>
          <w:sz w:val="40"/>
        </w:rPr>
        <w:t>Todd Urbanowicz</w:t>
      </w:r>
    </w:p>
    <w:p w:rsidR="00A20B86" w:rsidRDefault="00A20B86">
      <w:pPr>
        <w:rPr>
          <w:b/>
          <w:sz w:val="40"/>
        </w:rPr>
      </w:pPr>
      <w:r>
        <w:rPr>
          <w:b/>
          <w:sz w:val="40"/>
        </w:rPr>
        <w:br w:type="page"/>
      </w:r>
    </w:p>
    <w:p w:rsidR="00A20B86" w:rsidRDefault="00A20B86" w:rsidP="00A20B86">
      <w:pPr>
        <w:pStyle w:val="Heading1"/>
      </w:pPr>
      <w:r>
        <w:lastRenderedPageBreak/>
        <w:t>Section 1: Independent t-Tests</w:t>
      </w:r>
    </w:p>
    <w:p w:rsidR="00A20B86" w:rsidRDefault="00A20B86" w:rsidP="00A20B86"/>
    <w:p w:rsidR="00A20B86" w:rsidRDefault="00A20B86" w:rsidP="00A20B86">
      <w:pPr>
        <w:pStyle w:val="Heading2"/>
      </w:pPr>
      <w:r>
        <w:t>Workflow</w:t>
      </w:r>
    </w:p>
    <w:p w:rsidR="00A20B86" w:rsidRDefault="00A20B86" w:rsidP="00A20B86">
      <w:r>
        <w:rPr>
          <w:noProof/>
        </w:rPr>
        <w:drawing>
          <wp:inline distT="0" distB="0" distL="0" distR="0" wp14:anchorId="68F271AB" wp14:editId="365E5B03">
            <wp:extent cx="59055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86" w:rsidRDefault="00A20B86" w:rsidP="00A20B86">
      <w:pPr>
        <w:pStyle w:val="Heading2"/>
      </w:pPr>
      <w:proofErr w:type="gramStart"/>
      <w:r>
        <w:t>t-Test</w:t>
      </w:r>
      <w:proofErr w:type="gramEnd"/>
      <w:r>
        <w:t xml:space="preserve"> Results</w:t>
      </w:r>
    </w:p>
    <w:p w:rsidR="00A20B86" w:rsidRDefault="00A20B86" w:rsidP="00A20B86">
      <w:r>
        <w:rPr>
          <w:noProof/>
        </w:rPr>
        <w:drawing>
          <wp:inline distT="0" distB="0" distL="0" distR="0" wp14:anchorId="0EB507E9" wp14:editId="0D95E7C7">
            <wp:extent cx="5943600" cy="3851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86" w:rsidRDefault="00A20B86">
      <w:r>
        <w:br w:type="page"/>
      </w:r>
    </w:p>
    <w:p w:rsidR="00A20B86" w:rsidRDefault="00A20B86" w:rsidP="005F1085">
      <w:pPr>
        <w:pStyle w:val="Heading2"/>
      </w:pPr>
      <w:r>
        <w:lastRenderedPageBreak/>
        <w:t>Hypothesis</w:t>
      </w:r>
    </w:p>
    <w:p w:rsidR="005F1085" w:rsidRPr="005F1085" w:rsidRDefault="005F1085" w:rsidP="005F1085"/>
    <w:p w:rsidR="00A20B86" w:rsidRDefault="00A20B86" w:rsidP="00A20B86">
      <w:pPr>
        <w:pStyle w:val="Heading3"/>
      </w:pPr>
      <w:r>
        <w:t>Levine</w:t>
      </w:r>
    </w:p>
    <w:tbl>
      <w:tblPr>
        <w:tblW w:w="9765" w:type="dxa"/>
        <w:tblLook w:val="04A0" w:firstRow="1" w:lastRow="0" w:firstColumn="1" w:lastColumn="0" w:noHBand="0" w:noVBand="1"/>
      </w:tblPr>
      <w:tblGrid>
        <w:gridCol w:w="2181"/>
        <w:gridCol w:w="3792"/>
        <w:gridCol w:w="3792"/>
      </w:tblGrid>
      <w:tr w:rsidR="00A20B86" w:rsidRPr="00A20B86" w:rsidTr="00E37F68">
        <w:trPr>
          <w:trHeight w:val="296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</w:p>
        </w:tc>
        <w:tc>
          <w:tcPr>
            <w:tcW w:w="3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B86" w:rsidRPr="00A20B86" w:rsidRDefault="00A20B86" w:rsidP="00A20B8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A20B86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Median.Starting.Salary</w:t>
            </w:r>
            <w:proofErr w:type="spellEnd"/>
          </w:p>
        </w:tc>
        <w:tc>
          <w:tcPr>
            <w:tcW w:w="3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B86" w:rsidRPr="00A20B86" w:rsidRDefault="00A20B86" w:rsidP="00A20B8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A20B86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Average.SAT.Score</w:t>
            </w:r>
            <w:proofErr w:type="spellEnd"/>
          </w:p>
        </w:tc>
      </w:tr>
      <w:tr w:rsidR="00A20B86" w:rsidRPr="00A20B86" w:rsidTr="00E37F68">
        <w:trPr>
          <w:trHeight w:val="356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482BDF" w:rsidP="00A2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482BDF">
              <w:rPr>
                <w:b/>
                <w:sz w:val="28"/>
              </w:rPr>
              <w:t>H</w:t>
            </w:r>
            <w:r w:rsidRPr="00482BDF">
              <w:rPr>
                <w:b/>
                <w:sz w:val="28"/>
                <w:vertAlign w:val="subscript"/>
              </w:rPr>
              <w:t>0</w:t>
            </w:r>
            <w:r w:rsidRPr="00482BDF">
              <w:rPr>
                <w:b/>
                <w:sz w:val="28"/>
              </w:rPr>
              <w:t>: σ</w:t>
            </w:r>
            <w:r w:rsidRPr="00482BDF">
              <w:rPr>
                <w:b/>
                <w:sz w:val="28"/>
                <w:vertAlign w:val="superscript"/>
              </w:rPr>
              <w:t>2</w:t>
            </w:r>
            <w:r w:rsidRPr="00482BDF">
              <w:rPr>
                <w:b/>
                <w:sz w:val="28"/>
              </w:rPr>
              <w:t>1 = σ</w:t>
            </w:r>
            <w:r w:rsidRPr="00482BDF">
              <w:rPr>
                <w:b/>
                <w:sz w:val="28"/>
                <w:vertAlign w:val="superscript"/>
              </w:rPr>
              <w:t>2</w:t>
            </w:r>
            <w:r w:rsidRPr="00482BDF">
              <w:rPr>
                <w:b/>
                <w:sz w:val="28"/>
              </w:rPr>
              <w:t>2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> 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> </w:t>
            </w:r>
          </w:p>
        </w:tc>
      </w:tr>
      <w:tr w:rsidR="00A20B86" w:rsidRPr="00A20B86" w:rsidTr="00E37F68">
        <w:trPr>
          <w:trHeight w:val="356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482BDF" w:rsidP="00A2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482BDF">
              <w:rPr>
                <w:b/>
                <w:sz w:val="28"/>
              </w:rPr>
              <w:t>H</w:t>
            </w:r>
            <w:r w:rsidRPr="00482BDF">
              <w:rPr>
                <w:b/>
                <w:sz w:val="28"/>
                <w:vertAlign w:val="subscript"/>
              </w:rPr>
              <w:t>1</w:t>
            </w:r>
            <w:r w:rsidRPr="00482BDF">
              <w:rPr>
                <w:b/>
                <w:sz w:val="28"/>
              </w:rPr>
              <w:t>: σ</w:t>
            </w:r>
            <w:r w:rsidRPr="00482BDF">
              <w:rPr>
                <w:b/>
                <w:sz w:val="28"/>
                <w:vertAlign w:val="superscript"/>
              </w:rPr>
              <w:t>2</w:t>
            </w:r>
            <w:r w:rsidRPr="00482BDF">
              <w:rPr>
                <w:b/>
                <w:sz w:val="28"/>
              </w:rPr>
              <w:t>1 != σ</w:t>
            </w:r>
            <w:r w:rsidRPr="00482BDF">
              <w:rPr>
                <w:b/>
                <w:sz w:val="28"/>
                <w:vertAlign w:val="superscript"/>
              </w:rPr>
              <w:t>2</w:t>
            </w:r>
            <w:r w:rsidRPr="00482BDF">
              <w:rPr>
                <w:b/>
                <w:sz w:val="28"/>
              </w:rPr>
              <w:t>2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>X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>X</w:t>
            </w:r>
          </w:p>
        </w:tc>
      </w:tr>
      <w:tr w:rsidR="00A20B86" w:rsidRPr="00A20B86" w:rsidTr="00E37F68">
        <w:trPr>
          <w:trHeight w:val="296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CI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>0.95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>0.95</w:t>
            </w:r>
          </w:p>
        </w:tc>
      </w:tr>
      <w:tr w:rsidR="00A20B86" w:rsidRPr="00A20B86" w:rsidTr="00E37F68">
        <w:trPr>
          <w:trHeight w:val="296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P-Value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>0.4855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>0.3205</w:t>
            </w:r>
          </w:p>
        </w:tc>
      </w:tr>
      <w:tr w:rsidR="00A20B86" w:rsidRPr="00A20B86" w:rsidTr="00E37F68">
        <w:trPr>
          <w:trHeight w:val="692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B86" w:rsidRPr="00A20B86" w:rsidRDefault="00A20B86" w:rsidP="00A20B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Conclusion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B86" w:rsidRPr="00A20B86" w:rsidRDefault="00A20B86" w:rsidP="00027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P </w:t>
            </w:r>
            <w:r w:rsidR="00027362">
              <w:rPr>
                <w:rFonts w:ascii="Calibri" w:eastAsia="Times New Roman" w:hAnsi="Calibri" w:cs="Times New Roman"/>
                <w:color w:val="000000"/>
                <w:sz w:val="28"/>
              </w:rPr>
              <w:t>&gt;</w:t>
            </w: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0.05  =</w:t>
            </w:r>
            <w:r w:rsidR="005F1085">
              <w:rPr>
                <w:rFonts w:ascii="Calibri" w:eastAsia="Times New Roman" w:hAnsi="Calibri" w:cs="Times New Roman"/>
                <w:color w:val="000000"/>
                <w:sz w:val="28"/>
              </w:rPr>
              <w:t>&gt; We accept the NULL hypothesis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B86" w:rsidRPr="00A20B86" w:rsidRDefault="00A20B86" w:rsidP="00027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P </w:t>
            </w:r>
            <w:r w:rsidR="00027362">
              <w:rPr>
                <w:rFonts w:ascii="Calibri" w:eastAsia="Times New Roman" w:hAnsi="Calibri" w:cs="Times New Roman"/>
                <w:color w:val="000000"/>
                <w:sz w:val="28"/>
              </w:rPr>
              <w:t>&gt;</w:t>
            </w:r>
            <w:r w:rsidRPr="00A20B86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0.05  =&gt; </w:t>
            </w:r>
            <w:r w:rsidR="005F1085">
              <w:rPr>
                <w:rFonts w:ascii="Calibri" w:eastAsia="Times New Roman" w:hAnsi="Calibri" w:cs="Times New Roman"/>
                <w:color w:val="000000"/>
                <w:sz w:val="28"/>
              </w:rPr>
              <w:t>We accept the NULL hypothesis</w:t>
            </w:r>
          </w:p>
        </w:tc>
      </w:tr>
    </w:tbl>
    <w:p w:rsidR="00A20B86" w:rsidRDefault="00A20B86" w:rsidP="00A20B86"/>
    <w:p w:rsidR="00E37F68" w:rsidRDefault="00E37F68" w:rsidP="00E37F68">
      <w:pPr>
        <w:pStyle w:val="Heading4"/>
      </w:pPr>
      <w:r>
        <w:t>Findings and Conclusion</w:t>
      </w:r>
    </w:p>
    <w:p w:rsidR="00E37F68" w:rsidRDefault="00E37F68" w:rsidP="00E37F68">
      <w:r>
        <w:t>We are 95% confident that median starting salary</w:t>
      </w:r>
      <w:r w:rsidR="005F1085">
        <w:t>,</w:t>
      </w:r>
      <w:r>
        <w:t xml:space="preserve"> when compared with pub</w:t>
      </w:r>
      <w:r w:rsidR="005F1085">
        <w:t xml:space="preserve">lic and private schools are </w:t>
      </w:r>
      <w:r w:rsidR="00482BDF">
        <w:t>equal to one another.</w:t>
      </w:r>
      <w:r w:rsidR="005F1085">
        <w:t xml:space="preserve">  </w:t>
      </w:r>
      <w:r w:rsidR="005F1085">
        <w:t>This tells us that school type does not relate to median starting salary.</w:t>
      </w:r>
    </w:p>
    <w:p w:rsidR="008C139D" w:rsidRDefault="00482BDF" w:rsidP="00E37F68">
      <w:r>
        <w:t xml:space="preserve">We are 95% confident that </w:t>
      </w:r>
      <w:r>
        <w:t>average SAT score</w:t>
      </w:r>
      <w:r w:rsidR="005F1085">
        <w:t>,</w:t>
      </w:r>
      <w:r>
        <w:t xml:space="preserve"> when compared with pu</w:t>
      </w:r>
      <w:r w:rsidR="005F1085">
        <w:t>blic and private schools are</w:t>
      </w:r>
      <w:r>
        <w:t xml:space="preserve"> equal to one another.</w:t>
      </w:r>
      <w:r w:rsidR="005F1085">
        <w:t xml:space="preserve">  This tells us that school type does not relate to average SAT score.</w:t>
      </w:r>
    </w:p>
    <w:p w:rsidR="005F1085" w:rsidRDefault="005F1085" w:rsidP="00E37F68"/>
    <w:p w:rsidR="008C139D" w:rsidRDefault="008C139D" w:rsidP="008C139D">
      <w:pPr>
        <w:pStyle w:val="Heading3"/>
      </w:pPr>
      <w:r>
        <w:t>Independent Group Statistics</w:t>
      </w:r>
    </w:p>
    <w:tbl>
      <w:tblPr>
        <w:tblW w:w="10062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5"/>
        <w:gridCol w:w="1345"/>
        <w:gridCol w:w="90"/>
        <w:gridCol w:w="2231"/>
        <w:gridCol w:w="2251"/>
        <w:gridCol w:w="2025"/>
        <w:gridCol w:w="2025"/>
      </w:tblGrid>
      <w:tr w:rsidR="005F1085" w:rsidRPr="005F1085" w:rsidTr="005F1085">
        <w:trPr>
          <w:trHeight w:val="337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F1085">
              <w:rPr>
                <w:rFonts w:ascii="Calibri" w:eastAsia="Times New Roman" w:hAnsi="Calibri" w:cs="Times New Roman"/>
                <w:color w:val="000000"/>
              </w:rPr>
              <w:t>Median.Starting.Salary</w:t>
            </w:r>
            <w:proofErr w:type="spellEnd"/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F1085">
              <w:rPr>
                <w:rFonts w:ascii="Calibri" w:eastAsia="Times New Roman" w:hAnsi="Calibri" w:cs="Times New Roman"/>
                <w:color w:val="000000"/>
              </w:rPr>
              <w:t>Median.Starting.Salary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F1085">
              <w:rPr>
                <w:rFonts w:ascii="Calibri" w:eastAsia="Times New Roman" w:hAnsi="Calibri" w:cs="Times New Roman"/>
                <w:color w:val="000000"/>
              </w:rPr>
              <w:t>Average.SAT.Score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F1085">
              <w:rPr>
                <w:rFonts w:ascii="Calibri" w:eastAsia="Times New Roman" w:hAnsi="Calibri" w:cs="Times New Roman"/>
                <w:color w:val="000000"/>
              </w:rPr>
              <w:t>Average.SAT.Score</w:t>
            </w:r>
            <w:proofErr w:type="spellEnd"/>
          </w:p>
        </w:tc>
      </w:tr>
      <w:tr w:rsidR="005F1085" w:rsidRPr="005F1085" w:rsidTr="005F1085">
        <w:trPr>
          <w:gridBefore w:val="1"/>
          <w:wBefore w:w="95" w:type="dxa"/>
          <w:trHeight w:val="337"/>
        </w:trPr>
        <w:tc>
          <w:tcPr>
            <w:tcW w:w="14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b/>
                <w:bCs/>
                <w:color w:val="000000"/>
              </w:rPr>
              <w:t>Equal Variances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Assumed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Not Assumed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Assumed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Not Assumed</w:t>
            </w:r>
          </w:p>
        </w:tc>
      </w:tr>
      <w:tr w:rsidR="005F1085" w:rsidRPr="005F1085" w:rsidTr="005F1085">
        <w:trPr>
          <w:gridBefore w:val="1"/>
          <w:wBefore w:w="95" w:type="dxa"/>
          <w:trHeight w:val="405"/>
        </w:trPr>
        <w:tc>
          <w:tcPr>
            <w:tcW w:w="14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085">
              <w:rPr>
                <w:b/>
              </w:rPr>
              <w:t>H</w:t>
            </w:r>
            <w:r w:rsidRPr="005F1085">
              <w:rPr>
                <w:b/>
                <w:vertAlign w:val="subscript"/>
              </w:rPr>
              <w:t>0</w:t>
            </w:r>
            <w:r w:rsidRPr="005F1085">
              <w:rPr>
                <w:b/>
              </w:rPr>
              <w:t>: σ</w:t>
            </w:r>
            <w:r w:rsidRPr="005F1085">
              <w:rPr>
                <w:b/>
                <w:vertAlign w:val="superscript"/>
              </w:rPr>
              <w:t>2</w:t>
            </w:r>
            <w:r w:rsidRPr="005F1085">
              <w:rPr>
                <w:b/>
              </w:rPr>
              <w:t>1 = σ</w:t>
            </w:r>
            <w:r w:rsidRPr="005F1085">
              <w:rPr>
                <w:b/>
                <w:vertAlign w:val="superscript"/>
              </w:rPr>
              <w:t>2</w:t>
            </w:r>
            <w:r w:rsidRPr="005F1085">
              <w:rPr>
                <w:b/>
              </w:rPr>
              <w:t>2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1085" w:rsidRPr="005F1085" w:rsidTr="005F1085">
        <w:trPr>
          <w:gridBefore w:val="1"/>
          <w:wBefore w:w="95" w:type="dxa"/>
          <w:trHeight w:val="405"/>
        </w:trPr>
        <w:tc>
          <w:tcPr>
            <w:tcW w:w="14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085">
              <w:rPr>
                <w:b/>
              </w:rPr>
              <w:t>H</w:t>
            </w:r>
            <w:r w:rsidRPr="005F1085">
              <w:rPr>
                <w:b/>
                <w:vertAlign w:val="subscript"/>
              </w:rPr>
              <w:t>1</w:t>
            </w:r>
            <w:r w:rsidRPr="005F1085">
              <w:rPr>
                <w:b/>
              </w:rPr>
              <w:t>: σ</w:t>
            </w:r>
            <w:r w:rsidRPr="005F1085">
              <w:rPr>
                <w:b/>
                <w:vertAlign w:val="superscript"/>
              </w:rPr>
              <w:t>2</w:t>
            </w:r>
            <w:r w:rsidRPr="005F1085">
              <w:rPr>
                <w:b/>
              </w:rPr>
              <w:t>1 != σ</w:t>
            </w:r>
            <w:r w:rsidRPr="005F1085">
              <w:rPr>
                <w:b/>
                <w:vertAlign w:val="superscript"/>
              </w:rPr>
              <w:t>2</w:t>
            </w:r>
            <w:r w:rsidRPr="005F1085">
              <w:rPr>
                <w:b/>
              </w:rPr>
              <w:t>2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1085" w:rsidRPr="005F1085" w:rsidTr="005F1085">
        <w:trPr>
          <w:gridBefore w:val="1"/>
          <w:wBefore w:w="95" w:type="dxa"/>
          <w:trHeight w:val="337"/>
        </w:trPr>
        <w:tc>
          <w:tcPr>
            <w:tcW w:w="14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b/>
                <w:bCs/>
                <w:color w:val="000000"/>
              </w:rPr>
              <w:t>CI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</w:tr>
      <w:tr w:rsidR="005F1085" w:rsidRPr="005F1085" w:rsidTr="005F1085">
        <w:trPr>
          <w:gridBefore w:val="1"/>
          <w:wBefore w:w="95" w:type="dxa"/>
          <w:trHeight w:val="337"/>
        </w:trPr>
        <w:tc>
          <w:tcPr>
            <w:tcW w:w="14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b/>
                <w:bCs/>
                <w:color w:val="000000"/>
              </w:rPr>
              <w:t>P-Value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0.0267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0.0101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>0.0106</w:t>
            </w:r>
          </w:p>
        </w:tc>
      </w:tr>
      <w:tr w:rsidR="005F1085" w:rsidRPr="005F1085" w:rsidTr="005F1085">
        <w:trPr>
          <w:gridBefore w:val="1"/>
          <w:wBefore w:w="95" w:type="dxa"/>
          <w:trHeight w:val="1080"/>
        </w:trPr>
        <w:tc>
          <w:tcPr>
            <w:tcW w:w="14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85" w:rsidRPr="005F1085" w:rsidRDefault="005F1085" w:rsidP="005F10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b/>
                <w:bCs/>
                <w:color w:val="000000"/>
              </w:rPr>
              <w:t>Conclusion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085" w:rsidRPr="005F1085" w:rsidRDefault="005F1085" w:rsidP="00027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 xml:space="preserve">P </w:t>
            </w:r>
            <w:r w:rsidR="00027362">
              <w:rPr>
                <w:rFonts w:ascii="Calibri" w:eastAsia="Times New Roman" w:hAnsi="Calibri" w:cs="Times New Roman"/>
                <w:color w:val="000000"/>
              </w:rPr>
              <w:t>&lt;</w:t>
            </w:r>
            <w:r w:rsidRPr="005F1085">
              <w:rPr>
                <w:rFonts w:ascii="Calibri" w:eastAsia="Times New Roman" w:hAnsi="Calibri" w:cs="Times New Roman"/>
                <w:color w:val="000000"/>
              </w:rPr>
              <w:t xml:space="preserve"> 0.05  =&gt; We reject the NULL hypothesis in favor of H</w:t>
            </w:r>
            <w:r w:rsidRPr="005F1085">
              <w:rPr>
                <w:rFonts w:ascii="Calibri" w:eastAsia="Times New Roman" w:hAnsi="Calibri" w:cs="Times New Roman"/>
                <w:color w:val="000000"/>
                <w:vertAlign w:val="subscript"/>
              </w:rPr>
              <w:t>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085" w:rsidRPr="005F1085" w:rsidRDefault="005F1085" w:rsidP="00027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 xml:space="preserve">P </w:t>
            </w:r>
            <w:r w:rsidR="00027362">
              <w:rPr>
                <w:rFonts w:ascii="Calibri" w:eastAsia="Times New Roman" w:hAnsi="Calibri" w:cs="Times New Roman"/>
                <w:color w:val="000000"/>
              </w:rPr>
              <w:t>&lt;</w:t>
            </w:r>
            <w:r w:rsidRPr="005F1085">
              <w:rPr>
                <w:rFonts w:ascii="Calibri" w:eastAsia="Times New Roman" w:hAnsi="Calibri" w:cs="Times New Roman"/>
                <w:color w:val="000000"/>
              </w:rPr>
              <w:t xml:space="preserve"> 0.05  =&gt; We reject the NULL hypothesis in favor of H</w:t>
            </w:r>
            <w:r w:rsidRPr="005F1085">
              <w:rPr>
                <w:rFonts w:ascii="Calibri" w:eastAsia="Times New Roman" w:hAnsi="Calibri" w:cs="Times New Roman"/>
                <w:color w:val="000000"/>
                <w:vertAlign w:val="subscript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085" w:rsidRPr="005F1085" w:rsidRDefault="005F1085" w:rsidP="00027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 xml:space="preserve">P </w:t>
            </w:r>
            <w:r w:rsidR="00027362">
              <w:rPr>
                <w:rFonts w:ascii="Calibri" w:eastAsia="Times New Roman" w:hAnsi="Calibri" w:cs="Times New Roman"/>
                <w:color w:val="000000"/>
              </w:rPr>
              <w:t>&lt;</w:t>
            </w:r>
            <w:r w:rsidRPr="005F1085">
              <w:rPr>
                <w:rFonts w:ascii="Calibri" w:eastAsia="Times New Roman" w:hAnsi="Calibri" w:cs="Times New Roman"/>
                <w:color w:val="000000"/>
              </w:rPr>
              <w:t xml:space="preserve"> 0.05  =&gt; We reject the NULL hypothesis in favor of H</w:t>
            </w:r>
            <w:r w:rsidRPr="005F1085">
              <w:rPr>
                <w:rFonts w:ascii="Calibri" w:eastAsia="Times New Roman" w:hAnsi="Calibri" w:cs="Times New Roman"/>
                <w:color w:val="000000"/>
                <w:vertAlign w:val="subscript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085" w:rsidRPr="005F1085" w:rsidRDefault="005F1085" w:rsidP="00027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085">
              <w:rPr>
                <w:rFonts w:ascii="Calibri" w:eastAsia="Times New Roman" w:hAnsi="Calibri" w:cs="Times New Roman"/>
                <w:color w:val="000000"/>
              </w:rPr>
              <w:t xml:space="preserve">P </w:t>
            </w:r>
            <w:r w:rsidR="00027362">
              <w:rPr>
                <w:rFonts w:ascii="Calibri" w:eastAsia="Times New Roman" w:hAnsi="Calibri" w:cs="Times New Roman"/>
                <w:color w:val="000000"/>
              </w:rPr>
              <w:t>&lt;</w:t>
            </w:r>
            <w:r w:rsidRPr="005F1085">
              <w:rPr>
                <w:rFonts w:ascii="Calibri" w:eastAsia="Times New Roman" w:hAnsi="Calibri" w:cs="Times New Roman"/>
                <w:color w:val="000000"/>
              </w:rPr>
              <w:t xml:space="preserve"> 0.05  =&gt; We reject the NULL hypothesis in favor of H</w:t>
            </w:r>
            <w:r w:rsidRPr="005F1085">
              <w:rPr>
                <w:rFonts w:ascii="Calibri" w:eastAsia="Times New Roman" w:hAnsi="Calibri" w:cs="Times New Roman"/>
                <w:color w:val="000000"/>
                <w:vertAlign w:val="subscript"/>
              </w:rPr>
              <w:t>1</w:t>
            </w:r>
          </w:p>
        </w:tc>
      </w:tr>
    </w:tbl>
    <w:p w:rsidR="008C139D" w:rsidRDefault="008C139D" w:rsidP="008C139D"/>
    <w:p w:rsidR="005F1085" w:rsidRDefault="005F1085" w:rsidP="005F1085">
      <w:pPr>
        <w:pStyle w:val="Heading4"/>
      </w:pPr>
      <w:r>
        <w:t>Findings and Conclusions</w:t>
      </w:r>
    </w:p>
    <w:p w:rsidR="005F1085" w:rsidRDefault="005F1085" w:rsidP="005F1085">
      <w:r>
        <w:t xml:space="preserve">We are 95% confident that while assuming equal variances, median starting salary, when compared with public and private schools are not equal to one another.  </w:t>
      </w:r>
      <w:r>
        <w:t xml:space="preserve">This tells us that school </w:t>
      </w:r>
      <w:r>
        <w:t xml:space="preserve">type does </w:t>
      </w:r>
      <w:r>
        <w:t>relate to median starting salary.</w:t>
      </w:r>
    </w:p>
    <w:p w:rsidR="005F1085" w:rsidRDefault="005F1085" w:rsidP="005F1085">
      <w:r>
        <w:t>We are 95% confident that while</w:t>
      </w:r>
      <w:r>
        <w:t xml:space="preserve"> not</w:t>
      </w:r>
      <w:r>
        <w:t xml:space="preserve"> assuming equal variances, median starting </w:t>
      </w:r>
      <w:r>
        <w:t>salary, when</w:t>
      </w:r>
      <w:r>
        <w:t xml:space="preserve"> compared with public and private schools are not equal to one another.</w:t>
      </w:r>
      <w:r>
        <w:t xml:space="preserve">  </w:t>
      </w:r>
      <w:r>
        <w:t>This tells us that school type does relate to median starting salary.</w:t>
      </w:r>
    </w:p>
    <w:p w:rsidR="005F1085" w:rsidRDefault="005F1085" w:rsidP="005F1085">
      <w:r>
        <w:lastRenderedPageBreak/>
        <w:t xml:space="preserve">We are 95% confident that while assuming equal variances, </w:t>
      </w:r>
      <w:r>
        <w:t>average SAT score,</w:t>
      </w:r>
      <w:r>
        <w:t xml:space="preserve"> when compared with public and private schools are not equal to one another.</w:t>
      </w:r>
      <w:r>
        <w:t xml:space="preserve">  </w:t>
      </w:r>
      <w:r>
        <w:t xml:space="preserve">This tells us that school </w:t>
      </w:r>
      <w:r>
        <w:t>type does</w:t>
      </w:r>
      <w:r>
        <w:t xml:space="preserve"> relate to average SAT score.</w:t>
      </w:r>
    </w:p>
    <w:p w:rsidR="005F1085" w:rsidRDefault="005F1085" w:rsidP="005F1085">
      <w:r>
        <w:t>We are 95% confident that while assuming equal variances, average SAT score</w:t>
      </w:r>
      <w:r>
        <w:t>,</w:t>
      </w:r>
      <w:r>
        <w:t xml:space="preserve"> when compared with public and private schools are not equal to one another.</w:t>
      </w:r>
      <w:r>
        <w:t xml:space="preserve">  </w:t>
      </w:r>
      <w:r>
        <w:t xml:space="preserve">This tells us that school </w:t>
      </w:r>
      <w:r>
        <w:t>type does</w:t>
      </w:r>
      <w:r>
        <w:t xml:space="preserve"> relate to average SAT score.</w:t>
      </w:r>
    </w:p>
    <w:p w:rsidR="005F1085" w:rsidRPr="005F1085" w:rsidRDefault="005F1085" w:rsidP="005F1085"/>
    <w:p w:rsidR="005F1085" w:rsidRDefault="005F1085" w:rsidP="005F1085">
      <w:pPr>
        <w:pStyle w:val="Heading1"/>
      </w:pPr>
      <w:r>
        <w:t>Section 2: Multiple Regression</w:t>
      </w:r>
    </w:p>
    <w:p w:rsidR="005F1085" w:rsidRDefault="005F1085" w:rsidP="005F1085"/>
    <w:p w:rsidR="00AE47F3" w:rsidRDefault="00AE47F3" w:rsidP="00AE47F3">
      <w:pPr>
        <w:pStyle w:val="Heading2"/>
      </w:pPr>
      <w:r>
        <w:t>Workflow</w:t>
      </w:r>
    </w:p>
    <w:p w:rsidR="00AE47F3" w:rsidRDefault="00AE47F3" w:rsidP="00AE47F3">
      <w:r>
        <w:rPr>
          <w:noProof/>
        </w:rPr>
        <w:drawing>
          <wp:inline distT="0" distB="0" distL="0" distR="0" wp14:anchorId="76D35871" wp14:editId="10CF3F41">
            <wp:extent cx="5943600" cy="191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F3" w:rsidRDefault="00AE47F3" w:rsidP="00AE47F3">
      <w:pPr>
        <w:pStyle w:val="Heading2"/>
      </w:pPr>
      <w:r>
        <w:t>Results</w:t>
      </w:r>
    </w:p>
    <w:p w:rsidR="00AE47F3" w:rsidRDefault="00AE47F3" w:rsidP="00AE47F3">
      <w:r>
        <w:rPr>
          <w:noProof/>
        </w:rPr>
        <w:drawing>
          <wp:inline distT="0" distB="0" distL="0" distR="0" wp14:anchorId="0A6B6BD8" wp14:editId="7FFE71A6">
            <wp:extent cx="351472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F3" w:rsidRDefault="00AE47F3">
      <w:r>
        <w:br w:type="page"/>
      </w:r>
    </w:p>
    <w:p w:rsidR="00F969F9" w:rsidRDefault="00AE47F3" w:rsidP="00BD111F">
      <w:pPr>
        <w:pStyle w:val="Heading2"/>
      </w:pPr>
      <w:r>
        <w:lastRenderedPageBreak/>
        <w:t>Analysis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1419"/>
        <w:gridCol w:w="1806"/>
        <w:gridCol w:w="2128"/>
        <w:gridCol w:w="2479"/>
        <w:gridCol w:w="2063"/>
      </w:tblGrid>
      <w:tr w:rsidR="00F969F9" w:rsidRPr="00F969F9" w:rsidTr="00027362">
        <w:trPr>
          <w:trHeight w:val="3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Full.Time.Enrollment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Student.Faculty.Ratio</w:t>
            </w:r>
            <w:proofErr w:type="spellEnd"/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ST_PUBLIC</w:t>
            </w:r>
          </w:p>
        </w:tc>
      </w:tr>
      <w:tr w:rsidR="00027362" w:rsidRPr="00F969F9" w:rsidTr="0002736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0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: Beta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0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= 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027362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027362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7362" w:rsidRPr="00F969F9" w:rsidTr="00027362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1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: Beta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0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!= 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027362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027362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027362" w:rsidRPr="00F969F9" w:rsidTr="00027362">
        <w:trPr>
          <w:trHeight w:val="3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CI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</w:tr>
      <w:tr w:rsidR="00027362" w:rsidRPr="00F969F9" w:rsidTr="00027362">
        <w:trPr>
          <w:trHeight w:val="3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P-Value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0.4042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7.89E-07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0.6672</w:t>
            </w:r>
          </w:p>
        </w:tc>
      </w:tr>
      <w:tr w:rsidR="00F969F9" w:rsidRPr="00F969F9" w:rsidTr="00027362">
        <w:trPr>
          <w:trHeight w:val="7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Conclusion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P &lt; 0.05  =&gt; We reject the NULL hypothesis in favor of H</w:t>
            </w:r>
            <w:r w:rsidRPr="00F969F9">
              <w:rPr>
                <w:rFonts w:ascii="Calibri" w:eastAsia="Times New Roman" w:hAnsi="Calibri" w:cs="Times New Roman"/>
                <w:color w:val="000000"/>
                <w:vertAlign w:val="subscript"/>
              </w:rPr>
              <w:t>1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9F9" w:rsidRPr="00F969F9" w:rsidRDefault="00F969F9" w:rsidP="00027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 xml:space="preserve">P &gt; 0.05  =&gt; We </w:t>
            </w:r>
            <w:r w:rsidR="00027362">
              <w:rPr>
                <w:rFonts w:ascii="Calibri" w:eastAsia="Times New Roman" w:hAnsi="Calibri" w:cs="Times New Roman"/>
                <w:color w:val="000000"/>
              </w:rPr>
              <w:t>do not reject</w:t>
            </w:r>
            <w:r w:rsidRPr="00F969F9">
              <w:rPr>
                <w:rFonts w:ascii="Calibri" w:eastAsia="Times New Roman" w:hAnsi="Calibri" w:cs="Times New Roman"/>
                <w:color w:val="000000"/>
              </w:rPr>
              <w:t xml:space="preserve"> the NULL hypothesis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P &lt; 0.05  =&gt; We reject the NULL hypothesis in favor of H</w:t>
            </w:r>
            <w:r w:rsidRPr="00F969F9">
              <w:rPr>
                <w:rFonts w:ascii="Calibri" w:eastAsia="Times New Roman" w:hAnsi="Calibri" w:cs="Times New Roman"/>
                <w:color w:val="000000"/>
                <w:vertAlign w:val="subscript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9F9" w:rsidRPr="00F969F9" w:rsidRDefault="00027362" w:rsidP="00F9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 xml:space="preserve">P &gt; 0.05  =&gt; We </w:t>
            </w:r>
            <w:r>
              <w:rPr>
                <w:rFonts w:ascii="Calibri" w:eastAsia="Times New Roman" w:hAnsi="Calibri" w:cs="Times New Roman"/>
                <w:color w:val="000000"/>
              </w:rPr>
              <w:t>do not reject</w:t>
            </w:r>
            <w:r w:rsidRPr="00F969F9">
              <w:rPr>
                <w:rFonts w:ascii="Calibri" w:eastAsia="Times New Roman" w:hAnsi="Calibri" w:cs="Times New Roman"/>
                <w:color w:val="000000"/>
              </w:rPr>
              <w:t xml:space="preserve"> the NULL hypothesis</w:t>
            </w:r>
          </w:p>
        </w:tc>
      </w:tr>
    </w:tbl>
    <w:p w:rsidR="00F969F9" w:rsidRDefault="00F969F9" w:rsidP="00F969F9"/>
    <w:tbl>
      <w:tblPr>
        <w:tblW w:w="6860" w:type="dxa"/>
        <w:tblLook w:val="04A0" w:firstRow="1" w:lastRow="0" w:firstColumn="1" w:lastColumn="0" w:noHBand="0" w:noVBand="1"/>
      </w:tblPr>
      <w:tblGrid>
        <w:gridCol w:w="1580"/>
        <w:gridCol w:w="1720"/>
        <w:gridCol w:w="1840"/>
        <w:gridCol w:w="1720"/>
      </w:tblGrid>
      <w:tr w:rsidR="00F969F9" w:rsidRPr="00F969F9" w:rsidTr="00F969F9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TQ_A+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TQ_B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TQ_A</w:t>
            </w:r>
          </w:p>
        </w:tc>
      </w:tr>
      <w:tr w:rsidR="00F969F9" w:rsidRPr="00F969F9" w:rsidTr="00F969F9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0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: Beta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0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= 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027362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69F9" w:rsidRPr="00F969F9" w:rsidTr="00F969F9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1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: Beta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0</w:t>
            </w: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!= 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027362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027362" w:rsidP="00F969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F969F9" w:rsidRPr="00F969F9" w:rsidTr="00F96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CI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9F9" w:rsidRPr="00F969F9" w:rsidTr="00F96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P-Value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9.83E-05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0.7751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9.98E-01</w:t>
            </w:r>
          </w:p>
        </w:tc>
      </w:tr>
      <w:tr w:rsidR="00F969F9" w:rsidRPr="00F969F9" w:rsidTr="00027362">
        <w:trPr>
          <w:trHeight w:val="827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b/>
                <w:bCs/>
                <w:color w:val="000000"/>
              </w:rPr>
              <w:t>Conclusion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9F9" w:rsidRPr="00F969F9" w:rsidRDefault="00F969F9" w:rsidP="00F9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>P &lt; 0.05  =&gt; We reject the NULL hypothesis in favor of H</w:t>
            </w:r>
            <w:r w:rsidRPr="00F969F9">
              <w:rPr>
                <w:rFonts w:ascii="Calibri" w:eastAsia="Times New Roman" w:hAnsi="Calibri" w:cs="Times New Roman"/>
                <w:color w:val="000000"/>
                <w:vertAlign w:val="subscript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9F9" w:rsidRPr="00F969F9" w:rsidRDefault="00027362" w:rsidP="00F9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 xml:space="preserve">P &gt; 0.05  =&gt; We </w:t>
            </w:r>
            <w:r>
              <w:rPr>
                <w:rFonts w:ascii="Calibri" w:eastAsia="Times New Roman" w:hAnsi="Calibri" w:cs="Times New Roman"/>
                <w:color w:val="000000"/>
              </w:rPr>
              <w:t>do not reject</w:t>
            </w:r>
            <w:r w:rsidRPr="00F969F9">
              <w:rPr>
                <w:rFonts w:ascii="Calibri" w:eastAsia="Times New Roman" w:hAnsi="Calibri" w:cs="Times New Roman"/>
                <w:color w:val="000000"/>
              </w:rPr>
              <w:t xml:space="preserve"> the NULL hypothesis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9F9" w:rsidRPr="00F969F9" w:rsidRDefault="00027362" w:rsidP="00F9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69F9">
              <w:rPr>
                <w:rFonts w:ascii="Calibri" w:eastAsia="Times New Roman" w:hAnsi="Calibri" w:cs="Times New Roman"/>
                <w:color w:val="000000"/>
              </w:rPr>
              <w:t xml:space="preserve">P &gt; 0.05  =&gt; We </w:t>
            </w:r>
            <w:r>
              <w:rPr>
                <w:rFonts w:ascii="Calibri" w:eastAsia="Times New Roman" w:hAnsi="Calibri" w:cs="Times New Roman"/>
                <w:color w:val="000000"/>
              </w:rPr>
              <w:t>do not reject</w:t>
            </w:r>
            <w:r w:rsidRPr="00F969F9">
              <w:rPr>
                <w:rFonts w:ascii="Calibri" w:eastAsia="Times New Roman" w:hAnsi="Calibri" w:cs="Times New Roman"/>
                <w:color w:val="000000"/>
              </w:rPr>
              <w:t xml:space="preserve"> the NULL hypothesis</w:t>
            </w:r>
          </w:p>
        </w:tc>
      </w:tr>
    </w:tbl>
    <w:p w:rsidR="00BD111F" w:rsidRDefault="00BD111F" w:rsidP="00BD111F"/>
    <w:p w:rsidR="00BD111F" w:rsidRDefault="00BD111F" w:rsidP="00BD111F">
      <w:pPr>
        <w:pStyle w:val="Heading3"/>
      </w:pPr>
      <w:r>
        <w:t>Equation</w:t>
      </w:r>
    </w:p>
    <w:p w:rsidR="00F969F9" w:rsidRDefault="00BD111F" w:rsidP="00BD111F">
      <w:r>
        <w:t>STARTING SALARY = 0.0059*FTE + 7.6531*ST_PUBLIC + 6.1815* TQ_B + 0.0713* TQ_A</w:t>
      </w:r>
    </w:p>
    <w:p w:rsidR="00027362" w:rsidRDefault="00027362" w:rsidP="00F969F9">
      <w:r>
        <w:t>Multiple R-Squared = 0.4239</w:t>
      </w:r>
    </w:p>
    <w:p w:rsidR="00027362" w:rsidRDefault="00027362" w:rsidP="00F969F9">
      <w:r>
        <w:t>Adjusted R-Squared = 0.3944</w:t>
      </w:r>
    </w:p>
    <w:p w:rsidR="00027362" w:rsidRDefault="00027362" w:rsidP="00F969F9">
      <w:r>
        <w:t xml:space="preserve">I do not feel the data the fits the regression line well.  The graph is very noisy and unpredictable.  </w:t>
      </w:r>
    </w:p>
    <w:p w:rsidR="00BD111F" w:rsidRDefault="00BD111F" w:rsidP="00BD111F">
      <w:pPr>
        <w:pStyle w:val="Heading3"/>
      </w:pPr>
      <w:r>
        <w:t>Findings</w:t>
      </w:r>
    </w:p>
    <w:p w:rsidR="00BD111F" w:rsidRPr="00BD111F" w:rsidRDefault="00BD111F" w:rsidP="00BD111F">
      <w:r>
        <w:t xml:space="preserve">We found that the highest factor in starting salary is ST_PUBLIC.  We do not reject the NULL hypothesis with intercept, </w:t>
      </w:r>
      <w:proofErr w:type="spellStart"/>
      <w:r>
        <w:t>Student.Faculty.Ration</w:t>
      </w:r>
      <w:proofErr w:type="spellEnd"/>
      <w:r>
        <w:t>, and TQ_A+, so we can exclude them from our equation.  With R-squared under 50%, we can also determine that people are unpredictable.</w:t>
      </w:r>
    </w:p>
    <w:sectPr w:rsidR="00BD111F" w:rsidRPr="00BD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D8"/>
    <w:rsid w:val="00027362"/>
    <w:rsid w:val="00482BDF"/>
    <w:rsid w:val="005F1085"/>
    <w:rsid w:val="008A26D8"/>
    <w:rsid w:val="008C139D"/>
    <w:rsid w:val="0096180B"/>
    <w:rsid w:val="00A20B86"/>
    <w:rsid w:val="00AE47F3"/>
    <w:rsid w:val="00BD111F"/>
    <w:rsid w:val="00E37F68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3F13F-14DD-4F6F-956A-DE65519A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B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B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7F6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Urbanowicz</dc:creator>
  <cp:keywords/>
  <dc:description/>
  <cp:lastModifiedBy>Todd Urbanowicz</cp:lastModifiedBy>
  <cp:revision>3</cp:revision>
  <dcterms:created xsi:type="dcterms:W3CDTF">2015-10-20T17:59:00Z</dcterms:created>
  <dcterms:modified xsi:type="dcterms:W3CDTF">2015-10-21T00:07:00Z</dcterms:modified>
</cp:coreProperties>
</file>