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1C" w:rsidRPr="00522192" w:rsidRDefault="005B2F79" w:rsidP="005B2F79">
      <w:pPr>
        <w:rPr>
          <w:rFonts w:asciiTheme="majorEastAsia" w:eastAsiaTheme="majorEastAsia" w:hAnsiTheme="majorEastAsia"/>
          <w:b/>
        </w:rPr>
      </w:pPr>
      <w:r w:rsidRPr="00522192">
        <w:rPr>
          <w:rFonts w:asciiTheme="majorEastAsia" w:eastAsiaTheme="majorEastAsia" w:hAnsiTheme="majorEastAsia" w:hint="eastAsia"/>
          <w:b/>
        </w:rPr>
        <w:t>一、量化模型现状</w:t>
      </w:r>
    </w:p>
    <w:p w:rsidR="005B2F79" w:rsidRDefault="005B2F79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1、</w:t>
      </w:r>
      <w:r>
        <w:rPr>
          <w:rFonts w:asciiTheme="majorEastAsia" w:eastAsiaTheme="majorEastAsia" w:hAnsiTheme="majorEastAsia" w:hint="eastAsia"/>
        </w:rPr>
        <w:t>模型依据</w:t>
      </w:r>
    </w:p>
    <w:p w:rsidR="005B2F79" w:rsidRDefault="005B2F79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以跟随趋势为目的设计，选取A股市场中代表不同成分并</w:t>
      </w:r>
      <w:r w:rsidR="00732E30">
        <w:rPr>
          <w:rFonts w:asciiTheme="majorEastAsia" w:eastAsiaTheme="majorEastAsia" w:hAnsiTheme="majorEastAsia" w:hint="eastAsia"/>
        </w:rPr>
        <w:t>相互</w:t>
      </w:r>
      <w:r>
        <w:rPr>
          <w:rFonts w:asciiTheme="majorEastAsia" w:eastAsiaTheme="majorEastAsia" w:hAnsiTheme="majorEastAsia" w:hint="eastAsia"/>
        </w:rPr>
        <w:t>具有一定独立性的标的进行跟踪对比，在某个时期内投资趋势最强的标的；同时该模型带有止损机制；</w:t>
      </w:r>
    </w:p>
    <w:p w:rsidR="005B2F79" w:rsidRDefault="005B2F79" w:rsidP="005B2F79">
      <w:pPr>
        <w:rPr>
          <w:rFonts w:asciiTheme="majorEastAsia" w:eastAsiaTheme="majorEastAsia" w:hAnsiTheme="majorEastAsia"/>
        </w:rPr>
      </w:pPr>
    </w:p>
    <w:p w:rsidR="00522192" w:rsidRPr="005B2F79" w:rsidRDefault="00522192" w:rsidP="0052219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2、模型原理</w:t>
      </w:r>
    </w:p>
    <w:p w:rsidR="00522192" w:rsidRPr="005B2F79" w:rsidRDefault="000E228F" w:rsidP="00522192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cs="Helvetica" w:hint="eastAsia"/>
          <w:color w:val="33353C"/>
          <w:szCs w:val="21"/>
        </w:rPr>
        <w:t>选取A、B、C或其他为标的池</w:t>
      </w:r>
      <w:r w:rsidR="00522192">
        <w:rPr>
          <w:rFonts w:asciiTheme="majorEastAsia" w:eastAsiaTheme="majorEastAsia" w:hAnsiTheme="majorEastAsia" w:cs="Helvetica"/>
          <w:color w:val="33353C"/>
          <w:szCs w:val="21"/>
        </w:rPr>
        <w:t>，</w:t>
      </w:r>
      <w:r>
        <w:rPr>
          <w:rFonts w:asciiTheme="majorEastAsia" w:eastAsiaTheme="majorEastAsia" w:hAnsiTheme="majorEastAsia" w:cs="Helvetica" w:hint="eastAsia"/>
          <w:color w:val="33353C"/>
          <w:szCs w:val="21"/>
        </w:rPr>
        <w:t>对每只标的当日</w:t>
      </w:r>
      <w:r>
        <w:rPr>
          <w:rFonts w:asciiTheme="majorEastAsia" w:eastAsiaTheme="majorEastAsia" w:hAnsiTheme="majorEastAsia" w:cs="Helvetica"/>
          <w:color w:val="33353C"/>
          <w:szCs w:val="21"/>
        </w:rPr>
        <w:t>收盘</w:t>
      </w:r>
      <w:r>
        <w:rPr>
          <w:rFonts w:asciiTheme="majorEastAsia" w:eastAsiaTheme="majorEastAsia" w:hAnsiTheme="majorEastAsia" w:cs="Helvetica" w:hint="eastAsia"/>
          <w:color w:val="33353C"/>
          <w:szCs w:val="21"/>
        </w:rPr>
        <w:t>价</w:t>
      </w:r>
      <w:r w:rsidR="00522192" w:rsidRPr="005B2F79">
        <w:rPr>
          <w:rFonts w:asciiTheme="majorEastAsia" w:eastAsiaTheme="majorEastAsia" w:hAnsiTheme="majorEastAsia" w:cs="Helvetica"/>
          <w:color w:val="33353C"/>
          <w:szCs w:val="21"/>
        </w:rPr>
        <w:t>与</w:t>
      </w:r>
      <w:r>
        <w:rPr>
          <w:rFonts w:asciiTheme="majorEastAsia" w:eastAsiaTheme="majorEastAsia" w:hAnsiTheme="majorEastAsia" w:cs="Helvetica" w:hint="eastAsia"/>
          <w:color w:val="33353C"/>
          <w:szCs w:val="21"/>
        </w:rPr>
        <w:t>第N</w:t>
      </w:r>
      <w:r>
        <w:rPr>
          <w:rFonts w:asciiTheme="majorEastAsia" w:eastAsiaTheme="majorEastAsia" w:hAnsiTheme="majorEastAsia" w:cs="Helvetica"/>
          <w:color w:val="33353C"/>
          <w:szCs w:val="21"/>
        </w:rPr>
        <w:t>日前的收盘</w:t>
      </w:r>
      <w:r>
        <w:rPr>
          <w:rFonts w:asciiTheme="majorEastAsia" w:eastAsiaTheme="majorEastAsia" w:hAnsiTheme="majorEastAsia" w:cs="Helvetica" w:hint="eastAsia"/>
          <w:color w:val="33353C"/>
          <w:szCs w:val="21"/>
        </w:rPr>
        <w:t>价差值</w:t>
      </w:r>
      <w:r w:rsidR="00522192" w:rsidRPr="005B2F79">
        <w:rPr>
          <w:rFonts w:asciiTheme="majorEastAsia" w:eastAsiaTheme="majorEastAsia" w:hAnsiTheme="majorEastAsia" w:cs="Helvetica"/>
          <w:color w:val="33353C"/>
          <w:szCs w:val="21"/>
        </w:rPr>
        <w:t>，选择</w:t>
      </w:r>
      <w:r>
        <w:rPr>
          <w:rFonts w:asciiTheme="majorEastAsia" w:eastAsiaTheme="majorEastAsia" w:hAnsiTheme="majorEastAsia" w:cs="Helvetica" w:hint="eastAsia"/>
          <w:color w:val="33353C"/>
          <w:szCs w:val="21"/>
        </w:rPr>
        <w:t>标的池</w:t>
      </w:r>
      <w:r w:rsidR="00522192" w:rsidRPr="005B2F79">
        <w:rPr>
          <w:rFonts w:asciiTheme="majorEastAsia" w:eastAsiaTheme="majorEastAsia" w:hAnsiTheme="majorEastAsia" w:cs="Helvetica"/>
          <w:color w:val="33353C"/>
          <w:szCs w:val="21"/>
        </w:rPr>
        <w:t>中</w:t>
      </w:r>
      <w:r>
        <w:rPr>
          <w:rFonts w:asciiTheme="majorEastAsia" w:eastAsiaTheme="majorEastAsia" w:hAnsiTheme="majorEastAsia" w:cs="Helvetica" w:hint="eastAsia"/>
          <w:color w:val="33353C"/>
          <w:szCs w:val="21"/>
        </w:rPr>
        <w:t>差值最大且为正数的标的，在收盘时换入持有</w:t>
      </w:r>
      <w:r w:rsidR="00522192" w:rsidRPr="005B2F79">
        <w:rPr>
          <w:rFonts w:asciiTheme="majorEastAsia" w:eastAsiaTheme="majorEastAsia" w:hAnsiTheme="majorEastAsia" w:cs="Helvetica"/>
          <w:color w:val="33353C"/>
          <w:szCs w:val="21"/>
        </w:rPr>
        <w:t>；若</w:t>
      </w:r>
      <w:r>
        <w:rPr>
          <w:rFonts w:asciiTheme="majorEastAsia" w:eastAsiaTheme="majorEastAsia" w:hAnsiTheme="majorEastAsia" w:cs="Helvetica" w:hint="eastAsia"/>
          <w:color w:val="33353C"/>
          <w:szCs w:val="21"/>
        </w:rPr>
        <w:t>标的池中所有标的的差值均为负数，则收盘时换入货币基金持有</w:t>
      </w:r>
      <w:r>
        <w:rPr>
          <w:rFonts w:asciiTheme="majorEastAsia" w:eastAsiaTheme="majorEastAsia" w:hAnsiTheme="majorEastAsia" w:cs="Helvetica"/>
          <w:color w:val="33353C"/>
          <w:szCs w:val="21"/>
        </w:rPr>
        <w:t>；</w:t>
      </w:r>
    </w:p>
    <w:p w:rsidR="00522192" w:rsidRDefault="00522192" w:rsidP="005B2F79">
      <w:pPr>
        <w:rPr>
          <w:rFonts w:asciiTheme="majorEastAsia" w:eastAsiaTheme="majorEastAsia" w:hAnsiTheme="majorEastAsia"/>
        </w:rPr>
      </w:pPr>
    </w:p>
    <w:p w:rsidR="00522192" w:rsidRDefault="00522192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3、</w:t>
      </w:r>
      <w:r>
        <w:rPr>
          <w:rFonts w:asciiTheme="majorEastAsia" w:eastAsiaTheme="majorEastAsia" w:hAnsiTheme="majorEastAsia" w:hint="eastAsia"/>
        </w:rPr>
        <w:t>选取标的</w:t>
      </w:r>
    </w:p>
    <w:p w:rsidR="00522192" w:rsidRDefault="00522192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沪深300</w:t>
      </w:r>
      <w:r w:rsidR="000E228F">
        <w:rPr>
          <w:rFonts w:asciiTheme="majorEastAsia" w:eastAsiaTheme="majorEastAsia" w:hAnsiTheme="majorEastAsia" w:hint="eastAsia"/>
        </w:rPr>
        <w:t>指数</w:t>
      </w:r>
      <w:r>
        <w:rPr>
          <w:rFonts w:asciiTheme="majorEastAsia" w:eastAsiaTheme="majorEastAsia" w:hAnsiTheme="majorEastAsia" w:hint="eastAsia"/>
        </w:rPr>
        <w:t>：代表市场市值最大的300只股票</w:t>
      </w:r>
    </w:p>
    <w:p w:rsidR="00522192" w:rsidRDefault="00522192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中证500</w:t>
      </w:r>
      <w:r w:rsidR="000E228F">
        <w:rPr>
          <w:rFonts w:asciiTheme="majorEastAsia" w:eastAsiaTheme="majorEastAsia" w:hAnsiTheme="majorEastAsia" w:hint="eastAsia"/>
        </w:rPr>
        <w:t>指数</w:t>
      </w:r>
      <w:r>
        <w:rPr>
          <w:rFonts w:asciiTheme="majorEastAsia" w:eastAsiaTheme="majorEastAsia" w:hAnsiTheme="majorEastAsia" w:hint="eastAsia"/>
        </w:rPr>
        <w:t>：代表市场市值排第301-800只股票</w:t>
      </w:r>
    </w:p>
    <w:p w:rsidR="00522192" w:rsidRDefault="00522192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创业板</w:t>
      </w:r>
      <w:r w:rsidR="000E228F">
        <w:rPr>
          <w:rFonts w:asciiTheme="majorEastAsia" w:eastAsiaTheme="majorEastAsia" w:hAnsiTheme="majorEastAsia" w:hint="eastAsia"/>
        </w:rPr>
        <w:t>指数</w:t>
      </w:r>
      <w:r>
        <w:rPr>
          <w:rFonts w:asciiTheme="majorEastAsia" w:eastAsiaTheme="majorEastAsia" w:hAnsiTheme="majorEastAsia" w:hint="eastAsia"/>
        </w:rPr>
        <w:t>：代表小盘股</w:t>
      </w:r>
    </w:p>
    <w:p w:rsidR="00522192" w:rsidRDefault="00522192" w:rsidP="005B2F79">
      <w:pPr>
        <w:rPr>
          <w:rFonts w:asciiTheme="majorEastAsia" w:eastAsiaTheme="majorEastAsia" w:hAnsiTheme="majorEastAsia"/>
        </w:rPr>
      </w:pPr>
    </w:p>
    <w:p w:rsidR="00522192" w:rsidRDefault="00522192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标的相关性：</w:t>
      </w:r>
    </w:p>
    <w:p w:rsidR="00522192" w:rsidRDefault="00522192" w:rsidP="005B2F79">
      <w:pPr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4A406C5C" wp14:editId="23C07C05">
            <wp:extent cx="5020147" cy="136224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172" cy="13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92" w:rsidRDefault="00522192" w:rsidP="005B2F79">
      <w:pPr>
        <w:rPr>
          <w:rFonts w:asciiTheme="majorEastAsia" w:eastAsiaTheme="majorEastAsia" w:hAnsiTheme="majorEastAsia"/>
        </w:rPr>
      </w:pPr>
    </w:p>
    <w:p w:rsidR="000E228F" w:rsidRDefault="000E228F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4、</w:t>
      </w:r>
      <w:r>
        <w:rPr>
          <w:rFonts w:asciiTheme="majorEastAsia" w:eastAsiaTheme="majorEastAsia" w:hAnsiTheme="majorEastAsia" w:hint="eastAsia"/>
        </w:rPr>
        <w:t>第N日参数选取</w:t>
      </w:r>
    </w:p>
    <w:p w:rsidR="000E228F" w:rsidRDefault="000E228F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回测10年数据，得出</w:t>
      </w:r>
      <w:r>
        <w:rPr>
          <w:rFonts w:asciiTheme="majorEastAsia" w:eastAsiaTheme="majorEastAsia" w:hAnsiTheme="majorEastAsia"/>
        </w:rPr>
        <w:t>10、</w:t>
      </w: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4、21</w:t>
      </w:r>
      <w:r>
        <w:rPr>
          <w:rFonts w:asciiTheme="majorEastAsia" w:eastAsiaTheme="majorEastAsia" w:hAnsiTheme="majorEastAsia" w:hint="eastAsia"/>
        </w:rPr>
        <w:t>日的累计收益最优；从业务理解上，10日为2个交易周，14日约3个交易周，21日约1个交易月；</w:t>
      </w:r>
    </w:p>
    <w:p w:rsidR="000E228F" w:rsidRDefault="000E228F" w:rsidP="005B2F79">
      <w:pPr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15ADF810" wp14:editId="656EFC75">
            <wp:extent cx="5038504" cy="2537064"/>
            <wp:effectExtent l="19050" t="19050" r="1016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095" cy="2549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2E30" w:rsidRDefault="00732E30" w:rsidP="005B2F79">
      <w:pPr>
        <w:rPr>
          <w:rFonts w:asciiTheme="majorEastAsia" w:eastAsiaTheme="majorEastAsia" w:hAnsiTheme="majorEastAsia"/>
        </w:rPr>
      </w:pPr>
    </w:p>
    <w:p w:rsidR="00732E30" w:rsidRDefault="00732E30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5、</w:t>
      </w:r>
      <w:r>
        <w:rPr>
          <w:rFonts w:asciiTheme="majorEastAsia" w:eastAsiaTheme="majorEastAsia" w:hAnsiTheme="majorEastAsia" w:hint="eastAsia"/>
        </w:rPr>
        <w:t>历史回测收益</w:t>
      </w:r>
    </w:p>
    <w:p w:rsidR="00732E30" w:rsidRDefault="00732E30" w:rsidP="005B2F79">
      <w:pPr>
        <w:rPr>
          <w:rFonts w:asciiTheme="majorEastAsia" w:eastAsiaTheme="majorEastAsia" w:hAnsiTheme="majorEastAsia"/>
        </w:rPr>
      </w:pPr>
      <w:r>
        <w:rPr>
          <w:noProof/>
        </w:rPr>
        <w:lastRenderedPageBreak/>
        <w:drawing>
          <wp:inline distT="0" distB="0" distL="0" distR="0" wp14:anchorId="270816C8" wp14:editId="7707C41F">
            <wp:extent cx="6319531" cy="2209360"/>
            <wp:effectExtent l="19050" t="19050" r="2413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3951" cy="2214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2E30" w:rsidRDefault="00732E30" w:rsidP="005B2F79">
      <w:pPr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6C660DCA" wp14:editId="50172C0F">
            <wp:extent cx="2775093" cy="2952902"/>
            <wp:effectExtent l="19050" t="19050" r="2540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2952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2E30" w:rsidRDefault="00732E30" w:rsidP="005B2F79">
      <w:pPr>
        <w:rPr>
          <w:rFonts w:asciiTheme="majorEastAsia" w:eastAsiaTheme="majorEastAsia" w:hAnsiTheme="majorEastAsia"/>
        </w:rPr>
      </w:pPr>
    </w:p>
    <w:p w:rsidR="00732E30" w:rsidRDefault="00732E30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6、</w:t>
      </w:r>
      <w:r>
        <w:rPr>
          <w:rFonts w:asciiTheme="majorEastAsia" w:eastAsiaTheme="majorEastAsia" w:hAnsiTheme="majorEastAsia" w:hint="eastAsia"/>
        </w:rPr>
        <w:t>标的选取优化</w:t>
      </w:r>
    </w:p>
    <w:p w:rsidR="00732E30" w:rsidRDefault="00732E30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将相关性高的标的作为1组，选取其中1只代表标的进入模型计算，如模型判断持有该代表标的，则再对比该标的所在高相关组的所有标的，选取组内差值最高的标的持有，</w:t>
      </w:r>
      <w:r w:rsidR="00740EF1">
        <w:rPr>
          <w:rFonts w:asciiTheme="majorEastAsia" w:eastAsiaTheme="majorEastAsia" w:hAnsiTheme="majorEastAsia" w:hint="eastAsia"/>
        </w:rPr>
        <w:t>以期</w:t>
      </w:r>
      <w:r>
        <w:rPr>
          <w:rFonts w:asciiTheme="majorEastAsia" w:eastAsiaTheme="majorEastAsia" w:hAnsiTheme="majorEastAsia" w:hint="eastAsia"/>
        </w:rPr>
        <w:t>达到收益最大化；此优化策略未进行数据回测；</w:t>
      </w:r>
    </w:p>
    <w:p w:rsidR="00732E30" w:rsidRDefault="00732E30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沪深300指数高相关性组：上证50</w:t>
      </w:r>
      <w:r w:rsidR="000101E8">
        <w:rPr>
          <w:rFonts w:asciiTheme="majorEastAsia" w:eastAsiaTheme="majorEastAsia" w:hAnsiTheme="majorEastAsia" w:hint="eastAsia"/>
        </w:rPr>
        <w:t>指数</w:t>
      </w:r>
      <w:r>
        <w:rPr>
          <w:rFonts w:asciiTheme="majorEastAsia" w:eastAsiaTheme="majorEastAsia" w:hAnsiTheme="majorEastAsia" w:hint="eastAsia"/>
        </w:rPr>
        <w:t>、深证100</w:t>
      </w:r>
      <w:r w:rsidR="000101E8">
        <w:rPr>
          <w:rFonts w:asciiTheme="majorEastAsia" w:eastAsiaTheme="majorEastAsia" w:hAnsiTheme="majorEastAsia" w:hint="eastAsia"/>
        </w:rPr>
        <w:t>指数</w:t>
      </w:r>
    </w:p>
    <w:p w:rsidR="00732E30" w:rsidRDefault="00732E30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中证500指数高相关性组：中小板指数、深证成指</w:t>
      </w:r>
    </w:p>
    <w:p w:rsidR="000101E8" w:rsidRDefault="000101E8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创业板指数高相关性组：创业板50指数</w:t>
      </w:r>
    </w:p>
    <w:p w:rsidR="000101E8" w:rsidRDefault="000101E8" w:rsidP="005B2F79">
      <w:pPr>
        <w:rPr>
          <w:rFonts w:asciiTheme="majorEastAsia" w:eastAsiaTheme="majorEastAsia" w:hAnsiTheme="majorEastAsia"/>
        </w:rPr>
      </w:pPr>
    </w:p>
    <w:p w:rsidR="000101E8" w:rsidRDefault="000101E8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7、</w:t>
      </w:r>
      <w:r>
        <w:rPr>
          <w:rFonts w:asciiTheme="majorEastAsia" w:eastAsiaTheme="majorEastAsia" w:hAnsiTheme="majorEastAsia" w:hint="eastAsia"/>
        </w:rPr>
        <w:t>模型缺陷</w:t>
      </w:r>
    </w:p>
    <w:p w:rsidR="00856E7F" w:rsidRPr="00856E7F" w:rsidRDefault="00856E7F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模型初版建立以后无进行参数调优和数据更新回测，可能存在一定程度效果折损；</w:t>
      </w:r>
      <w:bookmarkStart w:id="0" w:name="_GoBack"/>
      <w:bookmarkEnd w:id="0"/>
    </w:p>
    <w:p w:rsidR="00732E30" w:rsidRDefault="000101E8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胜率不高，单次胜负为从货币基金切换至某标的起，到某标的切换至货币基金为1次周期，无具体回测过，但估计胜率低于50%；对于市场长期处于震荡时，该模型损失较大；</w:t>
      </w:r>
    </w:p>
    <w:p w:rsidR="000101E8" w:rsidRDefault="000101E8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无计算过夏普值；</w:t>
      </w:r>
    </w:p>
    <w:p w:rsidR="000101E8" w:rsidRDefault="00740EF1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无计算过对于除A股市场外的其他市场是否有效；</w:t>
      </w:r>
    </w:p>
    <w:p w:rsidR="00740EF1" w:rsidRDefault="00740EF1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当模型切换至货币基金时，如何提高此阶段的收益率；</w:t>
      </w:r>
    </w:p>
    <w:p w:rsidR="00740EF1" w:rsidRDefault="00740EF1" w:rsidP="005B2F79">
      <w:pPr>
        <w:rPr>
          <w:rFonts w:asciiTheme="majorEastAsia" w:eastAsiaTheme="majorEastAsia" w:hAnsiTheme="majorEastAsia"/>
        </w:rPr>
      </w:pPr>
    </w:p>
    <w:p w:rsidR="00740EF1" w:rsidRPr="00740EF1" w:rsidRDefault="00740EF1" w:rsidP="005B2F79">
      <w:pPr>
        <w:rPr>
          <w:rFonts w:asciiTheme="majorEastAsia" w:eastAsiaTheme="majorEastAsia" w:hAnsiTheme="majorEastAsia"/>
          <w:b/>
        </w:rPr>
      </w:pPr>
      <w:r w:rsidRPr="00740EF1">
        <w:rPr>
          <w:rFonts w:asciiTheme="majorEastAsia" w:eastAsiaTheme="majorEastAsia" w:hAnsiTheme="majorEastAsia" w:hint="eastAsia"/>
          <w:b/>
        </w:rPr>
        <w:t>二、模型升级思路</w:t>
      </w:r>
    </w:p>
    <w:p w:rsidR="00740EF1" w:rsidRDefault="00740EF1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1、</w:t>
      </w:r>
      <w:r>
        <w:rPr>
          <w:rFonts w:asciiTheme="majorEastAsia" w:eastAsiaTheme="majorEastAsia" w:hAnsiTheme="majorEastAsia" w:hint="eastAsia"/>
        </w:rPr>
        <w:t>引入波动率指标，即一段周期内的标准差，以此判断趋势的有效性，从而提高模型切换买入信号的胜率；</w:t>
      </w:r>
    </w:p>
    <w:p w:rsidR="00740EF1" w:rsidRDefault="00740EF1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2、</w:t>
      </w:r>
      <w:r>
        <w:rPr>
          <w:rFonts w:asciiTheme="majorEastAsia" w:eastAsiaTheme="majorEastAsia" w:hAnsiTheme="majorEastAsia" w:hint="eastAsia"/>
        </w:rPr>
        <w:t>A股市场历次持续大型趋势的牛市多为资金推动型牛市，故引入资金面数据，以期判断当前阶段的市场情绪和温度，指引仓位管理</w:t>
      </w:r>
      <w:r w:rsidR="00700E8A">
        <w:rPr>
          <w:rFonts w:asciiTheme="majorEastAsia" w:eastAsiaTheme="majorEastAsia" w:hAnsiTheme="majorEastAsia" w:hint="eastAsia"/>
        </w:rPr>
        <w:t>，通过资金面指标进行</w:t>
      </w:r>
      <w:r w:rsidR="0027763F">
        <w:rPr>
          <w:rFonts w:asciiTheme="majorEastAsia" w:eastAsiaTheme="majorEastAsia" w:hAnsiTheme="majorEastAsia" w:hint="eastAsia"/>
        </w:rPr>
        <w:t>模型</w:t>
      </w:r>
      <w:r w:rsidR="00700E8A">
        <w:rPr>
          <w:rFonts w:asciiTheme="majorEastAsia" w:eastAsiaTheme="majorEastAsia" w:hAnsiTheme="majorEastAsia" w:hint="eastAsia"/>
        </w:rPr>
        <w:t>预测</w:t>
      </w:r>
      <w:r>
        <w:rPr>
          <w:rFonts w:asciiTheme="majorEastAsia" w:eastAsiaTheme="majorEastAsia" w:hAnsiTheme="majorEastAsia"/>
        </w:rPr>
        <w:t>；</w:t>
      </w:r>
    </w:p>
    <w:p w:rsidR="00740EF1" w:rsidRDefault="00740EF1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3、</w:t>
      </w:r>
      <w:r>
        <w:rPr>
          <w:rFonts w:asciiTheme="majorEastAsia" w:eastAsiaTheme="majorEastAsia" w:hAnsiTheme="majorEastAsia" w:hint="eastAsia"/>
        </w:rPr>
        <w:t>随着证券市场的成熟、对外资的不断开放、量化投资理念的流行，未来可以预见指数型投资在市场的比重越发增</w:t>
      </w:r>
      <w:r>
        <w:rPr>
          <w:rFonts w:asciiTheme="majorEastAsia" w:eastAsiaTheme="majorEastAsia" w:hAnsiTheme="majorEastAsia" w:hint="eastAsia"/>
        </w:rPr>
        <w:lastRenderedPageBreak/>
        <w:t>大，故通过对指数基金的规模监控，</w:t>
      </w:r>
      <w:r w:rsidR="00741952">
        <w:rPr>
          <w:rFonts w:asciiTheme="majorEastAsia" w:eastAsiaTheme="majorEastAsia" w:hAnsiTheme="majorEastAsia" w:hint="eastAsia"/>
        </w:rPr>
        <w:t>期望达到对市场变化的一定预测；</w:t>
      </w:r>
    </w:p>
    <w:p w:rsidR="00741952" w:rsidRDefault="00741952" w:rsidP="005B2F79">
      <w:pPr>
        <w:rPr>
          <w:rFonts w:asciiTheme="majorEastAsia" w:eastAsiaTheme="majorEastAsia" w:hAnsiTheme="majorEastAsia"/>
        </w:rPr>
      </w:pPr>
    </w:p>
    <w:p w:rsidR="00741952" w:rsidRPr="00741952" w:rsidRDefault="00741952" w:rsidP="005B2F79">
      <w:pPr>
        <w:rPr>
          <w:rFonts w:asciiTheme="majorEastAsia" w:eastAsiaTheme="majorEastAsia" w:hAnsiTheme="majorEastAsia"/>
          <w:b/>
        </w:rPr>
      </w:pPr>
      <w:r w:rsidRPr="00741952">
        <w:rPr>
          <w:rFonts w:asciiTheme="majorEastAsia" w:eastAsiaTheme="majorEastAsia" w:hAnsiTheme="majorEastAsia" w:hint="eastAsia"/>
          <w:b/>
        </w:rPr>
        <w:t>三、数据源准备</w:t>
      </w:r>
    </w:p>
    <w:p w:rsidR="00741952" w:rsidRDefault="00741952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1、</w:t>
      </w:r>
      <w:r>
        <w:rPr>
          <w:rFonts w:asciiTheme="majorEastAsia" w:eastAsiaTheme="majorEastAsia" w:hAnsiTheme="majorEastAsia" w:hint="eastAsia"/>
        </w:rPr>
        <w:t>标的池历史数据，已通过爬虫每天爬取；</w:t>
      </w:r>
    </w:p>
    <w:p w:rsidR="00741952" w:rsidRDefault="00741952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2、</w:t>
      </w:r>
      <w:r>
        <w:rPr>
          <w:rFonts w:asciiTheme="majorEastAsia" w:eastAsiaTheme="majorEastAsia" w:hAnsiTheme="majorEastAsia" w:hint="eastAsia"/>
        </w:rPr>
        <w:t>资金面数据：</w:t>
      </w:r>
    </w:p>
    <w:p w:rsidR="00741952" w:rsidRDefault="00741952" w:rsidP="0074195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融资融券数据，可反映市场情绪，15年大牛市正是杠杆型资金推动型牛市，已通过爬虫每天爬取；</w:t>
      </w:r>
    </w:p>
    <w:p w:rsidR="00741952" w:rsidRDefault="00741952" w:rsidP="0074195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港股通流入数据，可反应外资行为，至港股通开通后，外资对A股市场的投入和影响不断加大，未来对整个A股的生态环境会产生越来越大的影响，16-18年蓝筹股牛市正式外资推动型牛市，已通过爬虫每天爬取；</w:t>
      </w:r>
    </w:p>
    <w:p w:rsidR="00741952" w:rsidRDefault="00741952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大股东增减持数据，可反应上市公司先知先觉对于市场高低点的判断，数据未有；</w:t>
      </w:r>
    </w:p>
    <w:p w:rsidR="00741952" w:rsidRPr="00741952" w:rsidRDefault="00741952" w:rsidP="005B2F7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3、</w:t>
      </w:r>
      <w:r>
        <w:rPr>
          <w:rFonts w:asciiTheme="majorEastAsia" w:eastAsiaTheme="majorEastAsia" w:hAnsiTheme="majorEastAsia" w:hint="eastAsia"/>
        </w:rPr>
        <w:t>指数基金规模，</w:t>
      </w:r>
      <w:r w:rsidR="00095E12">
        <w:rPr>
          <w:rFonts w:asciiTheme="majorEastAsia" w:eastAsiaTheme="majorEastAsia" w:hAnsiTheme="majorEastAsia" w:hint="eastAsia"/>
        </w:rPr>
        <w:t>选取头部几只指数基金的份额规模进行监控，数据未有；</w:t>
      </w:r>
    </w:p>
    <w:sectPr w:rsidR="00741952" w:rsidRPr="00741952" w:rsidSect="005B2F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72DB7"/>
    <w:multiLevelType w:val="hybridMultilevel"/>
    <w:tmpl w:val="6CB27C0A"/>
    <w:lvl w:ilvl="0" w:tplc="E5AEE3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A6"/>
    <w:rsid w:val="000101E8"/>
    <w:rsid w:val="00095E12"/>
    <w:rsid w:val="000C4C1C"/>
    <w:rsid w:val="000E228F"/>
    <w:rsid w:val="0027763F"/>
    <w:rsid w:val="00522192"/>
    <w:rsid w:val="005B2F79"/>
    <w:rsid w:val="00700E8A"/>
    <w:rsid w:val="00732E30"/>
    <w:rsid w:val="007368A6"/>
    <w:rsid w:val="00740EF1"/>
    <w:rsid w:val="00741952"/>
    <w:rsid w:val="0085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C9139-53ED-4520-BF84-51584398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</cp:revision>
  <dcterms:created xsi:type="dcterms:W3CDTF">2019-07-05T15:07:00Z</dcterms:created>
  <dcterms:modified xsi:type="dcterms:W3CDTF">2019-07-05T16:24:00Z</dcterms:modified>
</cp:coreProperties>
</file>