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1F4E79"/>
          <w:sz w:val="34"/>
        </w:rPr>
        <w:t>FICHE 22 : LE CONTRÔLE DE L'ACTIVITÉ DES SALARIÉS</w:t>
      </w:r>
    </w:p>
    <w:p/>
    <w:p>
      <w:pPr>
        <w:pStyle w:val="Heading2"/>
      </w:pPr>
      <w:r>
        <w:rPr>
          <w:b/>
          <w:color w:val="006100"/>
          <w:sz w:val="24"/>
        </w:rPr>
        <w:t>LES PRINCIPES JURIDIQUES LIÉS AU CONTRÔLE DE L'ACTIVITÉ I •</w:t>
      </w:r>
    </w:p>
    <w:p>
      <w:pPr>
        <w:pStyle w:val="Heading2"/>
      </w:pPr>
      <w:r>
        <w:rPr>
          <w:b/>
          <w:color w:val="2F5496"/>
          <w:sz w:val="24"/>
        </w:rPr>
        <w:t>DES SALARIÉS</w:t>
      </w:r>
    </w:p>
    <w:p>
      <w:pPr>
        <w:pStyle w:val="Heading2"/>
      </w:pPr>
      <w:r>
        <w:rPr>
          <w:b/>
          <w:color w:val="2F5496"/>
          <w:sz w:val="24"/>
        </w:rPr>
        <w:t>LES ÉLÉMENTS DU DÉBAT A •</w:t>
      </w:r>
    </w:p>
    <w:p>
      <w:r>
        <w:rPr>
          <w:b w:val="0"/>
          <w:color w:val="000000"/>
          <w:sz w:val="22"/>
        </w:rPr>
        <w:t>Dans le cadre de son pouvoir général de direction, l'employeur est amené à contrôler l'activité des salariés. Si le</w:t>
      </w:r>
    </w:p>
    <w:p>
      <w:r>
        <w:rPr>
          <w:b w:val="0"/>
          <w:color w:val="000000"/>
          <w:sz w:val="22"/>
        </w:rPr>
        <w:t>développement des nouvelles technologies a décuplé les possibilités d'effectuer de tels contrôles il a aussi multiplie les</w:t>
      </w:r>
    </w:p>
    <w:p>
      <w:r>
        <w:rPr>
          <w:b w:val="0"/>
          <w:color w:val="000000"/>
          <w:sz w:val="22"/>
        </w:rPr>
        <w:t>occasions de porter atteinte à l'intimité des salariés ainsi qu'à leur vie privé dont on ne peut considérer qu'il s'agit d'une</w:t>
      </w:r>
    </w:p>
    <w:p>
      <w:r>
        <w:rPr>
          <w:b w:val="0"/>
          <w:color w:val="000000"/>
          <w:sz w:val="22"/>
        </w:rPr>
        <w:t>peau dont on se duvet à l'entrée de l'entreprise. Le législateur encadre l'utilisation de ces nouveaux procédés.</w:t>
      </w:r>
    </w:p>
    <w:p>
      <w:pPr>
        <w:pStyle w:val="Heading2"/>
      </w:pPr>
      <w:r>
        <w:rPr>
          <w:b/>
          <w:color w:val="2F5496"/>
          <w:sz w:val="24"/>
        </w:rPr>
        <w:t>LA MISE EN PLACE D'UN SYSTÈME DE CONTRÔLE DE L'ACTIVITÉ DES SALARIÉS B •</w:t>
      </w:r>
    </w:p>
    <w:p>
      <w:pPr>
        <w:pStyle w:val="Heading2"/>
      </w:pPr>
      <w:r>
        <w:rPr>
          <w:b/>
          <w:color w:val="006100"/>
          <w:sz w:val="24"/>
        </w:rPr>
        <w:t>PRINCIPE</w:t>
      </w:r>
    </w:p>
    <w:p>
      <w:r>
        <w:rPr>
          <w:b w:val="0"/>
          <w:color w:val="006100"/>
          <w:sz w:val="22"/>
        </w:rPr>
        <w:t>?</w:t>
      </w:r>
    </w:p>
    <w:p>
      <w:r>
        <w:rPr>
          <w:b w:val="0"/>
          <w:color w:val="006100"/>
          <w:sz w:val="22"/>
        </w:rPr>
        <w:t>Les moyens de contrôle mis en place doivent être justifiés par la nature de la tâche à accomplir et proportionnés au but</w:t>
      </w:r>
    </w:p>
    <w:p>
      <w:r>
        <w:rPr>
          <w:b w:val="0"/>
          <w:color w:val="006100"/>
          <w:sz w:val="22"/>
        </w:rPr>
        <w:t>recherche. Ce principe codifié sous l'article L 1121-1 du code du travail vise à protéger toute dérive dans l'usage et</w:t>
      </w:r>
    </w:p>
    <w:p>
      <w:r>
        <w:rPr>
          <w:b w:val="0"/>
          <w:color w:val="006100"/>
          <w:sz w:val="22"/>
        </w:rPr>
        <w:t>procédés de contrôle susceptibles de porter atteinte aux droits des personnes et aux libertés individuelles et collectives.</w:t>
      </w:r>
    </w:p>
    <w:p>
      <w:pPr>
        <w:pStyle w:val="Heading2"/>
      </w:pPr>
      <w:r>
        <w:rPr>
          <w:b/>
          <w:color w:val="2F5496"/>
          <w:sz w:val="24"/>
        </w:rPr>
        <w:t>PROCÉDURE</w:t>
      </w:r>
    </w:p>
    <w:p>
      <w:r>
        <w:rPr>
          <w:b w:val="0"/>
          <w:color w:val="000000"/>
          <w:sz w:val="22"/>
        </w:rPr>
        <w:t>?</w:t>
      </w:r>
    </w:p>
    <w:p>
      <w:r>
        <w:rPr>
          <w:b w:val="0"/>
          <w:color w:val="000000"/>
          <w:sz w:val="22"/>
        </w:rPr>
        <w:t>Tout dispositif ou technique de nature à contrôler l'activité des salariés doit faire l'objet d'une consultation préalable du comité</w:t>
      </w:r>
    </w:p>
    <w:p>
      <w:r>
        <w:rPr>
          <w:b w:val="0"/>
          <w:color w:val="000000"/>
          <w:sz w:val="22"/>
        </w:rPr>
        <w:t>social et économique.</w:t>
      </w:r>
    </w:p>
    <w:p>
      <w:r>
        <w:rPr>
          <w:b w:val="0"/>
          <w:color w:val="000000"/>
          <w:sz w:val="22"/>
        </w:rPr>
        <w:t>95</w:t>
      </w:r>
    </w:p>
    <w:p>
      <w:r>
        <w:rPr>
          <w:b w:val="0"/>
          <w:color w:val="000000"/>
          <w:sz w:val="22"/>
        </w:rPr>
        <w:t>éditions Corroy à 4 rue de Villars, 42000 Saint-etienne à 04 77 79 92 46 à infos@editions-corroy.fr</w:t>
      </w:r>
    </w:p>
    <w:p>
      <w:r>
        <w:rPr>
          <w:b w:val="0"/>
          <w:color w:val="000000"/>
          <w:sz w:val="22"/>
        </w:rPr>
        <w:t>Exercice</w:t>
      </w:r>
    </w:p>
    <w:p>
      <w:r>
        <w:rPr>
          <w:b w:val="0"/>
          <w:color w:val="000000"/>
          <w:sz w:val="22"/>
        </w:rPr>
        <w:t>correspondant</w:t>
      </w:r>
    </w:p>
    <w:p>
      <w:r>
        <w:rPr>
          <w:b w:val="0"/>
          <w:color w:val="000000"/>
          <w:sz w:val="22"/>
        </w:rPr>
        <w:t>VIADUC MARES : principe, vidéosurveillance, contrôle de l'ordinateur, des appels téléphoniques, des mails et des</w:t>
      </w:r>
    </w:p>
    <w:p>
      <w:r>
        <w:rPr>
          <w:b w:val="0"/>
          <w:color w:val="000000"/>
          <w:sz w:val="22"/>
        </w:rPr>
        <w:t>courriers, géolocalisation.</w:t>
      </w:r>
    </w:p>
    <w:p>
      <w:r>
        <w:rPr>
          <w:b w:val="0"/>
          <w:color w:val="000000"/>
          <w:sz w:val="22"/>
        </w:rPr>
        <w:t>DCGUE3F.qxp_DCGUE3F 24/07/2025 15:58 Page 95</w:t>
      </w:r>
    </w:p>
    <w:p>
      <w:r>
        <w:rPr>
          <w:b w:val="0"/>
          <w:color w:val="000000"/>
          <w:sz w:val="22"/>
        </w:rPr>
        <w:t>Cette règle visée à l'article L 2312-38 du code du travail impose l'information et la consultation du CSE préalablement à toute</w:t>
      </w:r>
    </w:p>
    <w:p>
      <w:r>
        <w:rPr>
          <w:b w:val="0"/>
          <w:color w:val="000000"/>
          <w:sz w:val="22"/>
        </w:rPr>
        <w:t>mesure, technique ou méthode de contrôle de l'activité des salariés.</w:t>
      </w:r>
    </w:p>
    <w:p>
      <w:r>
        <w:rPr>
          <w:b w:val="0"/>
          <w:color w:val="000000"/>
          <w:sz w:val="22"/>
        </w:rPr>
        <w:t>La même obligation d'information pose sur l'employeur à l'égard des salariés. En effet, aucun dispositif permettant de recueillir</w:t>
      </w:r>
    </w:p>
    <w:p>
      <w:r>
        <w:rPr>
          <w:b w:val="0"/>
          <w:color w:val="000000"/>
          <w:sz w:val="22"/>
        </w:rPr>
        <w:t>des informations sur les salariés ne peut être mis en place dans l'entreprise sans que ces derniers n'aient été mis en mesure d'en</w:t>
      </w:r>
    </w:p>
    <w:p>
      <w:r>
        <w:rPr>
          <w:b w:val="0"/>
          <w:color w:val="000000"/>
          <w:sz w:val="22"/>
        </w:rPr>
        <w:t>prendre connaissance. à défaut, le moyen est illicite et la preuve obtenue irrecevable (en ce sens, voir Cass. soc. 4 octobre 2023</w:t>
      </w:r>
    </w:p>
    <w:p>
      <w:r>
        <w:rPr>
          <w:b w:val="0"/>
          <w:color w:val="000000"/>
          <w:sz w:val="22"/>
        </w:rPr>
        <w:t>/ 6 septembre 2023, ainsi que la Fiche 30). Il convient néanmoins de nuancer ce principe au regard de l'évolution juris-</w:t>
      </w:r>
    </w:p>
    <w:p>
      <w:r>
        <w:rPr>
          <w:b w:val="0"/>
          <w:color w:val="000000"/>
          <w:sz w:val="22"/>
        </w:rPr>
        <w:t>prudentielle quant à la recevabilité de la preuve obtenue de manière illicite(Cass. soc. 23 décembre 2023 et 14 février 2024).</w:t>
      </w:r>
    </w:p>
    <w:p>
      <w:r>
        <w:rPr>
          <w:b w:val="0"/>
          <w:color w:val="000000"/>
          <w:sz w:val="22"/>
        </w:rPr>
        <w:t>Enfin, si les procédés utilisés sont de nature à permettre la collecte de donnée nominatives dans le cadre d'un traitement</w:t>
      </w:r>
    </w:p>
    <w:p>
      <w:r>
        <w:rPr>
          <w:b w:val="0"/>
          <w:color w:val="000000"/>
          <w:sz w:val="22"/>
        </w:rPr>
        <w:t>automatisé, l'employeur à l'obligation non seulement d'en informer le CSE, mais aussi de respecter les dispositions de l'article</w:t>
      </w:r>
    </w:p>
    <w:p>
      <w:r>
        <w:rPr>
          <w:b w:val="0"/>
          <w:color w:val="000000"/>
          <w:sz w:val="22"/>
        </w:rPr>
        <w:t>22 de la loi Informatique et liberté du 06 janvier 1978.</w:t>
      </w:r>
    </w:p>
    <w:p>
      <w:pPr>
        <w:pStyle w:val="Heading2"/>
      </w:pPr>
      <w:r>
        <w:rPr>
          <w:b/>
          <w:color w:val="2F5496"/>
          <w:sz w:val="24"/>
        </w:rPr>
        <w:t>LES DIFFÉRENTS MOYENS DE CONTRÔLE ET LEUR II •</w:t>
      </w:r>
    </w:p>
    <w:p>
      <w:pPr>
        <w:pStyle w:val="Heading2"/>
      </w:pPr>
      <w:r>
        <w:rPr>
          <w:b/>
          <w:color w:val="2F5496"/>
          <w:sz w:val="24"/>
        </w:rPr>
        <w:t>ENCADREMENT JURIDIQUE</w:t>
      </w:r>
    </w:p>
    <w:p>
      <w:pPr>
        <w:pStyle w:val="Heading2"/>
      </w:pPr>
      <w:r>
        <w:rPr>
          <w:b/>
          <w:color w:val="2F5496"/>
          <w:sz w:val="24"/>
        </w:rPr>
        <w:t>APPLICATION à LA VIDÉOSURVEILLANCE A •</w:t>
      </w:r>
    </w:p>
    <w:p>
      <w:r>
        <w:rPr>
          <w:b w:val="0"/>
          <w:color w:val="000000"/>
          <w:sz w:val="22"/>
        </w:rPr>
        <w:t>Il est impératif pour l'employeur de se plier à l'accomplissement des formalités légales susvisées. Ainsi la Cour de cassation</w:t>
      </w:r>
    </w:p>
    <w:p>
      <w:r>
        <w:rPr>
          <w:b w:val="0"/>
          <w:color w:val="000000"/>
          <w:sz w:val="22"/>
        </w:rPr>
        <w:t>a pu décider à bon droit qu'un tel système ne pouvait être justifie et à fortiori fonder une sanction en l'absence d'information</w:t>
      </w:r>
    </w:p>
    <w:p>
      <w:r>
        <w:rPr>
          <w:b w:val="0"/>
          <w:color w:val="000000"/>
          <w:sz w:val="22"/>
        </w:rPr>
        <w:t>des institutions représentatives du personnel (Cass. soc. 7 juin 2006). En l'espace un système de vidéosurveillance avait</w:t>
      </w:r>
    </w:p>
    <w:p>
      <w:r>
        <w:rPr>
          <w:b w:val="0"/>
          <w:color w:val="000000"/>
          <w:sz w:val="22"/>
        </w:rPr>
        <w:t>été installé pour surveiller la clientèle. Or la bande vidéo révéla un salarié de l'entreprise occupe à commettre un vol.</w:t>
      </w:r>
    </w:p>
    <w:p>
      <w:r>
        <w:rPr>
          <w:b w:val="0"/>
          <w:color w:val="000000"/>
          <w:sz w:val="22"/>
        </w:rPr>
        <w:t>Licencié pour faute grave, la cour suprême rappelle les règles de droit et combien même le salarié ne pouvait ignorer la</w:t>
      </w:r>
    </w:p>
    <w:p>
      <w:r>
        <w:rPr>
          <w:b w:val="0"/>
          <w:color w:val="000000"/>
          <w:sz w:val="22"/>
        </w:rPr>
        <w:t>présence des caméras, l'irrégularité de leur mise en place justifie l'annulation de la mesure.</w:t>
      </w:r>
    </w:p>
    <w:p>
      <w:r>
        <w:rPr>
          <w:b w:val="0"/>
          <w:color w:val="000000"/>
          <w:sz w:val="22"/>
        </w:rPr>
        <w:t>Par contre dans une situation identique, le salarié filmé dans locaux ou il n'avait pas accès peut être sanctionné sur la base de l'enregis-</w:t>
      </w:r>
    </w:p>
    <w:p>
      <w:r>
        <w:rPr>
          <w:b w:val="0"/>
          <w:color w:val="000000"/>
          <w:sz w:val="22"/>
        </w:rPr>
        <w:t>trement vidéo, sans qu'il puisse être excipé une irrégularité quant à sa mise en place (Cass. soc. 26 juin 2013 ; Cass. soc. 4 octobre 2023).</w:t>
      </w:r>
    </w:p>
    <w:p>
      <w:pPr>
        <w:pStyle w:val="Heading2"/>
      </w:pPr>
      <w:r>
        <w:rPr>
          <w:b/>
          <w:color w:val="2F5496"/>
          <w:sz w:val="24"/>
        </w:rPr>
        <w:t>APPLICATION AU CONTRÔLE DES APPELS TÉLÉPHONIQUES B •</w:t>
      </w:r>
    </w:p>
    <w:p>
      <w:r>
        <w:rPr>
          <w:b w:val="0"/>
          <w:color w:val="000000"/>
          <w:sz w:val="22"/>
        </w:rPr>
        <w:t>Pour des raisons évidentes liées aux libertés et à la vie privée des salariés l'écoute et l'enregistrement des conversations</w:t>
      </w:r>
    </w:p>
    <w:p>
      <w:r>
        <w:rPr>
          <w:b w:val="0"/>
          <w:color w:val="000000"/>
          <w:sz w:val="22"/>
        </w:rPr>
        <w:t>téléphoniques sont par principe interdits. La violation de cette règle est sanctionnée par les articles 226-15 et 432-9 du code pénal.</w:t>
      </w:r>
    </w:p>
    <w:p>
      <w:r>
        <w:rPr>
          <w:b w:val="0"/>
          <w:color w:val="000000"/>
          <w:sz w:val="22"/>
        </w:rPr>
        <w:t>Par exception, un tel système peut être mis en ouvre sous condition de pouvoir justifier des conditions imposées par</w:t>
      </w:r>
    </w:p>
    <w:p>
      <w:r>
        <w:rPr>
          <w:b w:val="0"/>
          <w:color w:val="000000"/>
          <w:sz w:val="22"/>
        </w:rPr>
        <w:t>l'article L1121-1 du code du travail et d'obtenir l'accord du salarié.</w:t>
      </w:r>
    </w:p>
    <w:p>
      <w:r>
        <w:rPr>
          <w:b w:val="0"/>
          <w:color w:val="000000"/>
          <w:sz w:val="22"/>
        </w:rPr>
        <w:t>L'employeur doit par ailleurs faire figurer le dispositif mis en place au registre des activités de traitement.</w:t>
      </w:r>
    </w:p>
    <w:p>
      <w:r>
        <w:rPr>
          <w:b w:val="0"/>
          <w:color w:val="000000"/>
          <w:sz w:val="22"/>
        </w:rPr>
        <w:t>En revanche ces dispositions ne s'appliquent pas lorsqu'il s'agit pour l'employeur de contrôler les appels téléphoniques par</w:t>
      </w:r>
    </w:p>
    <w:p>
      <w:r>
        <w:rPr>
          <w:b w:val="0"/>
          <w:color w:val="000000"/>
          <w:sz w:val="22"/>
        </w:rPr>
        <w:t>le biais des factures détaillées de l'opérateur téléphonique (Cass. soc. 15 mai 2001). Il en est de même si le contrôle procède</w:t>
      </w:r>
    </w:p>
    <w:p>
      <w:r>
        <w:rPr>
          <w:b w:val="0"/>
          <w:color w:val="000000"/>
          <w:sz w:val="22"/>
        </w:rPr>
        <w:t>de la simple vérification de la durée, du coût et des numéros des appels téléphoniques passes à partir de chaque poste au</w:t>
      </w:r>
    </w:p>
    <w:p>
      <w:r>
        <w:rPr>
          <w:b w:val="0"/>
          <w:color w:val="000000"/>
          <w:sz w:val="22"/>
        </w:rPr>
        <w:t>moyen des relevés fournit par l'autocommutateur téléphonique de l'entreprise (Cass. soc. 29 janvier 2008). En l'espace un</w:t>
      </w:r>
    </w:p>
    <w:p>
      <w:r>
        <w:rPr>
          <w:b w:val="0"/>
          <w:color w:val="000000"/>
          <w:sz w:val="22"/>
        </w:rPr>
        <w:t>salarié faisait usage de son téléphone professionnel pour accéder à des numéros de messagerie de rencontre. L'employeur à</w:t>
      </w:r>
    </w:p>
    <w:p>
      <w:r>
        <w:rPr>
          <w:b w:val="0"/>
          <w:color w:val="000000"/>
          <w:sz w:val="22"/>
        </w:rPr>
        <w:t>l'appui de sa sanction a pu valablement fournir les preuves obtenues par le relevé de l'autocommutateur de l'entreprise.</w:t>
      </w:r>
    </w:p>
    <w:p>
      <w:pPr>
        <w:pStyle w:val="Heading2"/>
      </w:pPr>
      <w:r>
        <w:rPr>
          <w:b/>
          <w:color w:val="2F5496"/>
          <w:sz w:val="24"/>
        </w:rPr>
        <w:t>LE CONTRÔLE DE L'ORDINATEUR C •</w:t>
      </w:r>
    </w:p>
    <w:p>
      <w:r>
        <w:rPr>
          <w:b w:val="0"/>
          <w:color w:val="000000"/>
          <w:sz w:val="22"/>
        </w:rPr>
        <w:t>Le poste informatique tout autant que la connexion Internet sont des outils mis à la disposition du salarié par l'employeur.</w:t>
      </w:r>
    </w:p>
    <w:p>
      <w:r>
        <w:rPr>
          <w:b w:val="0"/>
          <w:color w:val="000000"/>
          <w:sz w:val="22"/>
        </w:rPr>
        <w:t>Des lors les fichiers crois par ces outils sont eux-mêmes présumés à caractère professionnel sauf si le salarié par une</w:t>
      </w:r>
    </w:p>
    <w:p>
      <w:r>
        <w:rPr>
          <w:b w:val="0"/>
          <w:color w:val="000000"/>
          <w:sz w:val="22"/>
        </w:rPr>
        <w:t>mention particulière (à noter que les initiales ne suffisent pas, ni même le seul prénom) permet de les identifier comme</w:t>
      </w:r>
    </w:p>
    <w:p>
      <w:r>
        <w:rPr>
          <w:b w:val="0"/>
          <w:color w:val="000000"/>
          <w:sz w:val="22"/>
        </w:rPr>
        <w:t>personnels (Cass. soc. 8 décembre 2009, Cass. soc.15 décembre 2009). Il en est de même pour les courriers électroniques</w:t>
      </w:r>
    </w:p>
    <w:p>
      <w:r>
        <w:rPr>
          <w:b w:val="0"/>
          <w:color w:val="000000"/>
          <w:sz w:val="22"/>
        </w:rPr>
        <w:t>(cf. CEDH, 5 septembre 2017) envoyés à partir de la messagerie de l'entreprise (Cass. soc. 15 décembre 2010, 2 février</w:t>
      </w:r>
    </w:p>
    <w:p>
      <w:r>
        <w:rPr>
          <w:b w:val="0"/>
          <w:color w:val="000000"/>
          <w:sz w:val="22"/>
        </w:rPr>
        <w:t>2011). De surcroît, la Cour de cassation a admis (Cass. soc. 12 février 2013) le contrôle du contenu d'une clé USB</w:t>
      </w:r>
    </w:p>
    <w:p>
      <w:r>
        <w:rPr>
          <w:b w:val="0"/>
          <w:color w:val="000000"/>
          <w:sz w:val="22"/>
        </w:rPr>
        <w:t>personnelle du salarié, des lors que celle-ci est reliée à l'ordinateur professionnel.</w:t>
      </w:r>
    </w:p>
    <w:p>
      <w:r>
        <w:rPr>
          <w:b w:val="0"/>
          <w:color w:val="000000"/>
          <w:sz w:val="22"/>
        </w:rPr>
        <w:t>Cette analyse vaut pour les autres documents se trouvant dans le bureau du salarié (Cass. soc. 16 mai 2007). Le cryptage du</w:t>
      </w:r>
    </w:p>
    <w:p>
      <w:r>
        <w:rPr>
          <w:b w:val="0"/>
          <w:color w:val="000000"/>
          <w:sz w:val="22"/>
        </w:rPr>
        <w:t>poste informatique faisant obstacle à ce contrôle constitue de fait une faute justifiant la rupture du contrat de travail lorsque</w:t>
      </w:r>
    </w:p>
    <w:p>
      <w:r>
        <w:rPr>
          <w:b w:val="0"/>
          <w:color w:val="000000"/>
          <w:sz w:val="22"/>
        </w:rPr>
        <w:t>le salarié a déjà fait l'objet de mise en garde à ce sujet (Cass. soc. 18 octobre 2006).</w:t>
      </w:r>
    </w:p>
    <w:p>
      <w:r>
        <w:rPr>
          <w:b w:val="0"/>
          <w:color w:val="000000"/>
          <w:sz w:val="22"/>
        </w:rPr>
        <w:t>Des lors l'employeur peut y avoir librement accès hors la présence du salarié et tirer toute conclusion utile et disciplinaire</w:t>
      </w:r>
    </w:p>
    <w:p>
      <w:r>
        <w:rPr>
          <w:b w:val="0"/>
          <w:color w:val="000000"/>
          <w:sz w:val="22"/>
        </w:rPr>
        <w:t>des éléments trouves à cette occasion. Par ailleurs l'utilisation dévoyée de la connexion Internet peut justifier des</w:t>
      </w:r>
    </w:p>
    <w:p>
      <w:r>
        <w:rPr>
          <w:b w:val="0"/>
          <w:color w:val="000000"/>
          <w:sz w:val="22"/>
        </w:rPr>
        <w:t>poursuites pénales sous le chef d'abus de confiance (Cass. soc. 19 mai 2004).</w:t>
      </w:r>
    </w:p>
    <w:p>
      <w:r>
        <w:rPr>
          <w:b w:val="0"/>
          <w:color w:val="000000"/>
          <w:sz w:val="22"/>
        </w:rPr>
        <w:t>Par contre les documents textes ou fichiers informatiques classes comme personnels ou issus de sa messagerie personnelle</w:t>
      </w:r>
    </w:p>
    <w:p>
      <w:r>
        <w:rPr>
          <w:b w:val="0"/>
          <w:color w:val="000000"/>
          <w:sz w:val="22"/>
        </w:rPr>
        <w:t>ne peuvent être consultés qu'en présence du salarié dément appelé ou en cas de risques ou événement particulier le</w:t>
      </w:r>
    </w:p>
    <w:p>
      <w:r>
        <w:rPr>
          <w:b w:val="0"/>
          <w:color w:val="000000"/>
          <w:sz w:val="22"/>
        </w:rPr>
        <w:t>justifiant (Cass. soc. 15 mai 2005 ; Cass. soc. 9 octobre 2024).</w:t>
      </w:r>
    </w:p>
    <w:p>
      <w:pPr>
        <w:pStyle w:val="Heading2"/>
      </w:pPr>
      <w:r>
        <w:rPr>
          <w:b/>
          <w:color w:val="2F5496"/>
          <w:sz w:val="24"/>
        </w:rPr>
        <w:t>LA GÉOLOCALISATION D •</w:t>
      </w:r>
    </w:p>
    <w:p>
      <w:r>
        <w:rPr>
          <w:b w:val="0"/>
          <w:color w:val="000000"/>
          <w:sz w:val="22"/>
        </w:rPr>
        <w:t>La géolocalisation est un système permettant de connaître la position géographique d'une personne ou d'un véhicule.</w:t>
      </w:r>
    </w:p>
    <w:p>
      <w:r>
        <w:rPr>
          <w:b w:val="0"/>
          <w:color w:val="000000"/>
          <w:sz w:val="22"/>
        </w:rPr>
        <w:t>Les objectifs poursuivis peuvent être divers :</w:t>
      </w:r>
    </w:p>
    <w:p>
      <w:pPr>
        <w:pStyle w:val="ListBullet"/>
      </w:pPr>
      <w:r>
        <w:rPr>
          <w:b w:val="0"/>
          <w:color w:val="000000"/>
          <w:sz w:val="22"/>
        </w:rPr>
        <w:t>améliorer le processus de production (meilleure allocation des moyens disponibles, analyse à posteriori des déplacements effectués) ;</w:t>
      </w:r>
    </w:p>
    <w:p>
      <w:pPr>
        <w:pStyle w:val="ListBullet"/>
      </w:pPr>
      <w:r>
        <w:rPr>
          <w:b w:val="0"/>
          <w:color w:val="000000"/>
          <w:sz w:val="22"/>
        </w:rPr>
        <w:t>contribuer à la sécurité des personnes ou des marchandises transportées ;</w:t>
      </w:r>
    </w:p>
    <w:p>
      <w:pPr>
        <w:pStyle w:val="ListBullet"/>
      </w:pPr>
      <w:r>
        <w:rPr>
          <w:b w:val="0"/>
          <w:color w:val="000000"/>
          <w:sz w:val="22"/>
        </w:rPr>
        <w:t>assurer le suivi de certaines marchandises (matières dangereuses, produits alimentaires à) ;</w:t>
      </w:r>
    </w:p>
    <w:p>
      <w:pPr>
        <w:pStyle w:val="ListBullet"/>
      </w:pPr>
      <w:r>
        <w:rPr>
          <w:b w:val="0"/>
          <w:color w:val="000000"/>
          <w:sz w:val="22"/>
        </w:rPr>
        <w:t>à</w:t>
      </w:r>
    </w:p>
    <w:p>
      <w:r>
        <w:rPr>
          <w:b w:val="0"/>
          <w:color w:val="000000"/>
          <w:sz w:val="22"/>
        </w:rPr>
        <w:t>Néanmoins, étant par là même de nature à porter atteinte à la vie privée, sont utilisation est strictement encadrée. Ainsi la</w:t>
      </w:r>
    </w:p>
    <w:p>
      <w:r>
        <w:rPr>
          <w:b w:val="0"/>
          <w:color w:val="000000"/>
          <w:sz w:val="22"/>
        </w:rPr>
        <w:t>mise en place d'un système de géolocalisation :</w:t>
      </w:r>
    </w:p>
    <w:p>
      <w:pPr>
        <w:pStyle w:val="ListBullet"/>
      </w:pPr>
      <w:r>
        <w:rPr>
          <w:b w:val="0"/>
          <w:color w:val="000000"/>
          <w:sz w:val="22"/>
        </w:rPr>
        <w:t>doit être justifiée par la nature de la tâche à accomplir, proportionnée au but recherche (cf. objectifs) ;</w:t>
      </w:r>
    </w:p>
    <w:p>
      <w:pPr>
        <w:pStyle w:val="ListBullet"/>
      </w:pPr>
      <w:r>
        <w:rPr>
          <w:b w:val="0"/>
          <w:color w:val="000000"/>
          <w:sz w:val="22"/>
        </w:rPr>
        <w:t>faire l'objet d'une consultation du CSE ;</w:t>
      </w:r>
    </w:p>
    <w:p>
      <w:pPr>
        <w:pStyle w:val="ListBullet"/>
      </w:pPr>
      <w:r>
        <w:rPr>
          <w:b w:val="0"/>
          <w:color w:val="000000"/>
          <w:sz w:val="22"/>
        </w:rPr>
        <w:t>doit être portée à la connaissance des salariés concernés. Ces derniers doivent par ailleurs pouvoir désactiver la transmission des données ;</w:t>
      </w:r>
    </w:p>
    <w:p>
      <w:pPr>
        <w:pStyle w:val="ListBullet"/>
      </w:pPr>
      <w:r>
        <w:rPr>
          <w:b w:val="0"/>
          <w:color w:val="000000"/>
          <w:sz w:val="22"/>
        </w:rPr>
        <w:t>L'employeur doit pouvoir garantir la sécurisation des données collectées et inscrire son existence au registre des activités</w:t>
      </w:r>
    </w:p>
    <w:p>
      <w:r>
        <w:rPr>
          <w:b w:val="0"/>
          <w:color w:val="000000"/>
          <w:sz w:val="22"/>
        </w:rPr>
        <w:t>de traitement.</w:t>
      </w:r>
    </w:p>
    <w:p>
      <w:r>
        <w:rPr>
          <w:b w:val="0"/>
          <w:color w:val="000000"/>
          <w:sz w:val="22"/>
        </w:rPr>
        <w:t>Concernant spécifiquement son utilisation pour contrôler le temps de travail des salariés, la Cour de cassation fixe des</w:t>
      </w:r>
    </w:p>
    <w:p>
      <w:r>
        <w:rPr>
          <w:b w:val="0"/>
          <w:color w:val="000000"/>
          <w:sz w:val="22"/>
        </w:rPr>
        <w:t>limites supplémentaires :</w:t>
      </w:r>
    </w:p>
    <w:p>
      <w:pPr>
        <w:pStyle w:val="ListBullet"/>
      </w:pPr>
      <w:r>
        <w:rPr>
          <w:b w:val="0"/>
          <w:color w:val="000000"/>
          <w:sz w:val="22"/>
        </w:rPr>
        <w:t>le contrôle du temps de travail ne peut pas être assure par un autre moyen, même si ce dernier est moins efficace ;</w:t>
      </w:r>
    </w:p>
    <w:p>
      <w:r>
        <w:rPr>
          <w:b w:val="0"/>
          <w:color w:val="000000"/>
          <w:sz w:val="22"/>
        </w:rPr>
        <w:t>la géolocalisation n'est pas justifiée lorsque le salarié dispose d'une liberté dans l'organisation de son travail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