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1F4E79"/>
          <w:sz w:val="34"/>
        </w:rPr>
        <w:t>FICHE 32 : LE CONTRÔLE URSSAF</w:t>
      </w:r>
    </w:p>
    <w:p/>
    <w:p>
      <w:pPr>
        <w:pStyle w:val="Heading2"/>
      </w:pPr>
      <w:r>
        <w:rPr>
          <w:b/>
          <w:color w:val="2F5496"/>
          <w:sz w:val="24"/>
        </w:rPr>
        <w:t>PLAN</w:t>
      </w:r>
    </w:p>
    <w:p>
      <w:pPr>
        <w:pStyle w:val="Heading2"/>
      </w:pPr>
      <w:r>
        <w:rPr>
          <w:b/>
          <w:color w:val="2F5496"/>
          <w:sz w:val="24"/>
        </w:rPr>
        <w:t>I- LE RENFORCEMENT DES DROITS DU COTISANT</w:t>
      </w:r>
    </w:p>
    <w:p/>
    <w:p>
      <w:pPr>
        <w:pStyle w:val="Heading2"/>
      </w:pPr>
      <w:r>
        <w:rPr>
          <w:b/>
          <w:color w:val="2F5496"/>
          <w:sz w:val="24"/>
        </w:rPr>
        <w:t>A- LE RESCRIT SOCIAL</w:t>
      </w:r>
    </w:p>
    <w:p/>
    <w:p/>
    <w:p>
      <w:pPr>
        <w:pStyle w:val="Heading2"/>
      </w:pPr>
      <w:r>
        <w:rPr>
          <w:b/>
          <w:color w:val="006100"/>
          <w:sz w:val="24"/>
        </w:rPr>
        <w:t>OBJET DU RESCRIT SOCIAL</w:t>
      </w:r>
    </w:p>
    <w:p>
      <w:r>
        <w:rPr>
          <w:b w:val="0"/>
          <w:color w:val="006100"/>
          <w:sz w:val="22"/>
        </w:rPr>
        <w:t>?</w:t>
      </w:r>
    </w:p>
    <w:p>
      <w:r>
        <w:rPr>
          <w:b w:val="0"/>
          <w:color w:val="006100"/>
          <w:sz w:val="22"/>
        </w:rPr>
        <w:t>Institué par la loi du 9 décembre 2004, le rescrit social permet à un cotisant, en qualité d'employeur, de solliciter</w:t>
      </w:r>
    </w:p>
    <w:p>
      <w:r>
        <w:rPr>
          <w:b w:val="0"/>
          <w:color w:val="006100"/>
          <w:sz w:val="22"/>
        </w:rPr>
        <w:t>l'URSSAF, afin qu'elle prenne position sur sa situation à l'égard :</w:t>
      </w:r>
    </w:p>
    <w:p>
      <w:pPr>
        <w:pStyle w:val="ListBullet"/>
      </w:pPr>
      <w:r>
        <w:rPr>
          <w:b w:val="0"/>
          <w:color w:val="006100"/>
          <w:sz w:val="22"/>
        </w:rPr>
        <w:t>des avantages en nature et des frais professionnels ;</w:t>
      </w:r>
    </w:p>
    <w:p>
      <w:pPr>
        <w:pStyle w:val="ListBullet"/>
      </w:pPr>
      <w:r>
        <w:rPr>
          <w:b w:val="0"/>
          <w:color w:val="006100"/>
          <w:sz w:val="22"/>
        </w:rPr>
        <w:t>des contributions patronales dues en matière de retraite supplémentaire et de prévoyance complémentaire ;</w:t>
      </w:r>
    </w:p>
    <w:p>
      <w:pPr>
        <w:pStyle w:val="ListBullet"/>
      </w:pPr>
      <w:r>
        <w:rPr>
          <w:b w:val="0"/>
          <w:color w:val="006100"/>
          <w:sz w:val="22"/>
        </w:rPr>
        <w:t>des exonérations attachées aux zones franches urbaines, aux zones de revitalisation rurale, et zone de revitalisation</w:t>
      </w:r>
    </w:p>
    <w:p>
      <w:r>
        <w:rPr>
          <w:b w:val="0"/>
          <w:color w:val="006100"/>
          <w:sz w:val="22"/>
        </w:rPr>
        <w:t>urbaine.</w:t>
      </w:r>
    </w:p>
    <w:p>
      <w:pPr>
        <w:pStyle w:val="Heading2"/>
      </w:pPr>
      <w:r>
        <w:rPr>
          <w:b/>
          <w:color w:val="2F5496"/>
          <w:sz w:val="24"/>
        </w:rPr>
        <w:t>FORMULATION DE LA DEMANDE DE RESCRIT SOCIAL</w:t>
      </w:r>
    </w:p>
    <w:p>
      <w:r>
        <w:rPr>
          <w:b w:val="0"/>
          <w:color w:val="000000"/>
          <w:sz w:val="22"/>
        </w:rPr>
        <w:t>?</w:t>
      </w:r>
    </w:p>
    <w:p>
      <w:r>
        <w:rPr>
          <w:b w:val="0"/>
          <w:color w:val="000000"/>
          <w:sz w:val="22"/>
        </w:rPr>
        <w:t>La demande est formulée par le cotisant ou le futur cotisant auprès de l'URSSAF compétente.</w:t>
      </w:r>
    </w:p>
    <w:p>
      <w:r>
        <w:rPr>
          <w:b w:val="0"/>
          <w:color w:val="000000"/>
          <w:sz w:val="22"/>
        </w:rPr>
        <w:t>Elle précise l'identité de l'employeur (nom et numéro d'immatriculation) et comporte un descriptif de l'organisation et</w:t>
      </w:r>
    </w:p>
    <w:p>
      <w:r>
        <w:rPr>
          <w:b w:val="0"/>
          <w:color w:val="000000"/>
          <w:sz w:val="22"/>
        </w:rPr>
        <w:t>du fonctionnement de l'entreprise (activité, localisation, nombre d'établissements) ainsi qu'une présentation</w:t>
      </w:r>
    </w:p>
    <w:p>
      <w:r>
        <w:rPr>
          <w:b w:val="0"/>
          <w:color w:val="000000"/>
          <w:sz w:val="22"/>
        </w:rPr>
        <w:t>exhaustive de la situation de fait et des pratiques sur lesquelles la décision est demandée. Tous documents nécessaires à</w:t>
      </w:r>
    </w:p>
    <w:p>
      <w:r>
        <w:rPr>
          <w:b w:val="0"/>
          <w:color w:val="000000"/>
          <w:sz w:val="22"/>
        </w:rPr>
        <w:t>l'étude de la recevabilité de la demande et à l'examen du dossier doivent être joints aux prétentions de l'employeur.</w:t>
      </w:r>
    </w:p>
    <w:p>
      <w:pPr>
        <w:pStyle w:val="Heading2"/>
      </w:pPr>
      <w:r>
        <w:rPr>
          <w:b/>
          <w:color w:val="2F5496"/>
          <w:sz w:val="24"/>
        </w:rPr>
        <w:t>ÉTUDE DE LA DEMANDE ET RÉPONSE DE L'URSSAF</w:t>
      </w:r>
    </w:p>
    <w:p>
      <w:r>
        <w:rPr>
          <w:b w:val="0"/>
          <w:color w:val="000000"/>
          <w:sz w:val="22"/>
        </w:rPr>
        <w:t>?</w:t>
      </w:r>
    </w:p>
    <w:p>
      <w:r>
        <w:rPr>
          <w:b w:val="0"/>
          <w:color w:val="000000"/>
          <w:sz w:val="22"/>
        </w:rPr>
        <w:t>Si dans le délai de 20 jours l'organisme de recouvrement n'a pas sollicité de pièces complémentaires au cotisant, le</w:t>
      </w:r>
    </w:p>
    <w:p>
      <w:r>
        <w:rPr>
          <w:b w:val="0"/>
          <w:color w:val="000000"/>
          <w:sz w:val="22"/>
        </w:rPr>
        <w:t>dossier est considéré comme complet et doit être instruit dans le délai de 3 mois à compter de la remise du dossier ou de</w:t>
      </w:r>
    </w:p>
    <w:p>
      <w:r>
        <w:rPr>
          <w:b w:val="0"/>
          <w:color w:val="000000"/>
          <w:sz w:val="22"/>
        </w:rPr>
        <w:t>la date à laquelle il peut être considéré complet.</w:t>
      </w:r>
    </w:p>
    <w:p>
      <w:r>
        <w:rPr>
          <w:b w:val="0"/>
          <w:color w:val="000000"/>
          <w:sz w:val="22"/>
        </w:rPr>
        <w:t>à défaut de réponse dans les délais prescrits, l'organisme de recouvrement ne pourra effectuer de redressement sur les</w:t>
      </w:r>
    </w:p>
    <w:p>
      <w:r>
        <w:rPr>
          <w:b w:val="0"/>
          <w:color w:val="000000"/>
          <w:sz w:val="22"/>
        </w:rPr>
        <w:t>aspects visés dans le rescrit.</w:t>
      </w:r>
    </w:p>
    <w:p>
      <w:pPr>
        <w:pStyle w:val="Heading2"/>
      </w:pPr>
      <w:r>
        <w:rPr>
          <w:b/>
          <w:color w:val="2F5496"/>
          <w:sz w:val="24"/>
        </w:rPr>
        <w:t>OPPOSABILITÉ DU RESCRIT SOCIAL</w:t>
      </w:r>
    </w:p>
    <w:p>
      <w:r>
        <w:rPr>
          <w:b w:val="0"/>
          <w:color w:val="000000"/>
          <w:sz w:val="22"/>
        </w:rPr>
        <w:t>?</w:t>
      </w:r>
    </w:p>
    <w:p>
      <w:r>
        <w:rPr>
          <w:b w:val="0"/>
          <w:color w:val="000000"/>
          <w:sz w:val="22"/>
        </w:rPr>
        <w:t>La réponse donnée lie l'institution qui l'a délivrée. C'est-à-dire qu'elle est injustifiée à prononcer un redressement de</w:t>
      </w:r>
    </w:p>
    <w:p>
      <w:r>
        <w:rPr>
          <w:b w:val="0"/>
          <w:color w:val="000000"/>
          <w:sz w:val="22"/>
        </w:rPr>
        <w:t>cotisations et contributions sociales fondé sur une analyse des textes différente de celle fournit dans le rescrit.</w:t>
      </w:r>
    </w:p>
    <w:p>
      <w:r>
        <w:rPr>
          <w:b w:val="0"/>
          <w:color w:val="000000"/>
          <w:sz w:val="22"/>
        </w:rPr>
        <w:t>Néanmoins cela ne vaut que pour l'organisme ayant donne son interprétation et pour le seul employeur l'ayant sollicité.</w:t>
      </w:r>
    </w:p>
    <w:p>
      <w:pPr>
        <w:pStyle w:val="Heading2"/>
      </w:pPr>
      <w:r>
        <w:rPr>
          <w:b/>
          <w:color w:val="2F5496"/>
          <w:sz w:val="24"/>
        </w:rPr>
        <w:t>B- LA CHARTE DU COTISANT CONTRÔLE</w:t>
      </w:r>
    </w:p>
    <w:p/>
    <w:p>
      <w:r>
        <w:rPr>
          <w:b w:val="0"/>
          <w:color w:val="000000"/>
          <w:sz w:val="22"/>
        </w:rPr>
        <w:t>Prévue à l'article R 243- 59 du code la sécurité sociale, à la charte du cotisant contrôle à doit être remise</w:t>
      </w:r>
    </w:p>
    <w:p>
      <w:r>
        <w:rPr>
          <w:b w:val="0"/>
          <w:color w:val="000000"/>
          <w:sz w:val="22"/>
        </w:rPr>
        <w:t>obligatoirement des le début du contrôle. En effet, l'avis de passage signifiant l'engagement de la procédure informe le</w:t>
      </w:r>
    </w:p>
    <w:p>
      <w:r>
        <w:rPr>
          <w:b w:val="0"/>
          <w:color w:val="000000"/>
          <w:sz w:val="22"/>
        </w:rPr>
        <w:t>cotisant que ladite charte lui sera remise des le commencement du contrôle. La charte l'informe de manière didactique</w:t>
      </w:r>
    </w:p>
    <w:p>
      <w:r>
        <w:rPr>
          <w:b w:val="0"/>
          <w:color w:val="000000"/>
          <w:sz w:val="22"/>
        </w:rPr>
        <w:t>du déroulement des opérations, de ses modalités (sur pièce ou dans les locaux de l'entreprise), des personnes chargées</w:t>
      </w:r>
    </w:p>
    <w:p>
      <w:r>
        <w:rPr>
          <w:b w:val="0"/>
          <w:color w:val="000000"/>
          <w:sz w:val="22"/>
        </w:rPr>
        <w:t>de l'effectuer, ainsi que de son issue et des voies de recours ouvertes au cotisant. Son contenu est désormais opposable à</w:t>
      </w:r>
    </w:p>
    <w:p>
      <w:pPr>
        <w:pStyle w:val="Heading2"/>
      </w:pPr>
      <w:r>
        <w:rPr>
          <w:b/>
          <w:color w:val="2F5496"/>
          <w:sz w:val="24"/>
        </w:rPr>
        <w:t>l'URSSAF.</w:t>
      </w:r>
    </w:p>
    <w:p>
      <w:r>
        <w:rPr>
          <w:b w:val="0"/>
          <w:color w:val="000000"/>
          <w:sz w:val="22"/>
        </w:rPr>
        <w:t>Bien que prévue par les textes l'absence de remise de la charte n'est pas sanctionnée, mais on peut penser que son</w:t>
      </w:r>
    </w:p>
    <w:p>
      <w:r>
        <w:rPr>
          <w:b w:val="0"/>
          <w:color w:val="000000"/>
          <w:sz w:val="22"/>
        </w:rPr>
        <w:t>absence constitue une violation des droits du cotisant (défaut d'information) susceptible de remettre en cause le</w:t>
      </w:r>
    </w:p>
    <w:p>
      <w:r>
        <w:rPr>
          <w:b w:val="0"/>
          <w:color w:val="000000"/>
          <w:sz w:val="22"/>
        </w:rPr>
        <w:t>contrôle.</w:t>
      </w:r>
    </w:p>
    <w:p>
      <w:pPr>
        <w:pStyle w:val="Heading2"/>
      </w:pPr>
      <w:r>
        <w:rPr>
          <w:b/>
          <w:color w:val="2F5496"/>
          <w:sz w:val="24"/>
        </w:rPr>
        <w:t>C- L'INSTAURATION D'UN DROIT à L'ERREUR</w:t>
      </w:r>
    </w:p>
    <w:p/>
    <w:p>
      <w:r>
        <w:rPr>
          <w:b w:val="0"/>
          <w:color w:val="000000"/>
          <w:sz w:val="22"/>
        </w:rPr>
        <w:t>Un cotisant ayant méconnu pour la première fois une règle applicable à sa situation ou ayant commis une erreur</w:t>
      </w:r>
    </w:p>
    <w:p>
      <w:r>
        <w:rPr>
          <w:b w:val="0"/>
          <w:color w:val="000000"/>
          <w:sz w:val="22"/>
        </w:rPr>
        <w:t>matérielle ne peut faire l'objet, de la part de l'administration, d'une sanction, s'il a régularisé sa situation de sa propre</w:t>
      </w:r>
    </w:p>
    <w:p>
      <w:r>
        <w:rPr>
          <w:b w:val="0"/>
          <w:color w:val="000000"/>
          <w:sz w:val="22"/>
        </w:rPr>
        <w:t>initiative ou après avoir été invité à le faire par l'administration (décret du 11 octobre 2019). Cette disposition n'est</w:t>
      </w:r>
    </w:p>
    <w:p>
      <w:r>
        <w:rPr>
          <w:b w:val="0"/>
          <w:color w:val="000000"/>
          <w:sz w:val="22"/>
        </w:rPr>
        <w:t>cependant pas applicable en certaines circonstances, notamment en cas de fraude ou de mauvaise foi.</w:t>
      </w:r>
    </w:p>
    <w:p>
      <w:pPr>
        <w:pStyle w:val="Heading2"/>
      </w:pPr>
      <w:r>
        <w:rPr>
          <w:b/>
          <w:color w:val="2F5496"/>
          <w:sz w:val="24"/>
        </w:rPr>
        <w:t>II- LES MODALITÉS DU CONTRÔLE</w:t>
      </w:r>
    </w:p>
    <w:p>
      <w:pPr>
        <w:pStyle w:val="Heading2"/>
      </w:pPr>
      <w:r>
        <w:rPr>
          <w:b/>
          <w:color w:val="2F5496"/>
          <w:sz w:val="24"/>
        </w:rPr>
        <w:t>A- LE CONTRÔLE SUR PLACE</w:t>
      </w:r>
    </w:p>
    <w:p>
      <w:pPr>
        <w:pStyle w:val="Heading2"/>
      </w:pPr>
      <w:r>
        <w:rPr>
          <w:b/>
          <w:color w:val="2F5496"/>
          <w:sz w:val="24"/>
        </w:rPr>
        <w:t>L'AVIS DE PASSAGE</w:t>
      </w:r>
    </w:p>
    <w:p>
      <w:r>
        <w:rPr>
          <w:b w:val="0"/>
          <w:color w:val="000000"/>
          <w:sz w:val="22"/>
        </w:rPr>
        <w:t>?</w:t>
      </w:r>
    </w:p>
    <w:p>
      <w:r>
        <w:rPr>
          <w:b w:val="0"/>
          <w:color w:val="000000"/>
          <w:sz w:val="22"/>
        </w:rPr>
        <w:t>La procédure débute par un avis de contrôle délivré par lettre recommandée avec avis de réception (art. R 243-59 C. SS).</w:t>
      </w:r>
    </w:p>
    <w:p>
      <w:r>
        <w:rPr>
          <w:b w:val="0"/>
          <w:color w:val="000000"/>
          <w:sz w:val="22"/>
        </w:rPr>
        <w:t>Il indique la date de la vérification, la liste des documents et supports qu'il conviendra de tenir à disposition de l'ins-</w:t>
      </w:r>
    </w:p>
    <w:p>
      <w:r>
        <w:rPr>
          <w:b w:val="0"/>
          <w:color w:val="000000"/>
          <w:sz w:val="22"/>
        </w:rPr>
        <w:t>pecteur et la période sur laquelle va porter la vérification. Les informations contenues dans le courrier lient l'adminis-</w:t>
      </w:r>
    </w:p>
    <w:p>
      <w:r>
        <w:rPr>
          <w:b w:val="0"/>
          <w:color w:val="000000"/>
          <w:sz w:val="22"/>
        </w:rPr>
        <w:t>tration qui ne peut étendre ses investigations à des domaines étrangers à ceux visés dans l'avis de passage. Le contrôle</w:t>
      </w:r>
    </w:p>
    <w:p>
      <w:r>
        <w:rPr>
          <w:b w:val="0"/>
          <w:color w:val="000000"/>
          <w:sz w:val="22"/>
        </w:rPr>
        <w:t>peut ensuite commencer après expiration d'un délai de 30 jours.</w:t>
      </w:r>
    </w:p>
    <w:p>
      <w:pPr>
        <w:pStyle w:val="Heading2"/>
      </w:pPr>
      <w:r>
        <w:rPr>
          <w:b/>
          <w:color w:val="2F5496"/>
          <w:sz w:val="24"/>
        </w:rPr>
        <w:t>LA POURSUITE DE LA PROCÉDURE</w:t>
      </w:r>
    </w:p>
    <w:p>
      <w:r>
        <w:rPr>
          <w:b w:val="0"/>
          <w:color w:val="000000"/>
          <w:sz w:val="22"/>
        </w:rPr>
        <w:t>?</w:t>
      </w:r>
    </w:p>
    <w:p>
      <w:r>
        <w:rPr>
          <w:b w:val="0"/>
          <w:color w:val="000000"/>
          <w:sz w:val="22"/>
        </w:rPr>
        <w:t>Le contrôle se poursuit par l'examen sur place des documents, sociaux, juridiques, comptables et fiscaux. Il appartient à</w:t>
      </w:r>
    </w:p>
    <w:p>
      <w:r>
        <w:rPr>
          <w:b w:val="0"/>
          <w:color w:val="000000"/>
          <w:sz w:val="22"/>
        </w:rPr>
        <w:t>l'employeur, tenu de recevoir l'inspecteur du recouvrement, de fournir les documents nécessaires à la réalisation des</w:t>
      </w:r>
    </w:p>
    <w:p>
      <w:r>
        <w:rPr>
          <w:b w:val="0"/>
          <w:color w:val="000000"/>
          <w:sz w:val="22"/>
        </w:rPr>
        <w:t>investigations au regard des éléments fournis dans l'avis. Peu importe que les documents soient détenus par le comité</w:t>
      </w:r>
    </w:p>
    <w:p>
      <w:r>
        <w:rPr>
          <w:b w:val="0"/>
          <w:color w:val="000000"/>
          <w:sz w:val="22"/>
        </w:rPr>
        <w:t>social et économique dans la mesure où le contrôle porte sur les rémunérations des salariés, y compris celles versées par</w:t>
      </w:r>
    </w:p>
    <w:p>
      <w:r>
        <w:rPr>
          <w:b w:val="0"/>
          <w:color w:val="000000"/>
          <w:sz w:val="22"/>
        </w:rPr>
        <w:t>l'intermédiaire du comité. Des lors l'avis adresse au seul cotisant est suffisant pour procéder au contrôle et justifie la</w:t>
      </w:r>
    </w:p>
    <w:p>
      <w:r>
        <w:rPr>
          <w:b w:val="0"/>
          <w:color w:val="000000"/>
          <w:sz w:val="22"/>
        </w:rPr>
        <w:t>production des pièces détenues par le tiers (par exemple le CSE comme personne morale).</w:t>
      </w:r>
    </w:p>
    <w:p>
      <w:r>
        <w:rPr>
          <w:b w:val="0"/>
          <w:color w:val="000000"/>
          <w:sz w:val="22"/>
        </w:rPr>
        <w:t>136</w:t>
      </w:r>
    </w:p>
    <w:p>
      <w:r>
        <w:rPr>
          <w:b w:val="0"/>
          <w:color w:val="000000"/>
          <w:sz w:val="22"/>
        </w:rPr>
        <w:t>éditions Corroy à 4 rue de Villars, 42000 Saint-etienne à 04 77 79 92 46 à infos@editions-corroy.fr</w:t>
      </w:r>
    </w:p>
    <w:p>
      <w:r>
        <w:rPr>
          <w:b w:val="0"/>
          <w:color w:val="000000"/>
          <w:sz w:val="22"/>
        </w:rPr>
        <w:t>COLLECTION DCG UE 3 à Droit social - Fiches de cours</w:t>
      </w:r>
    </w:p>
    <w:p>
      <w:r>
        <w:rPr>
          <w:b w:val="0"/>
          <w:color w:val="000000"/>
          <w:sz w:val="22"/>
        </w:rPr>
        <w:t>DCGUE3F.qxp_DCGUE3F  24/07/2025  10:26  Page 136L'inspecteur peut recourir à l'audition des personnes rémunérées par l'entreprise ce qui comprend non seulement l'em-</w:t>
      </w:r>
    </w:p>
    <w:p>
      <w:r>
        <w:rPr>
          <w:b w:val="0"/>
          <w:color w:val="000000"/>
          <w:sz w:val="22"/>
        </w:rPr>
        <w:t>ployeur, mais aussi les salariés qu'ils soient en activité ou non.</w:t>
      </w:r>
    </w:p>
    <w:p>
      <w:r>
        <w:rPr>
          <w:b w:val="0"/>
          <w:color w:val="000000"/>
          <w:sz w:val="22"/>
        </w:rPr>
        <w:t>Durant toute la procédure, l'employeur est en droit de se faire assister par le conseil de son choix.</w:t>
      </w:r>
    </w:p>
    <w:p>
      <w:pPr>
        <w:pStyle w:val="Heading2"/>
      </w:pPr>
      <w:r>
        <w:rPr>
          <w:b/>
          <w:color w:val="2F5496"/>
          <w:sz w:val="24"/>
        </w:rPr>
        <w:t>B- LE CONTRÔLE SUR PIÈCES</w:t>
      </w:r>
    </w:p>
    <w:p>
      <w:r>
        <w:rPr>
          <w:b w:val="0"/>
          <w:color w:val="000000"/>
          <w:sz w:val="22"/>
        </w:rPr>
        <w:t>Le contrôle sur pièces offre la particularité de se dérouler non dans les locaux de l'entreprise mais dans ceux de</w:t>
      </w:r>
    </w:p>
    <w:p>
      <w:r>
        <w:rPr>
          <w:b w:val="0"/>
          <w:color w:val="000000"/>
          <w:sz w:val="22"/>
        </w:rPr>
        <w:t>l'URSSAF. Il concerne les employeurs et travailleurs indépendants occupant onze salariés au plus au 31 décembre de</w:t>
      </w:r>
    </w:p>
    <w:p>
      <w:r>
        <w:rPr>
          <w:b w:val="0"/>
          <w:color w:val="000000"/>
          <w:sz w:val="22"/>
        </w:rPr>
        <w:t>l'année qui procède le contrôle.</w:t>
      </w:r>
    </w:p>
    <w:p>
      <w:r>
        <w:rPr>
          <w:b w:val="0"/>
          <w:color w:val="000000"/>
          <w:sz w:val="22"/>
        </w:rPr>
        <w:t>Le contrôle doit être procédé d'un avis informant le cotisant de ses droits et lui enjoignant de fournir les informations et</w:t>
      </w:r>
    </w:p>
    <w:p>
      <w:r>
        <w:rPr>
          <w:b w:val="0"/>
          <w:color w:val="000000"/>
          <w:sz w:val="22"/>
        </w:rPr>
        <w:t>documents nécessaires au contrôle. Il doit garantir les mêmes droits que le contrôle sur place.</w:t>
      </w:r>
    </w:p>
    <w:p>
      <w:r>
        <w:rPr>
          <w:b w:val="0"/>
          <w:color w:val="000000"/>
          <w:sz w:val="22"/>
        </w:rPr>
        <w:t>Enfin, il ne peut s'écouler plus de trois mois entre le début du contrôle et la lettre d'observation. Cette obligation a été</w:t>
      </w:r>
    </w:p>
    <w:p>
      <w:r>
        <w:rPr>
          <w:b w:val="0"/>
          <w:color w:val="000000"/>
          <w:sz w:val="22"/>
        </w:rPr>
        <w:t>étendue à titre expérimental aux entreprises de moins de 20 salariés pout une durée de 3 ans.</w:t>
      </w:r>
    </w:p>
    <w:p>
      <w:pPr>
        <w:pStyle w:val="Heading2"/>
      </w:pPr>
      <w:r>
        <w:rPr>
          <w:b/>
          <w:color w:val="2F5496"/>
          <w:sz w:val="24"/>
        </w:rPr>
        <w:t>III- ISSUE DU CONTRÔLE ET VOIES DE RECOURS</w:t>
      </w:r>
    </w:p>
    <w:p>
      <w:pPr>
        <w:pStyle w:val="Heading2"/>
      </w:pPr>
      <w:r>
        <w:rPr>
          <w:b/>
          <w:color w:val="2F5496"/>
          <w:sz w:val="24"/>
        </w:rPr>
        <w:t>A- LA LETTRE D'OBSERVATION</w:t>
      </w:r>
    </w:p>
    <w:p/>
    <w:p>
      <w:r>
        <w:rPr>
          <w:b w:val="0"/>
          <w:color w:val="000000"/>
          <w:sz w:val="22"/>
        </w:rPr>
        <w:t>Quelle que soit l'issue du contrôle (redressement ou non) la clôture des opérations est constatée par l'envoi d'une lettre</w:t>
      </w:r>
    </w:p>
    <w:p>
      <w:r>
        <w:rPr>
          <w:b w:val="0"/>
          <w:color w:val="000000"/>
          <w:sz w:val="22"/>
        </w:rPr>
        <w:t>à l'intention de l'employeur. Elle mentionne les observations s'il y a lieu, récapitule les éléments du contrôle et dresse un</w:t>
      </w:r>
    </w:p>
    <w:p>
      <w:r>
        <w:rPr>
          <w:b w:val="0"/>
          <w:color w:val="000000"/>
          <w:sz w:val="22"/>
        </w:rPr>
        <w:t>bilan de la vérification effectuée. Elle peut, le cas échéant, faire état du redressement envisage qui doit être motivé. à</w:t>
      </w:r>
    </w:p>
    <w:p>
      <w:r>
        <w:rPr>
          <w:b w:val="0"/>
          <w:color w:val="000000"/>
          <w:sz w:val="22"/>
        </w:rPr>
        <w:t>titre de formalité substantielle, la lettre d'observation doit mentionner le délai de 30 jours accorde à l'employeur pour y</w:t>
      </w:r>
    </w:p>
    <w:p>
      <w:r>
        <w:rPr>
          <w:b w:val="0"/>
          <w:color w:val="000000"/>
          <w:sz w:val="22"/>
        </w:rPr>
        <w:t>répondre (Cass. 2</w:t>
      </w:r>
    </w:p>
    <w:p>
      <w:r>
        <w:rPr>
          <w:b w:val="0"/>
          <w:color w:val="000000"/>
          <w:sz w:val="22"/>
        </w:rPr>
        <w:t>e</w:t>
      </w:r>
    </w:p>
    <w:p>
      <w:r>
        <w:rPr>
          <w:b w:val="0"/>
          <w:color w:val="000000"/>
          <w:sz w:val="22"/>
        </w:rPr>
        <w:t>chambre civile, 15 mars 2018).</w:t>
      </w:r>
    </w:p>
    <w:p>
      <w:pPr>
        <w:pStyle w:val="Heading2"/>
      </w:pPr>
      <w:r>
        <w:rPr>
          <w:b/>
          <w:color w:val="2F5496"/>
          <w:sz w:val="24"/>
        </w:rPr>
        <w:t>B- LA RÉPONSE DE L'EMPLOYEUR</w:t>
      </w:r>
    </w:p>
    <w:p>
      <w:r>
        <w:rPr>
          <w:b w:val="0"/>
          <w:color w:val="000000"/>
          <w:sz w:val="22"/>
        </w:rPr>
        <w:t>Le cotisant dispose d'un délai de 30 jours pour répondre aux décisions et observations de l'inspecteur du recouvrement.</w:t>
      </w:r>
    </w:p>
    <w:p>
      <w:r>
        <w:rPr>
          <w:b w:val="0"/>
          <w:color w:val="000000"/>
          <w:sz w:val="22"/>
        </w:rPr>
        <w:t>Ce délai à dit période contradictoire à peut être étendu à 60 jours à la demande du cotisant contrôle.</w:t>
      </w:r>
    </w:p>
    <w:p>
      <w:r>
        <w:rPr>
          <w:b w:val="0"/>
          <w:color w:val="000000"/>
          <w:sz w:val="22"/>
        </w:rPr>
        <w:t>Ce dernier peut accepter ou rejeter partiellement ou en totalité le redressement envisage si tel est le cas. Dans cette</w:t>
      </w:r>
    </w:p>
    <w:p>
      <w:r>
        <w:rPr>
          <w:b w:val="0"/>
          <w:color w:val="000000"/>
          <w:sz w:val="22"/>
        </w:rPr>
        <w:t>hypothèse, il doit fournir toutes pièces susceptibles d'étayer son argumentation. L'agent charge du contrôle est tenu de</w:t>
      </w:r>
    </w:p>
    <w:p>
      <w:r>
        <w:rPr>
          <w:b w:val="0"/>
          <w:color w:val="000000"/>
          <w:sz w:val="22"/>
        </w:rPr>
        <w:t>répondre à chaque point soulevé par l'employeur.</w:t>
      </w:r>
    </w:p>
    <w:p>
      <w:r>
        <w:rPr>
          <w:b w:val="0"/>
          <w:color w:val="000000"/>
          <w:sz w:val="22"/>
        </w:rPr>
        <w:t>à noter qu'aucune obligation de réponse ne pose sur l'employeur et son absence ne vaut pas acceptation par celui-ci des</w:t>
      </w:r>
    </w:p>
    <w:p>
      <w:r>
        <w:rPr>
          <w:b w:val="0"/>
          <w:color w:val="000000"/>
          <w:sz w:val="22"/>
        </w:rPr>
        <w:t>dispositions figurant dans la lettre d'observation.</w:t>
      </w:r>
    </w:p>
    <w:p>
      <w:pPr>
        <w:pStyle w:val="Heading2"/>
      </w:pPr>
      <w:r>
        <w:rPr>
          <w:b/>
          <w:color w:val="2F5496"/>
          <w:sz w:val="24"/>
        </w:rPr>
        <w:t>C- L'INFORMATION ET L'AUTORITÉ HIÉRARCHIQUE</w:t>
      </w:r>
    </w:p>
    <w:p/>
    <w:p>
      <w:r>
        <w:rPr>
          <w:b w:val="0"/>
          <w:color w:val="000000"/>
          <w:sz w:val="22"/>
        </w:rPr>
        <w:t>Au terme de la période contradictoire, l'inspecteur du recouvrement transmet à l'URSSAF dont il dépend le procès-</w:t>
      </w:r>
    </w:p>
    <w:p>
      <w:r>
        <w:rPr>
          <w:b w:val="0"/>
          <w:color w:val="000000"/>
          <w:sz w:val="22"/>
        </w:rPr>
        <w:t>verbal de contrôle accompagné des observations de l'employeur s'il y a lieu.</w:t>
      </w:r>
    </w:p>
    <w:p>
      <w:pPr>
        <w:pStyle w:val="Heading2"/>
      </w:pPr>
      <w:r>
        <w:rPr>
          <w:b/>
          <w:color w:val="2F5496"/>
          <w:sz w:val="24"/>
        </w:rPr>
        <w:t>D- MISE EN RECOUVREMENT ET VOIES DE RECOURS</w:t>
      </w:r>
    </w:p>
    <w:p/>
    <w:p>
      <w:r>
        <w:rPr>
          <w:b w:val="0"/>
          <w:color w:val="000000"/>
          <w:sz w:val="22"/>
        </w:rPr>
        <w:t>L'URSSAF peut mettre en recouvrement les sommes faisant l'objet du redressement si elle l'estime justifie (l'absence</w:t>
      </w:r>
    </w:p>
    <w:p>
      <w:r>
        <w:rPr>
          <w:b w:val="0"/>
          <w:color w:val="000000"/>
          <w:sz w:val="22"/>
        </w:rPr>
        <w:t>d'observations de sa part, vaut acceptation tacite des pratiques contrôlées).</w:t>
      </w:r>
    </w:p>
    <w:p>
      <w:r>
        <w:rPr>
          <w:b w:val="0"/>
          <w:color w:val="000000"/>
          <w:sz w:val="22"/>
        </w:rPr>
        <w:t>Elle enjoint l'employeur de payer les sommes dues par lettre recommandée avec avis de réception et à défaut de réponse,</w:t>
      </w:r>
    </w:p>
    <w:p>
      <w:r>
        <w:rPr>
          <w:b w:val="0"/>
          <w:color w:val="000000"/>
          <w:sz w:val="22"/>
        </w:rPr>
        <w:t>procède au recouvrement force (contrainte).</w:t>
      </w:r>
    </w:p>
    <w:p>
      <w:r>
        <w:rPr>
          <w:b w:val="0"/>
          <w:color w:val="000000"/>
          <w:sz w:val="22"/>
        </w:rPr>
        <w:t>Le cotisant peut s'opposer aux décisions de l'URSSAF en saisissant tout d'abord la Commission de Recours Amiable. Elle</w:t>
      </w:r>
    </w:p>
    <w:p>
      <w:r>
        <w:rPr>
          <w:b w:val="0"/>
          <w:color w:val="000000"/>
          <w:sz w:val="22"/>
        </w:rPr>
        <w:t>doit être saisie dans le délai de deux mois à compter de la réception de la mise en demeure. La décision de la CRA doit être</w:t>
      </w:r>
    </w:p>
    <w:p>
      <w:r>
        <w:rPr>
          <w:b w:val="0"/>
          <w:color w:val="000000"/>
          <w:sz w:val="22"/>
        </w:rPr>
        <w:t>motivée, mentionner le motif du redressement, et indiquer les voies de recours. L'absence de réponse de sa part dans un</w:t>
      </w:r>
    </w:p>
    <w:p>
      <w:r>
        <w:rPr>
          <w:b w:val="0"/>
          <w:color w:val="000000"/>
          <w:sz w:val="22"/>
        </w:rPr>
        <w:t>délai de 30 jours vaut rejet implicite de la demande du cotisant.</w:t>
      </w:r>
    </w:p>
    <w:p>
      <w:r>
        <w:rPr>
          <w:b w:val="0"/>
          <w:color w:val="000000"/>
          <w:sz w:val="22"/>
        </w:rPr>
        <w:t>Il peut alors saisir dans les deux mois le Tribunal judiciaire. En effet, les tribunaux des affaires de sécurité sociale (TASS),</w:t>
      </w:r>
    </w:p>
    <w:p>
      <w:r>
        <w:rPr>
          <w:b w:val="0"/>
          <w:color w:val="000000"/>
          <w:sz w:val="22"/>
        </w:rPr>
        <w:t>les tribunaux du contentieux de l'incapacité (TCI) et les commissions départementales d'aide sociale (CDAS) ont</w:t>
      </w:r>
    </w:p>
    <w:p>
      <w:r>
        <w:rPr>
          <w:b w:val="0"/>
          <w:color w:val="000000"/>
          <w:sz w:val="22"/>
        </w:rPr>
        <w:t>fusionné au 1</w:t>
      </w:r>
    </w:p>
    <w:p>
      <w:r>
        <w:rPr>
          <w:b w:val="0"/>
          <w:color w:val="000000"/>
          <w:sz w:val="22"/>
        </w:rPr>
        <w:t>er</w:t>
      </w:r>
    </w:p>
    <w:p>
      <w:r>
        <w:rPr>
          <w:b w:val="0"/>
          <w:color w:val="000000"/>
          <w:sz w:val="22"/>
        </w:rPr>
        <w:t>janvier 2019 et les contentieux relèvent désormais de la compétence des tribunaux judiciaires.</w:t>
      </w:r>
    </w:p>
    <w:p>
      <w:r>
        <w:rPr>
          <w:b w:val="0"/>
          <w:color w:val="000000"/>
          <w:sz w:val="22"/>
        </w:rPr>
        <w:t>Le cotisant peut aussi attendre la décision expresse de la commission. Le délai de recours judiciaire ne commence alors</w:t>
      </w:r>
    </w:p>
    <w:p>
      <w:r>
        <w:rPr>
          <w:b w:val="0"/>
          <w:color w:val="000000"/>
          <w:sz w:val="22"/>
        </w:rPr>
        <w:t>à courir qu'à compter de sa notification.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