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 : LES SOURCES DU DROIT SOCIAL</w:t>
      </w:r>
    </w:p>
    <w:p/>
    <w:p>
      <w:pPr>
        <w:pStyle w:val="Heading2"/>
      </w:pPr>
      <w:r>
        <w:rPr>
          <w:b/>
          <w:color w:val="2F5496"/>
          <w:sz w:val="24"/>
        </w:rPr>
        <w:t>LES SOURCES INTERNATIONALES ET COMMUNAUTAIRES I e</w:t>
      </w:r>
    </w:p>
    <w:p>
      <w:pPr>
        <w:pStyle w:val="Heading2"/>
      </w:pPr>
      <w:r>
        <w:rPr>
          <w:b/>
          <w:color w:val="2F5496"/>
          <w:sz w:val="24"/>
        </w:rPr>
        <w:t>LES ACCORDS INTERNATIONAUX A e</w:t>
      </w:r>
    </w:p>
    <w:p>
      <w:pPr>
        <w:pStyle w:val="Heading2"/>
      </w:pPr>
      <w:r>
        <w:rPr>
          <w:b/>
          <w:color w:val="2F5496"/>
          <w:sz w:val="24"/>
        </w:rPr>
        <w:t>L'ORGANISATION INTERNATIONALE DU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accords internationaux, sous la forme de traites, sont une source importante du droit social, non pas tant du fait de</w:t>
      </w:r>
    </w:p>
    <w:p>
      <w:r>
        <w:rPr>
          <w:b w:val="0"/>
          <w:color w:val="000000"/>
          <w:sz w:val="22"/>
        </w:rPr>
        <w:t>leur abondance mais e cause de leurs effets dans le droit interne</w:t>
      </w:r>
    </w:p>
    <w:p>
      <w:r>
        <w:rPr>
          <w:b w:val="0"/>
          <w:color w:val="000000"/>
          <w:sz w:val="22"/>
        </w:rPr>
        <w:t>Au niveau international, c'est l'Organisation Internationale du Travail (OIT), qui joue un rele de premier plan. Elle a</w:t>
      </w:r>
    </w:p>
    <w:p>
      <w:r>
        <w:rPr>
          <w:b w:val="0"/>
          <w:color w:val="000000"/>
          <w:sz w:val="22"/>
        </w:rPr>
        <w:t>vocation e edicter des normes de nature e ameliorer les conditions de travail dans le monde et par l' m'me d'unifier, pas</w:t>
      </w:r>
    </w:p>
    <w:p>
      <w:r>
        <w:rPr>
          <w:b w:val="0"/>
          <w:color w:val="000000"/>
          <w:sz w:val="22"/>
        </w:rPr>
        <w:t>e pas, les droits sociaux des pays membres. Elle produit aussi un travail documentaire de premier ordre en matiere de</w:t>
      </w:r>
    </w:p>
    <w:p>
      <w:r>
        <w:rPr>
          <w:b w:val="0"/>
          <w:color w:val="000000"/>
          <w:sz w:val="22"/>
        </w:rPr>
        <w:t>reglementation du travail et de protection sociale dans le monde (cf. Rapport 2020 de la Commission d'experts pour</w:t>
      </w:r>
    </w:p>
    <w:p>
      <w:r>
        <w:rPr>
          <w:b w:val="0"/>
          <w:color w:val="000000"/>
          <w:sz w:val="22"/>
        </w:rPr>
        <w:t>l'application des conventions et recommandations).</w:t>
      </w:r>
    </w:p>
    <w:p>
      <w:r>
        <w:rPr>
          <w:b w:val="0"/>
          <w:color w:val="000000"/>
          <w:sz w:val="22"/>
        </w:rPr>
        <w:t>Organe des Nations Unies, l'OIT a une structure tripartite. Elle comprend :</w:t>
      </w:r>
    </w:p>
    <w:p>
      <w:pPr>
        <w:pStyle w:val="ListBullet"/>
      </w:pPr>
      <w:r>
        <w:rPr>
          <w:b w:val="0"/>
          <w:color w:val="000000"/>
          <w:sz w:val="22"/>
        </w:rPr>
        <w:t>La Conference internationale du travail. C'est le parlement de l'organisation.</w:t>
      </w:r>
    </w:p>
    <w:p>
      <w:pPr>
        <w:pStyle w:val="ListBullet"/>
      </w:pPr>
      <w:r>
        <w:rPr>
          <w:b w:val="0"/>
          <w:color w:val="000000"/>
          <w:sz w:val="22"/>
        </w:rPr>
        <w:t>Le Conseil d'administration qui constitue l'organe executif.</w:t>
      </w:r>
    </w:p>
    <w:p>
      <w:pPr>
        <w:pStyle w:val="ListBullet"/>
      </w:pPr>
      <w:r>
        <w:rPr>
          <w:b w:val="0"/>
          <w:color w:val="000000"/>
          <w:sz w:val="22"/>
        </w:rPr>
        <w:t>Le Bureau international du travail (BIT). Il constitue le secretariat permanent de l'OIT et prepare les projets</w:t>
      </w:r>
    </w:p>
    <w:p>
      <w:r>
        <w:rPr>
          <w:b w:val="0"/>
          <w:color w:val="000000"/>
          <w:sz w:val="22"/>
        </w:rPr>
        <w:t>d'actions.</w:t>
      </w:r>
    </w:p>
    <w:p>
      <w:r>
        <w:rPr>
          <w:b w:val="0"/>
          <w:color w:val="000000"/>
          <w:sz w:val="22"/>
        </w:rPr>
        <w:t>Elle intervient en utilisant differents instruments juridiques :</w:t>
      </w:r>
    </w:p>
    <w:p>
      <w:pPr>
        <w:pStyle w:val="ListBullet"/>
      </w:pPr>
      <w:r>
        <w:rPr>
          <w:b w:val="0"/>
          <w:color w:val="000000"/>
          <w:sz w:val="22"/>
        </w:rPr>
        <w:t>Les conventions, qui, une fois ratifiees par les etats, creent e leur charge des obligations. Par exemple, la convention</w:t>
      </w:r>
    </w:p>
    <w:p>
      <w:r>
        <w:rPr>
          <w:b w:val="0"/>
          <w:color w:val="000000"/>
          <w:sz w:val="22"/>
        </w:rPr>
        <w:t>concernant l'elimination de la violence et du harcelement dans le monde du travail, adoptee par la conference e sa</w:t>
      </w:r>
    </w:p>
    <w:p>
      <w:r>
        <w:rPr>
          <w:b w:val="0"/>
          <w:color w:val="000000"/>
          <w:sz w:val="22"/>
        </w:rPr>
        <w:t>cent huitieme session ( Geneve, 21 juin 2019).</w:t>
      </w:r>
    </w:p>
    <w:p>
      <w:pPr>
        <w:pStyle w:val="ListBullet"/>
      </w:pPr>
      <w:r>
        <w:rPr>
          <w:b w:val="0"/>
          <w:color w:val="000000"/>
          <w:sz w:val="22"/>
        </w:rPr>
        <w:t>Les recommandations, qui constituent un droit mou, dans la mesure oe elles se contentent de d'finir des objectifs</w:t>
      </w:r>
    </w:p>
    <w:p>
      <w:r>
        <w:rPr>
          <w:b w:val="0"/>
          <w:color w:val="000000"/>
          <w:sz w:val="22"/>
        </w:rPr>
        <w:t>(ex. : Recommandation (n' 205) sur l'emploi et le travail d'cent pour la paix et la resilience, 2017).</w:t>
      </w:r>
    </w:p>
    <w:p>
      <w:pPr>
        <w:pStyle w:val="Heading2"/>
      </w:pPr>
      <w:r>
        <w:rPr>
          <w:b/>
          <w:color w:val="2F5496"/>
          <w:sz w:val="24"/>
        </w:rPr>
        <w:t>LE DROIT EUROPeEN NON COMMUNAUTAIRE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s'agit des conventions et autres textes pris dans le cadre du Conseil de l'Europe. Le Conseil de l'Europe est une</w:t>
      </w:r>
    </w:p>
    <w:p>
      <w:r>
        <w:rPr>
          <w:b w:val="0"/>
          <w:color w:val="000000"/>
          <w:sz w:val="22"/>
        </w:rPr>
        <w:t>organisation e dimension paneuropeenne qui regroupe 47 etats membres dont l'objectif est de promouvoir en Europe</w:t>
      </w:r>
    </w:p>
    <w:p>
      <w:r>
        <w:rPr>
          <w:b w:val="0"/>
          <w:color w:val="000000"/>
          <w:sz w:val="22"/>
        </w:rPr>
        <w:t>les valeurs d'mocratiques. En matiere de droit social deux textes sont particulierement importants :</w:t>
      </w:r>
    </w:p>
    <w:p>
      <w:pPr>
        <w:pStyle w:val="ListBullet"/>
      </w:pPr>
      <w:r>
        <w:rPr>
          <w:b w:val="0"/>
          <w:color w:val="000000"/>
          <w:sz w:val="22"/>
        </w:rPr>
        <w:t>La convention de sauvegarde des droits de l'homme entree en vigueur en 1953.</w:t>
      </w:r>
    </w:p>
    <w:p>
      <w:pPr>
        <w:pStyle w:val="ListBullet"/>
      </w:pPr>
      <w:r>
        <w:rPr>
          <w:b w:val="0"/>
          <w:color w:val="000000"/>
          <w:sz w:val="22"/>
        </w:rPr>
        <w:t>La charte sociale europeenne signee en 1961 et revisee en 1996.</w:t>
      </w:r>
    </w:p>
    <w:p>
      <w:pPr>
        <w:pStyle w:val="Heading2"/>
      </w:pPr>
      <w:r>
        <w:rPr>
          <w:b/>
          <w:color w:val="2F5496"/>
          <w:sz w:val="24"/>
        </w:rPr>
        <w:t>LE DROIT DE L'UNION EUROPeENNE B e</w:t>
      </w:r>
    </w:p>
    <w:p>
      <w:pPr>
        <w:pStyle w:val="Heading2"/>
      </w:pPr>
      <w:r>
        <w:rPr>
          <w:b/>
          <w:color w:val="2F5496"/>
          <w:sz w:val="24"/>
        </w:rPr>
        <w:t>LE DROIT PRIMAIRE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se compose des differents traites. Au titre du droit social quelques textes m'ritent d'etre evoques : La Charte</w:t>
      </w:r>
    </w:p>
    <w:p>
      <w:r>
        <w:rPr>
          <w:b w:val="0"/>
          <w:color w:val="000000"/>
          <w:sz w:val="22"/>
        </w:rPr>
        <w:t>communautaire des droits sociaux fondamentaux des travailleurs de 1989, Le traite de Maastricht de 1992 qui comprend</w:t>
      </w:r>
    </w:p>
    <w:p>
      <w:r>
        <w:rPr>
          <w:b w:val="0"/>
          <w:color w:val="000000"/>
          <w:sz w:val="22"/>
        </w:rPr>
        <w:t>un protocole social, le traite d'Amsterdam de 1997 et plus recemment le traite de Nice, entre en vigueur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fevrier 2003</w:t>
      </w:r>
    </w:p>
    <w:p>
      <w:r>
        <w:rPr>
          <w:b w:val="0"/>
          <w:color w:val="000000"/>
          <w:sz w:val="22"/>
        </w:rPr>
        <w:t>dont les dispositions sociales sont enoncees aux articles 136 et suivants.</w:t>
      </w:r>
    </w:p>
    <w:p>
      <w:pPr>
        <w:pStyle w:val="Heading2"/>
      </w:pPr>
      <w:r>
        <w:rPr>
          <w:b/>
          <w:color w:val="2F5496"/>
          <w:sz w:val="24"/>
        </w:rPr>
        <w:t>LE DROIT D'RIVe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comprend :</w:t>
      </w:r>
    </w:p>
    <w:p>
      <w:pPr>
        <w:pStyle w:val="ListBullet"/>
      </w:pPr>
      <w:r>
        <w:rPr>
          <w:b w:val="0"/>
          <w:color w:val="000000"/>
          <w:sz w:val="22"/>
        </w:rPr>
        <w:t>Les reglements. Ce sont des textes directement integres dans le droit interne des etats ;</w:t>
      </w:r>
    </w:p>
    <w:p>
      <w:pPr>
        <w:pStyle w:val="ListBullet"/>
      </w:pPr>
      <w:r>
        <w:rPr>
          <w:b w:val="0"/>
          <w:color w:val="000000"/>
          <w:sz w:val="22"/>
        </w:rPr>
        <w:t>Les directives. Elles fixent des objectifs obligatoires mais laissent les etats libres quant aux moyens d'y parvenir.</w:t>
      </w:r>
    </w:p>
    <w:p>
      <w:r>
        <w:rPr>
          <w:b w:val="0"/>
          <w:color w:val="000000"/>
          <w:sz w:val="22"/>
        </w:rPr>
        <w:t>Pour exemple la Directive (UE) 2024/2831 relative e l'amelioration des conditions de travail dans le cadre du travail</w:t>
      </w:r>
    </w:p>
    <w:p>
      <w:r>
        <w:rPr>
          <w:b w:val="0"/>
          <w:color w:val="000000"/>
          <w:sz w:val="22"/>
        </w:rPr>
        <w:t>via une plateforme ;</w:t>
      </w:r>
    </w:p>
    <w:p>
      <w:pPr>
        <w:pStyle w:val="ListBullet"/>
      </w:pPr>
      <w:r>
        <w:rPr>
          <w:b w:val="0"/>
          <w:color w:val="000000"/>
          <w:sz w:val="22"/>
        </w:rPr>
        <w:t>Les d'cisions. Elles n'ont d'effet qu'e l'egard d'un nombre d'termine de personnes ;</w:t>
      </w:r>
    </w:p>
    <w:p>
      <w:pPr>
        <w:pStyle w:val="ListBullet"/>
      </w:pPr>
      <w:r>
        <w:rPr>
          <w:b w:val="0"/>
          <w:color w:val="000000"/>
          <w:sz w:val="22"/>
        </w:rPr>
        <w:t>Les recommandations et avis. Ils n'ont pas de caracteres contraignant e l'egard des etats.</w:t>
      </w:r>
    </w:p>
    <w:p>
      <w:pPr>
        <w:pStyle w:val="Heading2"/>
      </w:pPr>
      <w:r>
        <w:rPr>
          <w:b/>
          <w:color w:val="2F5496"/>
          <w:sz w:val="24"/>
        </w:rPr>
        <w:t>LA JURISPRUDENCE DE L'UNION EUROPeENNE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Cour de justice de l'Union europeenne et le tribunal de premiere instance de l'Union europeenne sont aussi des</w:t>
      </w:r>
    </w:p>
    <w:p>
      <w:r>
        <w:rPr>
          <w:b w:val="0"/>
          <w:color w:val="000000"/>
          <w:sz w:val="22"/>
        </w:rPr>
        <w:t>sources de premier ordre dans la mesure oe leurs d'cisions invitent e une lecture du droit europeen de nature e avoir une</w:t>
      </w:r>
    </w:p>
    <w:p>
      <w:r>
        <w:rPr>
          <w:b w:val="0"/>
          <w:color w:val="000000"/>
          <w:sz w:val="22"/>
        </w:rPr>
        <w:t>incidence dans le droit interne des etats.</w:t>
      </w:r>
    </w:p>
    <w:p>
      <w:r>
        <w:rPr>
          <w:b w:val="0"/>
          <w:color w:val="000000"/>
          <w:sz w:val="22"/>
        </w:rPr>
        <w:t>Par exemple, et dernierement, un arret precisant les conditions dans lesquelles le temps d'astreinte peut constituer un</w:t>
      </w:r>
    </w:p>
    <w:p>
      <w:r>
        <w:rPr>
          <w:b w:val="0"/>
          <w:color w:val="000000"/>
          <w:sz w:val="22"/>
        </w:rPr>
        <w:t>temps de travail effectif, ou encore les deux arrets de la CJUE en date du 14 mars 2017 relatifs au port visible de tout signe</w:t>
      </w:r>
    </w:p>
    <w:p>
      <w:r>
        <w:rPr>
          <w:b w:val="0"/>
          <w:color w:val="000000"/>
          <w:sz w:val="22"/>
        </w:rPr>
        <w:t>politique, philosophique ou religieux en entreprise.</w:t>
      </w:r>
    </w:p>
    <w:p/>
    <w:p>
      <w:pPr>
        <w:pStyle w:val="Heading2"/>
      </w:pPr>
      <w:r>
        <w:rPr>
          <w:b/>
          <w:color w:val="2F5496"/>
          <w:sz w:val="24"/>
        </w:rPr>
        <w:t>LES SOURCES eTATIQUES II e</w:t>
      </w:r>
    </w:p>
    <w:p>
      <w:pPr>
        <w:pStyle w:val="Heading2"/>
      </w:pPr>
      <w:r>
        <w:rPr>
          <w:b/>
          <w:color w:val="2F5496"/>
          <w:sz w:val="24"/>
        </w:rPr>
        <w:t>LE DOMAINE DE LA LOI A e</w:t>
      </w:r>
    </w:p>
    <w:p>
      <w:pPr>
        <w:pStyle w:val="Heading2"/>
      </w:pPr>
      <w:r>
        <w:rPr>
          <w:b/>
          <w:color w:val="2F5496"/>
          <w:sz w:val="24"/>
        </w:rPr>
        <w:t>LE BLOC DE CONSTITUTINNALITe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Sous ce vocable il faut entendre</w:t>
      </w:r>
    </w:p>
    <w:p>
      <w:pPr>
        <w:pStyle w:val="ListBullet"/>
      </w:pPr>
      <w:r>
        <w:rPr>
          <w:b w:val="0"/>
          <w:color w:val="000000"/>
          <w:sz w:val="22"/>
        </w:rPr>
        <w:t>la constitution de 1958 ;</w:t>
      </w:r>
    </w:p>
    <w:p>
      <w:pPr>
        <w:pStyle w:val="ListBullet"/>
      </w:pPr>
      <w:r>
        <w:rPr>
          <w:b w:val="0"/>
          <w:color w:val="000000"/>
          <w:sz w:val="22"/>
        </w:rPr>
        <w:t>le preambule de la constitution du 27 octobre 1946 ;</w:t>
      </w:r>
    </w:p>
    <w:p>
      <w:pPr>
        <w:pStyle w:val="ListBullet"/>
      </w:pPr>
      <w:r>
        <w:rPr>
          <w:b w:val="0"/>
          <w:color w:val="000000"/>
          <w:sz w:val="22"/>
        </w:rPr>
        <w:t>la d'claration des droits de l'homme et du citoyen de 1789 ;</w:t>
      </w:r>
    </w:p>
    <w:p>
      <w:r>
        <w:rPr>
          <w:b w:val="0"/>
          <w:color w:val="000000"/>
          <w:sz w:val="22"/>
        </w:rPr>
        <w:t>la charte de l'environnement promulguee le 1</w:t>
      </w:r>
    </w:p>
    <w:p>
      <w:r>
        <w:rPr>
          <w:b w:val="0"/>
          <w:color w:val="000000"/>
          <w:sz w:val="22"/>
        </w:rPr>
        <w:t>er</w:t>
      </w:r>
    </w:p>
    <w:p>
      <w:pPr>
        <w:pStyle w:val="ListBullet"/>
      </w:pPr>
      <w:r>
        <w:rPr>
          <w:b w:val="0"/>
          <w:color w:val="000000"/>
          <w:sz w:val="22"/>
        </w:rPr>
        <w:t>mars 2005.</w:t>
      </w:r>
    </w:p>
    <w:p>
      <w:r>
        <w:rPr>
          <w:b w:val="0"/>
          <w:color w:val="000000"/>
          <w:sz w:val="22"/>
        </w:rPr>
        <w:t>Chacun de ces textes e valeur constitutionnelle comprend des principes et formule un certain nombre de droits. Par</w:t>
      </w:r>
    </w:p>
    <w:p>
      <w:r>
        <w:rPr>
          <w:b w:val="0"/>
          <w:color w:val="000000"/>
          <w:sz w:val="22"/>
        </w:rPr>
        <w:t>exemple le droit au travail, le droit syndical, le droit de greve ou encore le droit e la s'curite sociale, figurent dans le</w:t>
      </w:r>
    </w:p>
    <w:p>
      <w:r>
        <w:rPr>
          <w:b w:val="0"/>
          <w:color w:val="000000"/>
          <w:sz w:val="22"/>
        </w:rPr>
        <w:t>preambule de 1946. De m'me que le droit de propriet', la liberte d'entreprendre ainsi que la liberte du travail sont</w:t>
      </w:r>
    </w:p>
    <w:p>
      <w:r>
        <w:rPr>
          <w:b w:val="0"/>
          <w:color w:val="000000"/>
          <w:sz w:val="22"/>
        </w:rPr>
        <w:t>exprimes dans la d'claration des droits de l'homme.</w:t>
      </w:r>
    </w:p>
    <w:p>
      <w:pPr>
        <w:pStyle w:val="Heading2"/>
      </w:pPr>
      <w:r>
        <w:rPr>
          <w:b/>
          <w:color w:val="2F5496"/>
          <w:sz w:val="24"/>
        </w:rPr>
        <w:t>LA 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34 de la constitution d'termine le champ d'application de la loi : e La loi est votee par le Parlemente La loi</w:t>
      </w:r>
    </w:p>
    <w:p>
      <w:r>
        <w:rPr>
          <w:b w:val="0"/>
          <w:color w:val="000000"/>
          <w:sz w:val="22"/>
        </w:rPr>
        <w:t>d'termine les principes fondamentaux : edu droit du travail, du droit syndical et de la s'curite sociale. e. Son expression</w:t>
      </w:r>
    </w:p>
    <w:p>
      <w:r>
        <w:rPr>
          <w:b w:val="0"/>
          <w:color w:val="000000"/>
          <w:sz w:val="22"/>
        </w:rPr>
        <w:t>est organisee dans le cadre du code du travail et du code de la s'curite sociale.</w:t>
      </w:r>
    </w:p>
    <w:p>
      <w:pPr>
        <w:pStyle w:val="Heading2"/>
      </w:pPr>
      <w:r>
        <w:rPr>
          <w:b/>
          <w:color w:val="2F5496"/>
          <w:sz w:val="24"/>
        </w:rPr>
        <w:t>LE DOMAINE ReGLEMENTAIRE B e</w:t>
      </w:r>
    </w:p>
    <w:p>
      <w:r>
        <w:rPr>
          <w:b w:val="0"/>
          <w:color w:val="000000"/>
          <w:sz w:val="22"/>
        </w:rPr>
        <w:t>Au terme de l'article 37 de la constitution de 1958, les domaines qui ne relevent pas de la loi relevent du pouvoir</w:t>
      </w:r>
    </w:p>
    <w:p>
      <w:r>
        <w:rPr>
          <w:b w:val="0"/>
          <w:color w:val="000000"/>
          <w:sz w:val="22"/>
        </w:rPr>
        <w:t>reglementaire.</w:t>
      </w:r>
    </w:p>
    <w:p>
      <w:pPr>
        <w:pStyle w:val="Heading2"/>
      </w:pPr>
      <w:r>
        <w:rPr>
          <w:b/>
          <w:color w:val="2F5496"/>
          <w:sz w:val="24"/>
        </w:rPr>
        <w:t>LE POUVOIR ReGLEMENTAIRE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L'acte administratif reglementaire (d'cret, arret', etc.) est une regle gen'rale, edictee unilateralement par le pouvoir</w:t>
      </w:r>
    </w:p>
    <w:p>
      <w:r>
        <w:rPr>
          <w:b w:val="0"/>
          <w:color w:val="000000"/>
          <w:sz w:val="22"/>
        </w:rPr>
        <w:t>executif. e ce titre le gouvernement dispose non seulement d'un pouvoir reglementaire d'application de la loi mais</w:t>
      </w:r>
    </w:p>
    <w:p>
      <w:r>
        <w:rPr>
          <w:b w:val="0"/>
          <w:color w:val="000000"/>
          <w:sz w:val="22"/>
        </w:rPr>
        <w:t>encore d'un pouvoir reglementaire autonome dans toutes les matieres qui ne sont pas attribuees e la loi par la</w:t>
      </w:r>
    </w:p>
    <w:p>
      <w:r>
        <w:rPr>
          <w:b w:val="0"/>
          <w:color w:val="000000"/>
          <w:sz w:val="22"/>
        </w:rPr>
        <w:t>Constitution.</w:t>
      </w:r>
    </w:p>
    <w:p>
      <w:pPr>
        <w:pStyle w:val="Heading2"/>
      </w:pPr>
      <w:r>
        <w:rPr>
          <w:b/>
          <w:color w:val="C0504D"/>
          <w:sz w:val="24"/>
        </w:rPr>
        <w:t>EXCEPTION : LES ORDONNANCES</w:t>
      </w:r>
    </w:p>
    <w:p>
      <w:r>
        <w:rPr>
          <w:b w:val="0"/>
          <w:color w:val="C0504D"/>
          <w:sz w:val="22"/>
        </w:rPr>
        <w:t>?</w:t>
      </w:r>
    </w:p>
    <w:p>
      <w:r>
        <w:rPr>
          <w:b w:val="0"/>
          <w:color w:val="C0504D"/>
          <w:sz w:val="22"/>
        </w:rPr>
        <w:t>Ce sont des textes pris par le gouvernement sur habilitation du Parlement car les dispositions qui peuvent y figurer</w:t>
      </w:r>
    </w:p>
    <w:p>
      <w:r>
        <w:rPr>
          <w:b w:val="0"/>
          <w:color w:val="C0504D"/>
          <w:sz w:val="22"/>
        </w:rPr>
        <w:t>relevent eventuellement du domaine de la loi. Par exemple, les ordonnances dites e Macron e du 22 septembre 2017 ou</w:t>
      </w:r>
    </w:p>
    <w:p>
      <w:r>
        <w:rPr>
          <w:b w:val="0"/>
          <w:color w:val="C0504D"/>
          <w:sz w:val="22"/>
        </w:rPr>
        <w:t>encore celles des 3, 10 et 17 juin 2020 pour faire face e l'epidemie de COVID.</w:t>
      </w:r>
    </w:p>
    <w:p>
      <w:pPr>
        <w:pStyle w:val="Heading2"/>
      </w:pPr>
      <w:r>
        <w:rPr>
          <w:b/>
          <w:color w:val="2F5496"/>
          <w:sz w:val="24"/>
        </w:rPr>
        <w:t>LA JURISPRUDENCE C e</w:t>
      </w:r>
    </w:p>
    <w:p>
      <w:r>
        <w:rPr>
          <w:b w:val="0"/>
          <w:color w:val="000000"/>
          <w:sz w:val="22"/>
        </w:rPr>
        <w:t>C'est une source particulierement importante etant donne le nombre de litiges portes devant les juridictions sociales.</w:t>
      </w:r>
    </w:p>
    <w:p>
      <w:r>
        <w:rPr>
          <w:b w:val="0"/>
          <w:color w:val="000000"/>
          <w:sz w:val="22"/>
        </w:rPr>
        <w:t>La chambre sociale de la Cour de cassation est ainsi e l'origine d'une importante jurisprudence qui impose une veille</w:t>
      </w:r>
    </w:p>
    <w:p>
      <w:r>
        <w:rPr>
          <w:b w:val="0"/>
          <w:color w:val="000000"/>
          <w:sz w:val="22"/>
        </w:rPr>
        <w:t>juridique constante. Les d'cisions de la chambre criminelle de la Cour de cassation mais aussi des juridictions adminis-</w:t>
      </w:r>
    </w:p>
    <w:p>
      <w:r>
        <w:rPr>
          <w:b w:val="0"/>
          <w:color w:val="000000"/>
          <w:sz w:val="22"/>
        </w:rPr>
        <w:t>tratives doivent faire l'objet de la m'me attention dans la mesure ou certains litiges du droit social peuvent relever de</w:t>
      </w:r>
    </w:p>
    <w:p>
      <w:r>
        <w:rPr>
          <w:b w:val="0"/>
          <w:color w:val="000000"/>
          <w:sz w:val="22"/>
        </w:rPr>
        <w:t>leur competence (infractions relatives au droit du travail, licenciement des representants du personnele).</w:t>
      </w:r>
    </w:p>
    <w:p>
      <w:pPr>
        <w:pStyle w:val="Heading2"/>
      </w:pPr>
      <w:r>
        <w:rPr>
          <w:b/>
          <w:color w:val="2F5496"/>
          <w:sz w:val="24"/>
        </w:rPr>
        <w:t>LES SOURCES PROFESSIONNELLES III e</w:t>
      </w:r>
    </w:p>
    <w:p>
      <w:pPr>
        <w:pStyle w:val="Heading2"/>
      </w:pPr>
      <w:r>
        <w:rPr>
          <w:b/>
          <w:color w:val="2F5496"/>
          <w:sz w:val="24"/>
        </w:rPr>
        <w:t>LES CONVENTIONS ET ACCORDS COLLECTIFS A e</w:t>
      </w:r>
    </w:p>
    <w:p>
      <w:r>
        <w:rPr>
          <w:b w:val="0"/>
          <w:color w:val="000000"/>
          <w:sz w:val="22"/>
        </w:rPr>
        <w:t>Le droit des salaries de participer e la d'termination de leurs conditions de travail est un principe inscrit dans le pream-</w:t>
      </w:r>
    </w:p>
    <w:p>
      <w:r>
        <w:rPr>
          <w:b w:val="0"/>
          <w:color w:val="000000"/>
          <w:sz w:val="22"/>
        </w:rPr>
        <w:t>bule de la constitution de 1946. Ce droit particulierement important s'exerce dans le cadre de la n'gociation collective</w:t>
      </w:r>
    </w:p>
    <w:p>
      <w:r>
        <w:rPr>
          <w:b w:val="0"/>
          <w:color w:val="000000"/>
          <w:sz w:val="22"/>
        </w:rPr>
        <w:t>aux fins d'aboutir e la conclusion de conventions ou d'accords collectifs.</w:t>
      </w:r>
    </w:p>
    <w:p>
      <w:pPr>
        <w:pStyle w:val="ListBullet"/>
      </w:pPr>
      <w:r>
        <w:rPr>
          <w:b w:val="0"/>
          <w:color w:val="000000"/>
          <w:sz w:val="22"/>
        </w:rPr>
        <w:t>les conventions collectives concernent l'ensemble des conditions de travail ;</w:t>
      </w:r>
    </w:p>
    <w:p>
      <w:pPr>
        <w:pStyle w:val="ListBullet"/>
      </w:pPr>
      <w:r>
        <w:rPr>
          <w:b w:val="0"/>
          <w:color w:val="000000"/>
          <w:sz w:val="22"/>
        </w:rPr>
        <w:t>les accords collectifs n'en visent qu'un aspect particulier (formation professionnelle, salairese).</w:t>
      </w:r>
    </w:p>
    <w:p>
      <w:r>
        <w:rPr>
          <w:b w:val="0"/>
          <w:color w:val="000000"/>
          <w:sz w:val="22"/>
        </w:rPr>
        <w:t>Tous deux sont n'gocies entre un employeur ou un groupement d'employeurs et une ou plusieurs organisations</w:t>
      </w:r>
    </w:p>
    <w:p>
      <w:r>
        <w:rPr>
          <w:b w:val="0"/>
          <w:color w:val="000000"/>
          <w:sz w:val="22"/>
        </w:rPr>
        <w:t>syndicales representatives de salaries.</w:t>
      </w:r>
    </w:p>
    <w:p>
      <w:r>
        <w:rPr>
          <w:b w:val="0"/>
          <w:color w:val="000000"/>
          <w:sz w:val="22"/>
        </w:rPr>
        <w:t>Ils peuvent etre conclus niveau de la branche (c'est-e-dire dans une branche d'activite, chimie ou m'tallurgie par exem-</w:t>
      </w:r>
    </w:p>
    <w:p>
      <w:r>
        <w:rPr>
          <w:b w:val="0"/>
          <w:color w:val="000000"/>
          <w:sz w:val="22"/>
        </w:rPr>
        <w:t>ple), au niveau de l'entreprise (entreprise et etablissement) et au niveau interprofessionnel.</w:t>
      </w:r>
    </w:p>
    <w:p>
      <w:r>
        <w:rPr>
          <w:b w:val="0"/>
          <w:color w:val="000000"/>
          <w:sz w:val="22"/>
        </w:rPr>
        <w:t>En outre, les conventions et accords de branche ou interprofessionnel peuvent etre d'limites geographiquement et etre</w:t>
      </w:r>
    </w:p>
    <w:p>
      <w:r>
        <w:rPr>
          <w:b w:val="0"/>
          <w:color w:val="000000"/>
          <w:sz w:val="22"/>
        </w:rPr>
        <w:t>conclus au niveau national, regional ou local.</w:t>
      </w:r>
    </w:p>
    <w:p>
      <w:pPr>
        <w:pStyle w:val="Heading2"/>
      </w:pPr>
      <w:r>
        <w:rPr>
          <w:b/>
          <w:color w:val="2F5496"/>
          <w:sz w:val="24"/>
        </w:rPr>
        <w:t>ReGLEMENTS ET ACTES UNILATeRAUX B e</w:t>
      </w:r>
    </w:p>
    <w:p>
      <w:pPr>
        <w:pStyle w:val="Heading2"/>
      </w:pPr>
      <w:r>
        <w:rPr>
          <w:b/>
          <w:color w:val="2F5496"/>
          <w:sz w:val="24"/>
        </w:rPr>
        <w:t>LE ReGLEMENT INTeRIEUR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L'elaboration d'un reglement interieur constitue une obligation l'gale dans les entreprises employant au moins 20</w:t>
      </w:r>
    </w:p>
    <w:p>
      <w:r>
        <w:rPr>
          <w:b w:val="0"/>
          <w:color w:val="000000"/>
          <w:sz w:val="22"/>
        </w:rPr>
        <w:t>salaries. Son contenu est limitatif puisqu'il ne peut contenir que des dispositions relatives e l'hygiene et la s'curite ainsi</w:t>
      </w:r>
    </w:p>
    <w:p>
      <w:r>
        <w:rPr>
          <w:b w:val="0"/>
          <w:color w:val="000000"/>
          <w:sz w:val="22"/>
        </w:rPr>
        <w:t>qu'e la discipline dans l'entreprise. Il rappelle en outres les dispositions relatives au harcelement. Sa violation peut</w:t>
      </w:r>
    </w:p>
    <w:p>
      <w:r>
        <w:rPr>
          <w:b w:val="0"/>
          <w:color w:val="000000"/>
          <w:sz w:val="22"/>
        </w:rPr>
        <w:t>entraener l'application de sanctions disciplinairese;</w:t>
      </w:r>
    </w:p>
    <w:p/>
    <w:p>
      <w:pPr>
        <w:pStyle w:val="Heading2"/>
      </w:pPr>
      <w:r>
        <w:rPr>
          <w:b/>
          <w:color w:val="2F5496"/>
          <w:sz w:val="24"/>
        </w:rPr>
        <w:t>LES RECOMMANDATIONS PATRONALES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organisations syndicales patronales peuvent s'adresser directement e leurs adherents sous la forme de</w:t>
      </w:r>
    </w:p>
    <w:p>
      <w:r>
        <w:rPr>
          <w:b w:val="0"/>
          <w:color w:val="000000"/>
          <w:sz w:val="22"/>
        </w:rPr>
        <w:t>recommandations. La Cour de cassation par une d'cision en date 29 juin 1999 leur reconnaet force obligatoire e l'egard</w:t>
      </w:r>
    </w:p>
    <w:p>
      <w:r>
        <w:rPr>
          <w:b w:val="0"/>
          <w:color w:val="000000"/>
          <w:sz w:val="22"/>
        </w:rPr>
        <w:t>de ses adherents d's lors qu'elle revet la forme d'une d'claration claire et precise.</w:t>
      </w:r>
    </w:p>
    <w:p>
      <w:pPr>
        <w:pStyle w:val="Heading2"/>
      </w:pPr>
      <w:r>
        <w:rPr>
          <w:b/>
          <w:color w:val="2F5496"/>
          <w:sz w:val="24"/>
        </w:rPr>
        <w:t>LES ENGAGEMENTS UNILATeRAUX DE L'EMPLOYEUR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sont les prises d'engagements unilaterales de l'employeur qui peuvent resulter de notes de services, des reponses aux</w:t>
      </w:r>
    </w:p>
    <w:p>
      <w:r>
        <w:rPr>
          <w:b w:val="0"/>
          <w:color w:val="000000"/>
          <w:sz w:val="22"/>
        </w:rPr>
        <w:t>representants du personnel ou d'une simple d'claration du chef d'entreprise. La jurisprudence leur confere un caractere</w:t>
      </w:r>
    </w:p>
    <w:p>
      <w:r>
        <w:rPr>
          <w:b w:val="0"/>
          <w:color w:val="000000"/>
          <w:sz w:val="22"/>
        </w:rPr>
        <w:t>obligatoire et leur attribue en tant qu'accords atypiques la procedure de d'nonciation applicable aux usages d's lors</w:t>
      </w:r>
    </w:p>
    <w:p>
      <w:r>
        <w:rPr>
          <w:b w:val="0"/>
          <w:color w:val="000000"/>
          <w:sz w:val="22"/>
        </w:rPr>
        <w:t>qu'il est a dure indeterminee.</w:t>
      </w:r>
    </w:p>
    <w:p>
      <w:pPr>
        <w:pStyle w:val="Heading2"/>
      </w:pPr>
      <w:r>
        <w:rPr>
          <w:b/>
          <w:color w:val="2F5496"/>
          <w:sz w:val="24"/>
        </w:rPr>
        <w:t>LES USAGES C e</w:t>
      </w:r>
    </w:p>
    <w:p>
      <w:r>
        <w:rPr>
          <w:b w:val="0"/>
          <w:color w:val="000000"/>
          <w:sz w:val="22"/>
        </w:rPr>
        <w:t>On distingue :</w:t>
      </w:r>
    </w:p>
    <w:p>
      <w:pPr>
        <w:pStyle w:val="ListBullet"/>
      </w:pPr>
      <w:r>
        <w:rPr>
          <w:b w:val="0"/>
          <w:color w:val="000000"/>
          <w:sz w:val="22"/>
        </w:rPr>
        <w:t>l'usage professionnel qui s'applique e tout ou partie du personnel dans une profession d'terminee ;</w:t>
      </w:r>
    </w:p>
    <w:p>
      <w:pPr>
        <w:pStyle w:val="ListBullet"/>
      </w:pPr>
      <w:r>
        <w:rPr>
          <w:b w:val="0"/>
          <w:color w:val="000000"/>
          <w:sz w:val="22"/>
        </w:rPr>
        <w:t>l'usage d'entreprise qui constitue une pratique habituelle de l'employeur.</w:t>
      </w:r>
    </w:p>
    <w:p>
      <w:r>
        <w:rPr>
          <w:b w:val="0"/>
          <w:color w:val="000000"/>
          <w:sz w:val="22"/>
        </w:rPr>
        <w:t>L'usage a un caractere contraignant pour l'employeur d's lors qu'il peut etre etabli par celui qui l'invoque les caracteres</w:t>
      </w:r>
    </w:p>
    <w:p>
      <w:r>
        <w:rPr>
          <w:b w:val="0"/>
          <w:color w:val="000000"/>
          <w:sz w:val="22"/>
        </w:rPr>
        <w:t>suivants :</w:t>
      </w:r>
    </w:p>
    <w:p>
      <w:pPr>
        <w:pStyle w:val="ListBullet"/>
      </w:pPr>
      <w:r>
        <w:rPr>
          <w:b w:val="0"/>
          <w:color w:val="000000"/>
          <w:sz w:val="22"/>
        </w:rPr>
        <w:t>caractere de fixite (l'usage repose sur des modalites d'application identiques) ;</w:t>
      </w:r>
    </w:p>
    <w:p>
      <w:pPr>
        <w:pStyle w:val="ListBullet"/>
      </w:pPr>
      <w:r>
        <w:rPr>
          <w:b w:val="0"/>
          <w:color w:val="000000"/>
          <w:sz w:val="22"/>
        </w:rPr>
        <w:t>caractere de constance (regularite de l'usage) ;</w:t>
      </w:r>
    </w:p>
    <w:p>
      <w:pPr>
        <w:pStyle w:val="ListBullet"/>
      </w:pPr>
      <w:r>
        <w:rPr>
          <w:b w:val="0"/>
          <w:color w:val="000000"/>
          <w:sz w:val="22"/>
        </w:rPr>
        <w:t>caractere de gen'ralite (l'usage ben'ficie e la totalite des salaries ou une partie d'entre eux).</w:t>
      </w:r>
    </w:p>
    <w:p>
      <w:r>
        <w:rPr>
          <w:b w:val="0"/>
          <w:color w:val="000000"/>
          <w:sz w:val="22"/>
        </w:rPr>
        <w:t>La d'nonciation de l'usage par l'employeur ne peut etre mise en euvre unilateralement sans avoir respecte la</w:t>
      </w:r>
    </w:p>
    <w:p>
      <w:r>
        <w:rPr>
          <w:b w:val="0"/>
          <w:color w:val="000000"/>
          <w:sz w:val="22"/>
        </w:rPr>
        <w:t>procedure suivante :</w:t>
      </w:r>
    </w:p>
    <w:p>
      <w:pPr>
        <w:pStyle w:val="ListBullet"/>
      </w:pPr>
      <w:r>
        <w:rPr>
          <w:b w:val="0"/>
          <w:color w:val="000000"/>
          <w:sz w:val="22"/>
        </w:rPr>
        <w:t>l'information au prealable les institutions representatives du personnel ;</w:t>
      </w:r>
    </w:p>
    <w:p>
      <w:pPr>
        <w:pStyle w:val="ListBullet"/>
      </w:pPr>
      <w:r>
        <w:rPr>
          <w:b w:val="0"/>
          <w:color w:val="000000"/>
          <w:sz w:val="22"/>
        </w:rPr>
        <w:t>l'information au prealable et individuellement de chaque salarie concerne par l'usage ;</w:t>
      </w:r>
    </w:p>
    <w:p>
      <w:r>
        <w:rPr>
          <w:b w:val="0"/>
          <w:color w:val="000000"/>
          <w:sz w:val="22"/>
        </w:rPr>
        <w:t>l'observation d'un d'lai de prevenance suffisant entre ces informations et la suppression effective de l'usage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