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1 : LES SOURCES DU DROIT SOCIAL</w:t>
      </w:r>
    </w:p>
    <w:p/>
    <w:p>
      <w:pPr>
        <w:pStyle w:val="Heading2"/>
      </w:pPr>
      <w:r>
        <w:rPr>
          <w:b/>
          <w:color w:val="2F5496"/>
          <w:sz w:val="24"/>
        </w:rPr>
        <w:t>I • LES SOURCES INTERNATIONALES ET COMMUNAUTAIRES</w:t>
      </w:r>
    </w:p>
    <w:p>
      <w:pPr>
        <w:pStyle w:val="Heading2"/>
      </w:pPr>
      <w:r>
        <w:rPr>
          <w:b/>
          <w:color w:val="2F5496"/>
          <w:sz w:val="24"/>
        </w:rPr>
        <w:t>A • LES ACCORDS INTERNATIONAUX</w:t>
      </w:r>
    </w:p>
    <w:p>
      <w:pPr>
        <w:pStyle w:val="Heading2"/>
      </w:pPr>
      <w:r>
        <w:rPr>
          <w:b/>
          <w:color w:val="2F5496"/>
          <w:sz w:val="24"/>
        </w:rPr>
        <w:t>L'ORGANISATION INTERNATIONALE DU TRAVAIL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accords internationaux, sous la forme de traités, sont une source importante du droit social, non pas tant du fait de</w:t>
      </w:r>
    </w:p>
    <w:p>
      <w:r>
        <w:rPr>
          <w:b w:val="0"/>
          <w:color w:val="000000"/>
          <w:sz w:val="22"/>
        </w:rPr>
        <w:t>leur abondance mais à cause de leurs effets dans le droit interne</w:t>
      </w:r>
    </w:p>
    <w:p>
      <w:r>
        <w:rPr>
          <w:b w:val="0"/>
          <w:color w:val="000000"/>
          <w:sz w:val="22"/>
        </w:rPr>
        <w:t>Au niveau international, c'est l'Organisation Internationale du Travail (OIT), qui joue un rôle de premier plan. Elle a</w:t>
      </w:r>
    </w:p>
    <w:p>
      <w:r>
        <w:rPr>
          <w:b w:val="0"/>
          <w:color w:val="BF5700"/>
          <w:sz w:val="22"/>
        </w:rPr>
        <w:t>vocation à édicter des normes de nature à améliorer les conditions de travail dans le monde et par là même d'unifier, pas</w:t>
      </w:r>
    </w:p>
    <w:p>
      <w:r>
        <w:rPr>
          <w:b w:val="0"/>
          <w:color w:val="000000"/>
          <w:sz w:val="22"/>
        </w:rPr>
        <w:t>à pas, les droits sociaux des pays membres. Elle produit aussi un travail documentaire de premier ordre en matière de</w:t>
      </w:r>
    </w:p>
    <w:p>
      <w:r>
        <w:rPr>
          <w:b w:val="0"/>
          <w:color w:val="000000"/>
          <w:sz w:val="22"/>
        </w:rPr>
        <w:t>réglementation du travail et de protection sociale dans le monde (cf. Rapport 2020 de la Commission d'experts pour</w:t>
      </w:r>
    </w:p>
    <w:p>
      <w:r>
        <w:rPr>
          <w:b w:val="0"/>
          <w:color w:val="000000"/>
          <w:sz w:val="22"/>
        </w:rPr>
        <w:t>l'application des conventions et recommandations).</w:t>
      </w:r>
    </w:p>
    <w:p>
      <w:r>
        <w:rPr>
          <w:b w:val="0"/>
          <w:color w:val="000000"/>
          <w:sz w:val="22"/>
        </w:rPr>
        <w:t>Organe des Nations Unies, l'OIT a une structure tripartite. Elle comprend :</w:t>
      </w:r>
    </w:p>
    <w:p>
      <w:pPr>
        <w:pStyle w:val="ListBullet"/>
      </w:pPr>
      <w:r>
        <w:rPr>
          <w:b w:val="0"/>
          <w:color w:val="000000"/>
          <w:sz w:val="22"/>
        </w:rPr>
        <w:t>La Conférence internationale du travail. C'est le parlement de l'organisation.</w:t>
      </w:r>
    </w:p>
    <w:p>
      <w:pPr>
        <w:pStyle w:val="ListBullet"/>
      </w:pPr>
      <w:r>
        <w:rPr>
          <w:b w:val="0"/>
          <w:color w:val="000000"/>
          <w:sz w:val="22"/>
        </w:rPr>
        <w:t>Le Conseil d'administration qui constitue l'organe exécutif.</w:t>
      </w:r>
    </w:p>
    <w:p>
      <w:pPr>
        <w:pStyle w:val="ListBullet"/>
      </w:pPr>
      <w:r>
        <w:rPr>
          <w:b w:val="0"/>
          <w:color w:val="000000"/>
          <w:sz w:val="22"/>
        </w:rPr>
        <w:t>Le Bureau international du travail (BIT). Il constitue le secrétariat permanent de l'OIT et prépare les projets</w:t>
      </w:r>
    </w:p>
    <w:p>
      <w:r>
        <w:rPr>
          <w:b w:val="0"/>
          <w:color w:val="000000"/>
          <w:sz w:val="22"/>
        </w:rPr>
        <w:t>d'actions.</w:t>
      </w:r>
    </w:p>
    <w:p>
      <w:r>
        <w:rPr>
          <w:b w:val="0"/>
          <w:color w:val="000000"/>
          <w:sz w:val="22"/>
        </w:rPr>
        <w:t>Elle intervient en utilisant différents instruments juridiques :</w:t>
      </w:r>
    </w:p>
    <w:p>
      <w:pPr>
        <w:pStyle w:val="ListBullet"/>
      </w:pPr>
      <w:r>
        <w:rPr>
          <w:b w:val="0"/>
          <w:color w:val="BF5700"/>
          <w:sz w:val="22"/>
        </w:rPr>
        <w:t>Les conventions, qui, une fois ratifiées par les états, créent à leur charge des obligations. Par exemple, la convention</w:t>
      </w:r>
    </w:p>
    <w:p>
      <w:r>
        <w:rPr>
          <w:b w:val="0"/>
          <w:color w:val="000000"/>
          <w:sz w:val="22"/>
        </w:rPr>
        <w:t>concernant l'élimination de la violence et du harcèlement dans le monde du travail, adoptée par la conférence à sa</w:t>
      </w:r>
    </w:p>
    <w:p>
      <w:r>
        <w:rPr>
          <w:b w:val="0"/>
          <w:color w:val="000000"/>
          <w:sz w:val="22"/>
        </w:rPr>
        <w:t>cent huitième session ( Genève, 21 juin 2019).</w:t>
      </w:r>
    </w:p>
    <w:p>
      <w:pPr>
        <w:pStyle w:val="ListBullet"/>
      </w:pPr>
      <w:r>
        <w:rPr>
          <w:b w:val="0"/>
          <w:color w:val="000000"/>
          <w:sz w:val="22"/>
        </w:rPr>
        <w:t>Les recommandations, qui constituent un droit mou, dans la mesure où elles se contentent de définir des objectifs</w:t>
      </w:r>
    </w:p>
    <w:p>
      <w:r>
        <w:rPr>
          <w:b w:val="0"/>
          <w:color w:val="000000"/>
          <w:sz w:val="22"/>
        </w:rPr>
        <w:t>(ex. : Recommandation (n° 205) sur l'emploi et le travail décent pour la paix et la résilience, 2017).</w:t>
      </w:r>
    </w:p>
    <w:p>
      <w:pPr>
        <w:pStyle w:val="Heading2"/>
      </w:pPr>
      <w:r>
        <w:rPr>
          <w:b/>
          <w:color w:val="2F5496"/>
          <w:sz w:val="24"/>
        </w:rPr>
        <w:t>LE DROIT EUROPÉEN NON COMMUNAUTAIRE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703C"/>
          <w:sz w:val="22"/>
        </w:rPr>
        <w:t>Il s'agit des conventions et autres textes pris dans le cadre du Conseil de l'Europe. Le Conseil de l'Europe est une</w:t>
      </w:r>
    </w:p>
    <w:p>
      <w:r>
        <w:rPr>
          <w:b w:val="0"/>
          <w:color w:val="000000"/>
          <w:sz w:val="22"/>
        </w:rPr>
        <w:t>organisation à dimension paneuropéenne qui regroupe 47 états membres dont l'objectif est de promouvoir en Europe</w:t>
      </w:r>
    </w:p>
    <w:p>
      <w:r>
        <w:rPr>
          <w:b w:val="0"/>
          <w:color w:val="000000"/>
          <w:sz w:val="22"/>
        </w:rPr>
        <w:t>les valeurs démocratiques. En matière de droit social deux textes sont particulièrement importants :</w:t>
      </w:r>
    </w:p>
    <w:p>
      <w:pPr>
        <w:pStyle w:val="ListBullet"/>
      </w:pPr>
      <w:r>
        <w:rPr>
          <w:b w:val="0"/>
          <w:color w:val="000000"/>
          <w:sz w:val="22"/>
        </w:rPr>
        <w:t>La convention de sauvegarde des droits de l'homme entrée en vigueur en 1953.</w:t>
      </w:r>
    </w:p>
    <w:p>
      <w:pPr>
        <w:pStyle w:val="ListBullet"/>
      </w:pPr>
      <w:r>
        <w:rPr>
          <w:b w:val="0"/>
          <w:color w:val="000000"/>
          <w:sz w:val="22"/>
        </w:rPr>
        <w:t>La charte sociale européenne signée en 1961 et révisée en 1996.</w:t>
      </w:r>
    </w:p>
    <w:p>
      <w:pPr>
        <w:pStyle w:val="Heading2"/>
      </w:pPr>
      <w:r>
        <w:rPr>
          <w:b/>
          <w:color w:val="2F5496"/>
          <w:sz w:val="24"/>
        </w:rPr>
        <w:t>B • LE DROIT DE L'UNION EUROPÉENNE</w:t>
      </w:r>
    </w:p>
    <w:p>
      <w:pPr>
        <w:pStyle w:val="Heading2"/>
      </w:pPr>
      <w:r>
        <w:rPr>
          <w:b/>
          <w:color w:val="2F5496"/>
          <w:sz w:val="24"/>
        </w:rPr>
        <w:t>LE DROIT PRIMAIRE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Il se compose des différents traités. Au titre du droit social quelques textes méritent d'être évoqués : La Charte</w:t>
      </w:r>
    </w:p>
    <w:p>
      <w:r>
        <w:rPr>
          <w:b w:val="0"/>
          <w:color w:val="000000"/>
          <w:sz w:val="22"/>
        </w:rPr>
        <w:t>communautaire des droits sociaux fondamentaux des travailleurs de 1989, Le traité de Maastricht de 1992 qui comprend</w:t>
      </w:r>
    </w:p>
    <w:p>
      <w:r>
        <w:rPr>
          <w:b w:val="0"/>
          <w:color w:val="000000"/>
          <w:sz w:val="22"/>
        </w:rPr>
        <w:t>un protocole social, le traité d'Amsterdam de 1997 et plus récemment le traité de Nice, entre en vigueur au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février 2003</w:t>
      </w:r>
    </w:p>
    <w:p>
      <w:r>
        <w:rPr>
          <w:b w:val="0"/>
          <w:color w:val="000000"/>
          <w:sz w:val="22"/>
        </w:rPr>
        <w:t>dont les dispositions sociales sont énoncées aux articles 136 et suivants.</w:t>
      </w:r>
    </w:p>
    <w:p>
      <w:pPr>
        <w:pStyle w:val="Heading2"/>
      </w:pPr>
      <w:r>
        <w:rPr>
          <w:b/>
          <w:color w:val="2F5496"/>
          <w:sz w:val="24"/>
        </w:rPr>
        <w:t>LE DROIT DÉRIVE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Il comprend :</w:t>
      </w:r>
    </w:p>
    <w:p>
      <w:pPr>
        <w:pStyle w:val="ListBullet"/>
      </w:pPr>
      <w:r>
        <w:rPr>
          <w:b w:val="0"/>
          <w:color w:val="000000"/>
          <w:sz w:val="22"/>
        </w:rPr>
        <w:t>Les règlements. Ce sont des textes directement intégrés dans le droit interne des états ;</w:t>
      </w:r>
    </w:p>
    <w:p>
      <w:pPr>
        <w:pStyle w:val="ListBullet"/>
      </w:pPr>
      <w:r>
        <w:rPr>
          <w:b w:val="0"/>
          <w:color w:val="BF5700"/>
          <w:sz w:val="22"/>
        </w:rPr>
        <w:t>Les directives. Elles fixent des objectifs obligatoires mais laissent les états libres quant aux moyens d'y parvenir.</w:t>
      </w:r>
    </w:p>
    <w:p>
      <w:r>
        <w:rPr>
          <w:b w:val="0"/>
          <w:color w:val="BF5700"/>
          <w:sz w:val="22"/>
        </w:rPr>
        <w:t>Pour exemple la Directive (UE) 2024/2831 relative à l'amélioration des conditions de travail dans le cadre du travail</w:t>
      </w:r>
    </w:p>
    <w:p>
      <w:r>
        <w:rPr>
          <w:b w:val="0"/>
          <w:color w:val="000000"/>
          <w:sz w:val="22"/>
        </w:rPr>
        <w:t>via une plateforme ;</w:t>
      </w:r>
    </w:p>
    <w:p>
      <w:pPr>
        <w:pStyle w:val="ListBullet"/>
      </w:pPr>
      <w:r>
        <w:rPr>
          <w:b w:val="0"/>
          <w:color w:val="000000"/>
          <w:sz w:val="22"/>
        </w:rPr>
        <w:t>Les décisions. Elles n'ont d'effet qu'à l'égard d'un nombre déterminé de personnes ;</w:t>
      </w:r>
    </w:p>
    <w:p>
      <w:pPr>
        <w:pStyle w:val="ListBullet"/>
      </w:pPr>
      <w:r>
        <w:rPr>
          <w:b w:val="0"/>
          <w:color w:val="00703C"/>
          <w:sz w:val="22"/>
        </w:rPr>
        <w:t>Les recommandations et avis. Ils n'ont pas de caractères contraignant à l'égard des états.</w:t>
      </w:r>
    </w:p>
    <w:p>
      <w:pPr>
        <w:pStyle w:val="Heading2"/>
      </w:pPr>
      <w:r>
        <w:rPr>
          <w:b/>
          <w:color w:val="2F5496"/>
          <w:sz w:val="24"/>
        </w:rPr>
        <w:t>LA JURISPRUDENCE DE L'UNION EUROPÉENNE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Cour de justice de l'Union européenne et le tribunal de première instance de l'Union européenne sont aussi des</w:t>
      </w:r>
    </w:p>
    <w:p>
      <w:r>
        <w:rPr>
          <w:b w:val="0"/>
          <w:color w:val="000000"/>
          <w:sz w:val="22"/>
        </w:rPr>
        <w:t>sources de premier ordre dans la mesure où leurs décisions invitent à une lecture du droit européen de nature à avoir une</w:t>
      </w:r>
    </w:p>
    <w:p>
      <w:r>
        <w:rPr>
          <w:b w:val="0"/>
          <w:color w:val="000000"/>
          <w:sz w:val="22"/>
        </w:rPr>
        <w:t>incidence dans le droit interne des états.</w:t>
      </w:r>
    </w:p>
    <w:p>
      <w:r>
        <w:rPr>
          <w:b w:val="0"/>
          <w:color w:val="BF5700"/>
          <w:sz w:val="22"/>
        </w:rPr>
        <w:t>Par exemple, et dernièrement, un arrêt précisant les conditions dans lesquelles le temps d'astreinte peut constituer un</w:t>
      </w:r>
    </w:p>
    <w:p>
      <w:r>
        <w:rPr>
          <w:b w:val="0"/>
          <w:color w:val="000000"/>
          <w:sz w:val="22"/>
        </w:rPr>
        <w:t>temps de travail effectif, ou encore les deux arrêts de la CJUE en date du 14 mars 2017 relatifs au port visible de tout signe</w:t>
      </w:r>
    </w:p>
    <w:p>
      <w:r>
        <w:rPr>
          <w:b w:val="0"/>
          <w:color w:val="000000"/>
          <w:sz w:val="22"/>
        </w:rPr>
        <w:t>politique, philosophique ou religieux en entreprise.</w:t>
      </w:r>
    </w:p>
    <w:p/>
    <w:p>
      <w:pPr>
        <w:pStyle w:val="Heading2"/>
      </w:pPr>
      <w:r>
        <w:rPr>
          <w:b/>
          <w:color w:val="2F5496"/>
          <w:sz w:val="24"/>
        </w:rPr>
        <w:t>II • LES SOURCES ÉTATIQUES</w:t>
      </w:r>
    </w:p>
    <w:p>
      <w:pPr>
        <w:pStyle w:val="Heading2"/>
      </w:pPr>
      <w:r>
        <w:rPr>
          <w:b/>
          <w:color w:val="2F5496"/>
          <w:sz w:val="24"/>
        </w:rPr>
        <w:t>A • LE DOMAINE DE LA LOI</w:t>
      </w:r>
    </w:p>
    <w:p>
      <w:pPr>
        <w:pStyle w:val="Heading2"/>
      </w:pPr>
      <w:r>
        <w:rPr>
          <w:b/>
          <w:color w:val="2F5496"/>
          <w:sz w:val="24"/>
        </w:rPr>
        <w:t>LE BLOC DE CONSTITUTINNALITÉ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Sous ce vocable il faut entendre</w:t>
      </w:r>
    </w:p>
    <w:p>
      <w:pPr>
        <w:pStyle w:val="ListBullet"/>
      </w:pPr>
      <w:r>
        <w:rPr>
          <w:b w:val="0"/>
          <w:color w:val="000000"/>
          <w:sz w:val="22"/>
        </w:rPr>
        <w:t>la constitution de 1958 ;</w:t>
      </w:r>
    </w:p>
    <w:p>
      <w:pPr>
        <w:pStyle w:val="ListBullet"/>
      </w:pPr>
      <w:r>
        <w:rPr>
          <w:b w:val="0"/>
          <w:color w:val="000000"/>
          <w:sz w:val="22"/>
        </w:rPr>
        <w:t>le préambule de la constitution du 27 octobre 1946 ;</w:t>
      </w:r>
    </w:p>
    <w:p>
      <w:pPr>
        <w:pStyle w:val="ListBullet"/>
      </w:pPr>
      <w:r>
        <w:rPr>
          <w:b w:val="0"/>
          <w:color w:val="000000"/>
          <w:sz w:val="22"/>
        </w:rPr>
        <w:t>la déclaration des droits de l'homme et du citoyen de 1789 ;</w:t>
      </w:r>
    </w:p>
    <w:p>
      <w:r>
        <w:rPr>
          <w:b w:val="0"/>
          <w:color w:val="000000"/>
          <w:sz w:val="22"/>
        </w:rPr>
        <w:t>la charte de l'environnement promulguée le 1</w:t>
      </w:r>
    </w:p>
    <w:p>
      <w:r>
        <w:rPr>
          <w:b w:val="0"/>
          <w:color w:val="000000"/>
          <w:sz w:val="22"/>
        </w:rPr>
        <w:t>er</w:t>
      </w:r>
    </w:p>
    <w:p>
      <w:pPr>
        <w:pStyle w:val="ListBullet"/>
      </w:pPr>
      <w:r>
        <w:rPr>
          <w:b w:val="0"/>
          <w:color w:val="000000"/>
          <w:sz w:val="22"/>
        </w:rPr>
        <w:t>mars 2005.</w:t>
      </w:r>
    </w:p>
    <w:p>
      <w:r>
        <w:rPr>
          <w:b w:val="0"/>
          <w:color w:val="BF5700"/>
          <w:sz w:val="22"/>
        </w:rPr>
        <w:t>Chacun de ces textes à valeur constitutionnelle comprend des principes et formule un certain nombre de droits. Par</w:t>
      </w:r>
    </w:p>
    <w:p>
      <w:r>
        <w:rPr>
          <w:b w:val="0"/>
          <w:color w:val="000000"/>
          <w:sz w:val="22"/>
        </w:rPr>
        <w:t>exemple le droit au travail, le droit syndical, le droit de grave ou encore le droit à la sécurité sociale, figurent dans le</w:t>
      </w:r>
    </w:p>
    <w:p>
      <w:r>
        <w:rPr>
          <w:b w:val="0"/>
          <w:color w:val="000000"/>
          <w:sz w:val="22"/>
        </w:rPr>
        <w:t>préambule de 1946. De même que le droit de propriété, la liberté d'entreprendre ainsi que la liberté du travail sont</w:t>
      </w:r>
    </w:p>
    <w:p>
      <w:r>
        <w:rPr>
          <w:b w:val="0"/>
          <w:color w:val="000000"/>
          <w:sz w:val="22"/>
        </w:rPr>
        <w:t>exprimés dans la déclaration des droits de l'homme.</w:t>
      </w:r>
    </w:p>
    <w:p>
      <w:pPr>
        <w:pStyle w:val="Heading2"/>
      </w:pPr>
      <w:r>
        <w:rPr>
          <w:b/>
          <w:color w:val="2F5496"/>
          <w:sz w:val="24"/>
        </w:rPr>
        <w:t>LA LOI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L'article 34 de la constitution détermine le champ d'application de la loi : à La loi est votée par le Parlemente La loi</w:t>
      </w:r>
    </w:p>
    <w:p>
      <w:r>
        <w:rPr>
          <w:b w:val="0"/>
          <w:color w:val="BF5700"/>
          <w:sz w:val="22"/>
        </w:rPr>
        <w:t>détermine les principes fondamentaux : cdu droit du travail, du droit syndical et de la sécurité sociale. à. Son expression</w:t>
      </w:r>
    </w:p>
    <w:p>
      <w:r>
        <w:rPr>
          <w:b w:val="0"/>
          <w:color w:val="000000"/>
          <w:sz w:val="22"/>
        </w:rPr>
        <w:t>est organisée dans le cadre du code du travail et du code de la sécurité sociale.</w:t>
      </w:r>
    </w:p>
    <w:p>
      <w:pPr>
        <w:pStyle w:val="Heading2"/>
      </w:pPr>
      <w:r>
        <w:rPr>
          <w:b/>
          <w:color w:val="2F5496"/>
          <w:sz w:val="24"/>
        </w:rPr>
        <w:t>B • LE DOMAINE RÉGLEMENTAIRE</w:t>
      </w:r>
    </w:p>
    <w:p>
      <w:r>
        <w:rPr>
          <w:b w:val="0"/>
          <w:color w:val="000000"/>
          <w:sz w:val="22"/>
        </w:rPr>
        <w:t>Au terme de l'article 37 de la constitution de 1958, les domaines qui ne relèvent pas de la loi relèvent du pouvoir</w:t>
      </w:r>
    </w:p>
    <w:p>
      <w:r>
        <w:rPr>
          <w:b w:val="0"/>
          <w:color w:val="000000"/>
          <w:sz w:val="22"/>
        </w:rPr>
        <w:t>réglementaire.</w:t>
      </w:r>
    </w:p>
    <w:p>
      <w:pPr>
        <w:pStyle w:val="Heading2"/>
      </w:pPr>
      <w:r>
        <w:rPr>
          <w:b/>
          <w:color w:val="2F5496"/>
          <w:sz w:val="24"/>
        </w:rPr>
        <w:t>LE POUVOIR RÉGLEMENTAIRE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L'acte administratif réglementaire (décret, arrête, etc.) est une règle générale, édictée unilatéralement par le pouvoir</w:t>
      </w:r>
    </w:p>
    <w:p>
      <w:r>
        <w:rPr>
          <w:b w:val="0"/>
          <w:color w:val="000000"/>
          <w:sz w:val="22"/>
        </w:rPr>
        <w:t>exécutif. à ce titre le gouvernement dispose non seulement d'un pouvoir réglementaire d'application de la loi mais</w:t>
      </w:r>
    </w:p>
    <w:p>
      <w:r>
        <w:rPr>
          <w:b w:val="0"/>
          <w:color w:val="000000"/>
          <w:sz w:val="22"/>
        </w:rPr>
        <w:t>encore d'un pouvoir réglementaire autonome dans toutes les matières qui ne sont pas attribuées à la loi par la</w:t>
      </w:r>
    </w:p>
    <w:p>
      <w:r>
        <w:rPr>
          <w:b w:val="0"/>
          <w:color w:val="000000"/>
          <w:sz w:val="22"/>
        </w:rPr>
        <w:t>Constitution.</w:t>
      </w:r>
    </w:p>
    <w:p>
      <w:pPr>
        <w:pStyle w:val="Heading2"/>
      </w:pPr>
      <w:r>
        <w:rPr>
          <w:b/>
          <w:color w:val="C00000"/>
          <w:sz w:val="24"/>
        </w:rPr>
        <w:t>EXCEPTION : LES ORDONNANCES</w:t>
      </w:r>
    </w:p>
    <w:p>
      <w:r>
        <w:rPr>
          <w:b w:val="0"/>
          <w:color w:val="C00000"/>
          <w:sz w:val="22"/>
        </w:rPr>
        <w:t>?</w:t>
      </w:r>
    </w:p>
    <w:p>
      <w:r>
        <w:rPr>
          <w:b w:val="0"/>
          <w:color w:val="C00000"/>
          <w:sz w:val="22"/>
        </w:rPr>
        <w:t>Ce sont des textes pris par le gouvernement sur habilitation du Parlement car les dispositions qui peuvent y figurer</w:t>
      </w:r>
    </w:p>
    <w:p>
      <w:r>
        <w:rPr>
          <w:b w:val="0"/>
          <w:color w:val="C00000"/>
          <w:sz w:val="22"/>
        </w:rPr>
        <w:t>relèvent éventuellement du domaine de la loi. Par exemple, les ordonnances dites à Macron à du 22 septembre 2017 ou</w:t>
      </w:r>
    </w:p>
    <w:p>
      <w:r>
        <w:rPr>
          <w:b w:val="0"/>
          <w:color w:val="C00000"/>
          <w:sz w:val="22"/>
        </w:rPr>
        <w:t>encore celles des 3, 10 et 17 juin 2020 pour faire face à l'épidémie de COVID.</w:t>
      </w:r>
    </w:p>
    <w:p>
      <w:pPr>
        <w:pStyle w:val="Heading2"/>
      </w:pPr>
      <w:r>
        <w:rPr>
          <w:b/>
          <w:color w:val="2F5496"/>
          <w:sz w:val="24"/>
        </w:rPr>
        <w:t>C • LA JURISPRUDENCE</w:t>
      </w:r>
    </w:p>
    <w:p>
      <w:r>
        <w:rPr>
          <w:b w:val="0"/>
          <w:color w:val="000000"/>
          <w:sz w:val="22"/>
        </w:rPr>
        <w:t>C'est une source particulièrement importante étant donne le nombre de litiges portes devant les juridictions sociales.</w:t>
      </w:r>
    </w:p>
    <w:p>
      <w:r>
        <w:rPr>
          <w:b w:val="0"/>
          <w:color w:val="000000"/>
          <w:sz w:val="22"/>
        </w:rPr>
        <w:t>La chambre sociale de la Cour de cassation est ainsi à l'origine d'une importante jurisprudence qui impose une veille</w:t>
      </w:r>
    </w:p>
    <w:p>
      <w:r>
        <w:rPr>
          <w:b w:val="0"/>
          <w:color w:val="000000"/>
          <w:sz w:val="22"/>
        </w:rPr>
        <w:t>juridique constante. Les décisions de la chambre criminelle de la Cour de cassation mais aussi des juridictions adminis-</w:t>
      </w:r>
    </w:p>
    <w:p>
      <w:r>
        <w:rPr>
          <w:b w:val="0"/>
          <w:color w:val="00703C"/>
          <w:sz w:val="22"/>
        </w:rPr>
        <w:t>tratives doivent faire l'objet de la même attention dans la mesure où certains litiges du droit social peuvent relever de</w:t>
      </w:r>
    </w:p>
    <w:p>
      <w:r>
        <w:rPr>
          <w:b w:val="0"/>
          <w:color w:val="000000"/>
          <w:sz w:val="22"/>
        </w:rPr>
        <w:t>leur compétence (infractions relatives au droit du travail, licenciement des représentants du personnelé).</w:t>
      </w:r>
    </w:p>
    <w:p>
      <w:pPr>
        <w:pStyle w:val="Heading2"/>
      </w:pPr>
      <w:r>
        <w:rPr>
          <w:b/>
          <w:color w:val="2F5496"/>
          <w:sz w:val="24"/>
        </w:rPr>
        <w:t>III • LES SOURCES PROFESSIONNELLES</w:t>
      </w:r>
    </w:p>
    <w:p>
      <w:pPr>
        <w:pStyle w:val="Heading2"/>
      </w:pPr>
      <w:r>
        <w:rPr>
          <w:b/>
          <w:color w:val="2F5496"/>
          <w:sz w:val="24"/>
        </w:rPr>
        <w:t>A • LES CONVENTIONS ET ACCORDS COLLECTIFS</w:t>
      </w:r>
    </w:p>
    <w:p>
      <w:r>
        <w:rPr>
          <w:b w:val="0"/>
          <w:color w:val="BF5700"/>
          <w:sz w:val="22"/>
        </w:rPr>
        <w:t>Le droit des salariés de participer à la détermination de leurs conditions de travail est un principe inscrit dans le priam-</w:t>
      </w:r>
    </w:p>
    <w:p>
      <w:r>
        <w:rPr>
          <w:b w:val="0"/>
          <w:color w:val="000000"/>
          <w:sz w:val="22"/>
        </w:rPr>
        <w:t>bule de la constitution de 1946. Ce droit particulièrement important s'exerce dans le cadre de la négociation collective</w:t>
      </w:r>
    </w:p>
    <w:p>
      <w:r>
        <w:rPr>
          <w:b w:val="0"/>
          <w:color w:val="000000"/>
          <w:sz w:val="22"/>
        </w:rPr>
        <w:t>aux fins d'aboutir à la conclusion de conventions ou d'accords collectifs.</w:t>
      </w:r>
    </w:p>
    <w:p>
      <w:pPr>
        <w:pStyle w:val="ListBullet"/>
      </w:pPr>
      <w:r>
        <w:rPr>
          <w:b w:val="0"/>
          <w:color w:val="BF5700"/>
          <w:sz w:val="22"/>
        </w:rPr>
        <w:t>les conventions collectives concernent l'ensemble des conditions de travail ;</w:t>
      </w:r>
    </w:p>
    <w:p>
      <w:pPr>
        <w:pStyle w:val="ListBullet"/>
      </w:pPr>
      <w:r>
        <w:rPr>
          <w:b w:val="0"/>
          <w:color w:val="000000"/>
          <w:sz w:val="22"/>
        </w:rPr>
        <w:t>les accords collectifs n'en visent qu'un aspect particulier (formation professionnelle, salairesé).</w:t>
      </w:r>
    </w:p>
    <w:p>
      <w:r>
        <w:rPr>
          <w:b w:val="0"/>
          <w:color w:val="000000"/>
          <w:sz w:val="22"/>
        </w:rPr>
        <w:t>Tous deux sont négociés entre un employeur ou un groupement d'employeurs et une ou plusieurs organisations</w:t>
      </w:r>
    </w:p>
    <w:p>
      <w:r>
        <w:rPr>
          <w:b w:val="0"/>
          <w:color w:val="000000"/>
          <w:sz w:val="22"/>
        </w:rPr>
        <w:t>syndicales représentatives de salariés.</w:t>
      </w:r>
    </w:p>
    <w:p>
      <w:r>
        <w:rPr>
          <w:b w:val="0"/>
          <w:color w:val="000000"/>
          <w:sz w:val="22"/>
        </w:rPr>
        <w:t>Ils peuvent être conclus niveau de la branche (c'est-à-dire dans une branche d'activité, chimie ou métallurgie par exem-</w:t>
      </w:r>
    </w:p>
    <w:p>
      <w:r>
        <w:rPr>
          <w:b w:val="0"/>
          <w:color w:val="000000"/>
          <w:sz w:val="22"/>
        </w:rPr>
        <w:t>ple), au niveau de l'entreprise (entreprise et établissement) et au niveau interprofessionnel.</w:t>
      </w:r>
    </w:p>
    <w:p>
      <w:r>
        <w:rPr>
          <w:b w:val="0"/>
          <w:color w:val="000000"/>
          <w:sz w:val="22"/>
        </w:rPr>
        <w:t>En outre, les conventions et accords de branche ou interprofessionnel peuvent être délimités géographiquement et être</w:t>
      </w:r>
    </w:p>
    <w:p>
      <w:r>
        <w:rPr>
          <w:b w:val="0"/>
          <w:color w:val="000000"/>
          <w:sz w:val="22"/>
        </w:rPr>
        <w:t>conclus au niveau national, régional ou local.</w:t>
      </w:r>
    </w:p>
    <w:p>
      <w:pPr>
        <w:pStyle w:val="Heading2"/>
      </w:pPr>
      <w:r>
        <w:rPr>
          <w:b/>
          <w:color w:val="2F5496"/>
          <w:sz w:val="24"/>
        </w:rPr>
        <w:t>B • RÈGLEMENTS ET ACTES UNILATÉRAUX</w:t>
      </w:r>
    </w:p>
    <w:p>
      <w:pPr>
        <w:pStyle w:val="Heading2"/>
      </w:pPr>
      <w:r>
        <w:rPr>
          <w:b/>
          <w:color w:val="2F5496"/>
          <w:sz w:val="24"/>
        </w:rPr>
        <w:t>LE RÈGLEMENT INTÉRIEUR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L'élaboration d'un règlement intérieur constitue une obligation légale dans les entreprises employant au moins 20</w:t>
      </w:r>
    </w:p>
    <w:p>
      <w:r>
        <w:rPr>
          <w:b w:val="0"/>
          <w:color w:val="000000"/>
          <w:sz w:val="22"/>
        </w:rPr>
        <w:t>salariés. Son contenu est limitatif puisqu'il ne peut contenir que des dispositions relatives à l'hygiène et la sécurité ainsi</w:t>
      </w:r>
    </w:p>
    <w:p>
      <w:r>
        <w:rPr>
          <w:b w:val="0"/>
          <w:color w:val="000000"/>
          <w:sz w:val="22"/>
        </w:rPr>
        <w:t>qu'à la discipline dans l'entreprise. Il rappelle en outres les dispositions relatives au harcèlement. Sa violation peut</w:t>
      </w:r>
    </w:p>
    <w:p>
      <w:r>
        <w:rPr>
          <w:b w:val="0"/>
          <w:color w:val="000000"/>
          <w:sz w:val="22"/>
        </w:rPr>
        <w:t>entraîner l'application de sanctions disciplinairesé;</w:t>
      </w:r>
    </w:p>
    <w:p/>
    <w:p>
      <w:pPr>
        <w:pStyle w:val="Heading2"/>
      </w:pPr>
      <w:r>
        <w:rPr>
          <w:b/>
          <w:color w:val="2F5496"/>
          <w:sz w:val="24"/>
        </w:rPr>
        <w:t>LES RECOMMANDATIONS PATRONALES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organisations syndicales patronales peuvent s'adresser directement à leurs adhérents sous la forme de</w:t>
      </w:r>
    </w:p>
    <w:p>
      <w:r>
        <w:rPr>
          <w:b w:val="0"/>
          <w:color w:val="BF5700"/>
          <w:sz w:val="22"/>
        </w:rPr>
        <w:t>recommandations. La Cour de cassation par une décision en date 29 juin 1999 leur reconnaît force obligatoire à l'égard</w:t>
      </w:r>
    </w:p>
    <w:p>
      <w:r>
        <w:rPr>
          <w:b w:val="0"/>
          <w:color w:val="000000"/>
          <w:sz w:val="22"/>
        </w:rPr>
        <w:t>de ses adhérents des lors qu'elle revêt la forme d'une déclaration claire et précise.</w:t>
      </w:r>
    </w:p>
    <w:p>
      <w:pPr>
        <w:pStyle w:val="Heading2"/>
      </w:pPr>
      <w:r>
        <w:rPr>
          <w:b/>
          <w:color w:val="2F5496"/>
          <w:sz w:val="24"/>
        </w:rPr>
        <w:t>LES ENGAGEMENTS UNILATÉRAUX DE L'EMPLOYEUR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Ce sont les prises d'engagements unilatérales de l'employeur qui peuvent résulter de notes de services, des réponses aux</w:t>
      </w:r>
    </w:p>
    <w:p>
      <w:r>
        <w:rPr>
          <w:b w:val="0"/>
          <w:color w:val="00703C"/>
          <w:sz w:val="22"/>
        </w:rPr>
        <w:t>représentants du personnel ou d'une simple déclaration du chef d'entreprise. La jurisprudence leur confère un caractère</w:t>
      </w:r>
    </w:p>
    <w:p>
      <w:r>
        <w:rPr>
          <w:b w:val="0"/>
          <w:color w:val="BF5700"/>
          <w:sz w:val="22"/>
        </w:rPr>
        <w:t>obligatoire et leur attribue en tant qu'accords atypiques la procédure de dénonciation applicable aux usages des lors</w:t>
      </w:r>
    </w:p>
    <w:p>
      <w:r>
        <w:rPr>
          <w:b w:val="0"/>
          <w:color w:val="000000"/>
          <w:sz w:val="22"/>
        </w:rPr>
        <w:t>qu'il est a dure indéterminée.</w:t>
      </w:r>
    </w:p>
    <w:p>
      <w:pPr>
        <w:pStyle w:val="Heading2"/>
      </w:pPr>
      <w:r>
        <w:rPr>
          <w:b/>
          <w:color w:val="2F5496"/>
          <w:sz w:val="24"/>
        </w:rPr>
        <w:t>C • LES USAGES</w:t>
      </w:r>
    </w:p>
    <w:p>
      <w:r>
        <w:rPr>
          <w:b w:val="0"/>
          <w:color w:val="00703C"/>
          <w:sz w:val="22"/>
        </w:rPr>
        <w:t>On distingue :</w:t>
      </w:r>
    </w:p>
    <w:p>
      <w:pPr>
        <w:pStyle w:val="ListBullet"/>
      </w:pPr>
      <w:r>
        <w:rPr>
          <w:b w:val="0"/>
          <w:color w:val="000000"/>
          <w:sz w:val="22"/>
        </w:rPr>
        <w:t>l'usage professionnel qui s'applique à tout ou partie du personnel dans une profession déterminée ;</w:t>
      </w:r>
    </w:p>
    <w:p>
      <w:pPr>
        <w:pStyle w:val="ListBullet"/>
      </w:pPr>
      <w:r>
        <w:rPr>
          <w:b w:val="0"/>
          <w:color w:val="000000"/>
          <w:sz w:val="22"/>
        </w:rPr>
        <w:t>l'usage d'entreprise qui constitue une pratique habituelle de l'employeur.</w:t>
      </w:r>
    </w:p>
    <w:p>
      <w:r>
        <w:rPr>
          <w:b w:val="0"/>
          <w:color w:val="00703C"/>
          <w:sz w:val="22"/>
        </w:rPr>
        <w:t>L'usage a un caractère contraignant pour l'employeur des lors qu'il peut être établi par celui qui l'invoque les caractères</w:t>
      </w:r>
    </w:p>
    <w:p>
      <w:r>
        <w:rPr>
          <w:b w:val="0"/>
          <w:color w:val="000000"/>
          <w:sz w:val="22"/>
        </w:rPr>
        <w:t>suivants :</w:t>
      </w:r>
    </w:p>
    <w:p>
      <w:pPr>
        <w:pStyle w:val="ListBullet"/>
      </w:pPr>
      <w:r>
        <w:rPr>
          <w:b w:val="0"/>
          <w:color w:val="00703C"/>
          <w:sz w:val="22"/>
        </w:rPr>
        <w:t>caractère de fixité (l'usage repose sur des modalités d'application identiques) ;</w:t>
      </w:r>
    </w:p>
    <w:p>
      <w:pPr>
        <w:pStyle w:val="ListBullet"/>
      </w:pPr>
      <w:r>
        <w:rPr>
          <w:b w:val="0"/>
          <w:color w:val="00703C"/>
          <w:sz w:val="22"/>
        </w:rPr>
        <w:t>caractère de constance (régularité de l'usage) ;</w:t>
      </w:r>
    </w:p>
    <w:p>
      <w:pPr>
        <w:pStyle w:val="ListBullet"/>
      </w:pPr>
      <w:r>
        <w:rPr>
          <w:b w:val="0"/>
          <w:color w:val="00703C"/>
          <w:sz w:val="22"/>
        </w:rPr>
        <w:t>caractère de généralité (l'usage bénéficie à la totalité des salariés ou une partie d'entre eux).</w:t>
      </w:r>
    </w:p>
    <w:p>
      <w:r>
        <w:rPr>
          <w:b w:val="0"/>
          <w:color w:val="000000"/>
          <w:sz w:val="22"/>
        </w:rPr>
        <w:t>La dénonciation de l'usage par l'employeur ne peut être mise en ouvre unilatéralement sans avoir respecte la</w:t>
      </w:r>
    </w:p>
    <w:p>
      <w:r>
        <w:rPr>
          <w:b w:val="0"/>
          <w:color w:val="BF5700"/>
          <w:sz w:val="22"/>
        </w:rPr>
        <w:t>procédure suivante :</w:t>
      </w:r>
    </w:p>
    <w:p>
      <w:pPr>
        <w:pStyle w:val="ListBullet"/>
      </w:pPr>
      <w:r>
        <w:rPr>
          <w:b w:val="0"/>
          <w:color w:val="000000"/>
          <w:sz w:val="22"/>
        </w:rPr>
        <w:t>l'information au préalable les institutions représentatives du personnel ;</w:t>
      </w:r>
    </w:p>
    <w:p>
      <w:pPr>
        <w:pStyle w:val="ListBullet"/>
      </w:pPr>
      <w:r>
        <w:rPr>
          <w:b w:val="0"/>
          <w:color w:val="000000"/>
          <w:sz w:val="22"/>
        </w:rPr>
        <w:t>l'information au préalable et individuellement de chaque salarié concerne par l'usage ;</w:t>
      </w:r>
    </w:p>
    <w:p>
      <w:r>
        <w:rPr>
          <w:b w:val="0"/>
          <w:color w:val="000000"/>
          <w:sz w:val="22"/>
        </w:rPr>
        <w:t>l'observation d'un délai de provenance suffisant entre ces informations et la suppression effective de l'usage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